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1.xml" ContentType="application/vnd.openxmlformats-officedocument.wordprocessingml.header+xml"/>
  <Override PartName="/word/footer9.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BF3CD6" w:rsidTr="00BF3CD6">
        <w:tc>
          <w:tcPr>
            <w:tcW w:w="4843" w:type="dxa"/>
            <w:tcBorders>
              <w:bottom w:val="single" w:sz="4" w:space="0" w:color="auto"/>
            </w:tcBorders>
          </w:tcPr>
          <w:p w:rsidR="00BF3CD6" w:rsidRPr="009A4222" w:rsidRDefault="00BF3CD6" w:rsidP="00BF3CD6">
            <w:pPr>
              <w:rPr>
                <w:rFonts w:ascii="Arabic Typesetting" w:hAnsi="Arabic Typesetting" w:cs="Arabic Typesetting"/>
                <w:sz w:val="36"/>
                <w:szCs w:val="36"/>
                <w:lang w:val="fr-CH"/>
              </w:rPr>
            </w:pPr>
            <w:bookmarkStart w:id="0" w:name="_GoBack"/>
            <w:bookmarkEnd w:id="0"/>
          </w:p>
        </w:tc>
        <w:tc>
          <w:tcPr>
            <w:tcW w:w="4223" w:type="dxa"/>
            <w:tcBorders>
              <w:bottom w:val="single" w:sz="4" w:space="0" w:color="auto"/>
            </w:tcBorders>
          </w:tcPr>
          <w:p w:rsidR="00BF3CD6" w:rsidRDefault="00BF3CD6" w:rsidP="00BF3CD6">
            <w:pPr>
              <w:spacing w:after="20"/>
              <w:rPr>
                <w:rFonts w:ascii="Arabic Typesetting" w:hAnsi="Arabic Typesetting" w:cs="Arabic Typesetting"/>
                <w:sz w:val="36"/>
                <w:szCs w:val="36"/>
                <w:rtl/>
              </w:rPr>
            </w:pPr>
            <w:r>
              <w:rPr>
                <w:noProof/>
                <w:lang w:bidi="ar-SA"/>
              </w:rPr>
              <w:drawing>
                <wp:inline distT="0" distB="0" distL="0" distR="0" wp14:anchorId="4FCC2984" wp14:editId="66618045">
                  <wp:extent cx="1327150" cy="1263650"/>
                  <wp:effectExtent l="0" t="0" r="6350" b="0"/>
                  <wp:docPr id="17" name="Picture 17"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BF3CD6" w:rsidRPr="00BF3CD6" w:rsidRDefault="00BF3CD6" w:rsidP="00BF3CD6">
            <w:pPr>
              <w:rPr>
                <w:rFonts w:asciiTheme="minorBidi" w:hAnsiTheme="minorBidi" w:cstheme="minorBidi"/>
                <w:b/>
                <w:bCs/>
                <w:sz w:val="40"/>
                <w:szCs w:val="40"/>
              </w:rPr>
            </w:pPr>
            <w:r w:rsidRPr="00BF3CD6">
              <w:rPr>
                <w:rFonts w:asciiTheme="minorBidi" w:hAnsiTheme="minorBidi" w:cstheme="minorBidi"/>
                <w:b/>
                <w:bCs/>
                <w:sz w:val="40"/>
                <w:szCs w:val="40"/>
              </w:rPr>
              <w:t>A</w:t>
            </w:r>
          </w:p>
        </w:tc>
      </w:tr>
      <w:tr w:rsidR="00BF3CD6" w:rsidTr="00BF3CD6">
        <w:trPr>
          <w:trHeight w:val="333"/>
        </w:trPr>
        <w:tc>
          <w:tcPr>
            <w:tcW w:w="9571" w:type="dxa"/>
            <w:gridSpan w:val="3"/>
            <w:tcBorders>
              <w:top w:val="single" w:sz="4" w:space="0" w:color="auto"/>
            </w:tcBorders>
            <w:vAlign w:val="bottom"/>
          </w:tcPr>
          <w:p w:rsidR="00BF3CD6" w:rsidRPr="00BF3CD6" w:rsidRDefault="00BF3CD6" w:rsidP="00BF3CD6">
            <w:pPr>
              <w:pStyle w:val="DocumentCodeAR0"/>
              <w:bidi/>
              <w:rPr>
                <w:rtl/>
              </w:rPr>
            </w:pPr>
            <w:r w:rsidRPr="00BF3CD6">
              <w:t>A/55</w:t>
            </w:r>
            <w:r w:rsidR="00D06917">
              <w:t>/5</w:t>
            </w:r>
            <w:r w:rsidRPr="00BF3CD6">
              <w:t>/REV.</w:t>
            </w:r>
          </w:p>
        </w:tc>
      </w:tr>
      <w:tr w:rsidR="00BF3CD6" w:rsidTr="00BF3CD6">
        <w:tc>
          <w:tcPr>
            <w:tcW w:w="9571" w:type="dxa"/>
            <w:gridSpan w:val="3"/>
          </w:tcPr>
          <w:p w:rsidR="00BF3CD6" w:rsidRPr="00B6101C" w:rsidRDefault="00BF3CD6" w:rsidP="00BF3CD6">
            <w:pPr>
              <w:pStyle w:val="DocumentLanguageAR0"/>
              <w:bidi/>
              <w:rPr>
                <w:rtl/>
              </w:rPr>
            </w:pPr>
            <w:r w:rsidRPr="00B6101C">
              <w:rPr>
                <w:rFonts w:hint="cs"/>
                <w:rtl/>
              </w:rPr>
              <w:t xml:space="preserve">الأصل: </w:t>
            </w:r>
            <w:r>
              <w:rPr>
                <w:rFonts w:hint="cs"/>
                <w:rtl/>
              </w:rPr>
              <w:t>بالإنكليزية</w:t>
            </w:r>
          </w:p>
        </w:tc>
      </w:tr>
      <w:tr w:rsidR="00BF3CD6" w:rsidTr="00BF3CD6">
        <w:tc>
          <w:tcPr>
            <w:tcW w:w="9571" w:type="dxa"/>
            <w:gridSpan w:val="3"/>
          </w:tcPr>
          <w:p w:rsidR="00BF3CD6" w:rsidRPr="00B6101C" w:rsidRDefault="00BF3CD6" w:rsidP="00D06917">
            <w:pPr>
              <w:pStyle w:val="DocumentDateAR0"/>
              <w:bidi/>
              <w:rPr>
                <w:rtl/>
              </w:rPr>
            </w:pPr>
            <w:r w:rsidRPr="00B6101C">
              <w:rPr>
                <w:rFonts w:hint="cs"/>
                <w:rtl/>
              </w:rPr>
              <w:t xml:space="preserve">التاريخ: </w:t>
            </w:r>
            <w:r w:rsidR="00D06917">
              <w:rPr>
                <w:rFonts w:hint="cs"/>
                <w:rtl/>
              </w:rPr>
              <w:t xml:space="preserve">2 أكتوبر </w:t>
            </w:r>
            <w:r>
              <w:rPr>
                <w:rFonts w:hint="cs"/>
                <w:rtl/>
              </w:rPr>
              <w:t>2015</w:t>
            </w:r>
          </w:p>
        </w:tc>
      </w:tr>
    </w:tbl>
    <w:p w:rsidR="00BF3CD6" w:rsidRDefault="00BF3CD6" w:rsidP="00BF3CD6">
      <w:pPr>
        <w:spacing w:line="360" w:lineRule="exact"/>
        <w:rPr>
          <w:rFonts w:ascii="Arabic Typesetting" w:hAnsi="Arabic Typesetting" w:cs="Arabic Typesetting"/>
          <w:sz w:val="36"/>
          <w:szCs w:val="36"/>
          <w:rtl/>
        </w:rPr>
      </w:pPr>
    </w:p>
    <w:p w:rsidR="00BF3CD6" w:rsidRDefault="00BF3CD6" w:rsidP="00BF3CD6">
      <w:pPr>
        <w:spacing w:line="360" w:lineRule="exact"/>
        <w:rPr>
          <w:rFonts w:ascii="Arabic Typesetting" w:hAnsi="Arabic Typesetting" w:cs="Arabic Typesetting"/>
          <w:sz w:val="36"/>
          <w:szCs w:val="36"/>
          <w:rtl/>
        </w:rPr>
      </w:pPr>
    </w:p>
    <w:p w:rsidR="00BF3CD6" w:rsidRDefault="00BF3CD6" w:rsidP="00BF3CD6">
      <w:pPr>
        <w:pStyle w:val="MeetingTitleAR0"/>
        <w:bidi/>
        <w:rPr>
          <w:rtl/>
        </w:rPr>
      </w:pPr>
      <w:r>
        <w:rPr>
          <w:rFonts w:hint="cs"/>
          <w:rtl/>
        </w:rPr>
        <w:t xml:space="preserve">جمعيات </w:t>
      </w:r>
      <w:r w:rsidRPr="000438A8">
        <w:rPr>
          <w:rFonts w:hint="cs"/>
          <w:rtl/>
        </w:rPr>
        <w:t>الدول</w:t>
      </w:r>
      <w:r>
        <w:rPr>
          <w:rFonts w:hint="cs"/>
          <w:rtl/>
        </w:rPr>
        <w:t xml:space="preserve"> الأعضاء في الويبو</w:t>
      </w:r>
    </w:p>
    <w:p w:rsidR="00BF3CD6" w:rsidRDefault="00BF3CD6" w:rsidP="00BF3CD6">
      <w:pPr>
        <w:spacing w:line="360" w:lineRule="exact"/>
        <w:rPr>
          <w:rFonts w:ascii="Arabic Typesetting" w:hAnsi="Arabic Typesetting" w:cs="Arabic Typesetting"/>
          <w:sz w:val="36"/>
          <w:szCs w:val="36"/>
          <w:rtl/>
        </w:rPr>
      </w:pPr>
    </w:p>
    <w:p w:rsidR="00BF3CD6" w:rsidRPr="00D61541" w:rsidRDefault="00BF3CD6" w:rsidP="00BF3CD6">
      <w:pPr>
        <w:pStyle w:val="MeetingSessionAR"/>
        <w:bidi/>
        <w:rPr>
          <w:rtl/>
        </w:rPr>
      </w:pPr>
      <w:r w:rsidRPr="00D61541">
        <w:rPr>
          <w:rFonts w:hint="cs"/>
          <w:rtl/>
        </w:rPr>
        <w:t xml:space="preserve">سلسلة الاجتماعات </w:t>
      </w:r>
      <w:r>
        <w:rPr>
          <w:rFonts w:hint="cs"/>
          <w:rtl/>
        </w:rPr>
        <w:t>الخامسة والخمسون</w:t>
      </w:r>
    </w:p>
    <w:p w:rsidR="00BF3CD6" w:rsidRPr="00D61541" w:rsidRDefault="00BF3CD6" w:rsidP="00BF3CD6">
      <w:pPr>
        <w:pStyle w:val="MeetingDatesAR"/>
        <w:bidi/>
        <w:rPr>
          <w:rtl/>
        </w:rPr>
      </w:pPr>
      <w:r w:rsidRPr="00D61541">
        <w:rPr>
          <w:rFonts w:hint="cs"/>
          <w:rtl/>
        </w:rPr>
        <w:t xml:space="preserve">جنيف، </w:t>
      </w:r>
      <w:r>
        <w:rPr>
          <w:rFonts w:hint="cs"/>
          <w:rtl/>
        </w:rPr>
        <w:t>من 5 إلى 14 أكتوبر 2015</w:t>
      </w:r>
    </w:p>
    <w:p w:rsidR="00BF3CD6" w:rsidRDefault="00BF3CD6" w:rsidP="00BF3CD6">
      <w:pPr>
        <w:spacing w:line="360" w:lineRule="exact"/>
        <w:rPr>
          <w:rFonts w:ascii="Arabic Typesetting" w:hAnsi="Arabic Typesetting" w:cs="Arabic Typesetting"/>
          <w:sz w:val="36"/>
          <w:szCs w:val="36"/>
          <w:rtl/>
        </w:rPr>
      </w:pPr>
    </w:p>
    <w:p w:rsidR="00BF3CD6" w:rsidRDefault="00BF3CD6" w:rsidP="00BF3CD6">
      <w:pPr>
        <w:spacing w:line="360" w:lineRule="exact"/>
        <w:rPr>
          <w:rFonts w:ascii="Arabic Typesetting" w:hAnsi="Arabic Typesetting" w:cs="Arabic Typesetting"/>
          <w:sz w:val="36"/>
          <w:szCs w:val="36"/>
          <w:rtl/>
        </w:rPr>
      </w:pPr>
    </w:p>
    <w:p w:rsidR="00BF3CD6" w:rsidRPr="00D61541" w:rsidRDefault="00BF3CD6" w:rsidP="00BF3CD6">
      <w:pPr>
        <w:pStyle w:val="DocumentTitleAR0"/>
        <w:bidi/>
        <w:rPr>
          <w:rtl/>
        </w:rPr>
      </w:pPr>
      <w:r>
        <w:rPr>
          <w:rFonts w:hint="cs"/>
          <w:rtl/>
        </w:rPr>
        <w:t xml:space="preserve">اقتراح البرنامج والميزانية للثنائية </w:t>
      </w:r>
    </w:p>
    <w:p w:rsidR="00BF3CD6" w:rsidRPr="00D61541" w:rsidRDefault="00BF3CD6" w:rsidP="00BF3CD6">
      <w:pPr>
        <w:pStyle w:val="PreparedbyAR0"/>
        <w:bidi/>
        <w:rPr>
          <w:rtl/>
        </w:rPr>
      </w:pPr>
      <w:r>
        <w:rPr>
          <w:rFonts w:hint="cs"/>
          <w:rtl/>
        </w:rPr>
        <w:t xml:space="preserve">وثيقة </w:t>
      </w:r>
      <w:r w:rsidRPr="00D61541">
        <w:rPr>
          <w:rFonts w:hint="cs"/>
          <w:rtl/>
        </w:rPr>
        <w:t xml:space="preserve">من </w:t>
      </w:r>
      <w:r w:rsidRPr="00931859">
        <w:rPr>
          <w:rFonts w:hint="cs"/>
          <w:rtl/>
        </w:rPr>
        <w:t>إعداد</w:t>
      </w:r>
      <w:r>
        <w:rPr>
          <w:rFonts w:hint="cs"/>
          <w:rtl/>
        </w:rPr>
        <w:t xml:space="preserve"> الأمانة</w:t>
      </w:r>
    </w:p>
    <w:p w:rsidR="00BF3CD6" w:rsidRDefault="003B646F" w:rsidP="003B646F">
      <w:pPr>
        <w:pStyle w:val="NormalParaAR"/>
        <w:rPr>
          <w:rtl/>
        </w:rPr>
      </w:pPr>
      <w:r>
        <w:rPr>
          <w:rFonts w:hint="cs"/>
          <w:rtl/>
        </w:rPr>
        <w:t>1</w:t>
      </w:r>
      <w:r>
        <w:rPr>
          <w:rFonts w:hint="cs"/>
          <w:rtl/>
        </w:rPr>
        <w:tab/>
      </w:r>
      <w:r w:rsidRPr="003B646F">
        <w:rPr>
          <w:rtl/>
        </w:rPr>
        <w:t>تحتوي هذه الوثيقة على اقتراح البرنامج والميزانية للثنائية 201</w:t>
      </w:r>
      <w:r>
        <w:rPr>
          <w:rFonts w:hint="cs"/>
          <w:rtl/>
        </w:rPr>
        <w:t>6</w:t>
      </w:r>
      <w:r w:rsidRPr="003B646F">
        <w:rPr>
          <w:rtl/>
        </w:rPr>
        <w:t>/1</w:t>
      </w:r>
      <w:r>
        <w:rPr>
          <w:rFonts w:hint="cs"/>
          <w:rtl/>
        </w:rPr>
        <w:t xml:space="preserve">7 وفيها التعديلات المتفق عليها في الدورة الرابعة والعشرين للجنة البرنامج والميزانية (14 إلى 18 سبتمبر 2015) (انظر الوثيقة </w:t>
      </w:r>
      <w:r>
        <w:t>A/55/4</w:t>
      </w:r>
      <w:r>
        <w:rPr>
          <w:rFonts w:hint="cs"/>
          <w:rtl/>
        </w:rPr>
        <w:t>، "القرارات التي اتخذتها لجنة البرنامج والميزانية").</w:t>
      </w:r>
    </w:p>
    <w:p w:rsidR="003B646F" w:rsidRDefault="003B646F" w:rsidP="003B646F">
      <w:pPr>
        <w:pStyle w:val="DecisionParaAR"/>
        <w:numPr>
          <w:ilvl w:val="0"/>
          <w:numId w:val="0"/>
        </w:numPr>
        <w:ind w:left="5534"/>
      </w:pPr>
      <w:r>
        <w:rPr>
          <w:rFonts w:hint="cs"/>
          <w:rtl/>
          <w:lang w:val="fr-CH"/>
        </w:rPr>
        <w:t>2.</w:t>
      </w:r>
      <w:r>
        <w:rPr>
          <w:rFonts w:hint="cs"/>
          <w:rtl/>
          <w:lang w:val="fr-CH"/>
        </w:rPr>
        <w:tab/>
      </w:r>
      <w:r w:rsidRPr="00BD7D7F">
        <w:rPr>
          <w:rtl/>
        </w:rPr>
        <w:t xml:space="preserve">إن جمعيات الدول الأعضاء في الويبو والاتحادات التي تديرها الويبو مدعوة، كل في ما يعنيه، إلى الموافقة على </w:t>
      </w:r>
      <w:r w:rsidRPr="00827E4D">
        <w:rPr>
          <w:rtl/>
        </w:rPr>
        <w:t>اقتراح البرنامج والميزانية للثنائية 201</w:t>
      </w:r>
      <w:r>
        <w:rPr>
          <w:rFonts w:hint="cs"/>
          <w:rtl/>
        </w:rPr>
        <w:t>6</w:t>
      </w:r>
      <w:r w:rsidRPr="00827E4D">
        <w:rPr>
          <w:rtl/>
        </w:rPr>
        <w:t>/1</w:t>
      </w:r>
      <w:r>
        <w:rPr>
          <w:rFonts w:hint="cs"/>
          <w:rtl/>
        </w:rPr>
        <w:t xml:space="preserve">7 (الوثيقة </w:t>
      </w:r>
      <w:r>
        <w:t>A/55/5 Rev.</w:t>
      </w:r>
      <w:r>
        <w:rPr>
          <w:rFonts w:hint="cs"/>
          <w:rtl/>
        </w:rPr>
        <w:t>)</w:t>
      </w:r>
      <w:r w:rsidRPr="00BD7D7F">
        <w:rPr>
          <w:rtl/>
        </w:rPr>
        <w:t>.</w:t>
      </w:r>
    </w:p>
    <w:p w:rsidR="003B646F" w:rsidRDefault="003B646F" w:rsidP="003B646F">
      <w:pPr>
        <w:pStyle w:val="EndofDocumentAR"/>
        <w:rPr>
          <w:rtl/>
        </w:rPr>
      </w:pPr>
      <w:r>
        <w:rPr>
          <w:rFonts w:hint="cs"/>
          <w:rtl/>
        </w:rPr>
        <w:t>[يلي ذلك اقتراح البرنامج والميزانية للثنائية</w:t>
      </w:r>
      <w:r>
        <w:rPr>
          <w:rFonts w:hint="eastAsia"/>
          <w:rtl/>
        </w:rPr>
        <w:t> </w:t>
      </w:r>
      <w:r>
        <w:rPr>
          <w:rFonts w:hint="cs"/>
          <w:rtl/>
        </w:rPr>
        <w:t>2016/17]</w:t>
      </w:r>
    </w:p>
    <w:p w:rsidR="000944C2" w:rsidRDefault="000944C2" w:rsidP="000944C2">
      <w:pPr>
        <w:pStyle w:val="NormalParaAR"/>
        <w:rPr>
          <w:rtl/>
        </w:rPr>
      </w:pPr>
    </w:p>
    <w:p w:rsidR="000944C2" w:rsidRDefault="000944C2" w:rsidP="000944C2">
      <w:pPr>
        <w:pStyle w:val="NormalParaAR"/>
        <w:rPr>
          <w:rtl/>
        </w:rPr>
      </w:pPr>
    </w:p>
    <w:p w:rsidR="000944C2" w:rsidRDefault="000944C2" w:rsidP="000944C2">
      <w:pPr>
        <w:pStyle w:val="NormalParaAR"/>
        <w:rPr>
          <w:rtl/>
        </w:rPr>
      </w:pPr>
    </w:p>
    <w:p w:rsidR="000944C2" w:rsidRDefault="000944C2" w:rsidP="000944C2">
      <w:pPr>
        <w:pStyle w:val="NormalParaAR"/>
        <w:rPr>
          <w:rtl/>
        </w:rPr>
      </w:pPr>
    </w:p>
    <w:p w:rsidR="000944C2" w:rsidRDefault="000944C2" w:rsidP="000944C2">
      <w:pPr>
        <w:pStyle w:val="NormalParaAR"/>
        <w:rPr>
          <w:rtl/>
        </w:rPr>
      </w:pPr>
    </w:p>
    <w:p w:rsidR="000944C2" w:rsidRDefault="000944C2" w:rsidP="000944C2">
      <w:pPr>
        <w:pStyle w:val="NormalParaAR"/>
        <w:rPr>
          <w:rtl/>
        </w:rPr>
      </w:pPr>
    </w:p>
    <w:p w:rsidR="000944C2" w:rsidRDefault="000944C2" w:rsidP="000944C2">
      <w:pPr>
        <w:pStyle w:val="NormalParaAR"/>
        <w:rPr>
          <w:rtl/>
        </w:rPr>
      </w:pPr>
    </w:p>
    <w:p w:rsidR="000944C2" w:rsidRDefault="000944C2" w:rsidP="000944C2">
      <w:pPr>
        <w:pStyle w:val="NormalParaAR"/>
        <w:rPr>
          <w:rtl/>
        </w:rPr>
      </w:pPr>
    </w:p>
    <w:p w:rsidR="000944C2" w:rsidRDefault="000944C2" w:rsidP="000944C2">
      <w:pPr>
        <w:pStyle w:val="NormalParaAR"/>
        <w:rPr>
          <w:rtl/>
        </w:rPr>
      </w:pPr>
    </w:p>
    <w:p w:rsidR="000944C2" w:rsidRPr="000944C2" w:rsidRDefault="000944C2" w:rsidP="000944C2">
      <w:pPr>
        <w:pStyle w:val="NormalParaAR"/>
        <w:rPr>
          <w:rtl/>
        </w:rPr>
      </w:pPr>
    </w:p>
    <w:p w:rsidR="00BF3CD6" w:rsidRDefault="00BF3CD6" w:rsidP="00BF3CD6">
      <w:pPr>
        <w:pStyle w:val="NormalParaAR"/>
      </w:pPr>
    </w:p>
    <w:p w:rsidR="000944C2" w:rsidRDefault="000944C2" w:rsidP="002E2CDF">
      <w:pPr>
        <w:pStyle w:val="NumberedParaAR"/>
        <w:numPr>
          <w:ilvl w:val="0"/>
          <w:numId w:val="0"/>
        </w:numPr>
        <w:rPr>
          <w:rtl/>
          <w:lang w:val="fr-CH"/>
        </w:rPr>
        <w:sectPr w:rsidR="000944C2" w:rsidSect="00C91169">
          <w:headerReference w:type="even" r:id="rId10"/>
          <w:footerReference w:type="even" r:id="rId11"/>
          <w:footerReference w:type="default" r:id="rId12"/>
          <w:footerReference w:type="first" r:id="rId13"/>
          <w:pgSz w:w="11907" w:h="16840" w:code="9"/>
          <w:pgMar w:top="567" w:right="1418" w:bottom="1418" w:left="1134" w:header="510" w:footer="1021" w:gutter="0"/>
          <w:pgNumType w:start="1"/>
          <w:cols w:space="720"/>
          <w:titlePg/>
          <w:docGrid w:linePitch="299"/>
        </w:sectPr>
      </w:pPr>
    </w:p>
    <w:p w:rsidR="00BE6D63" w:rsidRPr="00411EB2" w:rsidRDefault="00BE6D63" w:rsidP="00784004">
      <w:pPr>
        <w:spacing w:before="4680" w:after="360" w:line="360" w:lineRule="exact"/>
        <w:jc w:val="center"/>
        <w:rPr>
          <w:rFonts w:ascii="Arabic Typesetting" w:hAnsi="Arabic Typesetting" w:cs="Arabic Typesetting"/>
          <w:b/>
          <w:bCs/>
          <w:sz w:val="56"/>
          <w:szCs w:val="56"/>
          <w:rtl/>
          <w:lang w:val="fr-CH" w:bidi="ar-SA"/>
        </w:rPr>
      </w:pPr>
      <w:r w:rsidRPr="00411EB2">
        <w:rPr>
          <w:rFonts w:ascii="Arabic Typesetting" w:hAnsi="Arabic Typesetting" w:cs="Arabic Typesetting"/>
          <w:b/>
          <w:bCs/>
          <w:sz w:val="56"/>
          <w:szCs w:val="56"/>
          <w:rtl/>
          <w:lang w:val="fr-CH" w:bidi="ar-SA"/>
        </w:rPr>
        <w:lastRenderedPageBreak/>
        <w:t>المنظمة العالمية للملكية الفكرية</w:t>
      </w:r>
    </w:p>
    <w:p w:rsidR="00BE6D63" w:rsidRPr="00411EB2" w:rsidRDefault="0031789B" w:rsidP="00C41DC9">
      <w:pPr>
        <w:spacing w:before="840" w:after="120" w:line="360" w:lineRule="exact"/>
        <w:jc w:val="center"/>
        <w:rPr>
          <w:rFonts w:ascii="Arabic Typesetting" w:hAnsi="Arabic Typesetting" w:cs="Arabic Typesetting"/>
          <w:b/>
          <w:bCs/>
          <w:sz w:val="56"/>
          <w:szCs w:val="56"/>
          <w:rtl/>
          <w:lang w:val="fr-CH" w:bidi="ar-SA"/>
        </w:rPr>
      </w:pPr>
      <w:r>
        <w:rPr>
          <w:rFonts w:ascii="Arabic Typesetting" w:hAnsi="Arabic Typesetting" w:cs="Arabic Typesetting" w:hint="cs"/>
          <w:b/>
          <w:bCs/>
          <w:sz w:val="56"/>
          <w:szCs w:val="56"/>
          <w:rtl/>
          <w:lang w:val="fr-CH" w:bidi="ar-SA"/>
        </w:rPr>
        <w:t xml:space="preserve">اقتراح </w:t>
      </w:r>
      <w:r w:rsidR="00BE6D63" w:rsidRPr="00411EB2">
        <w:rPr>
          <w:rFonts w:ascii="Arabic Typesetting" w:hAnsi="Arabic Typesetting" w:cs="Arabic Typesetting"/>
          <w:b/>
          <w:bCs/>
          <w:sz w:val="56"/>
          <w:szCs w:val="56"/>
          <w:rtl/>
          <w:lang w:val="fr-CH"/>
        </w:rPr>
        <w:t xml:space="preserve">البرنامج والميزانية للثنائية </w:t>
      </w:r>
      <w:r w:rsidR="00C41DC9" w:rsidRPr="00411EB2">
        <w:rPr>
          <w:rFonts w:ascii="Arabic Typesetting" w:hAnsi="Arabic Typesetting" w:cs="Arabic Typesetting"/>
          <w:b/>
          <w:bCs/>
          <w:sz w:val="56"/>
          <w:szCs w:val="56"/>
          <w:rtl/>
          <w:lang w:val="fr-CH" w:bidi="ar-SA"/>
        </w:rPr>
        <w:t>2016/17</w:t>
      </w:r>
    </w:p>
    <w:p w:rsidR="00BE6D63" w:rsidRPr="00411EB2" w:rsidRDefault="00BE6D63" w:rsidP="00BE6D63">
      <w:pPr>
        <w:spacing w:before="400" w:after="120" w:line="360" w:lineRule="exact"/>
        <w:jc w:val="center"/>
        <w:rPr>
          <w:rFonts w:ascii="Arabic Typesetting" w:hAnsi="Arabic Typesetting" w:cs="Arabic Typesetting"/>
          <w:b/>
          <w:bCs/>
          <w:i/>
          <w:iCs/>
          <w:sz w:val="44"/>
          <w:szCs w:val="44"/>
          <w:rtl/>
          <w:lang w:val="fr-CH"/>
        </w:rPr>
      </w:pPr>
    </w:p>
    <w:p w:rsidR="00BE6D63" w:rsidRPr="00411EB2" w:rsidRDefault="00BE6D63" w:rsidP="00BE6D63">
      <w:pPr>
        <w:spacing w:before="400" w:after="120" w:line="360" w:lineRule="exact"/>
        <w:jc w:val="center"/>
        <w:rPr>
          <w:rFonts w:ascii="Arabic Typesetting" w:hAnsi="Arabic Typesetting" w:cs="Arabic Typesetting"/>
          <w:b/>
          <w:bCs/>
          <w:i/>
          <w:iCs/>
          <w:sz w:val="44"/>
          <w:szCs w:val="44"/>
          <w:rtl/>
          <w:lang w:val="fr-CH"/>
        </w:rPr>
      </w:pPr>
    </w:p>
    <w:p w:rsidR="00BE6D63" w:rsidRPr="00411EB2" w:rsidRDefault="00BE6D63" w:rsidP="00BE6D63">
      <w:pPr>
        <w:spacing w:before="400" w:after="120" w:line="360" w:lineRule="exact"/>
        <w:jc w:val="center"/>
        <w:rPr>
          <w:rFonts w:ascii="Arabic Typesetting" w:hAnsi="Arabic Typesetting" w:cs="Arabic Typesetting"/>
          <w:b/>
          <w:bCs/>
          <w:i/>
          <w:iCs/>
          <w:sz w:val="44"/>
          <w:szCs w:val="44"/>
          <w:rtl/>
          <w:lang w:val="fr-CH"/>
        </w:rPr>
        <w:sectPr w:rsidR="00BE6D63" w:rsidRPr="00411EB2" w:rsidSect="00C91169">
          <w:headerReference w:type="even" r:id="rId14"/>
          <w:pgSz w:w="11907" w:h="16840" w:code="9"/>
          <w:pgMar w:top="567" w:right="1418" w:bottom="1418" w:left="1134" w:header="510" w:footer="1021" w:gutter="0"/>
          <w:pgNumType w:start="1"/>
          <w:cols w:space="720"/>
          <w:titlePg/>
          <w:docGrid w:linePitch="299"/>
        </w:sectPr>
      </w:pPr>
    </w:p>
    <w:p w:rsidR="00BE6D63" w:rsidRPr="00411EB2" w:rsidRDefault="00BE6D63" w:rsidP="00BE6D63">
      <w:pPr>
        <w:spacing w:before="400" w:after="120" w:line="360" w:lineRule="exact"/>
        <w:jc w:val="center"/>
        <w:rPr>
          <w:rFonts w:ascii="Arabic Typesetting" w:hAnsi="Arabic Typesetting" w:cs="Arabic Typesetting"/>
          <w:b/>
          <w:bCs/>
          <w:i/>
          <w:iCs/>
          <w:sz w:val="44"/>
          <w:szCs w:val="44"/>
          <w:rtl/>
          <w:lang w:val="fr-CH"/>
        </w:rPr>
      </w:pPr>
    </w:p>
    <w:p w:rsidR="00C41DC9" w:rsidRPr="00411EB2" w:rsidRDefault="00C41DC9">
      <w:pPr>
        <w:bidi w:val="0"/>
        <w:rPr>
          <w:rFonts w:ascii="Arabic Typesetting" w:hAnsi="Arabic Typesetting" w:cs="Arabic Typesetting"/>
          <w:b/>
          <w:bCs/>
          <w:i/>
          <w:iCs/>
          <w:sz w:val="44"/>
          <w:szCs w:val="44"/>
          <w:rtl/>
          <w:lang w:val="fr-CH"/>
        </w:rPr>
      </w:pPr>
      <w:r w:rsidRPr="00411EB2">
        <w:rPr>
          <w:rFonts w:ascii="Arabic Typesetting" w:hAnsi="Arabic Typesetting" w:cs="Arabic Typesetting"/>
          <w:b/>
          <w:bCs/>
          <w:i/>
          <w:iCs/>
          <w:sz w:val="44"/>
          <w:szCs w:val="44"/>
          <w:rtl/>
          <w:lang w:val="fr-CH"/>
        </w:rPr>
        <w:br w:type="page"/>
      </w:r>
    </w:p>
    <w:p w:rsidR="00C41DC9" w:rsidRPr="00411EB2" w:rsidRDefault="00C41DC9" w:rsidP="00BE6D63">
      <w:pPr>
        <w:spacing w:before="400" w:after="120" w:line="360" w:lineRule="exact"/>
        <w:jc w:val="center"/>
        <w:rPr>
          <w:rFonts w:ascii="Arabic Typesetting" w:hAnsi="Arabic Typesetting" w:cs="Arabic Typesetting"/>
          <w:b/>
          <w:bCs/>
          <w:i/>
          <w:iCs/>
          <w:sz w:val="44"/>
          <w:szCs w:val="44"/>
          <w:rtl/>
          <w:lang w:val="fr-CH"/>
        </w:rPr>
      </w:pPr>
    </w:p>
    <w:p w:rsidR="00B4289B" w:rsidRPr="00411EB2" w:rsidRDefault="00B4289B" w:rsidP="0033077D">
      <w:pPr>
        <w:spacing w:before="4680" w:after="120" w:line="360" w:lineRule="exact"/>
        <w:jc w:val="center"/>
        <w:rPr>
          <w:rFonts w:ascii="Arabic Typesetting" w:hAnsi="Arabic Typesetting" w:cs="Arabic Typesetting"/>
          <w:b/>
          <w:bCs/>
          <w:sz w:val="52"/>
          <w:szCs w:val="52"/>
          <w:rtl/>
          <w:lang w:val="fr-CH"/>
        </w:rPr>
      </w:pPr>
    </w:p>
    <w:p w:rsidR="00751655" w:rsidRPr="00411EB2" w:rsidRDefault="00751655" w:rsidP="0033077D">
      <w:pPr>
        <w:spacing w:before="4680" w:after="120" w:line="360" w:lineRule="exact"/>
        <w:jc w:val="center"/>
        <w:rPr>
          <w:rFonts w:ascii="Arabic Typesetting" w:hAnsi="Arabic Typesetting" w:cs="Arabic Typesetting"/>
          <w:b/>
          <w:bCs/>
          <w:sz w:val="52"/>
          <w:szCs w:val="52"/>
          <w:rtl/>
          <w:lang w:val="fr-CH"/>
        </w:rPr>
        <w:sectPr w:rsidR="00751655" w:rsidRPr="00411EB2" w:rsidSect="00AF14C2">
          <w:headerReference w:type="even" r:id="rId15"/>
          <w:footerReference w:type="even" r:id="rId16"/>
          <w:footerReference w:type="first" r:id="rId17"/>
          <w:type w:val="continuous"/>
          <w:pgSz w:w="11907" w:h="16840" w:code="9"/>
          <w:pgMar w:top="567" w:right="1418" w:bottom="1418" w:left="1134" w:header="510" w:footer="1021" w:gutter="0"/>
          <w:pgNumType w:start="1"/>
          <w:cols w:space="720"/>
          <w:titlePg/>
          <w:docGrid w:linePitch="299"/>
        </w:sectPr>
      </w:pPr>
    </w:p>
    <w:p w:rsidR="005E0FE3" w:rsidRPr="00122DF2" w:rsidRDefault="005E0FE3" w:rsidP="00122DF2">
      <w:pPr>
        <w:pStyle w:val="NormalParaAR"/>
        <w:spacing w:line="340" w:lineRule="exact"/>
        <w:jc w:val="center"/>
        <w:rPr>
          <w:b/>
          <w:bCs/>
          <w:sz w:val="38"/>
          <w:szCs w:val="38"/>
          <w:rtl/>
          <w:lang w:val="fr-CH"/>
        </w:rPr>
      </w:pPr>
      <w:r w:rsidRPr="00122DF2">
        <w:rPr>
          <w:b/>
          <w:bCs/>
          <w:sz w:val="38"/>
          <w:szCs w:val="38"/>
          <w:rtl/>
          <w:lang w:val="fr-CH"/>
        </w:rPr>
        <w:lastRenderedPageBreak/>
        <w:t>قائمة المحتويات</w:t>
      </w:r>
    </w:p>
    <w:p w:rsidR="00EA5693" w:rsidRPr="00BD6C0F" w:rsidRDefault="00DA5475" w:rsidP="00EA5693">
      <w:pPr>
        <w:pStyle w:val="TOC1"/>
        <w:rPr>
          <w:rFonts w:ascii="Arabic Typesetting" w:eastAsiaTheme="minorEastAsia" w:hAnsi="Arabic Typesetting" w:cs="Arabic Typesetting"/>
          <w:caps w:val="0"/>
          <w:noProof/>
          <w:sz w:val="28"/>
          <w:lang w:bidi="ar-SA"/>
        </w:rPr>
      </w:pPr>
      <w:r w:rsidRPr="00EA5693">
        <w:rPr>
          <w:rFonts w:ascii="Arabic Typesetting" w:hAnsi="Arabic Typesetting" w:cs="Arabic Typesetting"/>
          <w:b w:val="0"/>
          <w:bCs w:val="0"/>
          <w:caps w:val="0"/>
          <w:sz w:val="28"/>
          <w:rtl/>
          <w:lang w:val="fr-CH"/>
        </w:rPr>
        <w:fldChar w:fldCharType="begin"/>
      </w:r>
      <w:r w:rsidRPr="00EA5693">
        <w:rPr>
          <w:rFonts w:ascii="Arabic Typesetting" w:hAnsi="Arabic Typesetting" w:cs="Arabic Typesetting"/>
          <w:b w:val="0"/>
          <w:bCs w:val="0"/>
          <w:caps w:val="0"/>
          <w:sz w:val="28"/>
          <w:rtl/>
          <w:lang w:val="fr-CH"/>
        </w:rPr>
        <w:instrText xml:space="preserve"> </w:instrText>
      </w:r>
      <w:r w:rsidRPr="00EA5693">
        <w:rPr>
          <w:rFonts w:ascii="Arabic Typesetting" w:hAnsi="Arabic Typesetting" w:cs="Arabic Typesetting"/>
          <w:b w:val="0"/>
          <w:bCs w:val="0"/>
          <w:caps w:val="0"/>
          <w:sz w:val="28"/>
          <w:lang w:val="fr-CH"/>
        </w:rPr>
        <w:instrText>TOC</w:instrText>
      </w:r>
      <w:r w:rsidRPr="00EA5693">
        <w:rPr>
          <w:rFonts w:ascii="Arabic Typesetting" w:hAnsi="Arabic Typesetting" w:cs="Arabic Typesetting"/>
          <w:b w:val="0"/>
          <w:bCs w:val="0"/>
          <w:caps w:val="0"/>
          <w:sz w:val="28"/>
          <w:rtl/>
          <w:lang w:val="fr-CH"/>
        </w:rPr>
        <w:instrText xml:space="preserve"> \</w:instrText>
      </w:r>
      <w:r w:rsidRPr="00EA5693">
        <w:rPr>
          <w:rFonts w:ascii="Arabic Typesetting" w:hAnsi="Arabic Typesetting" w:cs="Arabic Typesetting"/>
          <w:b w:val="0"/>
          <w:bCs w:val="0"/>
          <w:caps w:val="0"/>
          <w:sz w:val="28"/>
          <w:lang w:val="fr-CH"/>
        </w:rPr>
        <w:instrText>o \u</w:instrText>
      </w:r>
      <w:r w:rsidRPr="00EA5693">
        <w:rPr>
          <w:rFonts w:ascii="Arabic Typesetting" w:hAnsi="Arabic Typesetting" w:cs="Arabic Typesetting"/>
          <w:b w:val="0"/>
          <w:bCs w:val="0"/>
          <w:caps w:val="0"/>
          <w:sz w:val="28"/>
          <w:rtl/>
          <w:lang w:val="fr-CH"/>
        </w:rPr>
        <w:instrText xml:space="preserve"> </w:instrText>
      </w:r>
      <w:r w:rsidRPr="00EA5693">
        <w:rPr>
          <w:rFonts w:ascii="Arabic Typesetting" w:hAnsi="Arabic Typesetting" w:cs="Arabic Typesetting"/>
          <w:b w:val="0"/>
          <w:bCs w:val="0"/>
          <w:caps w:val="0"/>
          <w:sz w:val="28"/>
          <w:rtl/>
          <w:lang w:val="fr-CH"/>
        </w:rPr>
        <w:fldChar w:fldCharType="separate"/>
      </w:r>
      <w:r w:rsidR="00EA5693" w:rsidRPr="00BD6C0F">
        <w:rPr>
          <w:rFonts w:ascii="Arabic Typesetting" w:hAnsi="Arabic Typesetting" w:cs="Arabic Typesetting" w:hint="eastAsia"/>
          <w:noProof/>
          <w:sz w:val="28"/>
          <w:rtl/>
        </w:rPr>
        <w:t>مقدمة</w:t>
      </w:r>
      <w:r w:rsidR="00EA5693" w:rsidRPr="00BD6C0F">
        <w:rPr>
          <w:rFonts w:ascii="Arabic Typesetting" w:hAnsi="Arabic Typesetting" w:cs="Arabic Typesetting"/>
          <w:noProof/>
          <w:sz w:val="28"/>
          <w:rtl/>
        </w:rPr>
        <w:t xml:space="preserve"> </w:t>
      </w:r>
      <w:r w:rsidR="00EA5693" w:rsidRPr="00BD6C0F">
        <w:rPr>
          <w:rFonts w:ascii="Arabic Typesetting" w:hAnsi="Arabic Typesetting" w:cs="Arabic Typesetting" w:hint="eastAsia"/>
          <w:noProof/>
          <w:sz w:val="28"/>
          <w:rtl/>
        </w:rPr>
        <w:t>المدير</w:t>
      </w:r>
      <w:r w:rsidR="00EA5693" w:rsidRPr="00BD6C0F">
        <w:rPr>
          <w:rFonts w:ascii="Arabic Typesetting" w:hAnsi="Arabic Typesetting" w:cs="Arabic Typesetting"/>
          <w:noProof/>
          <w:sz w:val="28"/>
          <w:rtl/>
        </w:rPr>
        <w:t xml:space="preserve"> </w:t>
      </w:r>
      <w:r w:rsidR="00EA5693" w:rsidRPr="00BD6C0F">
        <w:rPr>
          <w:rFonts w:ascii="Arabic Typesetting" w:hAnsi="Arabic Typesetting" w:cs="Arabic Typesetting" w:hint="eastAsia"/>
          <w:noProof/>
          <w:sz w:val="28"/>
          <w:rtl/>
        </w:rPr>
        <w:t>العام</w:t>
      </w:r>
      <w:r w:rsidR="00EA5693" w:rsidRPr="00BD6C0F">
        <w:rPr>
          <w:rFonts w:ascii="Arabic Typesetting" w:hAnsi="Arabic Typesetting" w:cs="Arabic Typesetting"/>
          <w:noProof/>
          <w:sz w:val="28"/>
        </w:rPr>
        <w:tab/>
      </w:r>
      <w:r w:rsidR="00EA5693" w:rsidRPr="00BD6C0F">
        <w:rPr>
          <w:rFonts w:ascii="Arabic Typesetting" w:hAnsi="Arabic Typesetting" w:cs="Arabic Typesetting"/>
          <w:noProof/>
          <w:sz w:val="28"/>
        </w:rPr>
        <w:fldChar w:fldCharType="begin"/>
      </w:r>
      <w:r w:rsidR="00EA5693" w:rsidRPr="00BD6C0F">
        <w:rPr>
          <w:rFonts w:ascii="Arabic Typesetting" w:hAnsi="Arabic Typesetting" w:cs="Arabic Typesetting"/>
          <w:noProof/>
          <w:sz w:val="28"/>
        </w:rPr>
        <w:instrText xml:space="preserve"> PAGEREF _Toc420595489 \h </w:instrText>
      </w:r>
      <w:r w:rsidR="00EA5693" w:rsidRPr="00BD6C0F">
        <w:rPr>
          <w:rFonts w:ascii="Arabic Typesetting" w:hAnsi="Arabic Typesetting" w:cs="Arabic Typesetting"/>
          <w:noProof/>
          <w:sz w:val="28"/>
        </w:rPr>
      </w:r>
      <w:r w:rsidR="00EA5693" w:rsidRPr="00BD6C0F">
        <w:rPr>
          <w:rFonts w:ascii="Arabic Typesetting" w:hAnsi="Arabic Typesetting" w:cs="Arabic Typesetting"/>
          <w:noProof/>
          <w:sz w:val="28"/>
        </w:rPr>
        <w:fldChar w:fldCharType="separate"/>
      </w:r>
      <w:r w:rsidR="00A92CC0">
        <w:rPr>
          <w:rFonts w:ascii="Arabic Typesetting" w:hAnsi="Arabic Typesetting" w:cs="Arabic Typesetting"/>
          <w:noProof/>
          <w:sz w:val="28"/>
          <w:rtl/>
        </w:rPr>
        <w:t>5</w:t>
      </w:r>
      <w:r w:rsidR="00EA5693" w:rsidRPr="00BD6C0F">
        <w:rPr>
          <w:rFonts w:ascii="Arabic Typesetting" w:hAnsi="Arabic Typesetting" w:cs="Arabic Typesetting"/>
          <w:noProof/>
          <w:sz w:val="28"/>
        </w:rPr>
        <w:fldChar w:fldCharType="end"/>
      </w:r>
    </w:p>
    <w:p w:rsidR="00EA5693" w:rsidRPr="00BD6C0F" w:rsidRDefault="00EA5693" w:rsidP="00EA5693">
      <w:pPr>
        <w:pStyle w:val="TOC1"/>
        <w:rPr>
          <w:rFonts w:ascii="Arabic Typesetting" w:eastAsiaTheme="minorEastAsia" w:hAnsi="Arabic Typesetting" w:cs="Arabic Typesetting"/>
          <w:caps w:val="0"/>
          <w:noProof/>
          <w:sz w:val="28"/>
          <w:lang w:bidi="ar-SA"/>
        </w:rPr>
      </w:pPr>
      <w:r w:rsidRPr="00BD6C0F">
        <w:rPr>
          <w:rFonts w:ascii="Arabic Typesetting" w:hAnsi="Arabic Typesetting" w:cs="Arabic Typesetting" w:hint="eastAsia"/>
          <w:noProof/>
          <w:sz w:val="28"/>
          <w:rtl/>
        </w:rPr>
        <w:t>أولا</w:t>
      </w:r>
      <w:r w:rsidRPr="00BD6C0F">
        <w:rPr>
          <w:rFonts w:ascii="Arabic Typesetting" w:eastAsiaTheme="minorEastAsia" w:hAnsi="Arabic Typesetting" w:cs="Arabic Typesetting"/>
          <w:caps w:val="0"/>
          <w:noProof/>
          <w:sz w:val="28"/>
          <w:lang w:bidi="ar-SA"/>
        </w:rPr>
        <w:tab/>
      </w:r>
      <w:r w:rsidRPr="00BD6C0F">
        <w:rPr>
          <w:rFonts w:ascii="Arabic Typesetting" w:hAnsi="Arabic Typesetting" w:cs="Arabic Typesetting" w:hint="eastAsia"/>
          <w:noProof/>
          <w:sz w:val="28"/>
          <w:rtl/>
        </w:rPr>
        <w:t>العرض</w:t>
      </w:r>
      <w:r w:rsidRPr="00BD6C0F">
        <w:rPr>
          <w:rFonts w:ascii="Arabic Typesetting" w:hAnsi="Arabic Typesetting" w:cs="Arabic Typesetting"/>
          <w:noProof/>
          <w:sz w:val="28"/>
          <w:rtl/>
        </w:rPr>
        <w:t xml:space="preserve"> </w:t>
      </w:r>
      <w:r w:rsidRPr="00BD6C0F">
        <w:rPr>
          <w:rFonts w:ascii="Arabic Typesetting" w:hAnsi="Arabic Typesetting" w:cs="Arabic Typesetting" w:hint="eastAsia"/>
          <w:noProof/>
          <w:sz w:val="28"/>
          <w:rtl/>
        </w:rPr>
        <w:t>المالي</w:t>
      </w:r>
      <w:r w:rsidRPr="00BD6C0F">
        <w:rPr>
          <w:rFonts w:ascii="Arabic Typesetting" w:hAnsi="Arabic Typesetting" w:cs="Arabic Typesetting"/>
          <w:noProof/>
          <w:sz w:val="28"/>
          <w:rtl/>
        </w:rPr>
        <w:t xml:space="preserve"> </w:t>
      </w:r>
      <w:r w:rsidRPr="00BD6C0F">
        <w:rPr>
          <w:rFonts w:ascii="Arabic Typesetting" w:hAnsi="Arabic Typesetting" w:cs="Arabic Typesetting" w:hint="eastAsia"/>
          <w:noProof/>
          <w:sz w:val="28"/>
          <w:rtl/>
        </w:rPr>
        <w:t>وعرض</w:t>
      </w:r>
      <w:r w:rsidRPr="00BD6C0F">
        <w:rPr>
          <w:rFonts w:ascii="Arabic Typesetting" w:hAnsi="Arabic Typesetting" w:cs="Arabic Typesetting"/>
          <w:noProof/>
          <w:sz w:val="28"/>
          <w:rtl/>
        </w:rPr>
        <w:t xml:space="preserve"> </w:t>
      </w:r>
      <w:r w:rsidRPr="00BD6C0F">
        <w:rPr>
          <w:rFonts w:ascii="Arabic Typesetting" w:hAnsi="Arabic Typesetting" w:cs="Arabic Typesetting" w:hint="eastAsia"/>
          <w:noProof/>
          <w:sz w:val="28"/>
          <w:rtl/>
        </w:rPr>
        <w:t>النتائج</w:t>
      </w:r>
      <w:r w:rsidRPr="00BD6C0F">
        <w:rPr>
          <w:rFonts w:ascii="Arabic Typesetting" w:hAnsi="Arabic Typesetting" w:cs="Arabic Typesetting"/>
          <w:noProof/>
          <w:sz w:val="28"/>
        </w:rPr>
        <w:tab/>
      </w:r>
      <w:r w:rsidRPr="00BD6C0F">
        <w:rPr>
          <w:rFonts w:ascii="Arabic Typesetting" w:hAnsi="Arabic Typesetting" w:cs="Arabic Typesetting"/>
          <w:noProof/>
          <w:sz w:val="28"/>
        </w:rPr>
        <w:fldChar w:fldCharType="begin"/>
      </w:r>
      <w:r w:rsidRPr="00BD6C0F">
        <w:rPr>
          <w:rFonts w:ascii="Arabic Typesetting" w:hAnsi="Arabic Typesetting" w:cs="Arabic Typesetting"/>
          <w:noProof/>
          <w:sz w:val="28"/>
        </w:rPr>
        <w:instrText xml:space="preserve"> PAGEREF _Toc420595490 \h </w:instrText>
      </w:r>
      <w:r w:rsidRPr="00BD6C0F">
        <w:rPr>
          <w:rFonts w:ascii="Arabic Typesetting" w:hAnsi="Arabic Typesetting" w:cs="Arabic Typesetting"/>
          <w:noProof/>
          <w:sz w:val="28"/>
        </w:rPr>
      </w:r>
      <w:r w:rsidRPr="00BD6C0F">
        <w:rPr>
          <w:rFonts w:ascii="Arabic Typesetting" w:hAnsi="Arabic Typesetting" w:cs="Arabic Typesetting"/>
          <w:noProof/>
          <w:sz w:val="28"/>
        </w:rPr>
        <w:fldChar w:fldCharType="separate"/>
      </w:r>
      <w:r w:rsidR="00A92CC0">
        <w:rPr>
          <w:rFonts w:ascii="Arabic Typesetting" w:hAnsi="Arabic Typesetting" w:cs="Arabic Typesetting"/>
          <w:noProof/>
          <w:sz w:val="28"/>
          <w:rtl/>
        </w:rPr>
        <w:t>7</w:t>
      </w:r>
      <w:r w:rsidRPr="00BD6C0F">
        <w:rPr>
          <w:rFonts w:ascii="Arabic Typesetting" w:hAnsi="Arabic Typesetting" w:cs="Arabic Typesetting"/>
          <w:noProof/>
          <w:sz w:val="28"/>
        </w:rPr>
        <w:fldChar w:fldCharType="end"/>
      </w:r>
    </w:p>
    <w:p w:rsidR="00EA5693" w:rsidRPr="00EA5693" w:rsidRDefault="00EA5693" w:rsidP="00EA5693">
      <w:pPr>
        <w:pStyle w:val="TOC1"/>
        <w:tabs>
          <w:tab w:val="clear" w:pos="566"/>
        </w:tabs>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noProof/>
          <w:sz w:val="28"/>
          <w:rtl/>
        </w:rPr>
        <w:t>الإيرادات</w:t>
      </w:r>
      <w:r w:rsidRPr="00EA5693">
        <w:rPr>
          <w:rFonts w:ascii="Arabic Typesetting" w:hAnsi="Arabic Typesetting" w:cs="Arabic Typesetting"/>
          <w:b w:val="0"/>
          <w:bCs w:val="0"/>
          <w:noProof/>
          <w:sz w:val="28"/>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_Toc420595491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7</w:t>
      </w:r>
      <w:r w:rsidRPr="00EA5693">
        <w:rPr>
          <w:rFonts w:ascii="Arabic Typesetting" w:hAnsi="Arabic Typesetting" w:cs="Arabic Typesetting"/>
          <w:b w:val="0"/>
          <w:bCs w:val="0"/>
          <w:noProof/>
          <w:sz w:val="28"/>
        </w:rPr>
        <w:fldChar w:fldCharType="end"/>
      </w:r>
    </w:p>
    <w:p w:rsidR="00EA5693" w:rsidRPr="00EA5693" w:rsidRDefault="00EA5693" w:rsidP="00EA5693">
      <w:pPr>
        <w:pStyle w:val="TOC1"/>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noProof/>
          <w:sz w:val="28"/>
          <w:rtl/>
        </w:rPr>
        <w:t>النتائج</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والموارد</w:t>
      </w:r>
      <w:r w:rsidRPr="00EA5693">
        <w:rPr>
          <w:rFonts w:ascii="Arabic Typesetting" w:hAnsi="Arabic Typesetting" w:cs="Arabic Typesetting"/>
          <w:b w:val="0"/>
          <w:bCs w:val="0"/>
          <w:noProof/>
          <w:sz w:val="28"/>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_Toc420595492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13</w:t>
      </w:r>
      <w:r w:rsidRPr="00EA5693">
        <w:rPr>
          <w:rFonts w:ascii="Arabic Typesetting" w:hAnsi="Arabic Typesetting" w:cs="Arabic Typesetting"/>
          <w:b w:val="0"/>
          <w:bCs w:val="0"/>
          <w:noProof/>
          <w:sz w:val="28"/>
        </w:rPr>
        <w:fldChar w:fldCharType="end"/>
      </w:r>
    </w:p>
    <w:p w:rsidR="00EA5693" w:rsidRPr="00EA5693" w:rsidRDefault="00EA5693" w:rsidP="00EA5693">
      <w:pPr>
        <w:pStyle w:val="TOC1"/>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noProof/>
          <w:sz w:val="28"/>
          <w:rtl/>
        </w:rPr>
        <w:t>موارد</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خلاف</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الموظفين</w:t>
      </w:r>
      <w:r w:rsidRPr="00EA5693">
        <w:rPr>
          <w:rFonts w:ascii="Arabic Typesetting" w:hAnsi="Arabic Typesetting" w:cs="Arabic Typesetting"/>
          <w:b w:val="0"/>
          <w:bCs w:val="0"/>
          <w:noProof/>
          <w:sz w:val="28"/>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_Toc420595493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20</w:t>
      </w:r>
      <w:r w:rsidRPr="00EA5693">
        <w:rPr>
          <w:rFonts w:ascii="Arabic Typesetting" w:hAnsi="Arabic Typesetting" w:cs="Arabic Typesetting"/>
          <w:b w:val="0"/>
          <w:bCs w:val="0"/>
          <w:noProof/>
          <w:sz w:val="28"/>
        </w:rPr>
        <w:fldChar w:fldCharType="end"/>
      </w:r>
    </w:p>
    <w:p w:rsidR="00EA5693" w:rsidRPr="00EA5693" w:rsidRDefault="00EA5693" w:rsidP="00EA5693">
      <w:pPr>
        <w:pStyle w:val="TOC1"/>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noProof/>
          <w:sz w:val="28"/>
          <w:rtl/>
        </w:rPr>
        <w:t>تكاليف</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الموظفين</w:t>
      </w:r>
      <w:r w:rsidRPr="00EA5693">
        <w:rPr>
          <w:rFonts w:ascii="Arabic Typesetting" w:hAnsi="Arabic Typesetting" w:cs="Arabic Typesetting"/>
          <w:b w:val="0"/>
          <w:bCs w:val="0"/>
          <w:noProof/>
          <w:sz w:val="28"/>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_Toc420595494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21</w:t>
      </w:r>
      <w:r w:rsidRPr="00EA5693">
        <w:rPr>
          <w:rFonts w:ascii="Arabic Typesetting" w:hAnsi="Arabic Typesetting" w:cs="Arabic Typesetting"/>
          <w:b w:val="0"/>
          <w:bCs w:val="0"/>
          <w:noProof/>
          <w:sz w:val="28"/>
        </w:rPr>
        <w:fldChar w:fldCharType="end"/>
      </w:r>
    </w:p>
    <w:p w:rsidR="00EA5693" w:rsidRPr="00EA5693" w:rsidRDefault="00EA5693" w:rsidP="00EA5693">
      <w:pPr>
        <w:pStyle w:val="TOC1"/>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noProof/>
          <w:sz w:val="28"/>
          <w:rtl/>
        </w:rPr>
        <w:t>موارد</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الأنشطة</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الإنمائية</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وأنشطة</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جدول</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أعمال</w:t>
      </w:r>
      <w:r w:rsidRPr="00EA5693">
        <w:rPr>
          <w:rFonts w:ascii="Arabic Typesetting" w:hAnsi="Arabic Typesetting" w:cs="Arabic Typesetting"/>
          <w:b w:val="0"/>
          <w:bCs w:val="0"/>
          <w:noProof/>
          <w:sz w:val="28"/>
          <w:rtl/>
        </w:rPr>
        <w:t xml:space="preserve"> </w:t>
      </w:r>
      <w:r w:rsidRPr="00EA5693">
        <w:rPr>
          <w:rFonts w:ascii="Arabic Typesetting" w:hAnsi="Arabic Typesetting" w:cs="Arabic Typesetting" w:hint="eastAsia"/>
          <w:b w:val="0"/>
          <w:bCs w:val="0"/>
          <w:noProof/>
          <w:sz w:val="28"/>
          <w:rtl/>
        </w:rPr>
        <w:t>التنمية</w:t>
      </w:r>
      <w:r w:rsidRPr="00EA5693">
        <w:rPr>
          <w:rFonts w:ascii="Arabic Typesetting" w:hAnsi="Arabic Typesetting" w:cs="Arabic Typesetting"/>
          <w:b w:val="0"/>
          <w:bCs w:val="0"/>
          <w:noProof/>
          <w:sz w:val="28"/>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_Toc420595495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23</w:t>
      </w:r>
      <w:r w:rsidRPr="00EA5693">
        <w:rPr>
          <w:rFonts w:ascii="Arabic Typesetting" w:hAnsi="Arabic Typesetting" w:cs="Arabic Typesetting"/>
          <w:b w:val="0"/>
          <w:bCs w:val="0"/>
          <w:noProof/>
          <w:sz w:val="28"/>
        </w:rPr>
        <w:fldChar w:fldCharType="end"/>
      </w:r>
    </w:p>
    <w:p w:rsidR="00EA5693" w:rsidRPr="00BD6C0F" w:rsidRDefault="00EA5693" w:rsidP="00BD6C0F">
      <w:pPr>
        <w:pStyle w:val="TOC1"/>
        <w:tabs>
          <w:tab w:val="left" w:pos="2908"/>
        </w:tabs>
        <w:rPr>
          <w:rFonts w:ascii="Arabic Typesetting" w:eastAsiaTheme="minorEastAsia" w:hAnsi="Arabic Typesetting" w:cs="Arabic Typesetting"/>
          <w:caps w:val="0"/>
          <w:noProof/>
          <w:sz w:val="28"/>
          <w:lang w:bidi="ar-SA"/>
        </w:rPr>
      </w:pPr>
      <w:r w:rsidRPr="00C2164A">
        <w:rPr>
          <w:rFonts w:ascii="Arabic Typesetting" w:hAnsi="Arabic Typesetting" w:cs="Arabic Typesetting" w:hint="eastAsia"/>
          <w:noProof/>
          <w:sz w:val="28"/>
          <w:rtl/>
        </w:rPr>
        <w:t>ثانيا</w:t>
      </w:r>
      <w:r w:rsidRPr="00C2164A">
        <w:rPr>
          <w:rFonts w:ascii="Arabic Typesetting" w:eastAsiaTheme="minorEastAsia" w:hAnsi="Arabic Typesetting" w:cs="Arabic Typesetting"/>
          <w:caps w:val="0"/>
          <w:noProof/>
          <w:sz w:val="28"/>
          <w:lang w:bidi="ar-SA"/>
        </w:rPr>
        <w:tab/>
      </w:r>
      <w:r w:rsidRPr="00BD6C0F">
        <w:rPr>
          <w:rFonts w:ascii="Arabic Typesetting" w:hAnsi="Arabic Typesetting" w:cs="Arabic Typesetting" w:hint="eastAsia"/>
          <w:noProof/>
          <w:sz w:val="28"/>
          <w:rtl/>
        </w:rPr>
        <w:t>وصف</w:t>
      </w:r>
      <w:r w:rsidRPr="00BD6C0F">
        <w:rPr>
          <w:rFonts w:ascii="Arabic Typesetting" w:hAnsi="Arabic Typesetting" w:cs="Arabic Typesetting"/>
          <w:noProof/>
          <w:sz w:val="28"/>
          <w:rtl/>
        </w:rPr>
        <w:t xml:space="preserve"> </w:t>
      </w:r>
      <w:r w:rsidRPr="00BD6C0F">
        <w:rPr>
          <w:rFonts w:ascii="Arabic Typesetting" w:hAnsi="Arabic Typesetting" w:cs="Arabic Typesetting" w:hint="eastAsia"/>
          <w:noProof/>
          <w:sz w:val="28"/>
          <w:rtl/>
        </w:rPr>
        <w:t>البرامج</w:t>
      </w:r>
      <w:r w:rsidRPr="00BD6C0F">
        <w:rPr>
          <w:rFonts w:ascii="Arabic Typesetting" w:hAnsi="Arabic Typesetting" w:cs="Arabic Typesetting"/>
          <w:noProof/>
          <w:sz w:val="28"/>
          <w:rtl/>
        </w:rPr>
        <w:t xml:space="preserve"> </w:t>
      </w:r>
      <w:r w:rsidRPr="00BD6C0F">
        <w:rPr>
          <w:rFonts w:ascii="Arabic Typesetting" w:hAnsi="Arabic Typesetting" w:cs="Arabic Typesetting" w:hint="eastAsia"/>
          <w:noProof/>
          <w:sz w:val="28"/>
          <w:rtl/>
        </w:rPr>
        <w:t>حسب</w:t>
      </w:r>
      <w:r w:rsidRPr="00BD6C0F">
        <w:rPr>
          <w:rFonts w:ascii="Arabic Typesetting" w:hAnsi="Arabic Typesetting" w:cs="Arabic Typesetting"/>
          <w:noProof/>
          <w:sz w:val="28"/>
          <w:rtl/>
        </w:rPr>
        <w:t xml:space="preserve"> </w:t>
      </w:r>
      <w:r w:rsidRPr="00BD6C0F">
        <w:rPr>
          <w:rFonts w:ascii="Arabic Typesetting" w:hAnsi="Arabic Typesetting" w:cs="Arabic Typesetting" w:hint="eastAsia"/>
          <w:noProof/>
          <w:sz w:val="28"/>
          <w:rtl/>
        </w:rPr>
        <w:t>الأهداف</w:t>
      </w:r>
      <w:r w:rsidRPr="00BD6C0F">
        <w:rPr>
          <w:rFonts w:ascii="Arabic Typesetting" w:hAnsi="Arabic Typesetting" w:cs="Arabic Typesetting"/>
          <w:noProof/>
          <w:sz w:val="28"/>
          <w:rtl/>
        </w:rPr>
        <w:t xml:space="preserve"> </w:t>
      </w:r>
      <w:r w:rsidRPr="00BD6C0F">
        <w:rPr>
          <w:rFonts w:ascii="Arabic Typesetting" w:hAnsi="Arabic Typesetting" w:cs="Arabic Typesetting" w:hint="eastAsia"/>
          <w:noProof/>
          <w:sz w:val="28"/>
          <w:rtl/>
        </w:rPr>
        <w:t>الاستراتيجية</w:t>
      </w:r>
      <w:r w:rsidRPr="00BD6C0F">
        <w:rPr>
          <w:rFonts w:ascii="Arabic Typesetting" w:hAnsi="Arabic Typesetting" w:cs="Arabic Typesetting"/>
          <w:noProof/>
          <w:sz w:val="28"/>
        </w:rPr>
        <w:tab/>
      </w:r>
      <w:r w:rsidRPr="00BD6C0F">
        <w:rPr>
          <w:rFonts w:ascii="Arabic Typesetting" w:hAnsi="Arabic Typesetting" w:cs="Arabic Typesetting"/>
          <w:noProof/>
          <w:sz w:val="28"/>
        </w:rPr>
        <w:fldChar w:fldCharType="begin"/>
      </w:r>
      <w:r w:rsidRPr="00BD6C0F">
        <w:rPr>
          <w:rFonts w:ascii="Arabic Typesetting" w:hAnsi="Arabic Typesetting" w:cs="Arabic Typesetting"/>
          <w:noProof/>
          <w:sz w:val="28"/>
        </w:rPr>
        <w:instrText xml:space="preserve"> PAGEREF _Toc420595496 \h </w:instrText>
      </w:r>
      <w:r w:rsidRPr="00BD6C0F">
        <w:rPr>
          <w:rFonts w:ascii="Arabic Typesetting" w:hAnsi="Arabic Typesetting" w:cs="Arabic Typesetting"/>
          <w:noProof/>
          <w:sz w:val="28"/>
        </w:rPr>
      </w:r>
      <w:r w:rsidRPr="00BD6C0F">
        <w:rPr>
          <w:rFonts w:ascii="Arabic Typesetting" w:hAnsi="Arabic Typesetting" w:cs="Arabic Typesetting"/>
          <w:noProof/>
          <w:sz w:val="28"/>
        </w:rPr>
        <w:fldChar w:fldCharType="separate"/>
      </w:r>
      <w:r w:rsidR="00A92CC0">
        <w:rPr>
          <w:rFonts w:ascii="Arabic Typesetting" w:hAnsi="Arabic Typesetting" w:cs="Arabic Typesetting"/>
          <w:noProof/>
          <w:sz w:val="28"/>
          <w:rtl/>
        </w:rPr>
        <w:t>25</w:t>
      </w:r>
      <w:r w:rsidRPr="00BD6C0F">
        <w:rPr>
          <w:rFonts w:ascii="Arabic Typesetting" w:hAnsi="Arabic Typesetting" w:cs="Arabic Typesetting"/>
          <w:noProof/>
          <w:sz w:val="28"/>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الأول</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تطور</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متوازن</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لوضع</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القواعد</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والمعايير</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الدولية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بشأن</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الملكية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الفكرية</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_Toc420595497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25</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w:t>
      </w:r>
      <w:r w:rsidRPr="00EA5693">
        <w:rPr>
          <w:rFonts w:eastAsiaTheme="minorEastAsia"/>
          <w:lang w:bidi="ar-SA"/>
        </w:rPr>
        <w:tab/>
      </w:r>
      <w:r w:rsidRPr="00EA5693">
        <w:rPr>
          <w:rFonts w:hint="eastAsia"/>
          <w:rtl/>
        </w:rPr>
        <w:t>قانون</w:t>
      </w:r>
      <w:r w:rsidRPr="00EA5693">
        <w:rPr>
          <w:rtl/>
        </w:rPr>
        <w:t xml:space="preserve"> </w:t>
      </w:r>
      <w:r w:rsidRPr="00EA5693">
        <w:rPr>
          <w:rFonts w:hint="eastAsia"/>
          <w:rtl/>
        </w:rPr>
        <w:t>البراءات</w:t>
      </w:r>
      <w:r w:rsidRPr="00EA5693">
        <w:tab/>
      </w:r>
      <w:r w:rsidRPr="000178A6">
        <w:rPr>
          <w:b w:val="0"/>
          <w:bCs/>
        </w:rPr>
        <w:fldChar w:fldCharType="begin"/>
      </w:r>
      <w:r w:rsidRPr="000178A6">
        <w:rPr>
          <w:b w:val="0"/>
          <w:bCs/>
        </w:rPr>
        <w:instrText xml:space="preserve"> PAGEREF _Toc420595498 \h </w:instrText>
      </w:r>
      <w:r w:rsidRPr="000178A6">
        <w:rPr>
          <w:b w:val="0"/>
          <w:bCs/>
        </w:rPr>
      </w:r>
      <w:r w:rsidRPr="000178A6">
        <w:rPr>
          <w:b w:val="0"/>
          <w:bCs/>
        </w:rPr>
        <w:fldChar w:fldCharType="separate"/>
      </w:r>
      <w:r w:rsidR="00A92CC0">
        <w:rPr>
          <w:b w:val="0"/>
          <w:bCs/>
          <w:rtl/>
        </w:rPr>
        <w:t>27</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w:t>
      </w:r>
      <w:r w:rsidRPr="00EA5693">
        <w:rPr>
          <w:rFonts w:eastAsiaTheme="minorEastAsia"/>
          <w:lang w:bidi="ar-SA"/>
        </w:rPr>
        <w:tab/>
      </w:r>
      <w:r w:rsidRPr="00EA5693">
        <w:rPr>
          <w:rFonts w:hint="eastAsia"/>
          <w:rtl/>
        </w:rPr>
        <w:t>العلامات</w:t>
      </w:r>
      <w:r w:rsidRPr="00EA5693">
        <w:rPr>
          <w:rtl/>
        </w:rPr>
        <w:t xml:space="preserve"> </w:t>
      </w:r>
      <w:r w:rsidRPr="00EA5693">
        <w:rPr>
          <w:rFonts w:hint="eastAsia"/>
          <w:rtl/>
        </w:rPr>
        <w:t>التجارية</w:t>
      </w:r>
      <w:r w:rsidRPr="00EA5693">
        <w:rPr>
          <w:rtl/>
        </w:rPr>
        <w:t xml:space="preserve"> </w:t>
      </w:r>
      <w:r w:rsidRPr="00EA5693">
        <w:rPr>
          <w:rFonts w:hint="eastAsia"/>
          <w:rtl/>
        </w:rPr>
        <w:t>والتصاميم</w:t>
      </w:r>
      <w:r w:rsidRPr="00EA5693">
        <w:rPr>
          <w:rtl/>
        </w:rPr>
        <w:t xml:space="preserve"> </w:t>
      </w:r>
      <w:r w:rsidRPr="00EA5693">
        <w:rPr>
          <w:rFonts w:hint="eastAsia"/>
          <w:rtl/>
        </w:rPr>
        <w:t>الصناعية</w:t>
      </w:r>
      <w:r w:rsidRPr="00EA5693">
        <w:rPr>
          <w:rtl/>
        </w:rPr>
        <w:t xml:space="preserve"> </w:t>
      </w:r>
      <w:r w:rsidRPr="00EA5693">
        <w:rPr>
          <w:rFonts w:hint="eastAsia"/>
          <w:rtl/>
        </w:rPr>
        <w:t>والبيانات</w:t>
      </w:r>
      <w:r w:rsidRPr="00EA5693">
        <w:rPr>
          <w:rtl/>
        </w:rPr>
        <w:t xml:space="preserve"> </w:t>
      </w:r>
      <w:r w:rsidRPr="00EA5693">
        <w:rPr>
          <w:rFonts w:hint="eastAsia"/>
          <w:rtl/>
        </w:rPr>
        <w:t>الجغرافية</w:t>
      </w:r>
      <w:r w:rsidRPr="00EA5693">
        <w:tab/>
      </w:r>
      <w:r w:rsidRPr="000178A6">
        <w:rPr>
          <w:b w:val="0"/>
          <w:bCs/>
        </w:rPr>
        <w:fldChar w:fldCharType="begin"/>
      </w:r>
      <w:r w:rsidRPr="000178A6">
        <w:rPr>
          <w:b w:val="0"/>
          <w:bCs/>
        </w:rPr>
        <w:instrText xml:space="preserve"> PAGEREF _Toc420595499 \h </w:instrText>
      </w:r>
      <w:r w:rsidRPr="000178A6">
        <w:rPr>
          <w:b w:val="0"/>
          <w:bCs/>
        </w:rPr>
      </w:r>
      <w:r w:rsidRPr="000178A6">
        <w:rPr>
          <w:b w:val="0"/>
          <w:bCs/>
        </w:rPr>
        <w:fldChar w:fldCharType="separate"/>
      </w:r>
      <w:r w:rsidR="00A92CC0">
        <w:rPr>
          <w:b w:val="0"/>
          <w:bCs/>
          <w:rtl/>
        </w:rPr>
        <w:t>31</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3</w:t>
      </w:r>
      <w:r w:rsidRPr="00EA5693">
        <w:rPr>
          <w:rFonts w:eastAsiaTheme="minorEastAsia"/>
          <w:lang w:bidi="ar-SA"/>
        </w:rPr>
        <w:tab/>
      </w:r>
      <w:r w:rsidRPr="00EA5693">
        <w:rPr>
          <w:rFonts w:hint="eastAsia"/>
          <w:rtl/>
        </w:rPr>
        <w:t>حق</w:t>
      </w:r>
      <w:r w:rsidRPr="00EA5693">
        <w:rPr>
          <w:rtl/>
        </w:rPr>
        <w:t xml:space="preserve"> </w:t>
      </w:r>
      <w:r w:rsidRPr="00EA5693">
        <w:rPr>
          <w:rFonts w:hint="eastAsia"/>
          <w:rtl/>
        </w:rPr>
        <w:t>المؤلف</w:t>
      </w:r>
      <w:r w:rsidRPr="00EA5693">
        <w:rPr>
          <w:rtl/>
        </w:rPr>
        <w:t xml:space="preserve"> </w:t>
      </w:r>
      <w:r w:rsidRPr="00EA5693">
        <w:rPr>
          <w:rFonts w:hint="eastAsia"/>
          <w:rtl/>
        </w:rPr>
        <w:t>والحقوق</w:t>
      </w:r>
      <w:r w:rsidRPr="00EA5693">
        <w:rPr>
          <w:rtl/>
        </w:rPr>
        <w:t xml:space="preserve"> </w:t>
      </w:r>
      <w:r w:rsidRPr="00EA5693">
        <w:rPr>
          <w:rFonts w:hint="eastAsia"/>
          <w:rtl/>
        </w:rPr>
        <w:t>المجاورة</w:t>
      </w:r>
      <w:r w:rsidRPr="00EA5693">
        <w:tab/>
      </w:r>
      <w:r w:rsidRPr="000178A6">
        <w:rPr>
          <w:b w:val="0"/>
          <w:bCs/>
        </w:rPr>
        <w:fldChar w:fldCharType="begin"/>
      </w:r>
      <w:r w:rsidRPr="000178A6">
        <w:rPr>
          <w:b w:val="0"/>
          <w:bCs/>
        </w:rPr>
        <w:instrText xml:space="preserve"> PAGEREF _Toc420595500 \h </w:instrText>
      </w:r>
      <w:r w:rsidRPr="000178A6">
        <w:rPr>
          <w:b w:val="0"/>
          <w:bCs/>
        </w:rPr>
      </w:r>
      <w:r w:rsidRPr="000178A6">
        <w:rPr>
          <w:b w:val="0"/>
          <w:bCs/>
        </w:rPr>
        <w:fldChar w:fldCharType="separate"/>
      </w:r>
      <w:r w:rsidR="00A92CC0">
        <w:rPr>
          <w:b w:val="0"/>
          <w:bCs/>
          <w:rtl/>
        </w:rPr>
        <w:t>35</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4</w:t>
      </w:r>
      <w:r w:rsidRPr="00EA5693">
        <w:rPr>
          <w:rFonts w:eastAsiaTheme="minorEastAsia"/>
          <w:lang w:bidi="ar-SA"/>
        </w:rPr>
        <w:tab/>
      </w:r>
      <w:r w:rsidRPr="00EA5693">
        <w:rPr>
          <w:rFonts w:hint="eastAsia"/>
          <w:rtl/>
        </w:rPr>
        <w:t>المعارف</w:t>
      </w:r>
      <w:r w:rsidRPr="00EA5693">
        <w:rPr>
          <w:rtl/>
        </w:rPr>
        <w:t xml:space="preserve"> </w:t>
      </w:r>
      <w:r w:rsidRPr="00EA5693">
        <w:rPr>
          <w:rFonts w:hint="eastAsia"/>
          <w:rtl/>
        </w:rPr>
        <w:t>التقليدية</w:t>
      </w:r>
      <w:r w:rsidRPr="00EA5693">
        <w:rPr>
          <w:rtl/>
        </w:rPr>
        <w:t xml:space="preserve"> </w:t>
      </w:r>
      <w:r w:rsidRPr="00EA5693">
        <w:rPr>
          <w:rFonts w:hint="eastAsia"/>
          <w:rtl/>
        </w:rPr>
        <w:t>وأشكال</w:t>
      </w:r>
      <w:r w:rsidRPr="00EA5693">
        <w:rPr>
          <w:rtl/>
        </w:rPr>
        <w:t xml:space="preserve"> </w:t>
      </w:r>
      <w:r w:rsidRPr="00EA5693">
        <w:rPr>
          <w:rFonts w:hint="eastAsia"/>
          <w:rtl/>
        </w:rPr>
        <w:t>التعبير</w:t>
      </w:r>
      <w:r w:rsidRPr="00EA5693">
        <w:rPr>
          <w:rtl/>
        </w:rPr>
        <w:t xml:space="preserve"> </w:t>
      </w:r>
      <w:r w:rsidRPr="00EA5693">
        <w:rPr>
          <w:rFonts w:hint="eastAsia"/>
          <w:rtl/>
        </w:rPr>
        <w:t>الثقافي</w:t>
      </w:r>
      <w:r w:rsidRPr="00EA5693">
        <w:rPr>
          <w:rtl/>
        </w:rPr>
        <w:t xml:space="preserve"> </w:t>
      </w:r>
      <w:r w:rsidRPr="00EA5693">
        <w:rPr>
          <w:rFonts w:hint="eastAsia"/>
          <w:rtl/>
        </w:rPr>
        <w:t>التقليدي</w:t>
      </w:r>
      <w:r w:rsidRPr="00EA5693">
        <w:rPr>
          <w:rtl/>
        </w:rPr>
        <w:t xml:space="preserve"> </w:t>
      </w:r>
      <w:r w:rsidRPr="00EA5693">
        <w:rPr>
          <w:rFonts w:hint="eastAsia"/>
          <w:rtl/>
        </w:rPr>
        <w:t>والموارد</w:t>
      </w:r>
      <w:r w:rsidRPr="00EA5693">
        <w:rPr>
          <w:rtl/>
        </w:rPr>
        <w:t xml:space="preserve"> </w:t>
      </w:r>
      <w:r w:rsidRPr="00EA5693">
        <w:rPr>
          <w:rFonts w:hint="eastAsia"/>
          <w:rtl/>
        </w:rPr>
        <w:t>الوراثية</w:t>
      </w:r>
      <w:r w:rsidRPr="00EA5693">
        <w:tab/>
      </w:r>
      <w:r w:rsidRPr="000178A6">
        <w:rPr>
          <w:b w:val="0"/>
          <w:bCs/>
        </w:rPr>
        <w:fldChar w:fldCharType="begin"/>
      </w:r>
      <w:r w:rsidRPr="000178A6">
        <w:rPr>
          <w:b w:val="0"/>
          <w:bCs/>
        </w:rPr>
        <w:instrText xml:space="preserve"> PAGEREF _Toc420595501 \h </w:instrText>
      </w:r>
      <w:r w:rsidRPr="000178A6">
        <w:rPr>
          <w:b w:val="0"/>
          <w:bCs/>
        </w:rPr>
      </w:r>
      <w:r w:rsidRPr="000178A6">
        <w:rPr>
          <w:b w:val="0"/>
          <w:bCs/>
        </w:rPr>
        <w:fldChar w:fldCharType="separate"/>
      </w:r>
      <w:r w:rsidR="00A92CC0">
        <w:rPr>
          <w:b w:val="0"/>
          <w:bCs/>
          <w:rtl/>
        </w:rPr>
        <w:t>40</w:t>
      </w:r>
      <w:r w:rsidRPr="000178A6">
        <w:rPr>
          <w:b w:val="0"/>
          <w:bCs/>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الثاني</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تقديم</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خدمات</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عالمية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في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مجال</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الملكية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الفكرية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من</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الطراز</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الأول</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_Toc420595502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44</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5</w:t>
      </w:r>
      <w:r w:rsidRPr="00EA5693">
        <w:rPr>
          <w:rFonts w:eastAsiaTheme="minorEastAsia"/>
          <w:lang w:bidi="ar-SA"/>
        </w:rPr>
        <w:tab/>
      </w:r>
      <w:r w:rsidRPr="00EA5693">
        <w:rPr>
          <w:rFonts w:hint="eastAsia"/>
          <w:rtl/>
        </w:rPr>
        <w:t>نظام</w:t>
      </w:r>
      <w:r w:rsidRPr="00EA5693">
        <w:rPr>
          <w:rtl/>
        </w:rPr>
        <w:t xml:space="preserve"> </w:t>
      </w:r>
      <w:r w:rsidRPr="00EA5693">
        <w:rPr>
          <w:rFonts w:hint="eastAsia"/>
          <w:rtl/>
        </w:rPr>
        <w:t>معاهدة</w:t>
      </w:r>
      <w:r w:rsidRPr="00EA5693">
        <w:rPr>
          <w:rtl/>
        </w:rPr>
        <w:t xml:space="preserve"> </w:t>
      </w:r>
      <w:r w:rsidRPr="00EA5693">
        <w:rPr>
          <w:rFonts w:hint="eastAsia"/>
          <w:rtl/>
        </w:rPr>
        <w:t>التعاون</w:t>
      </w:r>
      <w:r w:rsidRPr="00EA5693">
        <w:rPr>
          <w:rtl/>
        </w:rPr>
        <w:t xml:space="preserve"> </w:t>
      </w:r>
      <w:r w:rsidRPr="00EA5693">
        <w:rPr>
          <w:rFonts w:hint="eastAsia"/>
          <w:rtl/>
        </w:rPr>
        <w:t>بشأن</w:t>
      </w:r>
      <w:r w:rsidRPr="00EA5693">
        <w:rPr>
          <w:rtl/>
        </w:rPr>
        <w:t xml:space="preserve"> </w:t>
      </w:r>
      <w:r w:rsidRPr="00EA5693">
        <w:rPr>
          <w:rFonts w:hint="eastAsia"/>
          <w:rtl/>
        </w:rPr>
        <w:t>البراءات</w:t>
      </w:r>
      <w:r w:rsidRPr="00EA5693">
        <w:tab/>
      </w:r>
      <w:r w:rsidRPr="000178A6">
        <w:rPr>
          <w:b w:val="0"/>
          <w:bCs/>
        </w:rPr>
        <w:fldChar w:fldCharType="begin"/>
      </w:r>
      <w:r w:rsidRPr="000178A6">
        <w:rPr>
          <w:b w:val="0"/>
          <w:bCs/>
        </w:rPr>
        <w:instrText xml:space="preserve"> PAGEREF _Toc420595503 \h </w:instrText>
      </w:r>
      <w:r w:rsidRPr="000178A6">
        <w:rPr>
          <w:b w:val="0"/>
          <w:bCs/>
        </w:rPr>
      </w:r>
      <w:r w:rsidRPr="000178A6">
        <w:rPr>
          <w:b w:val="0"/>
          <w:bCs/>
        </w:rPr>
        <w:fldChar w:fldCharType="separate"/>
      </w:r>
      <w:r w:rsidR="00A92CC0">
        <w:rPr>
          <w:b w:val="0"/>
          <w:bCs/>
          <w:rtl/>
        </w:rPr>
        <w:t>48</w:t>
      </w:r>
      <w:r w:rsidRPr="000178A6">
        <w:rPr>
          <w:b w:val="0"/>
          <w:bCs/>
        </w:rPr>
        <w:fldChar w:fldCharType="end"/>
      </w:r>
    </w:p>
    <w:p w:rsidR="00EA5693" w:rsidRPr="000178A6" w:rsidRDefault="00EA5693" w:rsidP="00C37500">
      <w:pPr>
        <w:pStyle w:val="TOC3"/>
        <w:rPr>
          <w:rFonts w:eastAsiaTheme="minorEastAsia"/>
          <w:b w:val="0"/>
          <w:bCs/>
          <w:lang w:bidi="ar-SA"/>
        </w:rPr>
      </w:pPr>
      <w:r w:rsidRPr="00EA5693">
        <w:rPr>
          <w:rFonts w:hint="eastAsia"/>
          <w:rtl/>
        </w:rPr>
        <w:t>البرنامج</w:t>
      </w:r>
      <w:r w:rsidRPr="00EA5693">
        <w:rPr>
          <w:rtl/>
        </w:rPr>
        <w:t xml:space="preserve"> 6</w:t>
      </w:r>
      <w:r w:rsidRPr="00EA5693">
        <w:rPr>
          <w:rFonts w:eastAsiaTheme="minorEastAsia"/>
          <w:lang w:bidi="ar-SA"/>
        </w:rPr>
        <w:tab/>
      </w:r>
      <w:r w:rsidRPr="00EA5693">
        <w:rPr>
          <w:rFonts w:hint="eastAsia"/>
          <w:rtl/>
        </w:rPr>
        <w:t>نظام</w:t>
      </w:r>
      <w:r w:rsidRPr="00EA5693">
        <w:rPr>
          <w:rtl/>
        </w:rPr>
        <w:t xml:space="preserve"> </w:t>
      </w:r>
      <w:r w:rsidRPr="00EA5693">
        <w:rPr>
          <w:rFonts w:hint="eastAsia"/>
          <w:rtl/>
        </w:rPr>
        <w:t>مدريد</w:t>
      </w:r>
      <w:r w:rsidRPr="00EA5693">
        <w:tab/>
      </w:r>
      <w:r w:rsidRPr="000178A6">
        <w:rPr>
          <w:b w:val="0"/>
          <w:bCs/>
        </w:rPr>
        <w:fldChar w:fldCharType="begin"/>
      </w:r>
      <w:r w:rsidRPr="000178A6">
        <w:rPr>
          <w:b w:val="0"/>
          <w:bCs/>
        </w:rPr>
        <w:instrText xml:space="preserve"> PAGEREF _Toc420595504 \h </w:instrText>
      </w:r>
      <w:r w:rsidRPr="000178A6">
        <w:rPr>
          <w:b w:val="0"/>
          <w:bCs/>
        </w:rPr>
      </w:r>
      <w:r w:rsidRPr="000178A6">
        <w:rPr>
          <w:b w:val="0"/>
          <w:bCs/>
        </w:rPr>
        <w:fldChar w:fldCharType="separate"/>
      </w:r>
      <w:r w:rsidR="00A92CC0">
        <w:rPr>
          <w:b w:val="0"/>
          <w:bCs/>
          <w:rtl/>
        </w:rPr>
        <w:t>53</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31</w:t>
      </w:r>
      <w:r w:rsidRPr="00EA5693">
        <w:rPr>
          <w:rFonts w:eastAsiaTheme="minorEastAsia"/>
          <w:lang w:bidi="ar-SA"/>
        </w:rPr>
        <w:tab/>
      </w:r>
      <w:r w:rsidRPr="00EA5693">
        <w:rPr>
          <w:rFonts w:hint="eastAsia"/>
          <w:rtl/>
        </w:rPr>
        <w:t>نظام</w:t>
      </w:r>
      <w:r w:rsidRPr="00EA5693">
        <w:rPr>
          <w:rtl/>
        </w:rPr>
        <w:t xml:space="preserve"> </w:t>
      </w:r>
      <w:r w:rsidRPr="00EA5693">
        <w:rPr>
          <w:rFonts w:hint="eastAsia"/>
          <w:rtl/>
        </w:rPr>
        <w:t>لاهاي</w:t>
      </w:r>
      <w:r w:rsidRPr="00EA5693">
        <w:tab/>
      </w:r>
      <w:r w:rsidRPr="000178A6">
        <w:rPr>
          <w:b w:val="0"/>
          <w:bCs/>
        </w:rPr>
        <w:fldChar w:fldCharType="begin"/>
      </w:r>
      <w:r w:rsidRPr="000178A6">
        <w:rPr>
          <w:b w:val="0"/>
          <w:bCs/>
        </w:rPr>
        <w:instrText xml:space="preserve"> PAGEREF _Toc420595505 \h </w:instrText>
      </w:r>
      <w:r w:rsidRPr="000178A6">
        <w:rPr>
          <w:b w:val="0"/>
          <w:bCs/>
        </w:rPr>
      </w:r>
      <w:r w:rsidRPr="000178A6">
        <w:rPr>
          <w:b w:val="0"/>
          <w:bCs/>
        </w:rPr>
        <w:fldChar w:fldCharType="separate"/>
      </w:r>
      <w:r w:rsidR="00A92CC0">
        <w:rPr>
          <w:b w:val="0"/>
          <w:bCs/>
          <w:rtl/>
        </w:rPr>
        <w:t>58</w:t>
      </w:r>
      <w:r w:rsidRPr="000178A6">
        <w:rPr>
          <w:b w:val="0"/>
          <w:bCs/>
        </w:rPr>
        <w:fldChar w:fldCharType="end"/>
      </w:r>
    </w:p>
    <w:p w:rsidR="00D04DAB" w:rsidRPr="000178A6" w:rsidRDefault="00D04DAB" w:rsidP="00D04DAB">
      <w:pPr>
        <w:pStyle w:val="TOC3"/>
        <w:rPr>
          <w:rFonts w:eastAsiaTheme="minorEastAsia"/>
          <w:b w:val="0"/>
          <w:bCs/>
          <w:lang w:bidi="ar-SA"/>
        </w:rPr>
      </w:pPr>
      <w:r w:rsidRPr="00EA5693">
        <w:rPr>
          <w:rFonts w:hint="eastAsia"/>
          <w:rtl/>
        </w:rPr>
        <w:t>البرنامج</w:t>
      </w:r>
      <w:r w:rsidRPr="00EA5693">
        <w:rPr>
          <w:rtl/>
        </w:rPr>
        <w:t xml:space="preserve"> </w:t>
      </w:r>
      <w:r>
        <w:rPr>
          <w:rFonts w:hint="cs"/>
          <w:rtl/>
        </w:rPr>
        <w:t>32</w:t>
      </w:r>
      <w:r w:rsidRPr="00EA5693">
        <w:rPr>
          <w:rFonts w:eastAsiaTheme="minorEastAsia"/>
          <w:lang w:bidi="ar-SA"/>
        </w:rPr>
        <w:tab/>
      </w:r>
      <w:r w:rsidRPr="00EA5693">
        <w:rPr>
          <w:rFonts w:hint="eastAsia"/>
          <w:rtl/>
        </w:rPr>
        <w:t>نظام</w:t>
      </w:r>
      <w:r w:rsidRPr="00EA5693">
        <w:rPr>
          <w:rtl/>
        </w:rPr>
        <w:t xml:space="preserve"> </w:t>
      </w:r>
      <w:r>
        <w:rPr>
          <w:rFonts w:hint="cs"/>
          <w:rtl/>
        </w:rPr>
        <w:t>لشبونة</w:t>
      </w:r>
      <w:r w:rsidRPr="00EA5693">
        <w:tab/>
      </w:r>
      <w:r>
        <w:rPr>
          <w:rFonts w:hint="cs"/>
          <w:b w:val="0"/>
          <w:bCs/>
          <w:rtl/>
        </w:rPr>
        <w:t>63</w:t>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7</w:t>
      </w:r>
      <w:r w:rsidRPr="00EA5693">
        <w:rPr>
          <w:rFonts w:eastAsiaTheme="minorEastAsia"/>
          <w:lang w:bidi="ar-SA"/>
        </w:rPr>
        <w:tab/>
      </w:r>
      <w:r w:rsidRPr="00EA5693">
        <w:rPr>
          <w:rFonts w:hint="eastAsia"/>
          <w:rtl/>
        </w:rPr>
        <w:t>مركز</w:t>
      </w:r>
      <w:r w:rsidRPr="00EA5693">
        <w:rPr>
          <w:rtl/>
        </w:rPr>
        <w:t xml:space="preserve"> </w:t>
      </w:r>
      <w:r w:rsidRPr="00EA5693">
        <w:rPr>
          <w:rFonts w:hint="eastAsia"/>
          <w:rtl/>
        </w:rPr>
        <w:t>الويبو</w:t>
      </w:r>
      <w:r w:rsidRPr="00EA5693">
        <w:rPr>
          <w:rtl/>
        </w:rPr>
        <w:t xml:space="preserve"> </w:t>
      </w:r>
      <w:r w:rsidRPr="00EA5693">
        <w:rPr>
          <w:rFonts w:hint="eastAsia"/>
          <w:rtl/>
        </w:rPr>
        <w:t>للتحكيم</w:t>
      </w:r>
      <w:r w:rsidRPr="00EA5693">
        <w:rPr>
          <w:rtl/>
        </w:rPr>
        <w:t xml:space="preserve"> </w:t>
      </w:r>
      <w:r w:rsidRPr="00EA5693">
        <w:rPr>
          <w:rFonts w:hint="eastAsia"/>
          <w:rtl/>
        </w:rPr>
        <w:t>والوساطة</w:t>
      </w:r>
      <w:r w:rsidRPr="00EA5693">
        <w:tab/>
      </w:r>
      <w:r w:rsidRPr="000178A6">
        <w:rPr>
          <w:b w:val="0"/>
          <w:bCs/>
        </w:rPr>
        <w:fldChar w:fldCharType="begin"/>
      </w:r>
      <w:r w:rsidRPr="000178A6">
        <w:rPr>
          <w:b w:val="0"/>
          <w:bCs/>
        </w:rPr>
        <w:instrText xml:space="preserve"> PAGEREF _Toc420595506 \h </w:instrText>
      </w:r>
      <w:r w:rsidRPr="000178A6">
        <w:rPr>
          <w:b w:val="0"/>
          <w:bCs/>
        </w:rPr>
      </w:r>
      <w:r w:rsidRPr="000178A6">
        <w:rPr>
          <w:b w:val="0"/>
          <w:bCs/>
        </w:rPr>
        <w:fldChar w:fldCharType="separate"/>
      </w:r>
      <w:r w:rsidR="00A92CC0">
        <w:rPr>
          <w:b w:val="0"/>
          <w:bCs/>
          <w:rtl/>
        </w:rPr>
        <w:t>66</w:t>
      </w:r>
      <w:r w:rsidRPr="000178A6">
        <w:rPr>
          <w:b w:val="0"/>
          <w:bCs/>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الثالث</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تسهيل</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الانتفاع</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بالملكية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الفكرية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في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سبيل</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التنمية</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_Toc420595507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71</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8</w:t>
      </w:r>
      <w:r w:rsidRPr="00EA5693">
        <w:rPr>
          <w:rFonts w:eastAsiaTheme="minorEastAsia"/>
          <w:lang w:bidi="ar-SA"/>
        </w:rPr>
        <w:tab/>
      </w:r>
      <w:r w:rsidRPr="00EA5693">
        <w:rPr>
          <w:rFonts w:hint="eastAsia"/>
          <w:rtl/>
        </w:rPr>
        <w:t>تنسيق</w:t>
      </w:r>
      <w:r w:rsidRPr="00EA5693">
        <w:rPr>
          <w:rtl/>
        </w:rPr>
        <w:t xml:space="preserve"> </w:t>
      </w:r>
      <w:r w:rsidRPr="00EA5693">
        <w:rPr>
          <w:rFonts w:hint="eastAsia"/>
          <w:rtl/>
        </w:rPr>
        <w:t>جدول</w:t>
      </w:r>
      <w:r w:rsidRPr="00EA5693">
        <w:rPr>
          <w:rtl/>
        </w:rPr>
        <w:t xml:space="preserve"> </w:t>
      </w:r>
      <w:r w:rsidRPr="00EA5693">
        <w:rPr>
          <w:rFonts w:hint="eastAsia"/>
          <w:rtl/>
        </w:rPr>
        <w:t>أعمال</w:t>
      </w:r>
      <w:r w:rsidRPr="00EA5693">
        <w:rPr>
          <w:rtl/>
        </w:rPr>
        <w:t xml:space="preserve"> </w:t>
      </w:r>
      <w:r w:rsidRPr="00EA5693">
        <w:rPr>
          <w:rFonts w:hint="eastAsia"/>
          <w:rtl/>
        </w:rPr>
        <w:t>التنمية</w:t>
      </w:r>
      <w:r w:rsidRPr="00EA5693">
        <w:tab/>
      </w:r>
      <w:r w:rsidRPr="000178A6">
        <w:rPr>
          <w:b w:val="0"/>
          <w:bCs/>
        </w:rPr>
        <w:fldChar w:fldCharType="begin"/>
      </w:r>
      <w:r w:rsidRPr="000178A6">
        <w:rPr>
          <w:b w:val="0"/>
          <w:bCs/>
        </w:rPr>
        <w:instrText xml:space="preserve"> PAGEREF _Toc420595508 \h </w:instrText>
      </w:r>
      <w:r w:rsidRPr="000178A6">
        <w:rPr>
          <w:b w:val="0"/>
          <w:bCs/>
        </w:rPr>
      </w:r>
      <w:r w:rsidRPr="000178A6">
        <w:rPr>
          <w:b w:val="0"/>
          <w:bCs/>
        </w:rPr>
        <w:fldChar w:fldCharType="separate"/>
      </w:r>
      <w:r w:rsidR="00A92CC0">
        <w:rPr>
          <w:b w:val="0"/>
          <w:bCs/>
          <w:rtl/>
        </w:rPr>
        <w:t>76</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9</w:t>
      </w:r>
      <w:r w:rsidRPr="00EA5693">
        <w:rPr>
          <w:rFonts w:eastAsiaTheme="minorEastAsia"/>
          <w:lang w:bidi="ar-SA"/>
        </w:rPr>
        <w:tab/>
      </w:r>
      <w:r w:rsidRPr="00EA5693">
        <w:rPr>
          <w:rFonts w:hint="eastAsia"/>
          <w:rtl/>
        </w:rPr>
        <w:t>أفريقيا</w:t>
      </w:r>
      <w:r w:rsidRPr="00EA5693">
        <w:rPr>
          <w:rtl/>
        </w:rPr>
        <w:t xml:space="preserve"> </w:t>
      </w:r>
      <w:r w:rsidRPr="00EA5693">
        <w:rPr>
          <w:rFonts w:hint="eastAsia"/>
          <w:rtl/>
        </w:rPr>
        <w:t>والبلدان</w:t>
      </w:r>
      <w:r w:rsidRPr="00EA5693">
        <w:rPr>
          <w:rtl/>
        </w:rPr>
        <w:t xml:space="preserve"> </w:t>
      </w:r>
      <w:r w:rsidRPr="00EA5693">
        <w:rPr>
          <w:rFonts w:hint="eastAsia"/>
          <w:rtl/>
        </w:rPr>
        <w:t>العربية</w:t>
      </w:r>
      <w:r w:rsidRPr="00EA5693">
        <w:rPr>
          <w:rtl/>
        </w:rPr>
        <w:t xml:space="preserve"> </w:t>
      </w:r>
      <w:r w:rsidRPr="00EA5693">
        <w:rPr>
          <w:rFonts w:hint="eastAsia"/>
          <w:rtl/>
        </w:rPr>
        <w:t>وبلدان</w:t>
      </w:r>
      <w:r w:rsidRPr="00EA5693">
        <w:rPr>
          <w:rtl/>
        </w:rPr>
        <w:t xml:space="preserve"> </w:t>
      </w:r>
      <w:r w:rsidRPr="00EA5693">
        <w:rPr>
          <w:rFonts w:hint="eastAsia"/>
          <w:rtl/>
        </w:rPr>
        <w:t>آسيا</w:t>
      </w:r>
      <w:r w:rsidRPr="00EA5693">
        <w:rPr>
          <w:rtl/>
        </w:rPr>
        <w:t xml:space="preserve"> </w:t>
      </w:r>
      <w:r w:rsidRPr="00EA5693">
        <w:rPr>
          <w:rFonts w:hint="eastAsia"/>
          <w:rtl/>
        </w:rPr>
        <w:t>والمحيط</w:t>
      </w:r>
      <w:r w:rsidRPr="00EA5693">
        <w:rPr>
          <w:rtl/>
        </w:rPr>
        <w:t xml:space="preserve"> </w:t>
      </w:r>
      <w:r w:rsidRPr="00EA5693">
        <w:rPr>
          <w:rFonts w:hint="eastAsia"/>
          <w:rtl/>
        </w:rPr>
        <w:t>الهادئ</w:t>
      </w:r>
      <w:r w:rsidRPr="00EA5693">
        <w:rPr>
          <w:rtl/>
        </w:rPr>
        <w:t xml:space="preserve"> </w:t>
      </w:r>
      <w:r w:rsidRPr="00EA5693">
        <w:rPr>
          <w:rFonts w:hint="eastAsia"/>
          <w:rtl/>
        </w:rPr>
        <w:t>وأمريكا</w:t>
      </w:r>
      <w:r w:rsidRPr="00EA5693">
        <w:rPr>
          <w:rtl/>
        </w:rPr>
        <w:t xml:space="preserve"> </w:t>
      </w:r>
      <w:r w:rsidRPr="00EA5693">
        <w:rPr>
          <w:rFonts w:hint="eastAsia"/>
          <w:rtl/>
        </w:rPr>
        <w:t>اللاتينية</w:t>
      </w:r>
      <w:r w:rsidRPr="00EA5693">
        <w:rPr>
          <w:rtl/>
        </w:rPr>
        <w:t xml:space="preserve"> </w:t>
      </w:r>
      <w:r w:rsidRPr="00EA5693">
        <w:rPr>
          <w:rFonts w:hint="eastAsia"/>
          <w:rtl/>
        </w:rPr>
        <w:t>والكاريبي</w:t>
      </w:r>
      <w:r w:rsidRPr="00EA5693">
        <w:rPr>
          <w:rtl/>
        </w:rPr>
        <w:t xml:space="preserve"> </w:t>
      </w:r>
      <w:r w:rsidRPr="00EA5693">
        <w:rPr>
          <w:rFonts w:hint="eastAsia"/>
          <w:rtl/>
        </w:rPr>
        <w:t>والبلدان</w:t>
      </w:r>
      <w:r w:rsidRPr="00EA5693">
        <w:rPr>
          <w:rtl/>
        </w:rPr>
        <w:t xml:space="preserve"> </w:t>
      </w:r>
      <w:r w:rsidRPr="00EA5693">
        <w:rPr>
          <w:rFonts w:hint="eastAsia"/>
          <w:rtl/>
        </w:rPr>
        <w:t>الأقل</w:t>
      </w:r>
      <w:r w:rsidRPr="00EA5693">
        <w:rPr>
          <w:rtl/>
        </w:rPr>
        <w:t> </w:t>
      </w:r>
      <w:r w:rsidRPr="00EA5693">
        <w:rPr>
          <w:rFonts w:hint="eastAsia"/>
          <w:rtl/>
        </w:rPr>
        <w:t>نموا</w:t>
      </w:r>
      <w:r w:rsidRPr="00EA5693">
        <w:tab/>
      </w:r>
      <w:r w:rsidRPr="000178A6">
        <w:rPr>
          <w:b w:val="0"/>
          <w:bCs/>
        </w:rPr>
        <w:fldChar w:fldCharType="begin"/>
      </w:r>
      <w:r w:rsidRPr="000178A6">
        <w:rPr>
          <w:b w:val="0"/>
          <w:bCs/>
        </w:rPr>
        <w:instrText xml:space="preserve"> PAGEREF _Toc420595509 \h </w:instrText>
      </w:r>
      <w:r w:rsidRPr="000178A6">
        <w:rPr>
          <w:b w:val="0"/>
          <w:bCs/>
        </w:rPr>
      </w:r>
      <w:r w:rsidRPr="000178A6">
        <w:rPr>
          <w:b w:val="0"/>
          <w:bCs/>
        </w:rPr>
        <w:fldChar w:fldCharType="separate"/>
      </w:r>
      <w:r w:rsidR="00A92CC0">
        <w:rPr>
          <w:b w:val="0"/>
          <w:bCs/>
          <w:rtl/>
        </w:rPr>
        <w:t>79</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10</w:t>
      </w:r>
      <w:r w:rsidRPr="00EA5693">
        <w:rPr>
          <w:rFonts w:eastAsiaTheme="minorEastAsia"/>
          <w:lang w:bidi="ar-SA"/>
        </w:rPr>
        <w:tab/>
      </w:r>
      <w:r w:rsidRPr="00EA5693">
        <w:rPr>
          <w:rFonts w:hint="eastAsia"/>
          <w:rtl/>
        </w:rPr>
        <w:t>البلدان</w:t>
      </w:r>
      <w:r w:rsidRPr="00EA5693">
        <w:rPr>
          <w:rtl/>
        </w:rPr>
        <w:t xml:space="preserve"> </w:t>
      </w:r>
      <w:r w:rsidRPr="00EA5693">
        <w:rPr>
          <w:rFonts w:hint="eastAsia"/>
          <w:rtl/>
        </w:rPr>
        <w:t>المنتقلة</w:t>
      </w:r>
      <w:r w:rsidRPr="00EA5693">
        <w:rPr>
          <w:rtl/>
        </w:rPr>
        <w:t xml:space="preserve"> </w:t>
      </w:r>
      <w:r w:rsidRPr="00EA5693">
        <w:rPr>
          <w:rFonts w:hint="eastAsia"/>
          <w:rtl/>
        </w:rPr>
        <w:t>إلى</w:t>
      </w:r>
      <w:r w:rsidRPr="00EA5693">
        <w:rPr>
          <w:rtl/>
        </w:rPr>
        <w:t xml:space="preserve"> </w:t>
      </w:r>
      <w:r w:rsidRPr="00EA5693">
        <w:rPr>
          <w:rFonts w:hint="eastAsia"/>
          <w:rtl/>
        </w:rPr>
        <w:t>نظام</w:t>
      </w:r>
      <w:r w:rsidRPr="00EA5693">
        <w:rPr>
          <w:rtl/>
        </w:rPr>
        <w:t xml:space="preserve"> </w:t>
      </w:r>
      <w:r w:rsidRPr="00EA5693">
        <w:rPr>
          <w:rFonts w:hint="eastAsia"/>
          <w:rtl/>
        </w:rPr>
        <w:t>الاقتصاد</w:t>
      </w:r>
      <w:r w:rsidRPr="00EA5693">
        <w:rPr>
          <w:rtl/>
        </w:rPr>
        <w:t xml:space="preserve"> </w:t>
      </w:r>
      <w:r w:rsidRPr="00EA5693">
        <w:rPr>
          <w:rFonts w:hint="eastAsia"/>
          <w:rtl/>
        </w:rPr>
        <w:t>الحر</w:t>
      </w:r>
      <w:r w:rsidRPr="00EA5693">
        <w:rPr>
          <w:rtl/>
        </w:rPr>
        <w:t xml:space="preserve"> </w:t>
      </w:r>
      <w:r w:rsidRPr="00EA5693">
        <w:rPr>
          <w:rFonts w:hint="eastAsia"/>
          <w:rtl/>
        </w:rPr>
        <w:t>والمتقدمة</w:t>
      </w:r>
      <w:r w:rsidRPr="00EA5693">
        <w:tab/>
      </w:r>
      <w:r w:rsidRPr="000178A6">
        <w:rPr>
          <w:b w:val="0"/>
          <w:bCs/>
        </w:rPr>
        <w:fldChar w:fldCharType="begin"/>
      </w:r>
      <w:r w:rsidRPr="000178A6">
        <w:rPr>
          <w:b w:val="0"/>
          <w:bCs/>
        </w:rPr>
        <w:instrText xml:space="preserve"> PAGEREF _Toc420595510 \h </w:instrText>
      </w:r>
      <w:r w:rsidRPr="000178A6">
        <w:rPr>
          <w:b w:val="0"/>
          <w:bCs/>
        </w:rPr>
      </w:r>
      <w:r w:rsidRPr="000178A6">
        <w:rPr>
          <w:b w:val="0"/>
          <w:bCs/>
        </w:rPr>
        <w:fldChar w:fldCharType="separate"/>
      </w:r>
      <w:r w:rsidR="00A92CC0">
        <w:rPr>
          <w:b w:val="0"/>
          <w:bCs/>
          <w:rtl/>
        </w:rPr>
        <w:t>88</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11</w:t>
      </w:r>
      <w:r w:rsidRPr="00EA5693">
        <w:rPr>
          <w:rFonts w:eastAsiaTheme="minorEastAsia"/>
          <w:lang w:bidi="ar-SA"/>
        </w:rPr>
        <w:tab/>
      </w:r>
      <w:r w:rsidRPr="00EA5693">
        <w:rPr>
          <w:rFonts w:hint="eastAsia"/>
          <w:rtl/>
        </w:rPr>
        <w:t>أكاديمية</w:t>
      </w:r>
      <w:r w:rsidRPr="00EA5693">
        <w:rPr>
          <w:rtl/>
        </w:rPr>
        <w:t xml:space="preserve"> </w:t>
      </w:r>
      <w:r w:rsidRPr="00EA5693">
        <w:rPr>
          <w:rFonts w:hint="eastAsia"/>
          <w:rtl/>
        </w:rPr>
        <w:t>الويبو</w:t>
      </w:r>
      <w:r w:rsidRPr="00EA5693">
        <w:tab/>
      </w:r>
      <w:r w:rsidRPr="000178A6">
        <w:rPr>
          <w:b w:val="0"/>
          <w:bCs/>
        </w:rPr>
        <w:fldChar w:fldCharType="begin"/>
      </w:r>
      <w:r w:rsidRPr="000178A6">
        <w:rPr>
          <w:b w:val="0"/>
          <w:bCs/>
        </w:rPr>
        <w:instrText xml:space="preserve"> PAGEREF _Toc420595511 \h </w:instrText>
      </w:r>
      <w:r w:rsidRPr="000178A6">
        <w:rPr>
          <w:b w:val="0"/>
          <w:bCs/>
        </w:rPr>
      </w:r>
      <w:r w:rsidRPr="000178A6">
        <w:rPr>
          <w:b w:val="0"/>
          <w:bCs/>
        </w:rPr>
        <w:fldChar w:fldCharType="separate"/>
      </w:r>
      <w:r w:rsidR="00A92CC0">
        <w:rPr>
          <w:b w:val="0"/>
          <w:bCs/>
          <w:rtl/>
        </w:rPr>
        <w:t>95</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30</w:t>
      </w:r>
      <w:r w:rsidRPr="00EA5693">
        <w:rPr>
          <w:rFonts w:eastAsiaTheme="minorEastAsia"/>
          <w:lang w:bidi="ar-SA"/>
        </w:rPr>
        <w:tab/>
      </w:r>
      <w:r w:rsidRPr="00EA5693">
        <w:rPr>
          <w:rFonts w:hint="eastAsia"/>
          <w:rtl/>
        </w:rPr>
        <w:t>الشركات</w:t>
      </w:r>
      <w:r w:rsidRPr="00EA5693">
        <w:rPr>
          <w:rtl/>
        </w:rPr>
        <w:t xml:space="preserve"> </w:t>
      </w:r>
      <w:r w:rsidRPr="00EA5693">
        <w:rPr>
          <w:rFonts w:hint="eastAsia"/>
          <w:rtl/>
        </w:rPr>
        <w:t>الصغيرة</w:t>
      </w:r>
      <w:r w:rsidRPr="00EA5693">
        <w:rPr>
          <w:rtl/>
        </w:rPr>
        <w:t xml:space="preserve"> </w:t>
      </w:r>
      <w:r w:rsidRPr="00EA5693">
        <w:rPr>
          <w:rFonts w:hint="eastAsia"/>
          <w:rtl/>
        </w:rPr>
        <w:t>والمتوسطة</w:t>
      </w:r>
      <w:r w:rsidRPr="00EA5693">
        <w:rPr>
          <w:rtl/>
        </w:rPr>
        <w:t xml:space="preserve"> </w:t>
      </w:r>
      <w:r w:rsidRPr="00EA5693">
        <w:rPr>
          <w:rFonts w:hint="eastAsia"/>
          <w:rtl/>
        </w:rPr>
        <w:t>ودعم</w:t>
      </w:r>
      <w:r w:rsidRPr="00EA5693">
        <w:rPr>
          <w:rtl/>
        </w:rPr>
        <w:t xml:space="preserve"> </w:t>
      </w:r>
      <w:r w:rsidRPr="00EA5693">
        <w:rPr>
          <w:rFonts w:hint="eastAsia"/>
          <w:rtl/>
        </w:rPr>
        <w:t>المقاولة</w:t>
      </w:r>
      <w:r w:rsidRPr="00EA5693">
        <w:tab/>
      </w:r>
      <w:r w:rsidRPr="000178A6">
        <w:rPr>
          <w:b w:val="0"/>
          <w:bCs/>
        </w:rPr>
        <w:fldChar w:fldCharType="begin"/>
      </w:r>
      <w:r w:rsidRPr="000178A6">
        <w:rPr>
          <w:b w:val="0"/>
          <w:bCs/>
        </w:rPr>
        <w:instrText xml:space="preserve"> PAGEREF _Toc420595512 \h </w:instrText>
      </w:r>
      <w:r w:rsidRPr="000178A6">
        <w:rPr>
          <w:b w:val="0"/>
          <w:bCs/>
        </w:rPr>
      </w:r>
      <w:r w:rsidRPr="000178A6">
        <w:rPr>
          <w:b w:val="0"/>
          <w:bCs/>
        </w:rPr>
        <w:fldChar w:fldCharType="separate"/>
      </w:r>
      <w:r w:rsidR="00A92CC0">
        <w:rPr>
          <w:b w:val="0"/>
          <w:bCs/>
          <w:rtl/>
        </w:rPr>
        <w:t>101</w:t>
      </w:r>
      <w:r w:rsidRPr="000178A6">
        <w:rPr>
          <w:b w:val="0"/>
          <w:bCs/>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الرابع</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تنسيق</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البنية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التحتية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العالمية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للملكية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الفكرية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وتطويرها</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_Toc420595514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107</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w:t>
      </w:r>
      <w:r w:rsidRPr="00EA5693">
        <w:t>12</w:t>
      </w:r>
      <w:r w:rsidRPr="00EA5693">
        <w:rPr>
          <w:rFonts w:eastAsiaTheme="minorEastAsia"/>
          <w:lang w:bidi="ar-SA"/>
        </w:rPr>
        <w:tab/>
      </w:r>
      <w:r w:rsidRPr="00EA5693">
        <w:rPr>
          <w:rFonts w:hint="eastAsia"/>
          <w:rtl/>
        </w:rPr>
        <w:t>التصنيفات</w:t>
      </w:r>
      <w:r w:rsidRPr="00EA5693">
        <w:rPr>
          <w:rtl/>
        </w:rPr>
        <w:t xml:space="preserve"> </w:t>
      </w:r>
      <w:r w:rsidRPr="00EA5693">
        <w:rPr>
          <w:rFonts w:hint="eastAsia"/>
          <w:rtl/>
        </w:rPr>
        <w:t>والمعايير</w:t>
      </w:r>
      <w:r w:rsidRPr="00EA5693">
        <w:rPr>
          <w:rtl/>
        </w:rPr>
        <w:t xml:space="preserve"> </w:t>
      </w:r>
      <w:r w:rsidRPr="00EA5693">
        <w:rPr>
          <w:rFonts w:hint="eastAsia"/>
          <w:rtl/>
        </w:rPr>
        <w:t>الدولية</w:t>
      </w:r>
      <w:r w:rsidRPr="00EA5693">
        <w:tab/>
      </w:r>
      <w:r w:rsidRPr="000178A6">
        <w:rPr>
          <w:b w:val="0"/>
          <w:bCs/>
        </w:rPr>
        <w:fldChar w:fldCharType="begin"/>
      </w:r>
      <w:r w:rsidRPr="000178A6">
        <w:rPr>
          <w:b w:val="0"/>
          <w:bCs/>
        </w:rPr>
        <w:instrText xml:space="preserve"> PAGEREF _Toc420595515 \h </w:instrText>
      </w:r>
      <w:r w:rsidRPr="000178A6">
        <w:rPr>
          <w:b w:val="0"/>
          <w:bCs/>
        </w:rPr>
      </w:r>
      <w:r w:rsidRPr="000178A6">
        <w:rPr>
          <w:b w:val="0"/>
          <w:bCs/>
        </w:rPr>
        <w:fldChar w:fldCharType="separate"/>
      </w:r>
      <w:r w:rsidR="00A92CC0">
        <w:rPr>
          <w:b w:val="0"/>
          <w:bCs/>
          <w:rtl/>
        </w:rPr>
        <w:t>110</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13</w:t>
      </w:r>
      <w:r w:rsidRPr="00EA5693">
        <w:rPr>
          <w:rFonts w:eastAsiaTheme="minorEastAsia"/>
          <w:lang w:bidi="ar-SA"/>
        </w:rPr>
        <w:tab/>
      </w:r>
      <w:r w:rsidRPr="00EA5693">
        <w:rPr>
          <w:rFonts w:hint="eastAsia"/>
          <w:rtl/>
        </w:rPr>
        <w:t>قواعد</w:t>
      </w:r>
      <w:r w:rsidRPr="00EA5693">
        <w:rPr>
          <w:rtl/>
        </w:rPr>
        <w:t xml:space="preserve"> </w:t>
      </w:r>
      <w:r w:rsidRPr="00EA5693">
        <w:rPr>
          <w:rFonts w:hint="eastAsia"/>
          <w:rtl/>
        </w:rPr>
        <w:t>البيانات</w:t>
      </w:r>
      <w:r w:rsidRPr="00EA5693">
        <w:rPr>
          <w:rtl/>
        </w:rPr>
        <w:t xml:space="preserve"> </w:t>
      </w:r>
      <w:r w:rsidRPr="00EA5693">
        <w:rPr>
          <w:rFonts w:hint="eastAsia"/>
          <w:rtl/>
        </w:rPr>
        <w:t>العالمية</w:t>
      </w:r>
      <w:r w:rsidRPr="00EA5693">
        <w:tab/>
      </w:r>
      <w:r w:rsidRPr="000178A6">
        <w:rPr>
          <w:b w:val="0"/>
          <w:bCs/>
        </w:rPr>
        <w:fldChar w:fldCharType="begin"/>
      </w:r>
      <w:r w:rsidRPr="000178A6">
        <w:rPr>
          <w:b w:val="0"/>
          <w:bCs/>
        </w:rPr>
        <w:instrText xml:space="preserve"> PAGEREF _Toc420595516 \h </w:instrText>
      </w:r>
      <w:r w:rsidRPr="000178A6">
        <w:rPr>
          <w:b w:val="0"/>
          <w:bCs/>
        </w:rPr>
      </w:r>
      <w:r w:rsidRPr="000178A6">
        <w:rPr>
          <w:b w:val="0"/>
          <w:bCs/>
        </w:rPr>
        <w:fldChar w:fldCharType="separate"/>
      </w:r>
      <w:r w:rsidR="00A92CC0">
        <w:rPr>
          <w:b w:val="0"/>
          <w:bCs/>
          <w:rtl/>
        </w:rPr>
        <w:t>114</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14 </w:t>
      </w:r>
      <w:r w:rsidRPr="00EA5693">
        <w:rPr>
          <w:rFonts w:eastAsiaTheme="minorEastAsia"/>
          <w:lang w:bidi="ar-SA"/>
        </w:rPr>
        <w:tab/>
      </w:r>
      <w:r w:rsidRPr="00EA5693">
        <w:rPr>
          <w:rFonts w:hint="eastAsia"/>
          <w:rtl/>
        </w:rPr>
        <w:t>خدمات</w:t>
      </w:r>
      <w:r w:rsidRPr="00EA5693">
        <w:rPr>
          <w:rtl/>
        </w:rPr>
        <w:t xml:space="preserve"> </w:t>
      </w:r>
      <w:r w:rsidRPr="00EA5693">
        <w:rPr>
          <w:rFonts w:hint="eastAsia"/>
          <w:rtl/>
        </w:rPr>
        <w:t>النفاذ</w:t>
      </w:r>
      <w:r w:rsidRPr="00EA5693">
        <w:rPr>
          <w:rtl/>
        </w:rPr>
        <w:t xml:space="preserve"> </w:t>
      </w:r>
      <w:r w:rsidRPr="00EA5693">
        <w:rPr>
          <w:rFonts w:hint="eastAsia"/>
          <w:rtl/>
        </w:rPr>
        <w:t>إلى</w:t>
      </w:r>
      <w:r w:rsidRPr="00EA5693">
        <w:rPr>
          <w:rtl/>
        </w:rPr>
        <w:t xml:space="preserve"> </w:t>
      </w:r>
      <w:r w:rsidRPr="00EA5693">
        <w:rPr>
          <w:rFonts w:hint="eastAsia"/>
          <w:rtl/>
        </w:rPr>
        <w:t>المعلومات</w:t>
      </w:r>
      <w:r w:rsidRPr="00EA5693">
        <w:rPr>
          <w:rtl/>
        </w:rPr>
        <w:t xml:space="preserve"> </w:t>
      </w:r>
      <w:r w:rsidRPr="00EA5693">
        <w:rPr>
          <w:rFonts w:hint="eastAsia"/>
          <w:rtl/>
        </w:rPr>
        <w:t>والمعرفة</w:t>
      </w:r>
      <w:r w:rsidRPr="00EA5693">
        <w:tab/>
      </w:r>
      <w:r w:rsidRPr="000178A6">
        <w:rPr>
          <w:b w:val="0"/>
          <w:bCs/>
        </w:rPr>
        <w:fldChar w:fldCharType="begin"/>
      </w:r>
      <w:r w:rsidRPr="000178A6">
        <w:rPr>
          <w:b w:val="0"/>
          <w:bCs/>
        </w:rPr>
        <w:instrText xml:space="preserve"> PAGEREF _Toc420595517 \h </w:instrText>
      </w:r>
      <w:r w:rsidRPr="000178A6">
        <w:rPr>
          <w:b w:val="0"/>
          <w:bCs/>
        </w:rPr>
      </w:r>
      <w:r w:rsidRPr="000178A6">
        <w:rPr>
          <w:b w:val="0"/>
          <w:bCs/>
        </w:rPr>
        <w:fldChar w:fldCharType="separate"/>
      </w:r>
      <w:r w:rsidR="00A92CC0">
        <w:rPr>
          <w:b w:val="0"/>
          <w:bCs/>
          <w:rtl/>
        </w:rPr>
        <w:t>118</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15</w:t>
      </w:r>
      <w:r w:rsidRPr="00EA5693">
        <w:rPr>
          <w:rFonts w:eastAsiaTheme="minorEastAsia"/>
          <w:lang w:bidi="ar-SA"/>
        </w:rPr>
        <w:tab/>
      </w:r>
      <w:r w:rsidRPr="00EA5693">
        <w:rPr>
          <w:rFonts w:hint="eastAsia"/>
          <w:rtl/>
        </w:rPr>
        <w:t>الحلول</w:t>
      </w:r>
      <w:r w:rsidRPr="00EA5693">
        <w:rPr>
          <w:rtl/>
        </w:rPr>
        <w:t xml:space="preserve"> </w:t>
      </w:r>
      <w:r w:rsidRPr="00EA5693">
        <w:rPr>
          <w:rFonts w:hint="eastAsia"/>
          <w:rtl/>
        </w:rPr>
        <w:t>التجارية</w:t>
      </w:r>
      <w:r w:rsidRPr="00EA5693">
        <w:rPr>
          <w:rtl/>
        </w:rPr>
        <w:t xml:space="preserve"> </w:t>
      </w:r>
      <w:r w:rsidRPr="00EA5693">
        <w:rPr>
          <w:rFonts w:hint="eastAsia"/>
          <w:rtl/>
        </w:rPr>
        <w:t>لمكاتب</w:t>
      </w:r>
      <w:r w:rsidRPr="00EA5693">
        <w:rPr>
          <w:rtl/>
        </w:rPr>
        <w:t xml:space="preserve"> </w:t>
      </w:r>
      <w:r w:rsidRPr="00EA5693">
        <w:rPr>
          <w:rFonts w:hint="eastAsia"/>
          <w:rtl/>
        </w:rPr>
        <w:t>الملكية</w:t>
      </w:r>
      <w:r w:rsidRPr="00EA5693">
        <w:rPr>
          <w:rtl/>
        </w:rPr>
        <w:t xml:space="preserve"> </w:t>
      </w:r>
      <w:r w:rsidRPr="00EA5693">
        <w:rPr>
          <w:rFonts w:hint="eastAsia"/>
          <w:rtl/>
        </w:rPr>
        <w:t>الفكرية</w:t>
      </w:r>
      <w:r w:rsidRPr="00EA5693">
        <w:tab/>
      </w:r>
      <w:r w:rsidRPr="000178A6">
        <w:rPr>
          <w:b w:val="0"/>
          <w:bCs/>
        </w:rPr>
        <w:fldChar w:fldCharType="begin"/>
      </w:r>
      <w:r w:rsidRPr="000178A6">
        <w:rPr>
          <w:b w:val="0"/>
          <w:bCs/>
        </w:rPr>
        <w:instrText xml:space="preserve"> PAGEREF _Toc420595518 \h </w:instrText>
      </w:r>
      <w:r w:rsidRPr="000178A6">
        <w:rPr>
          <w:b w:val="0"/>
          <w:bCs/>
        </w:rPr>
      </w:r>
      <w:r w:rsidRPr="000178A6">
        <w:rPr>
          <w:b w:val="0"/>
          <w:bCs/>
        </w:rPr>
        <w:fldChar w:fldCharType="separate"/>
      </w:r>
      <w:r w:rsidR="00A92CC0">
        <w:rPr>
          <w:b w:val="0"/>
          <w:bCs/>
          <w:rtl/>
        </w:rPr>
        <w:t>122</w:t>
      </w:r>
      <w:r w:rsidRPr="000178A6">
        <w:rPr>
          <w:b w:val="0"/>
          <w:bCs/>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الخامس</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المصدر</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العالمي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لمراجع</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المعلومات</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والدراسات</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المتعلقة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بالملكية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الفكرية</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_Toc420595519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126</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16 </w:t>
      </w:r>
      <w:r w:rsidRPr="00EA5693">
        <w:rPr>
          <w:rFonts w:eastAsiaTheme="minorEastAsia"/>
          <w:lang w:bidi="ar-SA"/>
        </w:rPr>
        <w:tab/>
      </w:r>
      <w:r w:rsidRPr="00EA5693">
        <w:rPr>
          <w:rFonts w:hint="eastAsia"/>
          <w:rtl/>
        </w:rPr>
        <w:t>الاقتصاد</w:t>
      </w:r>
      <w:r w:rsidRPr="00EA5693">
        <w:rPr>
          <w:rtl/>
        </w:rPr>
        <w:t xml:space="preserve"> </w:t>
      </w:r>
      <w:r w:rsidRPr="00EA5693">
        <w:rPr>
          <w:rFonts w:hint="eastAsia"/>
          <w:rtl/>
        </w:rPr>
        <w:t>والإحصاء</w:t>
      </w:r>
      <w:r w:rsidRPr="00EA5693">
        <w:tab/>
      </w:r>
      <w:r w:rsidRPr="000178A6">
        <w:rPr>
          <w:b w:val="0"/>
          <w:bCs/>
        </w:rPr>
        <w:fldChar w:fldCharType="begin"/>
      </w:r>
      <w:r w:rsidRPr="000178A6">
        <w:rPr>
          <w:b w:val="0"/>
          <w:bCs/>
        </w:rPr>
        <w:instrText xml:space="preserve"> PAGEREF _Toc420595520 \h </w:instrText>
      </w:r>
      <w:r w:rsidRPr="000178A6">
        <w:rPr>
          <w:b w:val="0"/>
          <w:bCs/>
        </w:rPr>
      </w:r>
      <w:r w:rsidRPr="000178A6">
        <w:rPr>
          <w:b w:val="0"/>
          <w:bCs/>
        </w:rPr>
        <w:fldChar w:fldCharType="separate"/>
      </w:r>
      <w:r w:rsidR="00A92CC0">
        <w:rPr>
          <w:b w:val="0"/>
          <w:bCs/>
          <w:rtl/>
        </w:rPr>
        <w:t>127</w:t>
      </w:r>
      <w:r w:rsidRPr="000178A6">
        <w:rPr>
          <w:b w:val="0"/>
          <w:bCs/>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السادس</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التعاون</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الدولي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بشأن</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إذكاء</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الاحترام</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للملكية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الفكرية</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_Toc420595521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130</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17</w:t>
      </w:r>
      <w:r w:rsidRPr="00EA5693">
        <w:rPr>
          <w:rFonts w:eastAsiaTheme="minorEastAsia"/>
          <w:lang w:bidi="ar-SA"/>
        </w:rPr>
        <w:tab/>
      </w:r>
      <w:r w:rsidRPr="00EA5693">
        <w:rPr>
          <w:rFonts w:hint="eastAsia"/>
          <w:rtl/>
        </w:rPr>
        <w:t>إذكاء</w:t>
      </w:r>
      <w:r w:rsidRPr="00EA5693">
        <w:rPr>
          <w:rtl/>
        </w:rPr>
        <w:t xml:space="preserve"> </w:t>
      </w:r>
      <w:r w:rsidRPr="00EA5693">
        <w:rPr>
          <w:rFonts w:hint="eastAsia"/>
          <w:rtl/>
        </w:rPr>
        <w:t>الاحترام</w:t>
      </w:r>
      <w:r w:rsidRPr="00EA5693">
        <w:rPr>
          <w:rtl/>
        </w:rPr>
        <w:t xml:space="preserve"> </w:t>
      </w:r>
      <w:r w:rsidRPr="00EA5693">
        <w:rPr>
          <w:rFonts w:hint="eastAsia"/>
          <w:rtl/>
        </w:rPr>
        <w:t>للملكية</w:t>
      </w:r>
      <w:r w:rsidRPr="00EA5693">
        <w:rPr>
          <w:rtl/>
        </w:rPr>
        <w:t xml:space="preserve"> </w:t>
      </w:r>
      <w:r w:rsidRPr="00EA5693">
        <w:rPr>
          <w:rFonts w:hint="eastAsia"/>
          <w:rtl/>
        </w:rPr>
        <w:t>الفكرية</w:t>
      </w:r>
      <w:r w:rsidRPr="00EA5693">
        <w:tab/>
      </w:r>
      <w:r w:rsidRPr="000178A6">
        <w:rPr>
          <w:b w:val="0"/>
          <w:bCs/>
        </w:rPr>
        <w:fldChar w:fldCharType="begin"/>
      </w:r>
      <w:r w:rsidRPr="000178A6">
        <w:rPr>
          <w:b w:val="0"/>
          <w:bCs/>
        </w:rPr>
        <w:instrText xml:space="preserve"> PAGEREF _Toc420595522 \h </w:instrText>
      </w:r>
      <w:r w:rsidRPr="000178A6">
        <w:rPr>
          <w:b w:val="0"/>
          <w:bCs/>
        </w:rPr>
      </w:r>
      <w:r w:rsidRPr="000178A6">
        <w:rPr>
          <w:b w:val="0"/>
          <w:bCs/>
        </w:rPr>
        <w:fldChar w:fldCharType="separate"/>
      </w:r>
      <w:r w:rsidR="00A92CC0">
        <w:rPr>
          <w:b w:val="0"/>
          <w:bCs/>
          <w:rtl/>
        </w:rPr>
        <w:t>131</w:t>
      </w:r>
      <w:r w:rsidRPr="000178A6">
        <w:rPr>
          <w:b w:val="0"/>
          <w:bCs/>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السابع</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الملكية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الفكرية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وقضايا</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السياسات</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العامة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العالمية</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_Toc420595523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136</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18</w:t>
      </w:r>
      <w:r w:rsidRPr="00EA5693">
        <w:rPr>
          <w:rFonts w:eastAsiaTheme="minorEastAsia"/>
          <w:lang w:bidi="ar-SA"/>
        </w:rPr>
        <w:tab/>
      </w:r>
      <w:r w:rsidRPr="00EA5693">
        <w:rPr>
          <w:rFonts w:hint="eastAsia"/>
          <w:rtl/>
        </w:rPr>
        <w:t>الملكية</w:t>
      </w:r>
      <w:r w:rsidRPr="00EA5693">
        <w:rPr>
          <w:rtl/>
        </w:rPr>
        <w:t xml:space="preserve"> </w:t>
      </w:r>
      <w:r w:rsidRPr="00EA5693">
        <w:rPr>
          <w:rFonts w:hint="eastAsia"/>
          <w:rtl/>
        </w:rPr>
        <w:t>الفكرية</w:t>
      </w:r>
      <w:r w:rsidRPr="00EA5693">
        <w:rPr>
          <w:rtl/>
        </w:rPr>
        <w:t xml:space="preserve"> </w:t>
      </w:r>
      <w:r w:rsidRPr="00EA5693">
        <w:rPr>
          <w:rFonts w:hint="eastAsia"/>
          <w:rtl/>
        </w:rPr>
        <w:t>والتحديات</w:t>
      </w:r>
      <w:r w:rsidRPr="00EA5693">
        <w:rPr>
          <w:rtl/>
        </w:rPr>
        <w:t xml:space="preserve"> </w:t>
      </w:r>
      <w:r w:rsidRPr="00EA5693">
        <w:rPr>
          <w:rFonts w:hint="eastAsia"/>
          <w:rtl/>
        </w:rPr>
        <w:t>العالمية</w:t>
      </w:r>
      <w:r w:rsidRPr="00EA5693">
        <w:tab/>
      </w:r>
      <w:r w:rsidRPr="000178A6">
        <w:rPr>
          <w:b w:val="0"/>
          <w:bCs/>
        </w:rPr>
        <w:fldChar w:fldCharType="begin"/>
      </w:r>
      <w:r w:rsidRPr="000178A6">
        <w:rPr>
          <w:b w:val="0"/>
          <w:bCs/>
        </w:rPr>
        <w:instrText xml:space="preserve"> PAGEREF _Toc420595524 \h </w:instrText>
      </w:r>
      <w:r w:rsidRPr="000178A6">
        <w:rPr>
          <w:b w:val="0"/>
          <w:bCs/>
        </w:rPr>
      </w:r>
      <w:r w:rsidRPr="000178A6">
        <w:rPr>
          <w:b w:val="0"/>
          <w:bCs/>
        </w:rPr>
        <w:fldChar w:fldCharType="separate"/>
      </w:r>
      <w:r w:rsidR="00A92CC0">
        <w:rPr>
          <w:b w:val="0"/>
          <w:bCs/>
          <w:rtl/>
        </w:rPr>
        <w:t>137</w:t>
      </w:r>
      <w:r w:rsidRPr="000178A6">
        <w:rPr>
          <w:b w:val="0"/>
          <w:bCs/>
        </w:rPr>
        <w:fldChar w:fldCharType="end"/>
      </w:r>
    </w:p>
    <w:p w:rsidR="00EA5693" w:rsidRPr="00EA5693" w:rsidRDefault="00EA5693" w:rsidP="000178A6">
      <w:pPr>
        <w:pStyle w:val="TOC2"/>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الثامن</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آلية</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تواصل</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متجاوب</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بين</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الويبو</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والأعضاء</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وجميع</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أصحاب</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المصالح</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_Toc420595525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144</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caps/>
          <w:snapToGrid w:val="0"/>
          <w:rtl/>
        </w:rPr>
        <w:t>البرنامج</w:t>
      </w:r>
      <w:r w:rsidRPr="00EA5693">
        <w:rPr>
          <w:caps/>
          <w:snapToGrid w:val="0"/>
          <w:rtl/>
        </w:rPr>
        <w:t xml:space="preserve"> 19</w:t>
      </w:r>
      <w:r w:rsidRPr="00EA5693">
        <w:rPr>
          <w:rFonts w:eastAsiaTheme="minorEastAsia"/>
          <w:lang w:bidi="ar-SA"/>
        </w:rPr>
        <w:tab/>
      </w:r>
      <w:r w:rsidRPr="00EA5693">
        <w:rPr>
          <w:rFonts w:hint="eastAsia"/>
          <w:caps/>
          <w:snapToGrid w:val="0"/>
          <w:rtl/>
        </w:rPr>
        <w:t>التواصل</w:t>
      </w:r>
      <w:r w:rsidRPr="00EA5693">
        <w:tab/>
      </w:r>
      <w:r w:rsidRPr="000178A6">
        <w:rPr>
          <w:b w:val="0"/>
          <w:bCs/>
        </w:rPr>
        <w:fldChar w:fldCharType="begin"/>
      </w:r>
      <w:r w:rsidRPr="000178A6">
        <w:rPr>
          <w:b w:val="0"/>
          <w:bCs/>
        </w:rPr>
        <w:instrText xml:space="preserve"> PAGEREF _Toc420595526 \h </w:instrText>
      </w:r>
      <w:r w:rsidRPr="000178A6">
        <w:rPr>
          <w:b w:val="0"/>
          <w:bCs/>
        </w:rPr>
      </w:r>
      <w:r w:rsidRPr="000178A6">
        <w:rPr>
          <w:b w:val="0"/>
          <w:bCs/>
        </w:rPr>
        <w:fldChar w:fldCharType="separate"/>
      </w:r>
      <w:r w:rsidR="00A92CC0">
        <w:rPr>
          <w:b w:val="0"/>
          <w:bCs/>
          <w:rtl/>
        </w:rPr>
        <w:t>146</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20</w:t>
      </w:r>
      <w:r w:rsidRPr="00EA5693">
        <w:rPr>
          <w:rFonts w:eastAsiaTheme="minorEastAsia"/>
          <w:lang w:bidi="ar-SA"/>
        </w:rPr>
        <w:tab/>
      </w:r>
      <w:r w:rsidRPr="00EA5693">
        <w:rPr>
          <w:rFonts w:hint="eastAsia"/>
          <w:rtl/>
        </w:rPr>
        <w:t>العلاقات</w:t>
      </w:r>
      <w:r w:rsidRPr="00EA5693">
        <w:rPr>
          <w:rtl/>
        </w:rPr>
        <w:t xml:space="preserve"> </w:t>
      </w:r>
      <w:r w:rsidRPr="00EA5693">
        <w:rPr>
          <w:rFonts w:hint="eastAsia"/>
          <w:rtl/>
        </w:rPr>
        <w:t>الخارجية</w:t>
      </w:r>
      <w:r w:rsidRPr="00EA5693">
        <w:rPr>
          <w:rtl/>
        </w:rPr>
        <w:t xml:space="preserve"> </w:t>
      </w:r>
      <w:r w:rsidRPr="00EA5693">
        <w:rPr>
          <w:rFonts w:hint="eastAsia"/>
          <w:rtl/>
        </w:rPr>
        <w:t>والشراكات</w:t>
      </w:r>
      <w:r w:rsidRPr="00EA5693">
        <w:rPr>
          <w:rtl/>
        </w:rPr>
        <w:t xml:space="preserve"> </w:t>
      </w:r>
      <w:r w:rsidRPr="00EA5693">
        <w:rPr>
          <w:rFonts w:hint="eastAsia"/>
          <w:rtl/>
        </w:rPr>
        <w:t>والمكاتب</w:t>
      </w:r>
      <w:r w:rsidRPr="00EA5693">
        <w:rPr>
          <w:rtl/>
        </w:rPr>
        <w:t xml:space="preserve"> </w:t>
      </w:r>
      <w:r w:rsidRPr="00EA5693">
        <w:rPr>
          <w:rFonts w:hint="eastAsia"/>
          <w:rtl/>
        </w:rPr>
        <w:t>الخارجية</w:t>
      </w:r>
      <w:r w:rsidRPr="00EA5693">
        <w:tab/>
      </w:r>
      <w:r w:rsidRPr="000178A6">
        <w:rPr>
          <w:b w:val="0"/>
          <w:bCs/>
        </w:rPr>
        <w:fldChar w:fldCharType="begin"/>
      </w:r>
      <w:r w:rsidRPr="000178A6">
        <w:rPr>
          <w:b w:val="0"/>
          <w:bCs/>
        </w:rPr>
        <w:instrText xml:space="preserve"> PAGEREF _Toc420595527 \h </w:instrText>
      </w:r>
      <w:r w:rsidRPr="000178A6">
        <w:rPr>
          <w:b w:val="0"/>
          <w:bCs/>
        </w:rPr>
      </w:r>
      <w:r w:rsidRPr="000178A6">
        <w:rPr>
          <w:b w:val="0"/>
          <w:bCs/>
        </w:rPr>
        <w:fldChar w:fldCharType="separate"/>
      </w:r>
      <w:r w:rsidR="00A92CC0">
        <w:rPr>
          <w:b w:val="0"/>
          <w:bCs/>
          <w:rtl/>
        </w:rPr>
        <w:t>151</w:t>
      </w:r>
      <w:r w:rsidRPr="000178A6">
        <w:rPr>
          <w:b w:val="0"/>
          <w:bCs/>
        </w:rPr>
        <w:fldChar w:fldCharType="end"/>
      </w:r>
    </w:p>
    <w:p w:rsidR="00EA5693" w:rsidRPr="00EA5693" w:rsidRDefault="00EA5693" w:rsidP="00C2164A">
      <w:pPr>
        <w:pStyle w:val="TOC2"/>
        <w:keepNext/>
        <w:tabs>
          <w:tab w:val="clear" w:pos="8929"/>
          <w:tab w:val="left" w:pos="2267"/>
          <w:tab w:val="right" w:pos="9355"/>
        </w:tabs>
        <w:rPr>
          <w:rFonts w:ascii="Arabic Typesetting" w:eastAsiaTheme="minorEastAsia" w:hAnsi="Arabic Typesetting" w:cs="Arabic Typesetting"/>
          <w:b w:val="0"/>
          <w:bCs w:val="0"/>
          <w:noProof/>
          <w:sz w:val="28"/>
          <w:szCs w:val="28"/>
          <w:lang w:bidi="ar-SA"/>
        </w:rPr>
      </w:pPr>
      <w:r w:rsidRPr="00EA5693">
        <w:rPr>
          <w:rFonts w:ascii="Arabic Typesetting" w:hAnsi="Arabic Typesetting" w:cs="Arabic Typesetting" w:hint="eastAsia"/>
          <w:b w:val="0"/>
          <w:bCs w:val="0"/>
          <w:i/>
          <w:noProof/>
          <w:sz w:val="28"/>
          <w:szCs w:val="28"/>
          <w:rtl/>
        </w:rPr>
        <w:lastRenderedPageBreak/>
        <w:t>الهدف</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الاستراتيجي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التاسع</w:t>
      </w:r>
      <w:r w:rsidRPr="00EA5693">
        <w:rPr>
          <w:rFonts w:ascii="Arabic Typesetting" w:eastAsiaTheme="minorEastAsia" w:hAnsi="Arabic Typesetting" w:cs="Arabic Typesetting"/>
          <w:b w:val="0"/>
          <w:bCs w:val="0"/>
          <w:noProof/>
          <w:sz w:val="28"/>
          <w:szCs w:val="28"/>
          <w:lang w:bidi="ar-SA"/>
        </w:rPr>
        <w:tab/>
      </w:r>
      <w:r w:rsidRPr="00EA5693">
        <w:rPr>
          <w:rFonts w:ascii="Arabic Typesetting" w:hAnsi="Arabic Typesetting" w:cs="Arabic Typesetting" w:hint="eastAsia"/>
          <w:b w:val="0"/>
          <w:bCs w:val="0"/>
          <w:i/>
          <w:noProof/>
          <w:sz w:val="28"/>
          <w:szCs w:val="28"/>
          <w:rtl/>
        </w:rPr>
        <w:t>دعم</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إداري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ومالي</w:t>
      </w:r>
      <w:r w:rsidRPr="00EA5693">
        <w:rPr>
          <w:rFonts w:ascii="Arabic Typesetting" w:hAnsi="Arabic Typesetting" w:cs="Arabic Typesetting"/>
          <w:b w:val="0"/>
          <w:bCs w:val="0"/>
          <w:i/>
          <w:noProof/>
          <w:sz w:val="28"/>
          <w:szCs w:val="28"/>
          <w:rtl/>
        </w:rPr>
        <w:t xml:space="preserve"> </w:t>
      </w:r>
      <w:r w:rsidRPr="00EA5693">
        <w:rPr>
          <w:rFonts w:ascii="Arabic Typesetting" w:hAnsi="Arabic Typesetting" w:cs="Arabic Typesetting" w:hint="eastAsia"/>
          <w:b w:val="0"/>
          <w:bCs w:val="0"/>
          <w:i/>
          <w:noProof/>
          <w:sz w:val="28"/>
          <w:szCs w:val="28"/>
          <w:rtl/>
        </w:rPr>
        <w:t>فعال</w:t>
      </w:r>
      <w:r w:rsidRPr="00EA5693">
        <w:rPr>
          <w:rFonts w:ascii="Arabic Typesetting" w:hAnsi="Arabic Typesetting" w:cs="Arabic Typesetting"/>
          <w:b w:val="0"/>
          <w:bCs w:val="0"/>
          <w:noProof/>
          <w:sz w:val="28"/>
          <w:szCs w:val="28"/>
        </w:rPr>
        <w:tab/>
      </w:r>
      <w:r w:rsidRPr="00EA5693">
        <w:rPr>
          <w:rFonts w:ascii="Arabic Typesetting" w:hAnsi="Arabic Typesetting" w:cs="Arabic Typesetting"/>
          <w:b w:val="0"/>
          <w:bCs w:val="0"/>
          <w:noProof/>
          <w:sz w:val="28"/>
          <w:szCs w:val="28"/>
        </w:rPr>
        <w:fldChar w:fldCharType="begin"/>
      </w:r>
      <w:r w:rsidRPr="00EA5693">
        <w:rPr>
          <w:rFonts w:ascii="Arabic Typesetting" w:hAnsi="Arabic Typesetting" w:cs="Arabic Typesetting"/>
          <w:b w:val="0"/>
          <w:bCs w:val="0"/>
          <w:noProof/>
          <w:sz w:val="28"/>
          <w:szCs w:val="28"/>
        </w:rPr>
        <w:instrText xml:space="preserve"> PAGEREF _Toc420595528 \h </w:instrText>
      </w:r>
      <w:r w:rsidRPr="00EA5693">
        <w:rPr>
          <w:rFonts w:ascii="Arabic Typesetting" w:hAnsi="Arabic Typesetting" w:cs="Arabic Typesetting"/>
          <w:b w:val="0"/>
          <w:bCs w:val="0"/>
          <w:noProof/>
          <w:sz w:val="28"/>
          <w:szCs w:val="28"/>
        </w:rPr>
      </w:r>
      <w:r w:rsidRPr="00EA5693">
        <w:rPr>
          <w:rFonts w:ascii="Arabic Typesetting" w:hAnsi="Arabic Typesetting" w:cs="Arabic Typesetting"/>
          <w:b w:val="0"/>
          <w:bCs w:val="0"/>
          <w:noProof/>
          <w:sz w:val="28"/>
          <w:szCs w:val="28"/>
        </w:rPr>
        <w:fldChar w:fldCharType="separate"/>
      </w:r>
      <w:r w:rsidR="00A92CC0">
        <w:rPr>
          <w:rFonts w:ascii="Arabic Typesetting" w:hAnsi="Arabic Typesetting" w:cs="Arabic Typesetting"/>
          <w:b w:val="0"/>
          <w:bCs w:val="0"/>
          <w:noProof/>
          <w:sz w:val="28"/>
          <w:szCs w:val="28"/>
          <w:rtl/>
        </w:rPr>
        <w:t>161</w:t>
      </w:r>
      <w:r w:rsidRPr="00EA5693">
        <w:rPr>
          <w:rFonts w:ascii="Arabic Typesetting" w:hAnsi="Arabic Typesetting" w:cs="Arabic Typesetting"/>
          <w:b w:val="0"/>
          <w:bCs w:val="0"/>
          <w:noProof/>
          <w:sz w:val="28"/>
          <w:szCs w:val="28"/>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21</w:t>
      </w:r>
      <w:r w:rsidRPr="00EA5693">
        <w:rPr>
          <w:rFonts w:eastAsiaTheme="minorEastAsia"/>
          <w:lang w:bidi="ar-SA"/>
        </w:rPr>
        <w:tab/>
      </w:r>
      <w:r w:rsidRPr="00EA5693">
        <w:rPr>
          <w:rFonts w:hint="eastAsia"/>
          <w:rtl/>
        </w:rPr>
        <w:t>الإدارة</w:t>
      </w:r>
      <w:r w:rsidRPr="00EA5693">
        <w:rPr>
          <w:rtl/>
        </w:rPr>
        <w:t xml:space="preserve"> </w:t>
      </w:r>
      <w:r w:rsidRPr="00EA5693">
        <w:rPr>
          <w:rFonts w:hint="eastAsia"/>
          <w:rtl/>
        </w:rPr>
        <w:t>التنفيذية</w:t>
      </w:r>
      <w:r w:rsidRPr="00EA5693">
        <w:tab/>
      </w:r>
      <w:r w:rsidRPr="000178A6">
        <w:rPr>
          <w:b w:val="0"/>
          <w:bCs/>
        </w:rPr>
        <w:fldChar w:fldCharType="begin"/>
      </w:r>
      <w:r w:rsidRPr="000178A6">
        <w:rPr>
          <w:b w:val="0"/>
          <w:bCs/>
        </w:rPr>
        <w:instrText xml:space="preserve"> PAGEREF _Toc420595529 \h </w:instrText>
      </w:r>
      <w:r w:rsidRPr="000178A6">
        <w:rPr>
          <w:b w:val="0"/>
          <w:bCs/>
        </w:rPr>
      </w:r>
      <w:r w:rsidRPr="000178A6">
        <w:rPr>
          <w:b w:val="0"/>
          <w:bCs/>
        </w:rPr>
        <w:fldChar w:fldCharType="separate"/>
      </w:r>
      <w:r w:rsidR="00A92CC0">
        <w:rPr>
          <w:b w:val="0"/>
          <w:bCs/>
          <w:rtl/>
        </w:rPr>
        <w:t>166</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22</w:t>
      </w:r>
      <w:r w:rsidRPr="00EA5693">
        <w:rPr>
          <w:rFonts w:eastAsiaTheme="minorEastAsia"/>
          <w:lang w:bidi="ar-SA"/>
        </w:rPr>
        <w:tab/>
      </w:r>
      <w:r w:rsidRPr="00EA5693">
        <w:rPr>
          <w:rFonts w:hint="eastAsia"/>
          <w:rtl/>
        </w:rPr>
        <w:t>إدارة</w:t>
      </w:r>
      <w:r w:rsidRPr="00EA5693">
        <w:rPr>
          <w:rtl/>
        </w:rPr>
        <w:t xml:space="preserve"> </w:t>
      </w:r>
      <w:r w:rsidRPr="00EA5693">
        <w:rPr>
          <w:rFonts w:hint="eastAsia"/>
          <w:rtl/>
        </w:rPr>
        <w:t>البرامج</w:t>
      </w:r>
      <w:r w:rsidRPr="00EA5693">
        <w:rPr>
          <w:rtl/>
        </w:rPr>
        <w:t xml:space="preserve"> </w:t>
      </w:r>
      <w:r w:rsidRPr="00EA5693">
        <w:rPr>
          <w:rFonts w:hint="eastAsia"/>
          <w:rtl/>
        </w:rPr>
        <w:t>والموارد</w:t>
      </w:r>
      <w:r w:rsidRPr="00EA5693">
        <w:tab/>
      </w:r>
      <w:r w:rsidRPr="000178A6">
        <w:rPr>
          <w:b w:val="0"/>
          <w:bCs/>
        </w:rPr>
        <w:fldChar w:fldCharType="begin"/>
      </w:r>
      <w:r w:rsidRPr="000178A6">
        <w:rPr>
          <w:b w:val="0"/>
          <w:bCs/>
        </w:rPr>
        <w:instrText xml:space="preserve"> PAGEREF _Toc420595530 \h </w:instrText>
      </w:r>
      <w:r w:rsidRPr="000178A6">
        <w:rPr>
          <w:b w:val="0"/>
          <w:bCs/>
        </w:rPr>
      </w:r>
      <w:r w:rsidRPr="000178A6">
        <w:rPr>
          <w:b w:val="0"/>
          <w:bCs/>
        </w:rPr>
        <w:fldChar w:fldCharType="separate"/>
      </w:r>
      <w:r w:rsidR="00A92CC0">
        <w:rPr>
          <w:b w:val="0"/>
          <w:bCs/>
          <w:rtl/>
        </w:rPr>
        <w:t>171</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23</w:t>
      </w:r>
      <w:r w:rsidRPr="00EA5693">
        <w:rPr>
          <w:rFonts w:eastAsiaTheme="minorEastAsia"/>
          <w:lang w:bidi="ar-SA"/>
        </w:rPr>
        <w:tab/>
      </w:r>
      <w:r w:rsidRPr="00EA5693">
        <w:rPr>
          <w:rFonts w:hint="eastAsia"/>
          <w:rtl/>
        </w:rPr>
        <w:t>إدارة</w:t>
      </w:r>
      <w:r w:rsidRPr="00EA5693">
        <w:rPr>
          <w:rtl/>
        </w:rPr>
        <w:t xml:space="preserve"> </w:t>
      </w:r>
      <w:r w:rsidRPr="00EA5693">
        <w:rPr>
          <w:rFonts w:hint="eastAsia"/>
          <w:rtl/>
        </w:rPr>
        <w:t>الموارد</w:t>
      </w:r>
      <w:r w:rsidRPr="00EA5693">
        <w:rPr>
          <w:rtl/>
        </w:rPr>
        <w:t xml:space="preserve"> </w:t>
      </w:r>
      <w:r w:rsidRPr="00EA5693">
        <w:rPr>
          <w:rFonts w:hint="eastAsia"/>
          <w:rtl/>
        </w:rPr>
        <w:t>البشرية</w:t>
      </w:r>
      <w:r w:rsidRPr="00EA5693">
        <w:rPr>
          <w:rtl/>
        </w:rPr>
        <w:t xml:space="preserve"> </w:t>
      </w:r>
      <w:r w:rsidRPr="00EA5693">
        <w:rPr>
          <w:rFonts w:hint="eastAsia"/>
          <w:rtl/>
        </w:rPr>
        <w:t>وتطويرها</w:t>
      </w:r>
      <w:r w:rsidRPr="00EA5693">
        <w:tab/>
      </w:r>
      <w:r w:rsidRPr="000178A6">
        <w:rPr>
          <w:b w:val="0"/>
          <w:bCs/>
        </w:rPr>
        <w:fldChar w:fldCharType="begin"/>
      </w:r>
      <w:r w:rsidRPr="000178A6">
        <w:rPr>
          <w:b w:val="0"/>
          <w:bCs/>
        </w:rPr>
        <w:instrText xml:space="preserve"> PAGEREF _Toc420595531 \h </w:instrText>
      </w:r>
      <w:r w:rsidRPr="000178A6">
        <w:rPr>
          <w:b w:val="0"/>
          <w:bCs/>
        </w:rPr>
      </w:r>
      <w:r w:rsidRPr="000178A6">
        <w:rPr>
          <w:b w:val="0"/>
          <w:bCs/>
        </w:rPr>
        <w:fldChar w:fldCharType="separate"/>
      </w:r>
      <w:r w:rsidR="00A92CC0">
        <w:rPr>
          <w:b w:val="0"/>
          <w:bCs/>
          <w:rtl/>
        </w:rPr>
        <w:t>177</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24</w:t>
      </w:r>
      <w:r w:rsidRPr="00EA5693">
        <w:rPr>
          <w:rFonts w:eastAsiaTheme="minorEastAsia"/>
          <w:lang w:bidi="ar-SA"/>
        </w:rPr>
        <w:tab/>
      </w:r>
      <w:r w:rsidRPr="00EA5693">
        <w:rPr>
          <w:rFonts w:hint="eastAsia"/>
          <w:rtl/>
        </w:rPr>
        <w:t>خدمات</w:t>
      </w:r>
      <w:r w:rsidRPr="00EA5693">
        <w:rPr>
          <w:rtl/>
        </w:rPr>
        <w:t xml:space="preserve"> </w:t>
      </w:r>
      <w:r w:rsidRPr="00EA5693">
        <w:rPr>
          <w:rFonts w:hint="eastAsia"/>
          <w:rtl/>
        </w:rPr>
        <w:t>الدعم</w:t>
      </w:r>
      <w:r w:rsidRPr="00EA5693">
        <w:rPr>
          <w:rtl/>
        </w:rPr>
        <w:t xml:space="preserve"> </w:t>
      </w:r>
      <w:r w:rsidRPr="00EA5693">
        <w:rPr>
          <w:rFonts w:hint="eastAsia"/>
          <w:rtl/>
        </w:rPr>
        <w:t>العامة</w:t>
      </w:r>
      <w:r w:rsidRPr="00EA5693">
        <w:tab/>
      </w:r>
      <w:r w:rsidRPr="000178A6">
        <w:rPr>
          <w:b w:val="0"/>
          <w:bCs/>
        </w:rPr>
        <w:fldChar w:fldCharType="begin"/>
      </w:r>
      <w:r w:rsidRPr="000178A6">
        <w:rPr>
          <w:b w:val="0"/>
          <w:bCs/>
        </w:rPr>
        <w:instrText xml:space="preserve"> PAGEREF _Toc420595532 \h </w:instrText>
      </w:r>
      <w:r w:rsidRPr="000178A6">
        <w:rPr>
          <w:b w:val="0"/>
          <w:bCs/>
        </w:rPr>
      </w:r>
      <w:r w:rsidRPr="000178A6">
        <w:rPr>
          <w:b w:val="0"/>
          <w:bCs/>
        </w:rPr>
        <w:fldChar w:fldCharType="separate"/>
      </w:r>
      <w:r w:rsidR="00A92CC0">
        <w:rPr>
          <w:b w:val="0"/>
          <w:bCs/>
          <w:rtl/>
        </w:rPr>
        <w:t>182</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25</w:t>
      </w:r>
      <w:r w:rsidRPr="00EA5693">
        <w:rPr>
          <w:rFonts w:eastAsiaTheme="minorEastAsia"/>
          <w:lang w:bidi="ar-SA"/>
        </w:rPr>
        <w:tab/>
      </w:r>
      <w:r w:rsidRPr="00EA5693">
        <w:rPr>
          <w:rFonts w:hint="eastAsia"/>
          <w:rtl/>
        </w:rPr>
        <w:t>تكنولوجيا</w:t>
      </w:r>
      <w:r w:rsidRPr="00EA5693">
        <w:rPr>
          <w:rtl/>
        </w:rPr>
        <w:t xml:space="preserve"> </w:t>
      </w:r>
      <w:r w:rsidRPr="00EA5693">
        <w:rPr>
          <w:rFonts w:hint="eastAsia"/>
          <w:rtl/>
        </w:rPr>
        <w:t>المعلومات</w:t>
      </w:r>
      <w:r w:rsidRPr="00EA5693">
        <w:rPr>
          <w:rtl/>
        </w:rPr>
        <w:t xml:space="preserve"> </w:t>
      </w:r>
      <w:r w:rsidRPr="00EA5693">
        <w:rPr>
          <w:rFonts w:hint="eastAsia"/>
          <w:rtl/>
        </w:rPr>
        <w:t>والاتصالات</w:t>
      </w:r>
      <w:r w:rsidRPr="00EA5693">
        <w:tab/>
      </w:r>
      <w:r w:rsidRPr="000178A6">
        <w:rPr>
          <w:b w:val="0"/>
          <w:bCs/>
        </w:rPr>
        <w:fldChar w:fldCharType="begin"/>
      </w:r>
      <w:r w:rsidRPr="000178A6">
        <w:rPr>
          <w:b w:val="0"/>
          <w:bCs/>
        </w:rPr>
        <w:instrText xml:space="preserve"> PAGEREF _Toc420595533 \h </w:instrText>
      </w:r>
      <w:r w:rsidRPr="000178A6">
        <w:rPr>
          <w:b w:val="0"/>
          <w:bCs/>
        </w:rPr>
      </w:r>
      <w:r w:rsidRPr="000178A6">
        <w:rPr>
          <w:b w:val="0"/>
          <w:bCs/>
        </w:rPr>
        <w:fldChar w:fldCharType="separate"/>
      </w:r>
      <w:r w:rsidR="00A92CC0">
        <w:rPr>
          <w:b w:val="0"/>
          <w:bCs/>
          <w:rtl/>
        </w:rPr>
        <w:t>187</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26</w:t>
      </w:r>
      <w:r w:rsidRPr="00EA5693">
        <w:rPr>
          <w:rFonts w:eastAsiaTheme="minorEastAsia"/>
          <w:lang w:bidi="ar-SA"/>
        </w:rPr>
        <w:tab/>
      </w:r>
      <w:r w:rsidRPr="00EA5693">
        <w:rPr>
          <w:rFonts w:hint="eastAsia"/>
          <w:rtl/>
        </w:rPr>
        <w:t>الرقابة</w:t>
      </w:r>
      <w:r w:rsidRPr="00EA5693">
        <w:rPr>
          <w:rtl/>
        </w:rPr>
        <w:t xml:space="preserve"> </w:t>
      </w:r>
      <w:r w:rsidRPr="00EA5693">
        <w:rPr>
          <w:rFonts w:hint="eastAsia"/>
          <w:rtl/>
        </w:rPr>
        <w:t>الداخلية</w:t>
      </w:r>
      <w:r w:rsidRPr="00EA5693">
        <w:tab/>
      </w:r>
      <w:r w:rsidRPr="000178A6">
        <w:rPr>
          <w:b w:val="0"/>
          <w:bCs/>
        </w:rPr>
        <w:fldChar w:fldCharType="begin"/>
      </w:r>
      <w:r w:rsidRPr="000178A6">
        <w:rPr>
          <w:b w:val="0"/>
          <w:bCs/>
        </w:rPr>
        <w:instrText xml:space="preserve"> PAGEREF _Toc420595534 \h </w:instrText>
      </w:r>
      <w:r w:rsidRPr="000178A6">
        <w:rPr>
          <w:b w:val="0"/>
          <w:bCs/>
        </w:rPr>
      </w:r>
      <w:r w:rsidRPr="000178A6">
        <w:rPr>
          <w:b w:val="0"/>
          <w:bCs/>
        </w:rPr>
        <w:fldChar w:fldCharType="separate"/>
      </w:r>
      <w:r w:rsidR="00A92CC0">
        <w:rPr>
          <w:b w:val="0"/>
          <w:bCs/>
          <w:rtl/>
        </w:rPr>
        <w:t>191</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27</w:t>
      </w:r>
      <w:r w:rsidRPr="00EA5693">
        <w:rPr>
          <w:rFonts w:eastAsiaTheme="minorEastAsia"/>
          <w:lang w:bidi="ar-SA"/>
        </w:rPr>
        <w:tab/>
      </w:r>
      <w:r w:rsidRPr="00EA5693">
        <w:rPr>
          <w:rFonts w:hint="eastAsia"/>
          <w:rtl/>
        </w:rPr>
        <w:t>خدمات</w:t>
      </w:r>
      <w:r w:rsidRPr="00EA5693">
        <w:rPr>
          <w:rtl/>
        </w:rPr>
        <w:t xml:space="preserve"> </w:t>
      </w:r>
      <w:r w:rsidRPr="00EA5693">
        <w:rPr>
          <w:rFonts w:hint="eastAsia"/>
          <w:rtl/>
        </w:rPr>
        <w:t>المؤتمرات</w:t>
      </w:r>
      <w:r w:rsidRPr="00EA5693">
        <w:rPr>
          <w:rtl/>
        </w:rPr>
        <w:t xml:space="preserve"> </w:t>
      </w:r>
      <w:r w:rsidRPr="00EA5693">
        <w:rPr>
          <w:rFonts w:hint="eastAsia"/>
          <w:rtl/>
        </w:rPr>
        <w:t>واللغات</w:t>
      </w:r>
      <w:r w:rsidRPr="00EA5693">
        <w:tab/>
      </w:r>
      <w:r w:rsidRPr="000178A6">
        <w:rPr>
          <w:b w:val="0"/>
          <w:bCs/>
        </w:rPr>
        <w:fldChar w:fldCharType="begin"/>
      </w:r>
      <w:r w:rsidRPr="000178A6">
        <w:rPr>
          <w:b w:val="0"/>
          <w:bCs/>
        </w:rPr>
        <w:instrText xml:space="preserve"> PAGEREF _Toc420595535 \h </w:instrText>
      </w:r>
      <w:r w:rsidRPr="000178A6">
        <w:rPr>
          <w:b w:val="0"/>
          <w:bCs/>
        </w:rPr>
      </w:r>
      <w:r w:rsidRPr="000178A6">
        <w:rPr>
          <w:b w:val="0"/>
          <w:bCs/>
        </w:rPr>
        <w:fldChar w:fldCharType="separate"/>
      </w:r>
      <w:r w:rsidR="00A92CC0">
        <w:rPr>
          <w:b w:val="0"/>
          <w:bCs/>
          <w:rtl/>
        </w:rPr>
        <w:t>194</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rPr>
        <w:t>البرنامج</w:t>
      </w:r>
      <w:r w:rsidRPr="00EA5693">
        <w:rPr>
          <w:rtl/>
        </w:rPr>
        <w:t xml:space="preserve"> 28</w:t>
      </w:r>
      <w:r w:rsidRPr="00EA5693">
        <w:rPr>
          <w:rFonts w:eastAsiaTheme="minorEastAsia"/>
          <w:lang w:bidi="ar-SA"/>
        </w:rPr>
        <w:tab/>
      </w:r>
      <w:r w:rsidRPr="00EA5693">
        <w:rPr>
          <w:rFonts w:hint="eastAsia"/>
          <w:rtl/>
        </w:rPr>
        <w:t>تأمين</w:t>
      </w:r>
      <w:r w:rsidRPr="00EA5693">
        <w:rPr>
          <w:rtl/>
        </w:rPr>
        <w:t xml:space="preserve"> </w:t>
      </w:r>
      <w:r w:rsidRPr="00EA5693">
        <w:rPr>
          <w:rFonts w:hint="eastAsia"/>
          <w:rtl/>
        </w:rPr>
        <w:t>المعلومات</w:t>
      </w:r>
      <w:r w:rsidRPr="00EA5693">
        <w:rPr>
          <w:rtl/>
        </w:rPr>
        <w:t xml:space="preserve"> </w:t>
      </w:r>
      <w:r w:rsidRPr="00EA5693">
        <w:rPr>
          <w:rFonts w:hint="eastAsia"/>
          <w:rtl/>
        </w:rPr>
        <w:t>والسلامة</w:t>
      </w:r>
      <w:r w:rsidRPr="00EA5693">
        <w:rPr>
          <w:rtl/>
        </w:rPr>
        <w:t xml:space="preserve"> </w:t>
      </w:r>
      <w:r w:rsidRPr="00EA5693">
        <w:rPr>
          <w:rFonts w:hint="eastAsia"/>
          <w:rtl/>
        </w:rPr>
        <w:t>والأمن</w:t>
      </w:r>
      <w:r w:rsidRPr="00EA5693">
        <w:tab/>
      </w:r>
      <w:r w:rsidRPr="000178A6">
        <w:rPr>
          <w:b w:val="0"/>
          <w:bCs/>
        </w:rPr>
        <w:fldChar w:fldCharType="begin"/>
      </w:r>
      <w:r w:rsidRPr="000178A6">
        <w:rPr>
          <w:b w:val="0"/>
          <w:bCs/>
        </w:rPr>
        <w:instrText xml:space="preserve"> PAGEREF _Toc420595536 \h </w:instrText>
      </w:r>
      <w:r w:rsidRPr="000178A6">
        <w:rPr>
          <w:b w:val="0"/>
          <w:bCs/>
        </w:rPr>
      </w:r>
      <w:r w:rsidRPr="000178A6">
        <w:rPr>
          <w:b w:val="0"/>
          <w:bCs/>
        </w:rPr>
        <w:fldChar w:fldCharType="separate"/>
      </w:r>
      <w:r w:rsidR="00A92CC0">
        <w:rPr>
          <w:b w:val="0"/>
          <w:bCs/>
          <w:rtl/>
        </w:rPr>
        <w:t>197</w:t>
      </w:r>
      <w:r w:rsidRPr="000178A6">
        <w:rPr>
          <w:b w:val="0"/>
          <w:bCs/>
        </w:rPr>
        <w:fldChar w:fldCharType="end"/>
      </w:r>
    </w:p>
    <w:p w:rsidR="00EA5693" w:rsidRPr="000178A6" w:rsidRDefault="00EA5693" w:rsidP="00EA5693">
      <w:pPr>
        <w:pStyle w:val="TOC1"/>
        <w:rPr>
          <w:rFonts w:ascii="Arabic Typesetting" w:eastAsiaTheme="minorEastAsia" w:hAnsi="Arabic Typesetting" w:cs="Arabic Typesetting"/>
          <w:caps w:val="0"/>
          <w:noProof/>
          <w:sz w:val="28"/>
          <w:lang w:bidi="ar-SA"/>
        </w:rPr>
      </w:pPr>
      <w:r w:rsidRPr="000178A6">
        <w:rPr>
          <w:rFonts w:ascii="Arabic Typesetting" w:hAnsi="Arabic Typesetting" w:cs="Arabic Typesetting" w:hint="eastAsia"/>
          <w:noProof/>
          <w:sz w:val="28"/>
          <w:rtl/>
          <w:lang w:val="fr-CH"/>
        </w:rPr>
        <w:t>ثالثا</w:t>
      </w:r>
      <w:r w:rsidRPr="000178A6">
        <w:rPr>
          <w:rFonts w:ascii="Arabic Typesetting" w:eastAsiaTheme="minorEastAsia" w:hAnsi="Arabic Typesetting" w:cs="Arabic Typesetting"/>
          <w:caps w:val="0"/>
          <w:noProof/>
          <w:sz w:val="28"/>
          <w:lang w:bidi="ar-SA"/>
        </w:rPr>
        <w:tab/>
      </w:r>
      <w:r w:rsidRPr="000178A6">
        <w:rPr>
          <w:rFonts w:ascii="Arabic Typesetting" w:hAnsi="Arabic Typesetting" w:cs="Arabic Typesetting" w:hint="eastAsia"/>
          <w:noProof/>
          <w:sz w:val="28"/>
          <w:rtl/>
          <w:lang w:val="fr-CH"/>
        </w:rPr>
        <w:t>المرفقات</w:t>
      </w:r>
      <w:r w:rsidRPr="000178A6">
        <w:rPr>
          <w:rFonts w:ascii="Arabic Typesetting" w:hAnsi="Arabic Typesetting" w:cs="Arabic Typesetting"/>
          <w:noProof/>
          <w:sz w:val="28"/>
        </w:rPr>
        <w:tab/>
      </w:r>
      <w:r w:rsidRPr="000178A6">
        <w:rPr>
          <w:rFonts w:ascii="Arabic Typesetting" w:hAnsi="Arabic Typesetting" w:cs="Arabic Typesetting"/>
          <w:noProof/>
          <w:sz w:val="28"/>
        </w:rPr>
        <w:fldChar w:fldCharType="begin"/>
      </w:r>
      <w:r w:rsidRPr="000178A6">
        <w:rPr>
          <w:rFonts w:ascii="Arabic Typesetting" w:hAnsi="Arabic Typesetting" w:cs="Arabic Typesetting"/>
          <w:noProof/>
          <w:sz w:val="28"/>
        </w:rPr>
        <w:instrText xml:space="preserve"> PAGEREF _Toc420595537 \h </w:instrText>
      </w:r>
      <w:r w:rsidRPr="000178A6">
        <w:rPr>
          <w:rFonts w:ascii="Arabic Typesetting" w:hAnsi="Arabic Typesetting" w:cs="Arabic Typesetting"/>
          <w:noProof/>
          <w:sz w:val="28"/>
        </w:rPr>
      </w:r>
      <w:r w:rsidRPr="000178A6">
        <w:rPr>
          <w:rFonts w:ascii="Arabic Typesetting" w:hAnsi="Arabic Typesetting" w:cs="Arabic Typesetting"/>
          <w:noProof/>
          <w:sz w:val="28"/>
        </w:rPr>
        <w:fldChar w:fldCharType="separate"/>
      </w:r>
      <w:r w:rsidR="00A92CC0">
        <w:rPr>
          <w:rFonts w:ascii="Arabic Typesetting" w:hAnsi="Arabic Typesetting" w:cs="Arabic Typesetting"/>
          <w:noProof/>
          <w:sz w:val="28"/>
          <w:rtl/>
        </w:rPr>
        <w:t>202</w:t>
      </w:r>
      <w:r w:rsidRPr="000178A6">
        <w:rPr>
          <w:rFonts w:ascii="Arabic Typesetting" w:hAnsi="Arabic Typesetting" w:cs="Arabic Typesetting"/>
          <w:noProof/>
          <w:sz w:val="28"/>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الأول</w:t>
      </w:r>
      <w:r w:rsidRPr="00EA5693">
        <w:rPr>
          <w:rFonts w:eastAsiaTheme="minorEastAsia"/>
          <w:lang w:bidi="ar-SA"/>
        </w:rPr>
        <w:tab/>
      </w:r>
      <w:r w:rsidRPr="00EA5693">
        <w:rPr>
          <w:rFonts w:hint="eastAsia"/>
          <w:rtl/>
          <w:lang w:val="fr-CH"/>
        </w:rPr>
        <w:t>ميزانية</w:t>
      </w:r>
      <w:r w:rsidRPr="00EA5693">
        <w:rPr>
          <w:rtl/>
          <w:lang w:val="fr-CH"/>
        </w:rPr>
        <w:t xml:space="preserve"> </w:t>
      </w:r>
      <w:r w:rsidRPr="00EA5693">
        <w:rPr>
          <w:rFonts w:hint="eastAsia"/>
          <w:rtl/>
          <w:lang w:val="fr-CH"/>
        </w:rPr>
        <w:t>الثنائية</w:t>
      </w:r>
      <w:r w:rsidRPr="00EA5693">
        <w:rPr>
          <w:rtl/>
          <w:lang w:val="fr-CH"/>
        </w:rPr>
        <w:t xml:space="preserve"> 2014/15 </w:t>
      </w:r>
      <w:r w:rsidRPr="00EA5693">
        <w:rPr>
          <w:rFonts w:hint="eastAsia"/>
          <w:rtl/>
          <w:lang w:val="fr-CH"/>
        </w:rPr>
        <w:t>بعد</w:t>
      </w:r>
      <w:r w:rsidRPr="00EA5693">
        <w:rPr>
          <w:rtl/>
          <w:lang w:val="fr-CH"/>
        </w:rPr>
        <w:t xml:space="preserve"> </w:t>
      </w:r>
      <w:r w:rsidRPr="00EA5693">
        <w:rPr>
          <w:rFonts w:hint="eastAsia"/>
          <w:rtl/>
          <w:lang w:val="fr-CH"/>
        </w:rPr>
        <w:t>التحويلات</w:t>
      </w:r>
      <w:r w:rsidRPr="00EA5693">
        <w:rPr>
          <w:rtl/>
          <w:lang w:val="fr-CH"/>
        </w:rPr>
        <w:t xml:space="preserve"> </w:t>
      </w:r>
      <w:r w:rsidRPr="00EA5693">
        <w:rPr>
          <w:rFonts w:hint="eastAsia"/>
          <w:rtl/>
          <w:lang w:val="fr-CH"/>
        </w:rPr>
        <w:t>بحسب</w:t>
      </w:r>
      <w:r w:rsidRPr="00EA5693">
        <w:rPr>
          <w:rtl/>
          <w:lang w:val="fr-CH"/>
        </w:rPr>
        <w:t xml:space="preserve"> </w:t>
      </w:r>
      <w:r w:rsidRPr="00EA5693">
        <w:rPr>
          <w:rFonts w:hint="eastAsia"/>
          <w:rtl/>
          <w:lang w:val="fr-CH"/>
        </w:rPr>
        <w:t>كل</w:t>
      </w:r>
      <w:r w:rsidRPr="00EA5693">
        <w:rPr>
          <w:rtl/>
          <w:lang w:val="fr-CH"/>
        </w:rPr>
        <w:t xml:space="preserve"> </w:t>
      </w:r>
      <w:r w:rsidRPr="00EA5693">
        <w:rPr>
          <w:rFonts w:hint="eastAsia"/>
          <w:rtl/>
          <w:lang w:val="fr-CH"/>
        </w:rPr>
        <w:t>برنامج</w:t>
      </w:r>
      <w:r w:rsidRPr="00EA5693">
        <w:tab/>
      </w:r>
      <w:r w:rsidRPr="000178A6">
        <w:rPr>
          <w:b w:val="0"/>
          <w:bCs/>
        </w:rPr>
        <w:fldChar w:fldCharType="begin"/>
      </w:r>
      <w:r w:rsidRPr="000178A6">
        <w:rPr>
          <w:b w:val="0"/>
          <w:bCs/>
        </w:rPr>
        <w:instrText xml:space="preserve"> PAGEREF _Toc420595538 \h </w:instrText>
      </w:r>
      <w:r w:rsidRPr="000178A6">
        <w:rPr>
          <w:b w:val="0"/>
          <w:bCs/>
        </w:rPr>
      </w:r>
      <w:r w:rsidRPr="000178A6">
        <w:rPr>
          <w:b w:val="0"/>
          <w:bCs/>
        </w:rPr>
        <w:fldChar w:fldCharType="separate"/>
      </w:r>
      <w:r w:rsidR="00A92CC0">
        <w:rPr>
          <w:b w:val="0"/>
          <w:bCs/>
          <w:rtl/>
        </w:rPr>
        <w:t>202</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الثاني</w:t>
      </w:r>
      <w:r w:rsidRPr="00EA5693">
        <w:rPr>
          <w:rFonts w:eastAsiaTheme="minorEastAsia"/>
          <w:lang w:bidi="ar-SA"/>
        </w:rPr>
        <w:tab/>
      </w:r>
      <w:r w:rsidRPr="00EA5693">
        <w:rPr>
          <w:rFonts w:hint="eastAsia"/>
          <w:rtl/>
          <w:lang w:val="fr-CH"/>
        </w:rPr>
        <w:t>الموارد</w:t>
      </w:r>
      <w:r w:rsidRPr="00EA5693">
        <w:rPr>
          <w:rtl/>
          <w:lang w:val="fr-CH"/>
        </w:rPr>
        <w:t xml:space="preserve"> </w:t>
      </w:r>
      <w:r w:rsidRPr="00EA5693">
        <w:rPr>
          <w:rFonts w:hint="eastAsia"/>
          <w:rtl/>
          <w:lang w:val="fr-CH"/>
        </w:rPr>
        <w:t>المقترحة</w:t>
      </w:r>
      <w:r w:rsidRPr="00EA5693">
        <w:rPr>
          <w:rtl/>
          <w:lang w:val="fr-CH"/>
        </w:rPr>
        <w:t xml:space="preserve"> </w:t>
      </w:r>
      <w:r w:rsidRPr="00EA5693">
        <w:rPr>
          <w:rFonts w:hint="eastAsia"/>
          <w:rtl/>
          <w:lang w:val="fr-CH"/>
        </w:rPr>
        <w:t>للثنائية</w:t>
      </w:r>
      <w:r w:rsidRPr="00EA5693">
        <w:rPr>
          <w:rtl/>
          <w:lang w:val="fr-CH"/>
        </w:rPr>
        <w:t xml:space="preserve"> 2016/17 </w:t>
      </w:r>
      <w:r w:rsidRPr="00EA5693">
        <w:rPr>
          <w:rFonts w:hint="eastAsia"/>
          <w:rtl/>
          <w:lang w:val="fr-CH"/>
        </w:rPr>
        <w:t>بحسب</w:t>
      </w:r>
      <w:r w:rsidRPr="00EA5693">
        <w:rPr>
          <w:rtl/>
          <w:lang w:val="fr-CH"/>
        </w:rPr>
        <w:t xml:space="preserve"> </w:t>
      </w:r>
      <w:r w:rsidRPr="00EA5693">
        <w:rPr>
          <w:rFonts w:hint="eastAsia"/>
          <w:rtl/>
          <w:lang w:val="fr-CH"/>
        </w:rPr>
        <w:t>كل</w:t>
      </w:r>
      <w:r w:rsidRPr="00EA5693">
        <w:rPr>
          <w:rtl/>
          <w:lang w:val="fr-CH"/>
        </w:rPr>
        <w:t xml:space="preserve"> </w:t>
      </w:r>
      <w:r w:rsidRPr="00EA5693">
        <w:rPr>
          <w:rFonts w:hint="eastAsia"/>
          <w:rtl/>
          <w:lang w:val="fr-CH"/>
        </w:rPr>
        <w:t>برنامج</w:t>
      </w:r>
      <w:r w:rsidRPr="00EA5693">
        <w:tab/>
      </w:r>
      <w:r w:rsidRPr="000178A6">
        <w:rPr>
          <w:b w:val="0"/>
          <w:bCs/>
        </w:rPr>
        <w:fldChar w:fldCharType="begin"/>
      </w:r>
      <w:r w:rsidRPr="000178A6">
        <w:rPr>
          <w:b w:val="0"/>
          <w:bCs/>
        </w:rPr>
        <w:instrText xml:space="preserve"> PAGEREF _Toc420595539 \h </w:instrText>
      </w:r>
      <w:r w:rsidRPr="000178A6">
        <w:rPr>
          <w:b w:val="0"/>
          <w:bCs/>
        </w:rPr>
      </w:r>
      <w:r w:rsidRPr="000178A6">
        <w:rPr>
          <w:b w:val="0"/>
          <w:bCs/>
        </w:rPr>
        <w:fldChar w:fldCharType="separate"/>
      </w:r>
      <w:r w:rsidR="00A92CC0">
        <w:rPr>
          <w:b w:val="0"/>
          <w:bCs/>
          <w:rtl/>
        </w:rPr>
        <w:t>203</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الثالث</w:t>
      </w:r>
      <w:r w:rsidRPr="00EA5693">
        <w:rPr>
          <w:rFonts w:eastAsiaTheme="minorEastAsia"/>
          <w:lang w:bidi="ar-SA"/>
        </w:rPr>
        <w:tab/>
      </w:r>
      <w:r w:rsidRPr="00EA5693">
        <w:rPr>
          <w:rFonts w:hint="eastAsia"/>
          <w:rtl/>
          <w:lang w:val="fr-CH"/>
        </w:rPr>
        <w:t>تخصيص</w:t>
      </w:r>
      <w:r w:rsidRPr="00EA5693">
        <w:rPr>
          <w:rtl/>
          <w:lang w:val="fr-CH"/>
        </w:rPr>
        <w:t xml:space="preserve"> </w:t>
      </w:r>
      <w:r w:rsidRPr="00EA5693">
        <w:rPr>
          <w:rFonts w:hint="eastAsia"/>
          <w:rtl/>
          <w:lang w:val="fr-CH"/>
        </w:rPr>
        <w:t>الإيرادات</w:t>
      </w:r>
      <w:r w:rsidRPr="00EA5693">
        <w:rPr>
          <w:rtl/>
          <w:lang w:val="fr-CH"/>
        </w:rPr>
        <w:t xml:space="preserve"> </w:t>
      </w:r>
      <w:r w:rsidRPr="00EA5693">
        <w:rPr>
          <w:rFonts w:hint="eastAsia"/>
          <w:rtl/>
          <w:lang w:val="fr-CH"/>
        </w:rPr>
        <w:t>والميزانية</w:t>
      </w:r>
      <w:r w:rsidRPr="00EA5693">
        <w:rPr>
          <w:rtl/>
          <w:lang w:val="fr-CH"/>
        </w:rPr>
        <w:t xml:space="preserve"> </w:t>
      </w:r>
      <w:r w:rsidRPr="00EA5693">
        <w:rPr>
          <w:rFonts w:hint="eastAsia"/>
          <w:rtl/>
          <w:lang w:val="fr-CH"/>
        </w:rPr>
        <w:t>المتوقعة</w:t>
      </w:r>
      <w:r w:rsidRPr="00EA5693">
        <w:rPr>
          <w:rtl/>
          <w:lang w:val="fr-CH"/>
        </w:rPr>
        <w:t xml:space="preserve"> </w:t>
      </w:r>
      <w:r w:rsidRPr="00EA5693">
        <w:rPr>
          <w:rFonts w:hint="eastAsia"/>
          <w:rtl/>
          <w:lang w:val="fr-CH"/>
        </w:rPr>
        <w:t>بحسب</w:t>
      </w:r>
      <w:r w:rsidRPr="00EA5693">
        <w:rPr>
          <w:rtl/>
          <w:lang w:val="fr-CH"/>
        </w:rPr>
        <w:t xml:space="preserve"> </w:t>
      </w:r>
      <w:r w:rsidRPr="00EA5693">
        <w:rPr>
          <w:rFonts w:hint="eastAsia"/>
          <w:rtl/>
          <w:lang w:val="fr-CH"/>
        </w:rPr>
        <w:t>كل</w:t>
      </w:r>
      <w:r w:rsidRPr="00EA5693">
        <w:rPr>
          <w:rtl/>
          <w:lang w:val="fr-CH"/>
        </w:rPr>
        <w:t xml:space="preserve"> </w:t>
      </w:r>
      <w:r w:rsidRPr="00EA5693">
        <w:rPr>
          <w:rFonts w:hint="eastAsia"/>
          <w:rtl/>
          <w:lang w:val="fr-CH"/>
        </w:rPr>
        <w:t>اتحاد</w:t>
      </w:r>
      <w:r w:rsidRPr="00EA5693">
        <w:tab/>
      </w:r>
      <w:r w:rsidRPr="000178A6">
        <w:rPr>
          <w:b w:val="0"/>
          <w:bCs/>
        </w:rPr>
        <w:fldChar w:fldCharType="begin"/>
      </w:r>
      <w:r w:rsidRPr="000178A6">
        <w:rPr>
          <w:b w:val="0"/>
          <w:bCs/>
        </w:rPr>
        <w:instrText xml:space="preserve"> PAGEREF _Toc420595540 \h </w:instrText>
      </w:r>
      <w:r w:rsidRPr="000178A6">
        <w:rPr>
          <w:b w:val="0"/>
          <w:bCs/>
        </w:rPr>
      </w:r>
      <w:r w:rsidRPr="000178A6">
        <w:rPr>
          <w:b w:val="0"/>
          <w:bCs/>
        </w:rPr>
        <w:fldChar w:fldCharType="separate"/>
      </w:r>
      <w:r w:rsidR="00A92CC0">
        <w:rPr>
          <w:b w:val="0"/>
          <w:bCs/>
          <w:rtl/>
        </w:rPr>
        <w:t>205</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الرابع</w:t>
      </w:r>
      <w:r w:rsidRPr="00EA5693">
        <w:rPr>
          <w:rFonts w:eastAsiaTheme="minorEastAsia"/>
          <w:lang w:bidi="ar-SA"/>
        </w:rPr>
        <w:tab/>
      </w:r>
      <w:r w:rsidRPr="00EA5693">
        <w:rPr>
          <w:rFonts w:hint="eastAsia"/>
          <w:rtl/>
          <w:lang w:val="fr-CH"/>
        </w:rPr>
        <w:t>تطوّر</w:t>
      </w:r>
      <w:r w:rsidRPr="00EA5693">
        <w:rPr>
          <w:rtl/>
          <w:lang w:val="fr-CH"/>
        </w:rPr>
        <w:t xml:space="preserve"> </w:t>
      </w:r>
      <w:r w:rsidRPr="00EA5693">
        <w:rPr>
          <w:rFonts w:hint="eastAsia"/>
          <w:rtl/>
          <w:lang w:val="fr-CH"/>
        </w:rPr>
        <w:t>خدمات</w:t>
      </w:r>
      <w:r w:rsidRPr="00EA5693">
        <w:rPr>
          <w:rtl/>
          <w:lang w:val="fr-CH"/>
        </w:rPr>
        <w:t xml:space="preserve"> </w:t>
      </w:r>
      <w:r w:rsidRPr="00EA5693">
        <w:rPr>
          <w:rFonts w:hint="eastAsia"/>
          <w:rtl/>
          <w:lang w:val="fr-CH"/>
        </w:rPr>
        <w:t>أنظمة</w:t>
      </w:r>
      <w:r w:rsidRPr="00EA5693">
        <w:rPr>
          <w:rtl/>
          <w:lang w:val="fr-CH"/>
        </w:rPr>
        <w:t xml:space="preserve"> </w:t>
      </w:r>
      <w:r w:rsidRPr="00EA5693">
        <w:rPr>
          <w:rFonts w:hint="eastAsia"/>
          <w:rtl/>
          <w:lang w:val="fr-CH"/>
        </w:rPr>
        <w:t>معاهدة</w:t>
      </w:r>
      <w:r w:rsidRPr="00EA5693">
        <w:rPr>
          <w:rtl/>
          <w:lang w:val="fr-CH"/>
        </w:rPr>
        <w:t xml:space="preserve"> </w:t>
      </w:r>
      <w:r w:rsidRPr="00EA5693">
        <w:rPr>
          <w:rFonts w:hint="eastAsia"/>
          <w:rtl/>
          <w:lang w:val="fr-CH"/>
        </w:rPr>
        <w:t>التعاون</w:t>
      </w:r>
      <w:r w:rsidRPr="00EA5693">
        <w:rPr>
          <w:rtl/>
          <w:lang w:val="fr-CH"/>
        </w:rPr>
        <w:t xml:space="preserve"> </w:t>
      </w:r>
      <w:r w:rsidRPr="00EA5693">
        <w:rPr>
          <w:rFonts w:hint="eastAsia"/>
          <w:rtl/>
          <w:lang w:val="fr-CH"/>
        </w:rPr>
        <w:t>بشأن</w:t>
      </w:r>
      <w:r w:rsidRPr="00EA5693">
        <w:rPr>
          <w:rtl/>
          <w:lang w:val="fr-CH"/>
        </w:rPr>
        <w:t xml:space="preserve"> </w:t>
      </w:r>
      <w:r w:rsidRPr="00EA5693">
        <w:rPr>
          <w:rFonts w:hint="eastAsia"/>
          <w:rtl/>
          <w:lang w:val="fr-CH"/>
        </w:rPr>
        <w:t>البراءات</w:t>
      </w:r>
      <w:r w:rsidRPr="00EA5693">
        <w:rPr>
          <w:lang w:val="fr-CH"/>
        </w:rPr>
        <w:t xml:space="preserve"> </w:t>
      </w:r>
      <w:r w:rsidRPr="00EA5693">
        <w:rPr>
          <w:rFonts w:hint="eastAsia"/>
          <w:rtl/>
          <w:lang w:val="fr-CH"/>
        </w:rPr>
        <w:t>ومدريد</w:t>
      </w:r>
      <w:r w:rsidRPr="00EA5693">
        <w:rPr>
          <w:rtl/>
          <w:lang w:val="fr-CH"/>
        </w:rPr>
        <w:t xml:space="preserve"> </w:t>
      </w:r>
      <w:r w:rsidRPr="00EA5693">
        <w:rPr>
          <w:rFonts w:hint="eastAsia"/>
          <w:rtl/>
          <w:lang w:val="fr-CH"/>
        </w:rPr>
        <w:t>ولاهاي</w:t>
      </w:r>
      <w:r w:rsidRPr="00EA5693">
        <w:rPr>
          <w:rtl/>
          <w:lang w:val="fr-CH"/>
        </w:rPr>
        <w:t xml:space="preserve"> </w:t>
      </w:r>
      <w:r w:rsidRPr="00EA5693">
        <w:rPr>
          <w:rFonts w:hint="eastAsia"/>
          <w:rtl/>
          <w:lang w:val="fr-CH"/>
        </w:rPr>
        <w:t>والطلب</w:t>
      </w:r>
      <w:r w:rsidRPr="00EA5693">
        <w:rPr>
          <w:rtl/>
          <w:lang w:val="fr-CH"/>
        </w:rPr>
        <w:t xml:space="preserve"> </w:t>
      </w:r>
      <w:r w:rsidRPr="00EA5693">
        <w:rPr>
          <w:rFonts w:hint="eastAsia"/>
          <w:rtl/>
          <w:lang w:val="fr-CH"/>
        </w:rPr>
        <w:t>على</w:t>
      </w:r>
      <w:r w:rsidRPr="00EA5693">
        <w:rPr>
          <w:rtl/>
          <w:lang w:val="fr-CH"/>
        </w:rPr>
        <w:t xml:space="preserve"> </w:t>
      </w:r>
      <w:r w:rsidRPr="00EA5693">
        <w:rPr>
          <w:rFonts w:hint="eastAsia"/>
          <w:rtl/>
          <w:lang w:val="fr-CH"/>
        </w:rPr>
        <w:t>هذه</w:t>
      </w:r>
      <w:r w:rsidRPr="00EA5693">
        <w:rPr>
          <w:rtl/>
          <w:lang w:val="fr-CH"/>
        </w:rPr>
        <w:t xml:space="preserve"> </w:t>
      </w:r>
      <w:r w:rsidRPr="00EA5693">
        <w:rPr>
          <w:rFonts w:hint="eastAsia"/>
          <w:rtl/>
          <w:lang w:val="fr-CH"/>
        </w:rPr>
        <w:t>الخدمات</w:t>
      </w:r>
      <w:r w:rsidRPr="00EA5693">
        <w:rPr>
          <w:rtl/>
          <w:lang w:val="fr-CH"/>
        </w:rPr>
        <w:t xml:space="preserve"> </w:t>
      </w:r>
      <w:r w:rsidRPr="00EA5693">
        <w:rPr>
          <w:rFonts w:hint="eastAsia"/>
          <w:rtl/>
          <w:lang w:val="fr-CH"/>
        </w:rPr>
        <w:t>على</w:t>
      </w:r>
      <w:r w:rsidRPr="00EA5693">
        <w:rPr>
          <w:rtl/>
          <w:lang w:val="fr-CH"/>
        </w:rPr>
        <w:t xml:space="preserve"> </w:t>
      </w:r>
      <w:r w:rsidRPr="00EA5693">
        <w:rPr>
          <w:rFonts w:hint="eastAsia"/>
          <w:rtl/>
          <w:lang w:val="fr-CH"/>
        </w:rPr>
        <w:t>الأجل</w:t>
      </w:r>
      <w:r w:rsidRPr="00EA5693">
        <w:rPr>
          <w:rtl/>
          <w:lang w:val="fr-CH"/>
        </w:rPr>
        <w:t xml:space="preserve"> </w:t>
      </w:r>
      <w:r w:rsidRPr="00EA5693">
        <w:rPr>
          <w:rFonts w:hint="eastAsia"/>
          <w:rtl/>
          <w:lang w:val="fr-CH"/>
        </w:rPr>
        <w:t>المتوسط</w:t>
      </w:r>
      <w:r w:rsidRPr="00EA5693">
        <w:tab/>
      </w:r>
      <w:r w:rsidRPr="000178A6">
        <w:rPr>
          <w:b w:val="0"/>
          <w:bCs/>
        </w:rPr>
        <w:fldChar w:fldCharType="begin"/>
      </w:r>
      <w:r w:rsidRPr="000178A6">
        <w:rPr>
          <w:b w:val="0"/>
          <w:bCs/>
        </w:rPr>
        <w:instrText xml:space="preserve"> PAGEREF _Toc420595541 \h </w:instrText>
      </w:r>
      <w:r w:rsidRPr="000178A6">
        <w:rPr>
          <w:b w:val="0"/>
          <w:bCs/>
        </w:rPr>
      </w:r>
      <w:r w:rsidRPr="000178A6">
        <w:rPr>
          <w:b w:val="0"/>
          <w:bCs/>
        </w:rPr>
        <w:fldChar w:fldCharType="separate"/>
      </w:r>
      <w:r w:rsidR="00A92CC0">
        <w:rPr>
          <w:b w:val="0"/>
          <w:bCs/>
          <w:rtl/>
        </w:rPr>
        <w:t>209</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الخامس</w:t>
      </w:r>
      <w:r w:rsidRPr="00EA5693">
        <w:rPr>
          <w:rFonts w:eastAsiaTheme="minorEastAsia"/>
          <w:lang w:bidi="ar-SA"/>
        </w:rPr>
        <w:tab/>
      </w:r>
      <w:r w:rsidRPr="00EA5693">
        <w:rPr>
          <w:rFonts w:hint="eastAsia"/>
          <w:rtl/>
          <w:lang w:val="fr-CH"/>
        </w:rPr>
        <w:t>مؤشرات</w:t>
      </w:r>
      <w:r w:rsidRPr="00EA5693">
        <w:rPr>
          <w:rtl/>
          <w:lang w:val="fr-CH"/>
        </w:rPr>
        <w:t xml:space="preserve"> </w:t>
      </w:r>
      <w:r w:rsidRPr="00EA5693">
        <w:rPr>
          <w:rFonts w:hint="eastAsia"/>
          <w:rtl/>
          <w:lang w:val="fr-CH"/>
        </w:rPr>
        <w:t>عمليات</w:t>
      </w:r>
      <w:r w:rsidRPr="00EA5693">
        <w:rPr>
          <w:rtl/>
          <w:lang w:val="fr-CH"/>
        </w:rPr>
        <w:t xml:space="preserve"> </w:t>
      </w:r>
      <w:r w:rsidRPr="00EA5693">
        <w:rPr>
          <w:rFonts w:hint="eastAsia"/>
          <w:rtl/>
          <w:lang w:val="fr-CH"/>
        </w:rPr>
        <w:t>معاهدة</w:t>
      </w:r>
      <w:r w:rsidRPr="00EA5693">
        <w:rPr>
          <w:rtl/>
          <w:lang w:val="fr-CH"/>
        </w:rPr>
        <w:t xml:space="preserve"> </w:t>
      </w:r>
      <w:r w:rsidRPr="00EA5693">
        <w:rPr>
          <w:rFonts w:hint="eastAsia"/>
          <w:rtl/>
          <w:lang w:val="fr-CH"/>
        </w:rPr>
        <w:t>التعاون</w:t>
      </w:r>
      <w:r w:rsidRPr="00EA5693">
        <w:rPr>
          <w:rtl/>
          <w:lang w:val="fr-CH"/>
        </w:rPr>
        <w:t xml:space="preserve"> </w:t>
      </w:r>
      <w:r w:rsidRPr="00EA5693">
        <w:rPr>
          <w:rFonts w:hint="eastAsia"/>
          <w:rtl/>
          <w:lang w:val="fr-CH"/>
        </w:rPr>
        <w:t>بشأن</w:t>
      </w:r>
      <w:r w:rsidRPr="00EA5693">
        <w:rPr>
          <w:rtl/>
          <w:lang w:val="fr-CH"/>
        </w:rPr>
        <w:t xml:space="preserve"> </w:t>
      </w:r>
      <w:r w:rsidRPr="00EA5693">
        <w:rPr>
          <w:rFonts w:hint="eastAsia"/>
          <w:rtl/>
          <w:lang w:val="fr-CH"/>
        </w:rPr>
        <w:t>البراءات</w:t>
      </w:r>
      <w:r w:rsidRPr="00EA5693">
        <w:tab/>
      </w:r>
      <w:r w:rsidRPr="000178A6">
        <w:rPr>
          <w:b w:val="0"/>
          <w:bCs/>
        </w:rPr>
        <w:fldChar w:fldCharType="begin"/>
      </w:r>
      <w:r w:rsidRPr="000178A6">
        <w:rPr>
          <w:b w:val="0"/>
          <w:bCs/>
        </w:rPr>
        <w:instrText xml:space="preserve"> PAGEREF _Toc420595542 \h </w:instrText>
      </w:r>
      <w:r w:rsidRPr="000178A6">
        <w:rPr>
          <w:b w:val="0"/>
          <w:bCs/>
        </w:rPr>
      </w:r>
      <w:r w:rsidRPr="000178A6">
        <w:rPr>
          <w:b w:val="0"/>
          <w:bCs/>
        </w:rPr>
        <w:fldChar w:fldCharType="separate"/>
      </w:r>
      <w:r w:rsidR="00A92CC0">
        <w:rPr>
          <w:b w:val="0"/>
          <w:bCs/>
          <w:rtl/>
        </w:rPr>
        <w:t>228</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السادس</w:t>
      </w:r>
      <w:r w:rsidRPr="00EA5693">
        <w:rPr>
          <w:rFonts w:eastAsiaTheme="minorEastAsia"/>
          <w:lang w:bidi="ar-SA"/>
        </w:rPr>
        <w:tab/>
      </w:r>
      <w:r w:rsidRPr="00EA5693">
        <w:rPr>
          <w:rFonts w:hint="eastAsia"/>
          <w:rtl/>
          <w:lang w:val="fr-CH"/>
        </w:rPr>
        <w:t>مؤشرات</w:t>
      </w:r>
      <w:r w:rsidRPr="00EA5693">
        <w:rPr>
          <w:rtl/>
          <w:lang w:val="fr-CH"/>
        </w:rPr>
        <w:t xml:space="preserve"> </w:t>
      </w:r>
      <w:r w:rsidRPr="00EA5693">
        <w:rPr>
          <w:rFonts w:hint="eastAsia"/>
          <w:rtl/>
          <w:lang w:val="fr-CH"/>
        </w:rPr>
        <w:t>عمليات</w:t>
      </w:r>
      <w:r w:rsidRPr="00EA5693">
        <w:rPr>
          <w:rtl/>
          <w:lang w:val="fr-CH"/>
        </w:rPr>
        <w:t xml:space="preserve"> </w:t>
      </w:r>
      <w:r w:rsidRPr="00EA5693">
        <w:rPr>
          <w:rFonts w:hint="eastAsia"/>
          <w:rtl/>
          <w:lang w:val="fr-CH"/>
        </w:rPr>
        <w:t>نظام</w:t>
      </w:r>
      <w:r w:rsidRPr="00EA5693">
        <w:rPr>
          <w:rtl/>
          <w:lang w:val="fr-CH"/>
        </w:rPr>
        <w:t xml:space="preserve"> </w:t>
      </w:r>
      <w:r w:rsidRPr="00EA5693">
        <w:rPr>
          <w:rFonts w:hint="eastAsia"/>
          <w:rtl/>
          <w:lang w:val="fr-CH"/>
        </w:rPr>
        <w:t>مدريد</w:t>
      </w:r>
      <w:r w:rsidRPr="00EA5693">
        <w:tab/>
      </w:r>
      <w:r w:rsidRPr="000178A6">
        <w:rPr>
          <w:b w:val="0"/>
          <w:bCs/>
        </w:rPr>
        <w:fldChar w:fldCharType="begin"/>
      </w:r>
      <w:r w:rsidRPr="000178A6">
        <w:rPr>
          <w:b w:val="0"/>
          <w:bCs/>
        </w:rPr>
        <w:instrText xml:space="preserve"> PAGEREF _Toc420595543 \h </w:instrText>
      </w:r>
      <w:r w:rsidRPr="000178A6">
        <w:rPr>
          <w:b w:val="0"/>
          <w:bCs/>
        </w:rPr>
      </w:r>
      <w:r w:rsidRPr="000178A6">
        <w:rPr>
          <w:b w:val="0"/>
          <w:bCs/>
        </w:rPr>
        <w:fldChar w:fldCharType="separate"/>
      </w:r>
      <w:r w:rsidR="00A92CC0">
        <w:rPr>
          <w:b w:val="0"/>
          <w:bCs/>
          <w:rtl/>
        </w:rPr>
        <w:t>238</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السابع</w:t>
      </w:r>
      <w:r w:rsidRPr="00EA5693">
        <w:rPr>
          <w:rFonts w:eastAsiaTheme="minorEastAsia"/>
          <w:lang w:bidi="ar-SA"/>
        </w:rPr>
        <w:tab/>
      </w:r>
      <w:r w:rsidRPr="00EA5693">
        <w:rPr>
          <w:rFonts w:hint="eastAsia"/>
          <w:rtl/>
          <w:lang w:val="fr-CH"/>
        </w:rPr>
        <w:t>مؤشرات</w:t>
      </w:r>
      <w:r w:rsidRPr="00EA5693">
        <w:rPr>
          <w:rtl/>
          <w:lang w:val="fr-CH"/>
        </w:rPr>
        <w:t xml:space="preserve"> </w:t>
      </w:r>
      <w:r w:rsidRPr="00EA5693">
        <w:rPr>
          <w:rFonts w:hint="eastAsia"/>
          <w:rtl/>
          <w:lang w:val="fr-CH"/>
        </w:rPr>
        <w:t>عمليات</w:t>
      </w:r>
      <w:r w:rsidRPr="00EA5693">
        <w:rPr>
          <w:rtl/>
          <w:lang w:val="fr-CH"/>
        </w:rPr>
        <w:t xml:space="preserve"> </w:t>
      </w:r>
      <w:r w:rsidRPr="00EA5693">
        <w:rPr>
          <w:rFonts w:hint="eastAsia"/>
          <w:rtl/>
          <w:lang w:val="fr-CH"/>
        </w:rPr>
        <w:t>نظام</w:t>
      </w:r>
      <w:r w:rsidRPr="00EA5693">
        <w:rPr>
          <w:rtl/>
          <w:lang w:val="fr-CH"/>
        </w:rPr>
        <w:t xml:space="preserve"> </w:t>
      </w:r>
      <w:r w:rsidRPr="00EA5693">
        <w:rPr>
          <w:rFonts w:hint="eastAsia"/>
          <w:rtl/>
          <w:lang w:val="fr-CH"/>
        </w:rPr>
        <w:t>لاهاي</w:t>
      </w:r>
      <w:r w:rsidRPr="00EA5693">
        <w:tab/>
      </w:r>
      <w:r w:rsidRPr="000178A6">
        <w:rPr>
          <w:b w:val="0"/>
          <w:bCs/>
        </w:rPr>
        <w:fldChar w:fldCharType="begin"/>
      </w:r>
      <w:r w:rsidRPr="000178A6">
        <w:rPr>
          <w:b w:val="0"/>
          <w:bCs/>
        </w:rPr>
        <w:instrText xml:space="preserve"> PAGEREF _Toc420595544 \h </w:instrText>
      </w:r>
      <w:r w:rsidRPr="000178A6">
        <w:rPr>
          <w:b w:val="0"/>
          <w:bCs/>
        </w:rPr>
      </w:r>
      <w:r w:rsidRPr="000178A6">
        <w:rPr>
          <w:b w:val="0"/>
          <w:bCs/>
        </w:rPr>
        <w:fldChar w:fldCharType="separate"/>
      </w:r>
      <w:r w:rsidR="00A92CC0">
        <w:rPr>
          <w:b w:val="0"/>
          <w:bCs/>
          <w:rtl/>
        </w:rPr>
        <w:t>250</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الثامن</w:t>
      </w:r>
      <w:r w:rsidRPr="00EA5693">
        <w:rPr>
          <w:rFonts w:eastAsiaTheme="minorEastAsia"/>
          <w:lang w:bidi="ar-SA"/>
        </w:rPr>
        <w:tab/>
      </w:r>
      <w:r w:rsidRPr="00EA5693">
        <w:rPr>
          <w:rFonts w:hint="eastAsia"/>
          <w:rtl/>
          <w:lang w:val="fr-CH"/>
        </w:rPr>
        <w:t>موارد</w:t>
      </w:r>
      <w:r w:rsidRPr="00EA5693">
        <w:rPr>
          <w:rtl/>
          <w:lang w:val="fr-CH"/>
        </w:rPr>
        <w:t xml:space="preserve"> </w:t>
      </w:r>
      <w:r w:rsidRPr="00EA5693">
        <w:rPr>
          <w:rFonts w:hint="eastAsia"/>
          <w:rtl/>
          <w:lang w:val="fr-CH"/>
        </w:rPr>
        <w:t>الصناديق</w:t>
      </w:r>
      <w:r w:rsidRPr="00EA5693">
        <w:rPr>
          <w:rtl/>
          <w:lang w:val="fr-CH"/>
        </w:rPr>
        <w:t xml:space="preserve"> </w:t>
      </w:r>
      <w:r w:rsidRPr="00EA5693">
        <w:rPr>
          <w:rFonts w:hint="eastAsia"/>
          <w:rtl/>
          <w:lang w:val="fr-CH"/>
        </w:rPr>
        <w:t>الاستئمانية</w:t>
      </w:r>
      <w:r w:rsidRPr="00EA5693">
        <w:rPr>
          <w:rtl/>
          <w:lang w:val="fr-CH"/>
        </w:rPr>
        <w:t xml:space="preserve"> </w:t>
      </w:r>
      <w:r w:rsidRPr="00EA5693">
        <w:rPr>
          <w:rFonts w:hint="eastAsia"/>
          <w:rtl/>
          <w:lang w:val="fr-CH"/>
        </w:rPr>
        <w:t>الممكن</w:t>
      </w:r>
      <w:r w:rsidRPr="00EA5693">
        <w:rPr>
          <w:rtl/>
          <w:lang w:val="fr-CH"/>
        </w:rPr>
        <w:t xml:space="preserve"> </w:t>
      </w:r>
      <w:r w:rsidRPr="00EA5693">
        <w:rPr>
          <w:rFonts w:hint="eastAsia"/>
          <w:rtl/>
          <w:lang w:val="fr-CH"/>
        </w:rPr>
        <w:t>توافرها</w:t>
      </w:r>
      <w:r w:rsidRPr="00EA5693">
        <w:rPr>
          <w:rtl/>
          <w:lang w:val="fr-CH"/>
        </w:rPr>
        <w:t xml:space="preserve"> </w:t>
      </w:r>
      <w:r w:rsidRPr="00EA5693">
        <w:rPr>
          <w:rFonts w:hint="eastAsia"/>
          <w:rtl/>
          <w:lang w:val="fr-CH"/>
        </w:rPr>
        <w:t>لأغراض</w:t>
      </w:r>
      <w:r w:rsidRPr="00EA5693">
        <w:rPr>
          <w:rtl/>
          <w:lang w:val="fr-CH"/>
        </w:rPr>
        <w:t xml:space="preserve"> </w:t>
      </w:r>
      <w:r w:rsidRPr="00EA5693">
        <w:rPr>
          <w:rFonts w:hint="eastAsia"/>
          <w:rtl/>
          <w:lang w:val="fr-CH"/>
        </w:rPr>
        <w:t>البرامج</w:t>
      </w:r>
      <w:r w:rsidRPr="00EA5693">
        <w:tab/>
      </w:r>
      <w:r w:rsidRPr="000178A6">
        <w:rPr>
          <w:b w:val="0"/>
          <w:bCs/>
        </w:rPr>
        <w:fldChar w:fldCharType="begin"/>
      </w:r>
      <w:r w:rsidRPr="000178A6">
        <w:rPr>
          <w:b w:val="0"/>
          <w:bCs/>
        </w:rPr>
        <w:instrText xml:space="preserve"> PAGEREF _Toc420595545 \h </w:instrText>
      </w:r>
      <w:r w:rsidRPr="000178A6">
        <w:rPr>
          <w:b w:val="0"/>
          <w:bCs/>
        </w:rPr>
      </w:r>
      <w:r w:rsidRPr="000178A6">
        <w:rPr>
          <w:b w:val="0"/>
          <w:bCs/>
        </w:rPr>
        <w:fldChar w:fldCharType="separate"/>
      </w:r>
      <w:r w:rsidR="00A92CC0">
        <w:rPr>
          <w:b w:val="0"/>
          <w:bCs/>
          <w:rtl/>
        </w:rPr>
        <w:t>258</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التاسع</w:t>
      </w:r>
      <w:r w:rsidRPr="00EA5693">
        <w:rPr>
          <w:rFonts w:eastAsiaTheme="minorEastAsia"/>
          <w:lang w:bidi="ar-SA"/>
        </w:rPr>
        <w:tab/>
      </w:r>
      <w:r w:rsidRPr="00EA5693">
        <w:rPr>
          <w:rFonts w:hint="eastAsia"/>
          <w:rtl/>
          <w:lang w:val="fr-CH"/>
        </w:rPr>
        <w:t>جداول</w:t>
      </w:r>
      <w:r w:rsidRPr="00EA5693">
        <w:rPr>
          <w:rtl/>
          <w:lang w:val="fr-CH"/>
        </w:rPr>
        <w:t xml:space="preserve"> </w:t>
      </w:r>
      <w:r w:rsidRPr="00EA5693">
        <w:rPr>
          <w:rFonts w:hint="eastAsia"/>
          <w:rtl/>
          <w:lang w:val="fr-CH"/>
        </w:rPr>
        <w:t>الميزانيات</w:t>
      </w:r>
      <w:r w:rsidRPr="00EA5693">
        <w:rPr>
          <w:rtl/>
          <w:lang w:val="fr-CH"/>
        </w:rPr>
        <w:t xml:space="preserve"> </w:t>
      </w:r>
      <w:r w:rsidRPr="00EA5693">
        <w:rPr>
          <w:rFonts w:hint="eastAsia"/>
          <w:rtl/>
          <w:lang w:val="fr-CH"/>
        </w:rPr>
        <w:t>السنوية</w:t>
      </w:r>
      <w:r w:rsidRPr="00EA5693">
        <w:rPr>
          <w:rtl/>
          <w:lang w:val="fr-CH"/>
        </w:rPr>
        <w:t xml:space="preserve"> </w:t>
      </w:r>
      <w:r w:rsidRPr="00EA5693">
        <w:rPr>
          <w:rFonts w:hint="eastAsia"/>
          <w:rtl/>
          <w:lang w:val="fr-CH"/>
        </w:rPr>
        <w:t>لأغراض</w:t>
      </w:r>
      <w:r w:rsidRPr="00EA5693">
        <w:rPr>
          <w:rtl/>
          <w:lang w:val="fr-CH"/>
        </w:rPr>
        <w:t xml:space="preserve"> </w:t>
      </w:r>
      <w:r w:rsidRPr="00EA5693">
        <w:rPr>
          <w:rFonts w:hint="eastAsia"/>
          <w:rtl/>
          <w:lang w:val="fr-CH"/>
        </w:rPr>
        <w:t>الإبلاغ</w:t>
      </w:r>
      <w:r w:rsidRPr="00EA5693">
        <w:rPr>
          <w:rtl/>
          <w:lang w:val="fr-CH"/>
        </w:rPr>
        <w:t xml:space="preserve"> </w:t>
      </w:r>
      <w:r w:rsidRPr="00EA5693">
        <w:rPr>
          <w:rFonts w:hint="eastAsia"/>
          <w:rtl/>
          <w:lang w:val="fr-CH"/>
        </w:rPr>
        <w:t>المال</w:t>
      </w:r>
      <w:r w:rsidR="0013683C">
        <w:rPr>
          <w:rFonts w:hint="cs"/>
          <w:rtl/>
          <w:lang w:val="fr-CH"/>
        </w:rPr>
        <w:t>ي</w:t>
      </w:r>
      <w:r w:rsidRPr="00EA5693">
        <w:tab/>
      </w:r>
      <w:r w:rsidRPr="000178A6">
        <w:rPr>
          <w:b w:val="0"/>
          <w:bCs/>
        </w:rPr>
        <w:fldChar w:fldCharType="begin"/>
      </w:r>
      <w:r w:rsidRPr="000178A6">
        <w:rPr>
          <w:b w:val="0"/>
          <w:bCs/>
        </w:rPr>
        <w:instrText xml:space="preserve"> PAGEREF _Toc420595546 \h </w:instrText>
      </w:r>
      <w:r w:rsidRPr="000178A6">
        <w:rPr>
          <w:b w:val="0"/>
          <w:bCs/>
        </w:rPr>
      </w:r>
      <w:r w:rsidRPr="000178A6">
        <w:rPr>
          <w:b w:val="0"/>
          <w:bCs/>
        </w:rPr>
        <w:fldChar w:fldCharType="separate"/>
      </w:r>
      <w:r w:rsidR="00A92CC0">
        <w:rPr>
          <w:b w:val="0"/>
          <w:bCs/>
          <w:rtl/>
        </w:rPr>
        <w:t>259</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العاشر</w:t>
      </w:r>
      <w:r w:rsidRPr="00EA5693">
        <w:rPr>
          <w:rFonts w:eastAsiaTheme="minorEastAsia"/>
          <w:lang w:bidi="ar-SA"/>
        </w:rPr>
        <w:tab/>
      </w:r>
      <w:r w:rsidRPr="00EA5693">
        <w:rPr>
          <w:rFonts w:hint="eastAsia"/>
          <w:rtl/>
          <w:lang w:val="fr-CH"/>
        </w:rPr>
        <w:t>ميزانية</w:t>
      </w:r>
      <w:r w:rsidRPr="00EA5693">
        <w:rPr>
          <w:rtl/>
          <w:lang w:val="fr-CH"/>
        </w:rPr>
        <w:t xml:space="preserve"> </w:t>
      </w:r>
      <w:r w:rsidRPr="00EA5693">
        <w:rPr>
          <w:rFonts w:hint="eastAsia"/>
          <w:rtl/>
          <w:lang w:val="fr-CH"/>
        </w:rPr>
        <w:t>الثنائية</w:t>
      </w:r>
      <w:r w:rsidRPr="00EA5693">
        <w:rPr>
          <w:rtl/>
          <w:lang w:val="fr-CH"/>
        </w:rPr>
        <w:t xml:space="preserve"> 2016/17 </w:t>
      </w:r>
      <w:r w:rsidRPr="00EA5693">
        <w:rPr>
          <w:rFonts w:hint="eastAsia"/>
          <w:rtl/>
          <w:lang w:val="fr-CH"/>
        </w:rPr>
        <w:t>بحسب</w:t>
      </w:r>
      <w:r w:rsidRPr="00EA5693">
        <w:rPr>
          <w:rtl/>
          <w:lang w:val="fr-CH"/>
        </w:rPr>
        <w:t xml:space="preserve"> </w:t>
      </w:r>
      <w:r w:rsidRPr="00EA5693">
        <w:rPr>
          <w:rFonts w:hint="eastAsia"/>
          <w:rtl/>
          <w:lang w:val="fr-CH"/>
        </w:rPr>
        <w:t>كل</w:t>
      </w:r>
      <w:r w:rsidRPr="00EA5693">
        <w:rPr>
          <w:rtl/>
          <w:lang w:val="fr-CH"/>
        </w:rPr>
        <w:t xml:space="preserve"> </w:t>
      </w:r>
      <w:r w:rsidRPr="00EA5693">
        <w:rPr>
          <w:rFonts w:hint="eastAsia"/>
          <w:rtl/>
          <w:lang w:val="fr-CH"/>
        </w:rPr>
        <w:t>نتيجة</w:t>
      </w:r>
      <w:r w:rsidRPr="00EA5693">
        <w:rPr>
          <w:rtl/>
          <w:lang w:val="fr-CH"/>
        </w:rPr>
        <w:t xml:space="preserve"> </w:t>
      </w:r>
      <w:r w:rsidRPr="00EA5693">
        <w:rPr>
          <w:rFonts w:hint="eastAsia"/>
          <w:rtl/>
          <w:lang w:val="fr-CH"/>
        </w:rPr>
        <w:t>مرتقبة</w:t>
      </w:r>
      <w:r w:rsidRPr="00EA5693">
        <w:rPr>
          <w:rtl/>
          <w:lang w:val="fr-CH"/>
        </w:rPr>
        <w:t xml:space="preserve"> </w:t>
      </w:r>
      <w:r w:rsidRPr="00EA5693">
        <w:rPr>
          <w:rFonts w:hint="eastAsia"/>
          <w:rtl/>
          <w:lang w:val="fr-CH"/>
        </w:rPr>
        <w:t>وكل</w:t>
      </w:r>
      <w:r w:rsidRPr="00EA5693">
        <w:rPr>
          <w:rtl/>
          <w:lang w:val="fr-CH"/>
        </w:rPr>
        <w:t xml:space="preserve"> </w:t>
      </w:r>
      <w:r w:rsidRPr="00EA5693">
        <w:rPr>
          <w:rFonts w:hint="eastAsia"/>
          <w:rtl/>
          <w:lang w:val="fr-CH"/>
        </w:rPr>
        <w:t>وبرنامج</w:t>
      </w:r>
      <w:r w:rsidRPr="00EA5693">
        <w:tab/>
      </w:r>
      <w:r w:rsidRPr="000178A6">
        <w:rPr>
          <w:b w:val="0"/>
          <w:bCs/>
        </w:rPr>
        <w:fldChar w:fldCharType="begin"/>
      </w:r>
      <w:r w:rsidRPr="000178A6">
        <w:rPr>
          <w:b w:val="0"/>
          <w:bCs/>
        </w:rPr>
        <w:instrText xml:space="preserve"> PAGEREF _Toc420595547 \h </w:instrText>
      </w:r>
      <w:r w:rsidRPr="000178A6">
        <w:rPr>
          <w:b w:val="0"/>
          <w:bCs/>
        </w:rPr>
      </w:r>
      <w:r w:rsidRPr="000178A6">
        <w:rPr>
          <w:b w:val="0"/>
          <w:bCs/>
        </w:rPr>
        <w:fldChar w:fldCharType="separate"/>
      </w:r>
      <w:r w:rsidR="00A92CC0">
        <w:rPr>
          <w:b w:val="0"/>
          <w:bCs/>
          <w:rtl/>
        </w:rPr>
        <w:t>261</w:t>
      </w:r>
      <w:r w:rsidRPr="000178A6">
        <w:rPr>
          <w:b w:val="0"/>
          <w:bCs/>
        </w:rPr>
        <w:fldChar w:fldCharType="end"/>
      </w:r>
    </w:p>
    <w:p w:rsidR="00EA5693" w:rsidRPr="000178A6" w:rsidRDefault="00EA5693" w:rsidP="000178A6">
      <w:pPr>
        <w:pStyle w:val="TOC3"/>
        <w:rPr>
          <w:rFonts w:eastAsiaTheme="minorEastAsia"/>
          <w:b w:val="0"/>
          <w:bCs/>
          <w:lang w:bidi="ar-SA"/>
        </w:rPr>
      </w:pPr>
      <w:r w:rsidRPr="00EA5693">
        <w:rPr>
          <w:rFonts w:hint="eastAsia"/>
          <w:rtl/>
          <w:lang w:val="fr-CH"/>
        </w:rPr>
        <w:t>المرفق</w:t>
      </w:r>
      <w:r w:rsidRPr="00EA5693">
        <w:rPr>
          <w:rtl/>
          <w:lang w:val="fr-CH"/>
        </w:rPr>
        <w:t xml:space="preserve"> </w:t>
      </w:r>
      <w:r w:rsidRPr="00EA5693">
        <w:rPr>
          <w:rFonts w:hint="eastAsia"/>
          <w:rtl/>
          <w:lang w:val="fr-CH"/>
        </w:rPr>
        <w:t>الحادي</w:t>
      </w:r>
      <w:r w:rsidRPr="00EA5693">
        <w:rPr>
          <w:rtl/>
          <w:lang w:val="fr-CH"/>
        </w:rPr>
        <w:t xml:space="preserve"> </w:t>
      </w:r>
      <w:r w:rsidRPr="00EA5693">
        <w:rPr>
          <w:rFonts w:hint="eastAsia"/>
          <w:rtl/>
          <w:lang w:val="fr-CH"/>
        </w:rPr>
        <w:t>عشر</w:t>
      </w:r>
      <w:r w:rsidRPr="00EA5693">
        <w:rPr>
          <w:rFonts w:eastAsiaTheme="minorEastAsia"/>
          <w:lang w:bidi="ar-SA"/>
        </w:rPr>
        <w:tab/>
      </w:r>
      <w:r w:rsidRPr="00EA5693">
        <w:rPr>
          <w:rFonts w:hint="eastAsia"/>
          <w:rtl/>
          <w:lang w:val="fr-CH"/>
        </w:rPr>
        <w:t>ميزانية</w:t>
      </w:r>
      <w:r w:rsidRPr="00EA5693">
        <w:rPr>
          <w:rtl/>
          <w:lang w:val="fr-CH"/>
        </w:rPr>
        <w:t xml:space="preserve"> </w:t>
      </w:r>
      <w:r w:rsidRPr="00EA5693">
        <w:rPr>
          <w:rFonts w:hint="eastAsia"/>
          <w:rtl/>
          <w:lang w:val="fr-CH"/>
        </w:rPr>
        <w:t>الثنائية</w:t>
      </w:r>
      <w:r w:rsidRPr="00EA5693">
        <w:rPr>
          <w:rtl/>
          <w:lang w:val="fr-CH"/>
        </w:rPr>
        <w:t xml:space="preserve"> 2016/17 </w:t>
      </w:r>
      <w:r w:rsidRPr="00EA5693">
        <w:rPr>
          <w:rFonts w:hint="eastAsia"/>
          <w:rtl/>
          <w:lang w:val="fr-CH"/>
        </w:rPr>
        <w:t>بحسب</w:t>
      </w:r>
      <w:r w:rsidRPr="00EA5693">
        <w:rPr>
          <w:rtl/>
          <w:lang w:val="fr-CH"/>
        </w:rPr>
        <w:t xml:space="preserve"> </w:t>
      </w:r>
      <w:r w:rsidRPr="00EA5693">
        <w:rPr>
          <w:rFonts w:hint="eastAsia"/>
          <w:rtl/>
          <w:lang w:val="fr-CH"/>
        </w:rPr>
        <w:t>كل</w:t>
      </w:r>
      <w:r w:rsidRPr="00EA5693">
        <w:rPr>
          <w:rtl/>
          <w:lang w:val="fr-CH"/>
        </w:rPr>
        <w:t xml:space="preserve"> </w:t>
      </w:r>
      <w:r w:rsidRPr="00EA5693">
        <w:rPr>
          <w:rFonts w:hint="eastAsia"/>
          <w:rtl/>
          <w:lang w:val="fr-CH"/>
        </w:rPr>
        <w:t>نتيجة</w:t>
      </w:r>
      <w:r w:rsidRPr="00EA5693">
        <w:rPr>
          <w:rtl/>
          <w:lang w:val="fr-CH"/>
        </w:rPr>
        <w:t xml:space="preserve"> </w:t>
      </w:r>
      <w:r w:rsidRPr="00EA5693">
        <w:rPr>
          <w:rFonts w:hint="eastAsia"/>
          <w:rtl/>
          <w:lang w:val="fr-CH"/>
        </w:rPr>
        <w:t>مرتقبة</w:t>
      </w:r>
      <w:r w:rsidRPr="00EA5693">
        <w:tab/>
      </w:r>
      <w:r w:rsidRPr="000178A6">
        <w:rPr>
          <w:b w:val="0"/>
          <w:bCs/>
        </w:rPr>
        <w:fldChar w:fldCharType="begin"/>
      </w:r>
      <w:r w:rsidRPr="000178A6">
        <w:rPr>
          <w:b w:val="0"/>
          <w:bCs/>
        </w:rPr>
        <w:instrText xml:space="preserve"> PAGEREF _Toc420595548 \h </w:instrText>
      </w:r>
      <w:r w:rsidRPr="000178A6">
        <w:rPr>
          <w:b w:val="0"/>
          <w:bCs/>
        </w:rPr>
      </w:r>
      <w:r w:rsidRPr="000178A6">
        <w:rPr>
          <w:b w:val="0"/>
          <w:bCs/>
        </w:rPr>
        <w:fldChar w:fldCharType="separate"/>
      </w:r>
      <w:r w:rsidR="00A92CC0">
        <w:rPr>
          <w:b w:val="0"/>
          <w:bCs/>
          <w:rtl/>
        </w:rPr>
        <w:t>263</w:t>
      </w:r>
      <w:r w:rsidRPr="000178A6">
        <w:rPr>
          <w:b w:val="0"/>
          <w:bCs/>
        </w:rPr>
        <w:fldChar w:fldCharType="end"/>
      </w:r>
    </w:p>
    <w:p w:rsidR="00EA5693" w:rsidRPr="000178A6" w:rsidRDefault="00EA5693" w:rsidP="000178A6">
      <w:pPr>
        <w:pStyle w:val="TOC3"/>
        <w:rPr>
          <w:rFonts w:eastAsiaTheme="minorEastAsia"/>
          <w:b w:val="0"/>
          <w:bCs/>
          <w:lang w:bidi="ar-SA"/>
        </w:rPr>
      </w:pPr>
      <w:r w:rsidRPr="000178A6">
        <w:rPr>
          <w:rFonts w:hint="eastAsia"/>
          <w:rtl/>
          <w:lang w:val="fr-CH"/>
        </w:rPr>
        <w:t>المرفق</w:t>
      </w:r>
      <w:r w:rsidRPr="000178A6">
        <w:rPr>
          <w:rtl/>
          <w:lang w:val="fr-CH"/>
        </w:rPr>
        <w:t xml:space="preserve"> </w:t>
      </w:r>
      <w:r w:rsidRPr="000178A6">
        <w:rPr>
          <w:rFonts w:hint="eastAsia"/>
          <w:rtl/>
          <w:lang w:val="fr-CH"/>
        </w:rPr>
        <w:t>الثاني</w:t>
      </w:r>
      <w:r w:rsidRPr="000178A6">
        <w:rPr>
          <w:rtl/>
          <w:lang w:val="fr-CH"/>
        </w:rPr>
        <w:t xml:space="preserve"> </w:t>
      </w:r>
      <w:r w:rsidRPr="000178A6">
        <w:rPr>
          <w:rFonts w:hint="eastAsia"/>
          <w:rtl/>
          <w:lang w:val="fr-CH"/>
        </w:rPr>
        <w:t>عشر</w:t>
      </w:r>
      <w:r w:rsidRPr="000178A6">
        <w:rPr>
          <w:rFonts w:eastAsiaTheme="minorEastAsia"/>
          <w:lang w:bidi="ar-SA"/>
        </w:rPr>
        <w:tab/>
      </w:r>
      <w:r w:rsidRPr="000178A6">
        <w:rPr>
          <w:rFonts w:hint="eastAsia"/>
          <w:rtl/>
          <w:lang w:val="fr-CH"/>
        </w:rPr>
        <w:t>البنية</w:t>
      </w:r>
      <w:r w:rsidRPr="000178A6">
        <w:rPr>
          <w:rtl/>
          <w:lang w:val="fr-CH"/>
        </w:rPr>
        <w:t xml:space="preserve"> </w:t>
      </w:r>
      <w:r w:rsidRPr="000178A6">
        <w:rPr>
          <w:rFonts w:hint="eastAsia"/>
          <w:rtl/>
          <w:lang w:val="fr-CH"/>
        </w:rPr>
        <w:t>الهيكلية</w:t>
      </w:r>
      <w:r w:rsidRPr="000178A6">
        <w:rPr>
          <w:rtl/>
          <w:lang w:val="fr-CH"/>
        </w:rPr>
        <w:t xml:space="preserve"> </w:t>
      </w:r>
      <w:r w:rsidRPr="000178A6">
        <w:rPr>
          <w:rFonts w:hint="eastAsia"/>
          <w:rtl/>
          <w:lang w:val="fr-CH"/>
        </w:rPr>
        <w:t>للويبو</w:t>
      </w:r>
      <w:r w:rsidRPr="00EA5693">
        <w:tab/>
      </w:r>
      <w:r w:rsidRPr="000178A6">
        <w:rPr>
          <w:b w:val="0"/>
          <w:bCs/>
        </w:rPr>
        <w:fldChar w:fldCharType="begin"/>
      </w:r>
      <w:r w:rsidRPr="000178A6">
        <w:rPr>
          <w:b w:val="0"/>
          <w:bCs/>
        </w:rPr>
        <w:instrText xml:space="preserve"> PAGEREF _Toc420595549 \h </w:instrText>
      </w:r>
      <w:r w:rsidRPr="000178A6">
        <w:rPr>
          <w:b w:val="0"/>
          <w:bCs/>
        </w:rPr>
      </w:r>
      <w:r w:rsidRPr="000178A6">
        <w:rPr>
          <w:b w:val="0"/>
          <w:bCs/>
        </w:rPr>
        <w:fldChar w:fldCharType="separate"/>
      </w:r>
      <w:r w:rsidR="00A92CC0">
        <w:rPr>
          <w:b w:val="0"/>
          <w:bCs/>
          <w:rtl/>
        </w:rPr>
        <w:t>266</w:t>
      </w:r>
      <w:r w:rsidRPr="000178A6">
        <w:rPr>
          <w:b w:val="0"/>
          <w:bCs/>
        </w:rPr>
        <w:fldChar w:fldCharType="end"/>
      </w:r>
    </w:p>
    <w:p w:rsidR="00EA5693" w:rsidRPr="000178A6" w:rsidRDefault="00EA5693" w:rsidP="000178A6">
      <w:pPr>
        <w:pStyle w:val="TOC1"/>
        <w:rPr>
          <w:rFonts w:ascii="Arabic Typesetting" w:eastAsiaTheme="minorEastAsia" w:hAnsi="Arabic Typesetting" w:cs="Arabic Typesetting"/>
          <w:caps w:val="0"/>
          <w:noProof/>
          <w:sz w:val="28"/>
          <w:lang w:bidi="ar-SA"/>
        </w:rPr>
      </w:pPr>
      <w:r w:rsidRPr="000178A6">
        <w:rPr>
          <w:rFonts w:ascii="Arabic Typesetting" w:hAnsi="Arabic Typesetting" w:cs="Arabic Typesetting" w:hint="eastAsia"/>
          <w:noProof/>
          <w:sz w:val="28"/>
          <w:rtl/>
          <w:lang w:val="fr-CH"/>
        </w:rPr>
        <w:t>رابعا</w:t>
      </w:r>
      <w:r w:rsidRPr="000178A6">
        <w:rPr>
          <w:rFonts w:ascii="Arabic Typesetting" w:eastAsiaTheme="minorEastAsia" w:hAnsi="Arabic Typesetting" w:cs="Arabic Typesetting"/>
          <w:caps w:val="0"/>
          <w:noProof/>
          <w:sz w:val="28"/>
          <w:lang w:bidi="ar-SA"/>
        </w:rPr>
        <w:tab/>
      </w:r>
      <w:r w:rsidRPr="000178A6">
        <w:rPr>
          <w:rFonts w:ascii="Arabic Typesetting" w:hAnsi="Arabic Typesetting" w:cs="Arabic Typesetting" w:hint="eastAsia"/>
          <w:noProof/>
          <w:sz w:val="28"/>
          <w:rtl/>
          <w:lang w:val="fr-CH"/>
        </w:rPr>
        <w:t>الملحقات</w:t>
      </w:r>
      <w:r w:rsidRPr="000178A6">
        <w:rPr>
          <w:rFonts w:ascii="Arabic Typesetting" w:hAnsi="Arabic Typesetting" w:cs="Arabic Typesetting"/>
          <w:noProof/>
          <w:sz w:val="28"/>
        </w:rPr>
        <w:tab/>
      </w:r>
      <w:r w:rsidRPr="000178A6">
        <w:rPr>
          <w:rFonts w:ascii="Arabic Typesetting" w:hAnsi="Arabic Typesetting" w:cs="Arabic Typesetting"/>
          <w:noProof/>
          <w:sz w:val="28"/>
        </w:rPr>
        <w:fldChar w:fldCharType="begin"/>
      </w:r>
      <w:r w:rsidRPr="000178A6">
        <w:rPr>
          <w:rFonts w:ascii="Arabic Typesetting" w:hAnsi="Arabic Typesetting" w:cs="Arabic Typesetting"/>
          <w:noProof/>
          <w:sz w:val="28"/>
        </w:rPr>
        <w:instrText xml:space="preserve"> PAGEREF _Toc420595550 \h </w:instrText>
      </w:r>
      <w:r w:rsidRPr="000178A6">
        <w:rPr>
          <w:rFonts w:ascii="Arabic Typesetting" w:hAnsi="Arabic Typesetting" w:cs="Arabic Typesetting"/>
          <w:noProof/>
          <w:sz w:val="28"/>
        </w:rPr>
      </w:r>
      <w:r w:rsidRPr="000178A6">
        <w:rPr>
          <w:rFonts w:ascii="Arabic Typesetting" w:hAnsi="Arabic Typesetting" w:cs="Arabic Typesetting"/>
          <w:noProof/>
          <w:sz w:val="28"/>
        </w:rPr>
        <w:fldChar w:fldCharType="separate"/>
      </w:r>
      <w:r w:rsidR="00A92CC0">
        <w:rPr>
          <w:rFonts w:ascii="Arabic Typesetting" w:hAnsi="Arabic Typesetting" w:cs="Arabic Typesetting"/>
          <w:noProof/>
          <w:sz w:val="28"/>
          <w:rtl/>
        </w:rPr>
        <w:t>267</w:t>
      </w:r>
      <w:r w:rsidRPr="000178A6">
        <w:rPr>
          <w:rFonts w:ascii="Arabic Typesetting" w:hAnsi="Arabic Typesetting" w:cs="Arabic Typesetting"/>
          <w:noProof/>
          <w:sz w:val="28"/>
        </w:rPr>
        <w:fldChar w:fldCharType="end"/>
      </w:r>
    </w:p>
    <w:p w:rsidR="00EA5693" w:rsidRPr="00EA5693" w:rsidRDefault="00EA5693" w:rsidP="000178A6">
      <w:pPr>
        <w:pStyle w:val="TOC1"/>
        <w:tabs>
          <w:tab w:val="clear" w:pos="566"/>
          <w:tab w:val="left" w:pos="1984"/>
        </w:tabs>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i/>
          <w:caps w:val="0"/>
          <w:noProof/>
          <w:sz w:val="28"/>
          <w:rtl/>
        </w:rPr>
        <w:t>الملحق</w:t>
      </w:r>
      <w:r w:rsidRPr="00EA5693">
        <w:rPr>
          <w:rFonts w:ascii="Arabic Typesetting" w:hAnsi="Arabic Typesetting" w:cs="Arabic Typesetting"/>
          <w:b w:val="0"/>
          <w:bCs w:val="0"/>
          <w:i/>
          <w:caps w:val="0"/>
          <w:noProof/>
          <w:sz w:val="28"/>
          <w:rtl/>
        </w:rPr>
        <w:t xml:space="preserve"> </w:t>
      </w:r>
      <w:r w:rsidRPr="00EA5693">
        <w:rPr>
          <w:rFonts w:ascii="Arabic Typesetting" w:hAnsi="Arabic Typesetting" w:cs="Arabic Typesetting" w:hint="eastAsia"/>
          <w:b w:val="0"/>
          <w:bCs w:val="0"/>
          <w:i/>
          <w:caps w:val="0"/>
          <w:noProof/>
          <w:sz w:val="28"/>
          <w:rtl/>
        </w:rPr>
        <w:t>ألف</w:t>
      </w:r>
      <w:r w:rsidRPr="00EA5693">
        <w:rPr>
          <w:rFonts w:ascii="Arabic Typesetting" w:hAnsi="Arabic Typesetting" w:cs="Arabic Typesetting"/>
          <w:b w:val="0"/>
          <w:bCs w:val="0"/>
          <w:noProof/>
          <w:sz w:val="28"/>
        </w:rPr>
        <w:tab/>
      </w:r>
      <w:r w:rsidR="000178A6">
        <w:rPr>
          <w:rFonts w:ascii="Arabic Typesetting" w:hAnsi="Arabic Typesetting" w:cs="Arabic Typesetting" w:hint="cs"/>
          <w:b w:val="0"/>
          <w:bCs w:val="0"/>
          <w:noProof/>
          <w:sz w:val="28"/>
          <w:rtl/>
        </w:rPr>
        <w:t>اشتراكات الدول الأعضاء</w:t>
      </w:r>
      <w:r w:rsidR="000178A6">
        <w:rPr>
          <w:rFonts w:ascii="Arabic Typesetting" w:hAnsi="Arabic Typesetting" w:cs="Arabic Typesetting" w:hint="cs"/>
          <w:b w:val="0"/>
          <w:bCs w:val="0"/>
          <w:noProof/>
          <w:sz w:val="28"/>
          <w:rtl/>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_Toc420595551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267</w:t>
      </w:r>
      <w:r w:rsidRPr="00EA5693">
        <w:rPr>
          <w:rFonts w:ascii="Arabic Typesetting" w:hAnsi="Arabic Typesetting" w:cs="Arabic Typesetting"/>
          <w:b w:val="0"/>
          <w:bCs w:val="0"/>
          <w:noProof/>
          <w:sz w:val="28"/>
        </w:rPr>
        <w:fldChar w:fldCharType="end"/>
      </w:r>
    </w:p>
    <w:p w:rsidR="00EA5693" w:rsidRPr="00EA5693" w:rsidRDefault="00EA5693" w:rsidP="000178A6">
      <w:pPr>
        <w:pStyle w:val="TOC1"/>
        <w:tabs>
          <w:tab w:val="clear" w:pos="566"/>
          <w:tab w:val="left" w:pos="1984"/>
        </w:tabs>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i/>
          <w:caps w:val="0"/>
          <w:noProof/>
          <w:sz w:val="28"/>
          <w:rtl/>
        </w:rPr>
        <w:t>الملحق</w:t>
      </w:r>
      <w:r w:rsidRPr="00EA5693">
        <w:rPr>
          <w:rFonts w:ascii="Arabic Typesetting" w:hAnsi="Arabic Typesetting" w:cs="Arabic Typesetting"/>
          <w:b w:val="0"/>
          <w:bCs w:val="0"/>
          <w:i/>
          <w:caps w:val="0"/>
          <w:noProof/>
          <w:sz w:val="28"/>
          <w:rtl/>
        </w:rPr>
        <w:t xml:space="preserve"> </w:t>
      </w:r>
      <w:r w:rsidRPr="00EA5693">
        <w:rPr>
          <w:rFonts w:ascii="Arabic Typesetting" w:hAnsi="Arabic Typesetting" w:cs="Arabic Typesetting" w:hint="eastAsia"/>
          <w:b w:val="0"/>
          <w:bCs w:val="0"/>
          <w:i/>
          <w:caps w:val="0"/>
          <w:noProof/>
          <w:sz w:val="28"/>
          <w:rtl/>
        </w:rPr>
        <w:t>باء</w:t>
      </w:r>
      <w:r w:rsidRPr="00EA5693">
        <w:rPr>
          <w:rFonts w:ascii="Arabic Typesetting" w:hAnsi="Arabic Typesetting" w:cs="Arabic Typesetting"/>
          <w:b w:val="0"/>
          <w:bCs w:val="0"/>
          <w:noProof/>
          <w:sz w:val="28"/>
        </w:rPr>
        <w:tab/>
      </w:r>
      <w:r w:rsidR="000178A6" w:rsidRPr="000178A6">
        <w:rPr>
          <w:rFonts w:ascii="Arabic Typesetting" w:hAnsi="Arabic Typesetting" w:cs="Arabic Typesetting"/>
          <w:b w:val="0"/>
          <w:bCs w:val="0"/>
          <w:noProof/>
          <w:sz w:val="28"/>
          <w:rtl/>
        </w:rPr>
        <w:t>تعريف فئات التكاليف</w:t>
      </w:r>
      <w:r w:rsidR="000178A6">
        <w:rPr>
          <w:rFonts w:ascii="Arabic Typesetting" w:hAnsi="Arabic Typesetting" w:cs="Arabic Typesetting" w:hint="cs"/>
          <w:b w:val="0"/>
          <w:bCs w:val="0"/>
          <w:noProof/>
          <w:sz w:val="28"/>
          <w:rtl/>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_Toc420595552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273</w:t>
      </w:r>
      <w:r w:rsidRPr="00EA5693">
        <w:rPr>
          <w:rFonts w:ascii="Arabic Typesetting" w:hAnsi="Arabic Typesetting" w:cs="Arabic Typesetting"/>
          <w:b w:val="0"/>
          <w:bCs w:val="0"/>
          <w:noProof/>
          <w:sz w:val="28"/>
        </w:rPr>
        <w:fldChar w:fldCharType="end"/>
      </w:r>
    </w:p>
    <w:p w:rsidR="00EA5693" w:rsidRPr="00EA5693" w:rsidRDefault="00EA5693" w:rsidP="000178A6">
      <w:pPr>
        <w:pStyle w:val="TOC1"/>
        <w:tabs>
          <w:tab w:val="clear" w:pos="566"/>
          <w:tab w:val="left" w:pos="1984"/>
        </w:tabs>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i/>
          <w:caps w:val="0"/>
          <w:noProof/>
          <w:sz w:val="28"/>
          <w:rtl/>
        </w:rPr>
        <w:t>الملحق</w:t>
      </w:r>
      <w:r w:rsidRPr="00EA5693">
        <w:rPr>
          <w:rFonts w:ascii="Arabic Typesetting" w:hAnsi="Arabic Typesetting" w:cs="Arabic Typesetting"/>
          <w:b w:val="0"/>
          <w:bCs w:val="0"/>
          <w:i/>
          <w:caps w:val="0"/>
          <w:noProof/>
          <w:sz w:val="28"/>
          <w:rtl/>
        </w:rPr>
        <w:t xml:space="preserve"> </w:t>
      </w:r>
      <w:r w:rsidRPr="00EA5693">
        <w:rPr>
          <w:rFonts w:ascii="Arabic Typesetting" w:hAnsi="Arabic Typesetting" w:cs="Arabic Typesetting" w:hint="eastAsia"/>
          <w:b w:val="0"/>
          <w:bCs w:val="0"/>
          <w:i/>
          <w:caps w:val="0"/>
          <w:noProof/>
          <w:sz w:val="28"/>
          <w:rtl/>
        </w:rPr>
        <w:t>جيم</w:t>
      </w:r>
      <w:r w:rsidRPr="00EA5693">
        <w:rPr>
          <w:rFonts w:ascii="Arabic Typesetting" w:hAnsi="Arabic Typesetting" w:cs="Arabic Typesetting"/>
          <w:b w:val="0"/>
          <w:bCs w:val="0"/>
          <w:noProof/>
          <w:sz w:val="28"/>
        </w:rPr>
        <w:tab/>
      </w:r>
      <w:r w:rsidR="000178A6" w:rsidRPr="000178A6">
        <w:rPr>
          <w:rFonts w:ascii="Arabic Typesetting" w:hAnsi="Arabic Typesetting" w:cs="Arabic Typesetting"/>
          <w:b w:val="0"/>
          <w:bCs w:val="0"/>
          <w:noProof/>
          <w:sz w:val="28"/>
          <w:rtl/>
        </w:rPr>
        <w:t>حساب تكاليف الموظفين</w:t>
      </w:r>
      <w:r w:rsidR="000178A6">
        <w:rPr>
          <w:rFonts w:ascii="Arabic Typesetting" w:hAnsi="Arabic Typesetting" w:cs="Arabic Typesetting" w:hint="cs"/>
          <w:b w:val="0"/>
          <w:bCs w:val="0"/>
          <w:noProof/>
          <w:sz w:val="28"/>
          <w:rtl/>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_Toc420595553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275</w:t>
      </w:r>
      <w:r w:rsidRPr="00EA5693">
        <w:rPr>
          <w:rFonts w:ascii="Arabic Typesetting" w:hAnsi="Arabic Typesetting" w:cs="Arabic Typesetting"/>
          <w:b w:val="0"/>
          <w:bCs w:val="0"/>
          <w:noProof/>
          <w:sz w:val="28"/>
        </w:rPr>
        <w:fldChar w:fldCharType="end"/>
      </w:r>
    </w:p>
    <w:p w:rsidR="00EA5693" w:rsidRPr="00EA5693" w:rsidRDefault="00EA5693" w:rsidP="000178A6">
      <w:pPr>
        <w:pStyle w:val="TOC1"/>
        <w:tabs>
          <w:tab w:val="clear" w:pos="566"/>
          <w:tab w:val="left" w:pos="1984"/>
        </w:tabs>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i/>
          <w:caps w:val="0"/>
          <w:noProof/>
          <w:sz w:val="28"/>
          <w:rtl/>
        </w:rPr>
        <w:t>الملحق</w:t>
      </w:r>
      <w:r w:rsidRPr="00EA5693">
        <w:rPr>
          <w:rFonts w:ascii="Arabic Typesetting" w:hAnsi="Arabic Typesetting" w:cs="Arabic Typesetting"/>
          <w:b w:val="0"/>
          <w:bCs w:val="0"/>
          <w:i/>
          <w:caps w:val="0"/>
          <w:noProof/>
          <w:sz w:val="28"/>
          <w:rtl/>
        </w:rPr>
        <w:t xml:space="preserve"> </w:t>
      </w:r>
      <w:r w:rsidRPr="00EA5693">
        <w:rPr>
          <w:rFonts w:ascii="Arabic Typesetting" w:hAnsi="Arabic Typesetting" w:cs="Arabic Typesetting" w:hint="eastAsia"/>
          <w:b w:val="0"/>
          <w:bCs w:val="0"/>
          <w:i/>
          <w:caps w:val="0"/>
          <w:noProof/>
          <w:sz w:val="28"/>
          <w:rtl/>
        </w:rPr>
        <w:t>دال</w:t>
      </w:r>
      <w:r w:rsidRPr="00EA5693">
        <w:rPr>
          <w:rFonts w:ascii="Arabic Typesetting" w:hAnsi="Arabic Typesetting" w:cs="Arabic Typesetting"/>
          <w:b w:val="0"/>
          <w:bCs w:val="0"/>
          <w:noProof/>
          <w:sz w:val="28"/>
        </w:rPr>
        <w:tab/>
      </w:r>
      <w:r w:rsidR="000178A6">
        <w:rPr>
          <w:rFonts w:ascii="Arabic Typesetting" w:hAnsi="Arabic Typesetting" w:cs="Arabic Typesetting" w:hint="cs"/>
          <w:b w:val="0"/>
          <w:bCs w:val="0"/>
          <w:noProof/>
          <w:sz w:val="28"/>
          <w:rtl/>
        </w:rPr>
        <w:t>معادلات المرونة</w:t>
      </w:r>
      <w:r w:rsidR="000178A6">
        <w:rPr>
          <w:rFonts w:ascii="Arabic Typesetting" w:hAnsi="Arabic Typesetting" w:cs="Arabic Typesetting" w:hint="cs"/>
          <w:b w:val="0"/>
          <w:bCs w:val="0"/>
          <w:noProof/>
          <w:sz w:val="28"/>
          <w:rtl/>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_Toc420595554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277</w:t>
      </w:r>
      <w:r w:rsidRPr="00EA5693">
        <w:rPr>
          <w:rFonts w:ascii="Arabic Typesetting" w:hAnsi="Arabic Typesetting" w:cs="Arabic Typesetting"/>
          <w:b w:val="0"/>
          <w:bCs w:val="0"/>
          <w:noProof/>
          <w:sz w:val="28"/>
        </w:rPr>
        <w:fldChar w:fldCharType="end"/>
      </w:r>
    </w:p>
    <w:p w:rsidR="00EA5693" w:rsidRPr="00EA5693" w:rsidRDefault="00EA5693" w:rsidP="000178A6">
      <w:pPr>
        <w:pStyle w:val="TOC1"/>
        <w:tabs>
          <w:tab w:val="clear" w:pos="566"/>
          <w:tab w:val="left" w:pos="1984"/>
        </w:tabs>
        <w:ind w:left="566"/>
        <w:rPr>
          <w:rFonts w:ascii="Arabic Typesetting" w:eastAsiaTheme="minorEastAsia" w:hAnsi="Arabic Typesetting" w:cs="Arabic Typesetting"/>
          <w:b w:val="0"/>
          <w:bCs w:val="0"/>
          <w:caps w:val="0"/>
          <w:noProof/>
          <w:sz w:val="28"/>
          <w:lang w:bidi="ar-SA"/>
        </w:rPr>
      </w:pPr>
      <w:r w:rsidRPr="00EA5693">
        <w:rPr>
          <w:rFonts w:ascii="Arabic Typesetting" w:hAnsi="Arabic Typesetting" w:cs="Arabic Typesetting" w:hint="eastAsia"/>
          <w:b w:val="0"/>
          <w:bCs w:val="0"/>
          <w:i/>
          <w:caps w:val="0"/>
          <w:noProof/>
          <w:sz w:val="28"/>
          <w:rtl/>
        </w:rPr>
        <w:t>الملحق</w:t>
      </w:r>
      <w:r w:rsidRPr="00EA5693">
        <w:rPr>
          <w:rFonts w:ascii="Arabic Typesetting" w:hAnsi="Arabic Typesetting" w:cs="Arabic Typesetting"/>
          <w:b w:val="0"/>
          <w:bCs w:val="0"/>
          <w:i/>
          <w:caps w:val="0"/>
          <w:noProof/>
          <w:sz w:val="28"/>
          <w:rtl/>
        </w:rPr>
        <w:t xml:space="preserve"> </w:t>
      </w:r>
      <w:r w:rsidRPr="00EA5693">
        <w:rPr>
          <w:rFonts w:ascii="Arabic Typesetting" w:hAnsi="Arabic Typesetting" w:cs="Arabic Typesetting" w:hint="eastAsia"/>
          <w:b w:val="0"/>
          <w:bCs w:val="0"/>
          <w:i/>
          <w:caps w:val="0"/>
          <w:noProof/>
          <w:sz w:val="28"/>
          <w:rtl/>
        </w:rPr>
        <w:t>هاء</w:t>
      </w:r>
      <w:r w:rsidRPr="00EA5693">
        <w:rPr>
          <w:rFonts w:ascii="Arabic Typesetting" w:hAnsi="Arabic Typesetting" w:cs="Arabic Typesetting"/>
          <w:b w:val="0"/>
          <w:bCs w:val="0"/>
          <w:noProof/>
          <w:sz w:val="28"/>
        </w:rPr>
        <w:tab/>
      </w:r>
      <w:r w:rsidR="000178A6">
        <w:rPr>
          <w:rFonts w:ascii="Arabic Typesetting" w:hAnsi="Arabic Typesetting" w:cs="Arabic Typesetting" w:hint="cs"/>
          <w:b w:val="0"/>
          <w:bCs w:val="0"/>
          <w:noProof/>
          <w:sz w:val="28"/>
          <w:rtl/>
        </w:rPr>
        <w:t>المختصرات الواردة في النص الإنكليزي</w:t>
      </w:r>
      <w:r w:rsidR="000178A6">
        <w:rPr>
          <w:rFonts w:ascii="Arabic Typesetting" w:hAnsi="Arabic Typesetting" w:cs="Arabic Typesetting" w:hint="cs"/>
          <w:b w:val="0"/>
          <w:bCs w:val="0"/>
          <w:noProof/>
          <w:sz w:val="28"/>
          <w:rtl/>
        </w:rPr>
        <w:tab/>
      </w:r>
      <w:r w:rsidRPr="00EA5693">
        <w:rPr>
          <w:rFonts w:ascii="Arabic Typesetting" w:hAnsi="Arabic Typesetting" w:cs="Arabic Typesetting"/>
          <w:b w:val="0"/>
          <w:bCs w:val="0"/>
          <w:noProof/>
          <w:sz w:val="28"/>
        </w:rPr>
        <w:fldChar w:fldCharType="begin"/>
      </w:r>
      <w:r w:rsidRPr="00EA5693">
        <w:rPr>
          <w:rFonts w:ascii="Arabic Typesetting" w:hAnsi="Arabic Typesetting" w:cs="Arabic Typesetting"/>
          <w:b w:val="0"/>
          <w:bCs w:val="0"/>
          <w:noProof/>
          <w:sz w:val="28"/>
        </w:rPr>
        <w:instrText xml:space="preserve"> PAGEREF _Toc420595555 \h </w:instrText>
      </w:r>
      <w:r w:rsidRPr="00EA5693">
        <w:rPr>
          <w:rFonts w:ascii="Arabic Typesetting" w:hAnsi="Arabic Typesetting" w:cs="Arabic Typesetting"/>
          <w:b w:val="0"/>
          <w:bCs w:val="0"/>
          <w:noProof/>
          <w:sz w:val="28"/>
        </w:rPr>
      </w:r>
      <w:r w:rsidRPr="00EA5693">
        <w:rPr>
          <w:rFonts w:ascii="Arabic Typesetting" w:hAnsi="Arabic Typesetting" w:cs="Arabic Typesetting"/>
          <w:b w:val="0"/>
          <w:bCs w:val="0"/>
          <w:noProof/>
          <w:sz w:val="28"/>
        </w:rPr>
        <w:fldChar w:fldCharType="separate"/>
      </w:r>
      <w:r w:rsidR="00A92CC0">
        <w:rPr>
          <w:rFonts w:ascii="Arabic Typesetting" w:hAnsi="Arabic Typesetting" w:cs="Arabic Typesetting"/>
          <w:b w:val="0"/>
          <w:bCs w:val="0"/>
          <w:noProof/>
          <w:sz w:val="28"/>
          <w:rtl/>
        </w:rPr>
        <w:t>278</w:t>
      </w:r>
      <w:r w:rsidRPr="00EA5693">
        <w:rPr>
          <w:rFonts w:ascii="Arabic Typesetting" w:hAnsi="Arabic Typesetting" w:cs="Arabic Typesetting"/>
          <w:b w:val="0"/>
          <w:bCs w:val="0"/>
          <w:noProof/>
          <w:sz w:val="28"/>
        </w:rPr>
        <w:fldChar w:fldCharType="end"/>
      </w:r>
    </w:p>
    <w:p w:rsidR="005E0FE3" w:rsidRPr="00411EB2" w:rsidRDefault="00DA5475" w:rsidP="00EA5693">
      <w:pPr>
        <w:pStyle w:val="NormalParaAR"/>
        <w:tabs>
          <w:tab w:val="left" w:pos="5207"/>
        </w:tabs>
        <w:spacing w:after="60" w:line="280" w:lineRule="exact"/>
        <w:rPr>
          <w:sz w:val="28"/>
          <w:szCs w:val="28"/>
          <w:rtl/>
          <w:lang w:val="fr-CH"/>
        </w:rPr>
      </w:pPr>
      <w:r w:rsidRPr="00EA5693">
        <w:rPr>
          <w:caps/>
          <w:sz w:val="28"/>
          <w:szCs w:val="28"/>
          <w:rtl/>
          <w:lang w:val="fr-CH" w:bidi="ar-EG"/>
        </w:rPr>
        <w:fldChar w:fldCharType="end"/>
      </w:r>
    </w:p>
    <w:p w:rsidR="005E0FE3" w:rsidRPr="00411EB2" w:rsidRDefault="005E0FE3" w:rsidP="0033077D">
      <w:pPr>
        <w:pStyle w:val="NormalParaAR"/>
        <w:spacing w:line="340" w:lineRule="exact"/>
        <w:jc w:val="center"/>
        <w:rPr>
          <w:b/>
          <w:bCs/>
          <w:sz w:val="38"/>
          <w:szCs w:val="38"/>
          <w:rtl/>
          <w:lang w:val="fr-CH"/>
        </w:rPr>
      </w:pPr>
    </w:p>
    <w:p w:rsidR="005E0FE3" w:rsidRPr="00411EB2" w:rsidRDefault="005E0FE3" w:rsidP="0033077D">
      <w:pPr>
        <w:pStyle w:val="NormalParaAR"/>
        <w:spacing w:line="340" w:lineRule="exact"/>
        <w:jc w:val="center"/>
        <w:rPr>
          <w:b/>
          <w:bCs/>
          <w:sz w:val="38"/>
          <w:szCs w:val="38"/>
          <w:rtl/>
          <w:lang w:val="fr-CH"/>
        </w:rPr>
        <w:sectPr w:rsidR="005E0FE3" w:rsidRPr="00411EB2" w:rsidSect="00861CFF">
          <w:headerReference w:type="even" r:id="rId18"/>
          <w:footerReference w:type="even" r:id="rId19"/>
          <w:headerReference w:type="first" r:id="rId20"/>
          <w:footerReference w:type="first" r:id="rId21"/>
          <w:pgSz w:w="11907" w:h="16840" w:code="9"/>
          <w:pgMar w:top="567" w:right="1418" w:bottom="1418" w:left="1134" w:header="510" w:footer="1021" w:gutter="0"/>
          <w:cols w:space="720"/>
          <w:titlePg/>
          <w:docGrid w:linePitch="299"/>
        </w:sectPr>
      </w:pPr>
    </w:p>
    <w:p w:rsidR="00A67728" w:rsidRPr="00411EB2" w:rsidRDefault="008C2BFF" w:rsidP="001F6811">
      <w:pPr>
        <w:pStyle w:val="Heading1"/>
        <w:spacing w:before="0" w:after="240" w:line="360" w:lineRule="exact"/>
        <w:rPr>
          <w:rFonts w:ascii="Arabic Typesetting" w:hAnsi="Arabic Typesetting" w:cs="Arabic Typesetting"/>
          <w:color w:val="auto"/>
          <w:sz w:val="40"/>
          <w:szCs w:val="40"/>
        </w:rPr>
      </w:pPr>
      <w:bookmarkStart w:id="1" w:name="_Toc364355345"/>
      <w:bookmarkStart w:id="2" w:name="_Toc420595489"/>
      <w:r w:rsidRPr="00411EB2">
        <w:rPr>
          <w:rFonts w:ascii="Arabic Typesetting" w:hAnsi="Arabic Typesetting" w:cs="Arabic Typesetting"/>
          <w:color w:val="auto"/>
          <w:sz w:val="40"/>
          <w:szCs w:val="40"/>
          <w:rtl/>
        </w:rPr>
        <w:lastRenderedPageBreak/>
        <w:t>مقدمة المدير العام</w:t>
      </w:r>
      <w:bookmarkEnd w:id="1"/>
      <w:bookmarkEnd w:id="2"/>
    </w:p>
    <w:p w:rsidR="007D6F57" w:rsidRDefault="00DC1691" w:rsidP="00AB66E2">
      <w:pPr>
        <w:pStyle w:val="ARNormal"/>
        <w:rPr>
          <w:rtl/>
        </w:rPr>
      </w:pPr>
      <w:r>
        <w:rPr>
          <w:rFonts w:hint="cs"/>
          <w:rtl/>
        </w:rPr>
        <w:t>تتيح وثيقة البرنامج والميز</w:t>
      </w:r>
      <w:r w:rsidR="0032787E">
        <w:rPr>
          <w:rFonts w:hint="cs"/>
          <w:rtl/>
        </w:rPr>
        <w:t>انية فرصة أمام دول الأعضاء لتحدي</w:t>
      </w:r>
      <w:r>
        <w:rPr>
          <w:rFonts w:hint="cs"/>
          <w:rtl/>
        </w:rPr>
        <w:t>د النتائج التي تريد من المنظمة تحقيقها في الثنائية التالية وفرصة أمام المنظمة لتصميم البرامج التي تمكّن من تحقيق تلك النتائج.</w:t>
      </w:r>
    </w:p>
    <w:p w:rsidR="00DC1691" w:rsidRDefault="00DC1691" w:rsidP="0032787E">
      <w:pPr>
        <w:pStyle w:val="ARNormal"/>
        <w:rPr>
          <w:rtl/>
        </w:rPr>
      </w:pPr>
      <w:r>
        <w:rPr>
          <w:rFonts w:hint="cs"/>
          <w:rtl/>
        </w:rPr>
        <w:t>والمنظمة محظوظة لتمتعها بأساس مالي سليم يمكنها الاستناد إليه لتخطيط وتنفيذ العملية المتمثّلة ف</w:t>
      </w:r>
      <w:r w:rsidR="0032787E">
        <w:rPr>
          <w:rFonts w:hint="cs"/>
          <w:rtl/>
        </w:rPr>
        <w:t>ي تحديد النتائج وتصميم البرامج ل</w:t>
      </w:r>
      <w:r>
        <w:rPr>
          <w:rFonts w:hint="cs"/>
          <w:rtl/>
        </w:rPr>
        <w:t xml:space="preserve">تحقيق </w:t>
      </w:r>
      <w:r w:rsidR="0032787E">
        <w:rPr>
          <w:rFonts w:hint="cs"/>
          <w:rtl/>
        </w:rPr>
        <w:t xml:space="preserve">تلك </w:t>
      </w:r>
      <w:r>
        <w:rPr>
          <w:rFonts w:hint="cs"/>
          <w:rtl/>
        </w:rPr>
        <w:t>النتائج.</w:t>
      </w:r>
      <w:r w:rsidR="00482553">
        <w:rPr>
          <w:rFonts w:hint="cs"/>
          <w:rtl/>
        </w:rPr>
        <w:t xml:space="preserve"> ونتوقّع إنهاء </w:t>
      </w:r>
      <w:r w:rsidR="0032787E">
        <w:rPr>
          <w:rFonts w:hint="cs"/>
          <w:rtl/>
        </w:rPr>
        <w:t>الثنائية</w:t>
      </w:r>
      <w:r w:rsidR="00482553">
        <w:rPr>
          <w:rFonts w:hint="cs"/>
          <w:rtl/>
        </w:rPr>
        <w:t xml:space="preserve"> الحالية (2014-2015) بفائض متوسط. ومن </w:t>
      </w:r>
      <w:r w:rsidR="0032787E">
        <w:rPr>
          <w:rFonts w:hint="cs"/>
          <w:rtl/>
        </w:rPr>
        <w:t xml:space="preserve">المتوقّع أن تشهد الإيرادات على </w:t>
      </w:r>
      <w:r w:rsidR="00482553">
        <w:rPr>
          <w:rFonts w:hint="cs"/>
          <w:rtl/>
        </w:rPr>
        <w:t>مدى الثنائية القادمة (2016-2017) زيادة بنسبة 6</w:t>
      </w:r>
      <w:r w:rsidR="00482553">
        <w:rPr>
          <w:rFonts w:hint="eastAsia"/>
          <w:rtl/>
        </w:rPr>
        <w:t> </w:t>
      </w:r>
      <w:r w:rsidR="00482553">
        <w:rPr>
          <w:rFonts w:hint="cs"/>
          <w:rtl/>
        </w:rPr>
        <w:t>بالمائة لتصل إلى</w:t>
      </w:r>
      <w:r w:rsidR="00482553">
        <w:rPr>
          <w:rFonts w:hint="eastAsia"/>
          <w:rtl/>
        </w:rPr>
        <w:t> </w:t>
      </w:r>
      <w:r w:rsidR="0032787E">
        <w:rPr>
          <w:rFonts w:hint="cs"/>
          <w:rtl/>
        </w:rPr>
        <w:t xml:space="preserve">756.3 مليون فرنك سويسري نتيجة </w:t>
      </w:r>
      <w:r w:rsidR="00482553">
        <w:rPr>
          <w:rFonts w:hint="cs"/>
          <w:rtl/>
        </w:rPr>
        <w:t xml:space="preserve">نمو الطلب في إطار أنظمة </w:t>
      </w:r>
      <w:r w:rsidR="0032787E">
        <w:rPr>
          <w:rFonts w:hint="cs"/>
          <w:rtl/>
        </w:rPr>
        <w:t>الملكية الفكرية العالمية (</w:t>
      </w:r>
      <w:r w:rsidR="00482553">
        <w:rPr>
          <w:rFonts w:hint="cs"/>
          <w:rtl/>
        </w:rPr>
        <w:t>خصوصا نظام معاهدة التعاون بشأن البراءات ونظام مدريد للعلامات التجارية ونظام لاهاي للتصاميم). ونقترح أنه ينبغي أن تزيد النفقات بنسبة</w:t>
      </w:r>
      <w:r w:rsidR="00482553">
        <w:rPr>
          <w:rFonts w:hint="eastAsia"/>
          <w:rtl/>
        </w:rPr>
        <w:t> </w:t>
      </w:r>
      <w:r w:rsidR="00482553">
        <w:rPr>
          <w:rFonts w:hint="cs"/>
          <w:rtl/>
        </w:rPr>
        <w:t>4.9 ل</w:t>
      </w:r>
      <w:r w:rsidR="0032787E">
        <w:rPr>
          <w:rFonts w:hint="cs"/>
          <w:rtl/>
        </w:rPr>
        <w:t>ت</w:t>
      </w:r>
      <w:r w:rsidR="00482553">
        <w:rPr>
          <w:rFonts w:hint="cs"/>
          <w:rtl/>
        </w:rPr>
        <w:t>بلغ 707 ملايين فرنك سويسري، بما يتيح فائضا متوق</w:t>
      </w:r>
      <w:r w:rsidR="0032787E">
        <w:rPr>
          <w:rFonts w:hint="cs"/>
          <w:rtl/>
        </w:rPr>
        <w:t>ّ</w:t>
      </w:r>
      <w:r w:rsidR="00482553">
        <w:rPr>
          <w:rFonts w:hint="cs"/>
          <w:rtl/>
        </w:rPr>
        <w:t xml:space="preserve">عا يصل، بعد </w:t>
      </w:r>
      <w:r w:rsidR="0032787E">
        <w:rPr>
          <w:rFonts w:hint="cs"/>
          <w:rtl/>
        </w:rPr>
        <w:t xml:space="preserve">إجراء </w:t>
      </w:r>
      <w:r w:rsidR="00482553">
        <w:rPr>
          <w:rFonts w:hint="cs"/>
          <w:rtl/>
        </w:rPr>
        <w:t xml:space="preserve">التسويات المقدّرة </w:t>
      </w:r>
      <w:r w:rsidR="0032787E">
        <w:rPr>
          <w:rFonts w:hint="cs"/>
          <w:rtl/>
        </w:rPr>
        <w:t>على أ</w:t>
      </w:r>
      <w:r w:rsidR="00482553">
        <w:rPr>
          <w:rFonts w:hint="cs"/>
          <w:rtl/>
        </w:rPr>
        <w:t>ساس المعايير المحاسبية الدولية للقطاع العام، إلى</w:t>
      </w:r>
      <w:r w:rsidR="00482553">
        <w:rPr>
          <w:rFonts w:hint="eastAsia"/>
          <w:rtl/>
        </w:rPr>
        <w:t> </w:t>
      </w:r>
      <w:r w:rsidR="00482553">
        <w:rPr>
          <w:rFonts w:hint="cs"/>
          <w:rtl/>
        </w:rPr>
        <w:t xml:space="preserve">20.8 مليون فرنك سويسري، وهو مبلغ يُقترح استخدامه أساسا </w:t>
      </w:r>
      <w:r w:rsidR="008E1860">
        <w:rPr>
          <w:rFonts w:hint="cs"/>
          <w:rtl/>
        </w:rPr>
        <w:t>لرفع الاحتياطات إلى مستوى أكثر أمنا.</w:t>
      </w:r>
    </w:p>
    <w:p w:rsidR="008E1860" w:rsidRDefault="008E1860" w:rsidP="00FD008C">
      <w:pPr>
        <w:pStyle w:val="ARNormal"/>
        <w:rPr>
          <w:rtl/>
        </w:rPr>
      </w:pPr>
      <w:r>
        <w:rPr>
          <w:rFonts w:hint="cs"/>
          <w:rtl/>
        </w:rPr>
        <w:t>ولا ينبغي أن يُعتبر الوضع المالي السليم للمنظمة أمرا بديهيا. بل هو وضع أسهم في تحقيقه توسّع أنظمة الملكية الفكرية العالمية. وفي حين نتوقّع أن يتوسّع كل من نظام مدريد ونظام لاهاي بسرعة كبيرة في السنوات المقبلة، فإن مصدر الإيرادات الرئيسي يظلّ نظام معاهدة التعاون بشأن البراءات (نحو 76</w:t>
      </w:r>
      <w:r w:rsidR="00FD008C">
        <w:rPr>
          <w:rFonts w:hint="eastAsia"/>
          <w:rtl/>
        </w:rPr>
        <w:t> </w:t>
      </w:r>
      <w:r>
        <w:rPr>
          <w:rFonts w:hint="cs"/>
          <w:rtl/>
        </w:rPr>
        <w:t xml:space="preserve">بالمائة </w:t>
      </w:r>
      <w:r w:rsidR="00AC1097">
        <w:rPr>
          <w:rFonts w:hint="cs"/>
          <w:rtl/>
        </w:rPr>
        <w:t xml:space="preserve">من مجموع الإيرادات). </w:t>
      </w:r>
      <w:r w:rsidR="00FD008C">
        <w:rPr>
          <w:rFonts w:hint="cs"/>
          <w:rtl/>
        </w:rPr>
        <w:t>وتتأثر الزيادة في الطلب ضمن نظام معاهدة التعاون بشأن البراءات بعوامل مختلفة يوحي البعض منها بأن الزيادة في الطلب المُسجّلة على مدى السنوات الأخيرة قد لا تتواصل بالمستوى نفسه على المدى المتوسط.</w:t>
      </w:r>
    </w:p>
    <w:p w:rsidR="00FD008C" w:rsidRDefault="00FD008C" w:rsidP="0032787E">
      <w:pPr>
        <w:pStyle w:val="ARNormal"/>
        <w:rPr>
          <w:rtl/>
        </w:rPr>
      </w:pPr>
      <w:r>
        <w:rPr>
          <w:rFonts w:hint="cs"/>
          <w:rtl/>
        </w:rPr>
        <w:t xml:space="preserve">وفي </w:t>
      </w:r>
      <w:r w:rsidR="00BA2C8D">
        <w:rPr>
          <w:rFonts w:hint="cs"/>
          <w:rtl/>
        </w:rPr>
        <w:t xml:space="preserve">الوقت ذاته، تواجه المنظمة عدة من متطلبات الاستثمار </w:t>
      </w:r>
      <w:r w:rsidR="00EB7F77">
        <w:rPr>
          <w:rFonts w:hint="cs"/>
          <w:rtl/>
        </w:rPr>
        <w:t>ال</w:t>
      </w:r>
      <w:r w:rsidR="00BA2C8D">
        <w:rPr>
          <w:rFonts w:hint="cs"/>
          <w:rtl/>
        </w:rPr>
        <w:t>رئيسية.</w:t>
      </w:r>
      <w:r w:rsidR="00EB7F77">
        <w:rPr>
          <w:rFonts w:hint="cs"/>
          <w:rtl/>
        </w:rPr>
        <w:t xml:space="preserve"> فأنظمة الملكية الفكرية العالمية تعتمد في إيراداتها على خدمات عالية الجودة وفعالة من حيث التكلفة تُقدم بشكل متزايد عن طريق منصات معقدة </w:t>
      </w:r>
      <w:r w:rsidR="0032787E">
        <w:rPr>
          <w:rFonts w:hint="cs"/>
          <w:rtl/>
        </w:rPr>
        <w:t>ل</w:t>
      </w:r>
      <w:r w:rsidR="00EB7F77">
        <w:rPr>
          <w:rFonts w:hint="cs"/>
          <w:rtl/>
        </w:rPr>
        <w:t xml:space="preserve">تكنولوجيا المعلومات. وقد مكّنت تلك المنصات من تحقيق مكاسب كبيرة في الإنتاجية واحتواء تكاليف الموظفين، ولكنها تقتضي تحسينا وتطويرا باستمرار. وبالإضافة إلى ذلك وعلى غرار كل المنظمات والمنشآت الأخرى في العالم المعاصر القائم على الشبكات، </w:t>
      </w:r>
      <w:r w:rsidR="0032787E">
        <w:rPr>
          <w:rFonts w:hint="cs"/>
          <w:rtl/>
        </w:rPr>
        <w:t>تتعرّض</w:t>
      </w:r>
      <w:r w:rsidR="00FE1864">
        <w:rPr>
          <w:rFonts w:hint="cs"/>
          <w:rtl/>
        </w:rPr>
        <w:t xml:space="preserve"> المنظمة لدرجة تأثر البيئة الإلكترونية. والحد من درجة التأثر المذكورة يستوجب توظيف استثمارات كبيرة في أمن تكنولوجيا المعلومات وفي استمرارية العمل والمرونة المؤسسية.</w:t>
      </w:r>
    </w:p>
    <w:p w:rsidR="00FE1864" w:rsidRDefault="00FE1864" w:rsidP="00D648C4">
      <w:pPr>
        <w:pStyle w:val="ARNormal"/>
        <w:rPr>
          <w:rtl/>
        </w:rPr>
      </w:pPr>
      <w:r>
        <w:rPr>
          <w:rFonts w:hint="cs"/>
          <w:rtl/>
        </w:rPr>
        <w:t xml:space="preserve">ونقترح أن تُستوعب </w:t>
      </w:r>
      <w:r w:rsidR="0032787E">
        <w:rPr>
          <w:rFonts w:hint="cs"/>
          <w:rtl/>
        </w:rPr>
        <w:t>تلك</w:t>
      </w:r>
      <w:r>
        <w:rPr>
          <w:rFonts w:hint="cs"/>
          <w:rtl/>
        </w:rPr>
        <w:t xml:space="preserve"> الاستثمارات </w:t>
      </w:r>
      <w:r w:rsidR="0032787E">
        <w:rPr>
          <w:rFonts w:hint="cs"/>
          <w:rtl/>
        </w:rPr>
        <w:t xml:space="preserve">الإضافية </w:t>
      </w:r>
      <w:r>
        <w:rPr>
          <w:rFonts w:hint="cs"/>
          <w:rtl/>
        </w:rPr>
        <w:t xml:space="preserve">الكبيرة في الثنائية القادمة دون أية زيادات في رسوم أنظمة الملكية الفكرية العالمية. ويمكّن </w:t>
      </w:r>
      <w:r w:rsidR="0032787E">
        <w:rPr>
          <w:rFonts w:hint="cs"/>
          <w:rtl/>
        </w:rPr>
        <w:t>ذلك</w:t>
      </w:r>
      <w:r>
        <w:rPr>
          <w:rFonts w:hint="cs"/>
          <w:rtl/>
        </w:rPr>
        <w:t xml:space="preserve"> من مواصلة </w:t>
      </w:r>
      <w:r w:rsidR="00365536">
        <w:rPr>
          <w:rFonts w:hint="cs"/>
          <w:rtl/>
        </w:rPr>
        <w:t>الإنجاز</w:t>
      </w:r>
      <w:r>
        <w:rPr>
          <w:rFonts w:hint="cs"/>
          <w:rtl/>
        </w:rPr>
        <w:t xml:space="preserve"> </w:t>
      </w:r>
      <w:r w:rsidR="00365536">
        <w:rPr>
          <w:rFonts w:hint="cs"/>
          <w:rtl/>
        </w:rPr>
        <w:t xml:space="preserve">الباهر </w:t>
      </w:r>
      <w:r>
        <w:rPr>
          <w:rFonts w:hint="cs"/>
          <w:rtl/>
        </w:rPr>
        <w:t xml:space="preserve">المُحقق طيلة </w:t>
      </w:r>
      <w:r w:rsidR="00365536">
        <w:rPr>
          <w:rFonts w:hint="cs"/>
          <w:rtl/>
        </w:rPr>
        <w:t>السنوات السبع الماضية والمتمثّل في عدم فرض أية زيادات في الرسوم. غير أن ذلك الإنجاز يُعد غير مسبوق إذا ما قورن مع زيادات الرسوم المُسجلة في مكاتب الم</w:t>
      </w:r>
      <w:r w:rsidR="00D648C4">
        <w:rPr>
          <w:rFonts w:hint="cs"/>
          <w:rtl/>
        </w:rPr>
        <w:t xml:space="preserve">لكية الفكرية الوطنية والإقليمية، وبالتالي فمن الطبيعي أن </w:t>
      </w:r>
      <w:r w:rsidR="00365536">
        <w:rPr>
          <w:rFonts w:hint="cs"/>
          <w:rtl/>
        </w:rPr>
        <w:t>يأتي وقت في المستقبل</w:t>
      </w:r>
      <w:r w:rsidR="00D648C4">
        <w:rPr>
          <w:rFonts w:hint="cs"/>
          <w:rtl/>
        </w:rPr>
        <w:t xml:space="preserve"> </w:t>
      </w:r>
      <w:r w:rsidR="00365536">
        <w:rPr>
          <w:rFonts w:hint="cs"/>
          <w:rtl/>
        </w:rPr>
        <w:t>تظهر فيه الحاجة إلى فرض زيادات معقولة في الرسوم.</w:t>
      </w:r>
    </w:p>
    <w:p w:rsidR="002B3A38" w:rsidRDefault="00316052" w:rsidP="00D648C4">
      <w:pPr>
        <w:pStyle w:val="ARNormal"/>
        <w:rPr>
          <w:rtl/>
        </w:rPr>
      </w:pPr>
      <w:r>
        <w:rPr>
          <w:rFonts w:hint="cs"/>
          <w:rtl/>
        </w:rPr>
        <w:t xml:space="preserve">وينشأ أحد التحديات المالية الإضافية </w:t>
      </w:r>
      <w:r w:rsidR="00D648C4">
        <w:rPr>
          <w:rFonts w:hint="cs"/>
          <w:rtl/>
        </w:rPr>
        <w:t xml:space="preserve">من </w:t>
      </w:r>
      <w:r>
        <w:rPr>
          <w:rFonts w:hint="cs"/>
          <w:rtl/>
        </w:rPr>
        <w:t>البيئة الاقتصادية العالمية الحالية التي بات يسودها عدم الاستقرار، وبخاصة من أسعار الفائدة السلبية.</w:t>
      </w:r>
      <w:r w:rsidR="006902DB">
        <w:rPr>
          <w:rFonts w:hint="cs"/>
          <w:rtl/>
        </w:rPr>
        <w:t xml:space="preserve"> وقد ظهرت أسعار الفائدة السلبية في الوقت </w:t>
      </w:r>
      <w:r w:rsidR="00D648C4">
        <w:rPr>
          <w:rFonts w:hint="cs"/>
          <w:rtl/>
        </w:rPr>
        <w:t xml:space="preserve">ذاته </w:t>
      </w:r>
      <w:r w:rsidR="006902DB">
        <w:rPr>
          <w:rFonts w:hint="cs"/>
          <w:rtl/>
        </w:rPr>
        <w:t xml:space="preserve">الذي </w:t>
      </w:r>
      <w:r w:rsidR="00D648C4">
        <w:rPr>
          <w:rFonts w:hint="cs"/>
          <w:rtl/>
        </w:rPr>
        <w:t>أصبحت المنظمة تُ</w:t>
      </w:r>
      <w:r w:rsidR="006902DB">
        <w:rPr>
          <w:rFonts w:hint="cs"/>
          <w:rtl/>
        </w:rPr>
        <w:t>ط</w:t>
      </w:r>
      <w:r w:rsidR="00D648C4">
        <w:rPr>
          <w:rFonts w:hint="cs"/>
          <w:rtl/>
        </w:rPr>
        <w:t>الب فيه بال</w:t>
      </w:r>
      <w:r w:rsidR="00D1222A">
        <w:rPr>
          <w:rFonts w:hint="cs"/>
          <w:rtl/>
        </w:rPr>
        <w:t>تحوّل م</w:t>
      </w:r>
      <w:r w:rsidR="00D648C4">
        <w:rPr>
          <w:rFonts w:hint="cs"/>
          <w:rtl/>
        </w:rPr>
        <w:t xml:space="preserve">ن </w:t>
      </w:r>
      <w:r w:rsidR="006902DB">
        <w:rPr>
          <w:rFonts w:hint="cs"/>
          <w:rtl/>
        </w:rPr>
        <w:t xml:space="preserve">استثمارها التقليدي الآمن لدى </w:t>
      </w:r>
      <w:r w:rsidR="006902DB" w:rsidRPr="006902DB">
        <w:rPr>
          <w:rtl/>
        </w:rPr>
        <w:t>الإدارة الاتحادية للشؤون المالية السويسرية</w:t>
      </w:r>
      <w:r w:rsidR="006902DB">
        <w:rPr>
          <w:rFonts w:hint="cs"/>
          <w:rtl/>
        </w:rPr>
        <w:t xml:space="preserve"> التابعة للاتحاد السويسري.</w:t>
      </w:r>
      <w:r w:rsidR="002B3A38">
        <w:rPr>
          <w:rFonts w:hint="cs"/>
          <w:rtl/>
        </w:rPr>
        <w:t xml:space="preserve"> وستتطلب هذه العوامل اعتماد سياسة استثمار حذرة ومسؤولة ستمكّن المنظمة من الاحتفاظ برأس المال، فضلا عن اعتماد سياسة تحوّط حذرة فيما يخص حالات التعرّض لتقلبات أسعار صرف العملات من جرّاء نظام تسديد رسوم معاهدة التعاون بشأن </w:t>
      </w:r>
      <w:proofErr w:type="spellStart"/>
      <w:r w:rsidR="002B3A38">
        <w:rPr>
          <w:rFonts w:hint="cs"/>
          <w:rtl/>
        </w:rPr>
        <w:t>البرءات</w:t>
      </w:r>
      <w:proofErr w:type="spellEnd"/>
      <w:r w:rsidR="002B3A38">
        <w:rPr>
          <w:rFonts w:hint="cs"/>
          <w:rtl/>
        </w:rPr>
        <w:t>.</w:t>
      </w:r>
    </w:p>
    <w:p w:rsidR="002B3A38" w:rsidRDefault="002B3A38" w:rsidP="002B3A38">
      <w:pPr>
        <w:pStyle w:val="ARNormal"/>
        <w:rPr>
          <w:rtl/>
        </w:rPr>
      </w:pPr>
      <w:r>
        <w:rPr>
          <w:rFonts w:hint="cs"/>
          <w:rtl/>
        </w:rPr>
        <w:t xml:space="preserve">وترد أولويات البرامج الرئيسية المقترح للثنائية القادمة في الفقرات من 17 إلى 39. </w:t>
      </w:r>
      <w:r w:rsidR="00D1222A">
        <w:rPr>
          <w:rFonts w:hint="cs"/>
          <w:rtl/>
        </w:rPr>
        <w:t xml:space="preserve">ويُرجى </w:t>
      </w:r>
      <w:r>
        <w:rPr>
          <w:rFonts w:hint="cs"/>
          <w:rtl/>
        </w:rPr>
        <w:t>السماح لي بالتعليق على أربعة مجالات، وخصوصا، من منظور أوسع من الثنائية القادمة.</w:t>
      </w:r>
    </w:p>
    <w:p w:rsidR="00B31ADF" w:rsidRDefault="00051BCA" w:rsidP="00D1222A">
      <w:pPr>
        <w:pStyle w:val="ARNormal"/>
        <w:rPr>
          <w:rtl/>
        </w:rPr>
      </w:pPr>
      <w:r>
        <w:rPr>
          <w:rFonts w:hint="cs"/>
          <w:rtl/>
        </w:rPr>
        <w:t xml:space="preserve">والمجال الأول هو </w:t>
      </w:r>
      <w:r w:rsidR="00B31ADF">
        <w:rPr>
          <w:rFonts w:hint="cs"/>
          <w:rtl/>
        </w:rPr>
        <w:t xml:space="preserve">جدول أعمال المنظمة الخاص بوضع القواعد والمعايير (الهدف الاستراتيجي الأول). فقد أبرمت الدول الأعضاء ثلاثة اتفاقات دولية في السنوات الأربع الأخيرة </w:t>
      </w:r>
      <w:r w:rsidR="00B31ADF">
        <w:rPr>
          <w:rtl/>
        </w:rPr>
        <w:t>–</w:t>
      </w:r>
      <w:r w:rsidR="00B31ADF">
        <w:rPr>
          <w:rFonts w:hint="cs"/>
          <w:rtl/>
        </w:rPr>
        <w:t xml:space="preserve"> معاهدة </w:t>
      </w:r>
      <w:r w:rsidR="00B31ADF" w:rsidRPr="00B31ADF">
        <w:rPr>
          <w:rtl/>
        </w:rPr>
        <w:t>بيجين بشأن حماية الأداء السمعي البصري</w:t>
      </w:r>
      <w:r w:rsidR="00B31ADF">
        <w:rPr>
          <w:rFonts w:hint="cs"/>
          <w:rtl/>
        </w:rPr>
        <w:t>،</w:t>
      </w:r>
      <w:r w:rsidR="00B31ADF" w:rsidRPr="00B31ADF">
        <w:rPr>
          <w:rtl/>
        </w:rPr>
        <w:t xml:space="preserve"> ومعاهدة مراكش لتيسير النفاذ إلى المصنفات المنشورة لفائدة الأشخاص المكفوفين أو معاقي البصر أو ذوي إعاقات أخرى في قراءة المطبوعات</w:t>
      </w:r>
      <w:r w:rsidR="00B31ADF">
        <w:rPr>
          <w:rFonts w:hint="cs"/>
          <w:rtl/>
        </w:rPr>
        <w:t>، و</w:t>
      </w:r>
      <w:r w:rsidR="00B31ADF" w:rsidRPr="00B31ADF">
        <w:rPr>
          <w:rtl/>
        </w:rPr>
        <w:t>وثيقة جنيف لاتفاق لشبونة بشأن تسميات المنشأ والبيانات الجغرافية</w:t>
      </w:r>
      <w:r w:rsidR="00B31ADF">
        <w:rPr>
          <w:rFonts w:hint="cs"/>
          <w:rtl/>
        </w:rPr>
        <w:t xml:space="preserve">. وسيعتمد أثر وشرعية تلك الاتفاقات على سرعة ونطاق تصديق الدول الأعضاء عليها. وهناك موضوعات مهمة </w:t>
      </w:r>
      <w:r w:rsidR="00D1222A">
        <w:rPr>
          <w:rFonts w:hint="cs"/>
          <w:rtl/>
        </w:rPr>
        <w:t>لا تزال معلّقة من ضمن الموضوعات ال</w:t>
      </w:r>
      <w:r w:rsidR="00B31ADF">
        <w:rPr>
          <w:rFonts w:hint="cs"/>
          <w:rtl/>
        </w:rPr>
        <w:t xml:space="preserve">مدرجة على جدول الأعمال الخاص بوضع القواعد والمعايير، بما في ذلك موضوعات </w:t>
      </w:r>
      <w:r w:rsidR="00D1222A">
        <w:rPr>
          <w:rFonts w:hint="cs"/>
          <w:rtl/>
        </w:rPr>
        <w:t>مطروحة منذ زمن طويل</w:t>
      </w:r>
      <w:r w:rsidR="00B31ADF">
        <w:rPr>
          <w:rFonts w:hint="cs"/>
          <w:rtl/>
        </w:rPr>
        <w:t>.</w:t>
      </w:r>
      <w:r w:rsidR="00E96F1C">
        <w:rPr>
          <w:rFonts w:hint="cs"/>
          <w:rtl/>
        </w:rPr>
        <w:t xml:space="preserve"> وبالإضافة إلى ذلك وفي عالم بات معقدا وتسوده العولمة ويتسم بتغير تكنولوجي سريع </w:t>
      </w:r>
      <w:r w:rsidR="00E96F1C">
        <w:rPr>
          <w:rFonts w:hint="cs"/>
          <w:rtl/>
        </w:rPr>
        <w:lastRenderedPageBreak/>
        <w:t xml:space="preserve">وأساسي وأضحت الملكية تلعب فيه دورا بارزا بشكل متزايد، آن الأوان لبدء حوار عن جدول الأعمال الخاص بوضع القواعد والمعايير الذي ينبغي أن تحدّده المنظمة في المستقبل باعتبارها الهيئة المتعددة </w:t>
      </w:r>
      <w:proofErr w:type="spellStart"/>
      <w:r w:rsidR="00E96F1C">
        <w:rPr>
          <w:rFonts w:hint="cs"/>
          <w:rtl/>
        </w:rPr>
        <w:t>الأطرف</w:t>
      </w:r>
      <w:proofErr w:type="spellEnd"/>
      <w:r w:rsidR="00E96F1C">
        <w:rPr>
          <w:rFonts w:hint="cs"/>
          <w:rtl/>
        </w:rPr>
        <w:t xml:space="preserve"> المعنية بوضع </w:t>
      </w:r>
      <w:r w:rsidR="00B50A26">
        <w:rPr>
          <w:rFonts w:hint="cs"/>
          <w:rtl/>
        </w:rPr>
        <w:t>سياسة دولية في مجال الملكية الفكرية. وتدخل هذه المسائل والأسئلة التي تثيرها ضمن صلاحيات الدول الأعضاء. فهي تقتضي التزاما بالتعددية، ومشاركة من قبل الدول الأعضاء وقبولها للحلول التوفيقية. ودون ذلك، يمكننا توقّع ركود الإطار المتعدد الأطراف وعدم تقدمه بأي شكل من الأشكال.</w:t>
      </w:r>
    </w:p>
    <w:p w:rsidR="00F25F5F" w:rsidRDefault="00197862" w:rsidP="00F25F5F">
      <w:pPr>
        <w:pStyle w:val="ARNormal"/>
        <w:rPr>
          <w:rtl/>
        </w:rPr>
      </w:pPr>
      <w:r>
        <w:rPr>
          <w:rFonts w:hint="cs"/>
          <w:rtl/>
        </w:rPr>
        <w:t>والمجال الثاني هو أنظمة الملكية الفكرية العالمية</w:t>
      </w:r>
      <w:r w:rsidRPr="00197862">
        <w:rPr>
          <w:rFonts w:hint="cs"/>
          <w:rtl/>
        </w:rPr>
        <w:t xml:space="preserve"> </w:t>
      </w:r>
      <w:r>
        <w:rPr>
          <w:rFonts w:hint="cs"/>
          <w:rtl/>
        </w:rPr>
        <w:t>للمنظمة (الهدف الاستراتيجي الثاني). فتلك الأنظمة تشكّل أساس إيرادات المنظمة</w:t>
      </w:r>
      <w:r w:rsidR="00F25F5F">
        <w:rPr>
          <w:rFonts w:hint="cs"/>
          <w:rtl/>
        </w:rPr>
        <w:t xml:space="preserve">، حيث تمثّل قرابة 95 </w:t>
      </w:r>
      <w:proofErr w:type="spellStart"/>
      <w:r w:rsidR="00F25F5F">
        <w:rPr>
          <w:rFonts w:hint="cs"/>
          <w:rtl/>
        </w:rPr>
        <w:t>بالمائمة</w:t>
      </w:r>
      <w:proofErr w:type="spellEnd"/>
      <w:r w:rsidR="00F25F5F">
        <w:rPr>
          <w:rFonts w:hint="cs"/>
          <w:rtl/>
        </w:rPr>
        <w:t xml:space="preserve"> من مجموع الإيرادات. وتشهد عضوية تلك الأنظمة، وخصوصا نظام مدريد ونظام لاهاي، توسعا جغرافيا سريعا انطلاقا من قاعدتين محدودتين نسبيا (فهناك، حاليا، 95 طرفا متعاقدا فيما يخص نظام مدريد و49 طرفا متعاقدا فيما يخص أحدث وثيقة لنظام لاهاي). ومن المهم لشرعية واستدامة تلك الأنظمة أن تستمر في التوسّع وأن تحظى بمشاركة أكثر على نطاق جغرافي أوسع. ومن المهم أيضا أن يستمر تحديثها، وهو ما يجري الاضطلاع به في أفرقة عاملة للدول الأعضاء تعقد اجتماعاتها في ظلّ المعاهدات ذات الصلة.</w:t>
      </w:r>
    </w:p>
    <w:p w:rsidR="00F25F5F" w:rsidRDefault="006F4F5A" w:rsidP="003501F6">
      <w:pPr>
        <w:pStyle w:val="ARNormal"/>
        <w:rPr>
          <w:rtl/>
        </w:rPr>
      </w:pPr>
      <w:r>
        <w:rPr>
          <w:rFonts w:hint="cs"/>
          <w:rtl/>
        </w:rPr>
        <w:t xml:space="preserve">والمجال الثالث </w:t>
      </w:r>
      <w:r w:rsidR="00F25F5F">
        <w:rPr>
          <w:rFonts w:hint="cs"/>
          <w:rtl/>
        </w:rPr>
        <w:t>هو الطائفة الثرية لمنصات تكنو</w:t>
      </w:r>
      <w:r w:rsidR="00B26726">
        <w:rPr>
          <w:rFonts w:hint="cs"/>
          <w:rtl/>
        </w:rPr>
        <w:t>لوجيا المعلومات التي تديرها المنظمة (الهدف الاستراتيجي الرابع) والتي تدعم عمل نظام الملكية الفكرية في كل أنحاء العالم. وقد أحرز تقدم هائل في هذا المجال في السنوات الأخيرة. فبفضل منصات تكنولوجيا المعلومات لنظام معاهدة التعاون بشأن البراءات ونظام مدريد ونظام لاهاي، فضلا عن قواعد البيانات العالمية (ركن البراءات وقاعدة البيانات العالمية لأدوات التوسيم وقاعدة البيانات العالمية للتصاميم) ومنصات من قبيل خدمة الويبو للنفاذ الرقمي (</w:t>
      </w:r>
      <w:r w:rsidR="00B26726" w:rsidRPr="00B26726">
        <w:rPr>
          <w:lang w:val="en-US"/>
        </w:rPr>
        <w:t>DAS</w:t>
      </w:r>
      <w:r w:rsidR="00B26726">
        <w:rPr>
          <w:rFonts w:hint="cs"/>
          <w:rtl/>
        </w:rPr>
        <w:t>) ونظام النفاذ المركزي إلى نتائج البحث والفحص (</w:t>
      </w:r>
      <w:r w:rsidR="00B26726" w:rsidRPr="00B26726">
        <w:rPr>
          <w:lang w:val="en-US"/>
        </w:rPr>
        <w:t>WIPO CASE</w:t>
      </w:r>
      <w:r w:rsidR="00B26726">
        <w:rPr>
          <w:rFonts w:hint="cs"/>
          <w:rtl/>
        </w:rPr>
        <w:t>) ونظام أتمتة الملكية الفكرية (</w:t>
      </w:r>
      <w:r w:rsidR="00B26726" w:rsidRPr="00B26726">
        <w:rPr>
          <w:lang w:val="en-US"/>
        </w:rPr>
        <w:t>IPAS</w:t>
      </w:r>
      <w:r w:rsidR="00B26726">
        <w:rPr>
          <w:rFonts w:hint="cs"/>
          <w:rtl/>
        </w:rPr>
        <w:t>)</w:t>
      </w:r>
      <w:r w:rsidR="003501F6">
        <w:rPr>
          <w:rFonts w:hint="cs"/>
          <w:rtl/>
        </w:rPr>
        <w:t>، المُستخدم في أكثر من 80</w:t>
      </w:r>
      <w:r w:rsidR="003501F6">
        <w:rPr>
          <w:rFonts w:hint="eastAsia"/>
          <w:rtl/>
        </w:rPr>
        <w:t> </w:t>
      </w:r>
      <w:r w:rsidR="003501F6">
        <w:rPr>
          <w:rFonts w:hint="cs"/>
          <w:rtl/>
        </w:rPr>
        <w:t>بلدا، بات هناك الكثير من العناصر المكوّنة لبنية تحتية حقيقية للملكية الفكرية. وتُستخدم كل تلك المنصات على نطاق واسع في العالمين النامي والمتقدم، وتحظى بتأييد أوساط مختلفة، سواء مكاتب الملكية الفكرية أو قطاع الصناعة أو الم</w:t>
      </w:r>
      <w:r>
        <w:rPr>
          <w:rFonts w:hint="cs"/>
          <w:rtl/>
        </w:rPr>
        <w:t>نظمات الحكومية الدولية أو الجمهور عموما. ونأمل في أن تشكّل تلك المنصات على نحو متزايد منصة عالمية متكاملة للملكية الفكرية.</w:t>
      </w:r>
    </w:p>
    <w:p w:rsidR="006F4F5A" w:rsidRDefault="006F4F5A" w:rsidP="0086178C">
      <w:pPr>
        <w:pStyle w:val="ARNormal"/>
        <w:rPr>
          <w:rtl/>
        </w:rPr>
      </w:pPr>
      <w:r>
        <w:rPr>
          <w:rFonts w:hint="cs"/>
          <w:rtl/>
        </w:rPr>
        <w:t>وهناك، أخيرا، مجال برامج المنظمة الواسعة الخاصة بالتنمية. فقد تم، بتوجيه من الدول الأعضاء، تعميم التنمية في كل الأهداف الاستراتيجية الموضوعية للمنظمة. وما</w:t>
      </w:r>
      <w:r>
        <w:rPr>
          <w:rFonts w:hint="eastAsia"/>
          <w:rtl/>
        </w:rPr>
        <w:t> </w:t>
      </w:r>
      <w:r>
        <w:rPr>
          <w:rFonts w:hint="cs"/>
          <w:rtl/>
        </w:rPr>
        <w:t>فتئت البرامج المكرّسة حصرا للتنمية، لا</w:t>
      </w:r>
      <w:r>
        <w:rPr>
          <w:rFonts w:hint="eastAsia"/>
          <w:rtl/>
        </w:rPr>
        <w:t> </w:t>
      </w:r>
      <w:r>
        <w:rPr>
          <w:rFonts w:hint="cs"/>
          <w:rtl/>
        </w:rPr>
        <w:t>سيما المكاتب الإقليمية والأكاديمية وتنسيق جدول أعمال التنمية</w:t>
      </w:r>
      <w:r w:rsidR="0032787E">
        <w:rPr>
          <w:rFonts w:hint="cs"/>
          <w:rtl/>
        </w:rPr>
        <w:t xml:space="preserve">، تواجه تحديات متنامية في تلبية </w:t>
      </w:r>
      <w:r>
        <w:rPr>
          <w:rFonts w:hint="cs"/>
          <w:rtl/>
        </w:rPr>
        <w:t xml:space="preserve">الطلب المتزايد على الخدمات </w:t>
      </w:r>
      <w:r w:rsidR="0086178C">
        <w:rPr>
          <w:rFonts w:hint="cs"/>
          <w:rtl/>
        </w:rPr>
        <w:t>و</w:t>
      </w:r>
      <w:r>
        <w:rPr>
          <w:rFonts w:hint="cs"/>
          <w:rtl/>
        </w:rPr>
        <w:t xml:space="preserve">الناجم، بطبيعة الحال، عن </w:t>
      </w:r>
      <w:r w:rsidR="0086178C">
        <w:rPr>
          <w:rFonts w:hint="cs"/>
          <w:rtl/>
        </w:rPr>
        <w:t>زيادة</w:t>
      </w:r>
      <w:r w:rsidR="00D1222A">
        <w:rPr>
          <w:rFonts w:hint="cs"/>
          <w:rtl/>
        </w:rPr>
        <w:t xml:space="preserve"> بروز الملكية الفكرية في الاقتصاد</w:t>
      </w:r>
      <w:r w:rsidR="0086178C">
        <w:rPr>
          <w:rFonts w:hint="cs"/>
          <w:rtl/>
        </w:rPr>
        <w:t>. ويكمن جزء من الاستجابة لتلك التحديات التي نواصل العمل على مجابهتها في تحقيق المزيد من الاتساق في إسناد المسؤوليات الخاصة بتكوين الكفاءات، وهو ما ينسحب الآن على كامل برنامج المنظمة.</w:t>
      </w:r>
    </w:p>
    <w:p w:rsidR="0032787E" w:rsidRDefault="0032787E" w:rsidP="0086178C">
      <w:pPr>
        <w:pStyle w:val="ARNormal"/>
        <w:rPr>
          <w:rtl/>
        </w:rPr>
      </w:pPr>
    </w:p>
    <w:p w:rsidR="0032787E" w:rsidRDefault="0032787E" w:rsidP="0086178C">
      <w:pPr>
        <w:pStyle w:val="ARNormal"/>
        <w:rPr>
          <w:rtl/>
        </w:rPr>
      </w:pPr>
    </w:p>
    <w:p w:rsidR="0032787E" w:rsidRDefault="0032787E" w:rsidP="0032787E">
      <w:pPr>
        <w:pStyle w:val="ARNormal"/>
        <w:spacing w:line="240" w:lineRule="auto"/>
        <w:ind w:left="5387"/>
        <w:rPr>
          <w:rtl/>
        </w:rPr>
      </w:pPr>
      <w:r>
        <w:rPr>
          <w:noProof/>
          <w:lang w:val="en-US"/>
        </w:rPr>
        <w:drawing>
          <wp:inline distT="0" distB="0" distL="0" distR="0" wp14:anchorId="40132237" wp14:editId="39147BA3">
            <wp:extent cx="1598295" cy="50863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8295" cy="508635"/>
                    </a:xfrm>
                    <a:prstGeom prst="rect">
                      <a:avLst/>
                    </a:prstGeom>
                    <a:noFill/>
                    <a:ln>
                      <a:noFill/>
                    </a:ln>
                  </pic:spPr>
                </pic:pic>
              </a:graphicData>
            </a:graphic>
          </wp:inline>
        </w:drawing>
      </w:r>
    </w:p>
    <w:p w:rsidR="0032787E" w:rsidRDefault="0032787E" w:rsidP="0032787E">
      <w:pPr>
        <w:pStyle w:val="ARNormal"/>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فرانسس غري</w:t>
      </w:r>
    </w:p>
    <w:p w:rsidR="0032787E" w:rsidRPr="00411EB2" w:rsidRDefault="0032787E" w:rsidP="0086178C">
      <w:pPr>
        <w:pStyle w:val="ARNormal"/>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المدير العام</w:t>
      </w:r>
    </w:p>
    <w:p w:rsidR="003276CB" w:rsidRPr="00411EB2" w:rsidRDefault="003276CB">
      <w:pPr>
        <w:bidi w:val="0"/>
        <w:rPr>
          <w:rFonts w:ascii="Arabic Typesetting" w:hAnsi="Arabic Typesetting" w:cs="Arabic Typesetting"/>
          <w:sz w:val="34"/>
          <w:szCs w:val="34"/>
          <w:rtl/>
          <w:lang w:val="fr-CH" w:bidi="ar-SA"/>
        </w:rPr>
      </w:pPr>
      <w:r w:rsidRPr="00411EB2">
        <w:rPr>
          <w:rFonts w:ascii="Arabic Typesetting" w:hAnsi="Arabic Typesetting" w:cs="Arabic Typesetting"/>
          <w:rtl/>
        </w:rPr>
        <w:br w:type="page"/>
      </w:r>
    </w:p>
    <w:p w:rsidR="001E13A7" w:rsidRPr="00411EB2" w:rsidRDefault="00346D86" w:rsidP="001F6811">
      <w:pPr>
        <w:pStyle w:val="ARHeading1"/>
        <w:spacing w:line="360" w:lineRule="exact"/>
        <w:outlineLvl w:val="0"/>
        <w:rPr>
          <w:rtl/>
        </w:rPr>
      </w:pPr>
      <w:bookmarkStart w:id="3" w:name="_Toc364355346"/>
      <w:bookmarkStart w:id="4" w:name="_Toc420595490"/>
      <w:r w:rsidRPr="00411EB2">
        <w:rPr>
          <w:rtl/>
        </w:rPr>
        <w:lastRenderedPageBreak/>
        <w:t>أولا</w:t>
      </w:r>
      <w:r w:rsidRPr="00411EB2">
        <w:rPr>
          <w:rtl/>
        </w:rPr>
        <w:tab/>
      </w:r>
      <w:r w:rsidR="00161830" w:rsidRPr="00411EB2">
        <w:rPr>
          <w:rtl/>
        </w:rPr>
        <w:t>العرض المالي و</w:t>
      </w:r>
      <w:r w:rsidRPr="00411EB2">
        <w:rPr>
          <w:rtl/>
        </w:rPr>
        <w:t>عرض النتائج</w:t>
      </w:r>
      <w:bookmarkEnd w:id="3"/>
      <w:bookmarkEnd w:id="4"/>
    </w:p>
    <w:p w:rsidR="00346D86" w:rsidRPr="00411EB2" w:rsidRDefault="0027199B" w:rsidP="00161830">
      <w:pPr>
        <w:pStyle w:val="ARNumbered1"/>
        <w:ind w:left="0" w:firstLine="0"/>
      </w:pPr>
      <w:r w:rsidRPr="00411EB2">
        <w:rPr>
          <w:rtl/>
        </w:rPr>
        <w:t xml:space="preserve">تعرض وثيقة البرنامج والميزانية هذه التخطيط للثنائية </w:t>
      </w:r>
      <w:r w:rsidR="00161830" w:rsidRPr="00411EB2">
        <w:rPr>
          <w:rtl/>
        </w:rPr>
        <w:t>2016/17 مسترشدة بالمدخلات الواردة من الدول الأعضاء</w:t>
      </w:r>
      <w:r w:rsidRPr="00411EB2">
        <w:rPr>
          <w:rtl/>
        </w:rPr>
        <w:t>.</w:t>
      </w:r>
      <w:r w:rsidR="00161830" w:rsidRPr="00411EB2">
        <w:rPr>
          <w:rtl/>
        </w:rPr>
        <w:t xml:space="preserve"> ويحتوي الجدول 1 أدناه على لمحة عامة عن </w:t>
      </w:r>
      <w:proofErr w:type="spellStart"/>
      <w:r w:rsidR="00161830" w:rsidRPr="00411EB2">
        <w:rPr>
          <w:rtl/>
        </w:rPr>
        <w:t>برامترات</w:t>
      </w:r>
      <w:proofErr w:type="spellEnd"/>
      <w:r w:rsidR="00161830" w:rsidRPr="00411EB2">
        <w:rPr>
          <w:rtl/>
        </w:rPr>
        <w:t xml:space="preserve"> التخطيط المالي الرئيسية للثنائية 2016/17.</w:t>
      </w:r>
    </w:p>
    <w:p w:rsidR="00161830" w:rsidRPr="00411EB2" w:rsidRDefault="00161830" w:rsidP="00161830">
      <w:pPr>
        <w:pStyle w:val="ARNumbered1"/>
        <w:ind w:left="0" w:firstLine="0"/>
      </w:pPr>
      <w:r w:rsidRPr="00411EB2">
        <w:rPr>
          <w:rtl/>
        </w:rPr>
        <w:t xml:space="preserve">وتقدر إيرادات الثنائية 2016/17 بمبلغ </w:t>
      </w:r>
      <w:r w:rsidRPr="00411EB2">
        <w:t>756.3</w:t>
      </w:r>
      <w:r w:rsidRPr="00411EB2">
        <w:rPr>
          <w:rtl/>
        </w:rPr>
        <w:t xml:space="preserve"> مليون فرنك سويسري مع اقتراح ميزانية قدرها 707.0 مليون فرنك سويسري للنفقات خلال الثنائية. وعقب تطبيق المعايير المحاسبية الدولية للقطاع العام على الإيرادات والنفقات، من المتوقع تحقيق فائض قدره 20.8 مليون فرنك سويسري في نهاية الثنائية.</w:t>
      </w:r>
    </w:p>
    <w:p w:rsidR="00792B06" w:rsidRPr="00411EB2" w:rsidRDefault="00792B06" w:rsidP="00F62FFC">
      <w:pPr>
        <w:pStyle w:val="ARNumbered1"/>
        <w:keepNext/>
        <w:numPr>
          <w:ilvl w:val="0"/>
          <w:numId w:val="0"/>
        </w:numPr>
        <w:spacing w:after="0"/>
        <w:jc w:val="center"/>
        <w:rPr>
          <w:b/>
          <w:bCs/>
          <w:rtl/>
        </w:rPr>
      </w:pPr>
      <w:r w:rsidRPr="00411EB2">
        <w:rPr>
          <w:b/>
          <w:bCs/>
          <w:rtl/>
        </w:rPr>
        <w:t xml:space="preserve">الجدول 1. اقتراح الميزانية للثنائية 2016/17 </w:t>
      </w:r>
      <w:proofErr w:type="spellStart"/>
      <w:r w:rsidRPr="00411EB2">
        <w:rPr>
          <w:b/>
          <w:bCs/>
          <w:rtl/>
        </w:rPr>
        <w:t>وبرامترات</w:t>
      </w:r>
      <w:proofErr w:type="spellEnd"/>
      <w:r w:rsidRPr="00411EB2">
        <w:rPr>
          <w:b/>
          <w:bCs/>
          <w:rtl/>
        </w:rPr>
        <w:t xml:space="preserve"> التخطيط الرئيسية</w:t>
      </w:r>
    </w:p>
    <w:p w:rsidR="00792B06" w:rsidRPr="00411EB2" w:rsidRDefault="00792B06" w:rsidP="00F62FFC">
      <w:pPr>
        <w:pStyle w:val="ARNumbered1"/>
        <w:numPr>
          <w:ilvl w:val="0"/>
          <w:numId w:val="0"/>
        </w:numPr>
        <w:spacing w:after="240"/>
        <w:jc w:val="center"/>
        <w:rPr>
          <w:i/>
          <w:iCs/>
        </w:rPr>
      </w:pPr>
      <w:r w:rsidRPr="00411EB2">
        <w:rPr>
          <w:i/>
          <w:iCs/>
          <w:rtl/>
        </w:rPr>
        <w:t>(بملايين الفرنكات السويسرية)</w:t>
      </w:r>
    </w:p>
    <w:p w:rsidR="00161830" w:rsidRPr="00411EB2" w:rsidRDefault="002E2CDF" w:rsidP="00792B06">
      <w:pPr>
        <w:pStyle w:val="ARNumbered1"/>
        <w:numPr>
          <w:ilvl w:val="0"/>
          <w:numId w:val="0"/>
        </w:numPr>
        <w:spacing w:line="240" w:lineRule="auto"/>
        <w:jc w:val="center"/>
      </w:pPr>
      <w:r w:rsidRPr="002E2CDF">
        <w:rPr>
          <w:noProof/>
          <w:rtl/>
          <w:lang w:val="en-US" w:bidi="ar-SA"/>
        </w:rPr>
        <w:drawing>
          <wp:inline distT="0" distB="0" distL="0" distR="0" wp14:anchorId="61D7E604" wp14:editId="32A0246F">
            <wp:extent cx="4067175" cy="2258695"/>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7175" cy="2258695"/>
                    </a:xfrm>
                    <a:prstGeom prst="rect">
                      <a:avLst/>
                    </a:prstGeom>
                    <a:noFill/>
                    <a:ln>
                      <a:noFill/>
                    </a:ln>
                  </pic:spPr>
                </pic:pic>
              </a:graphicData>
            </a:graphic>
          </wp:inline>
        </w:drawing>
      </w:r>
    </w:p>
    <w:p w:rsidR="00792B06" w:rsidRPr="00411EB2" w:rsidRDefault="00792B06" w:rsidP="00122DF2">
      <w:pPr>
        <w:pStyle w:val="ARNumbered1"/>
        <w:numPr>
          <w:ilvl w:val="0"/>
          <w:numId w:val="0"/>
        </w:numPr>
        <w:spacing w:before="240"/>
        <w:outlineLvl w:val="0"/>
        <w:rPr>
          <w:b/>
          <w:bCs/>
        </w:rPr>
      </w:pPr>
      <w:bookmarkStart w:id="5" w:name="_Toc420595491"/>
      <w:r w:rsidRPr="00411EB2">
        <w:rPr>
          <w:b/>
          <w:bCs/>
          <w:rtl/>
        </w:rPr>
        <w:t>الإيرادات</w:t>
      </w:r>
      <w:bookmarkEnd w:id="5"/>
    </w:p>
    <w:p w:rsidR="00792B06" w:rsidRPr="00411EB2" w:rsidRDefault="0099614E" w:rsidP="0099614E">
      <w:pPr>
        <w:pStyle w:val="ARNumbered1"/>
        <w:ind w:left="0" w:firstLine="0"/>
      </w:pPr>
      <w:r w:rsidRPr="00411EB2">
        <w:rPr>
          <w:rtl/>
        </w:rPr>
        <w:t xml:space="preserve">من </w:t>
      </w:r>
      <w:proofErr w:type="spellStart"/>
      <w:r w:rsidRPr="00411EB2">
        <w:rPr>
          <w:rtl/>
        </w:rPr>
        <w:t>المتواقع</w:t>
      </w:r>
      <w:proofErr w:type="spellEnd"/>
      <w:r w:rsidRPr="00411EB2">
        <w:rPr>
          <w:rtl/>
        </w:rPr>
        <w:t xml:space="preserve"> أن يستمر الطلب على خدمات التسجيل الدولي التي تقدمها المنظمة في الزيادة. ويحتوي الجدول 2 على ملخص </w:t>
      </w:r>
      <w:proofErr w:type="spellStart"/>
      <w:r w:rsidRPr="00411EB2">
        <w:rPr>
          <w:rtl/>
        </w:rPr>
        <w:t>لبرامترات</w:t>
      </w:r>
      <w:proofErr w:type="spellEnd"/>
      <w:r w:rsidRPr="00411EB2">
        <w:rPr>
          <w:rtl/>
        </w:rPr>
        <w:t xml:space="preserve"> تخطيط حجم التسجيل في ميزانية الثنائية 2016/17.</w:t>
      </w:r>
    </w:p>
    <w:p w:rsidR="00D4141D" w:rsidRPr="00411EB2" w:rsidRDefault="0099614E" w:rsidP="00F62FFC">
      <w:pPr>
        <w:pStyle w:val="ARNumbered1"/>
        <w:ind w:left="0" w:firstLine="0"/>
      </w:pPr>
      <w:r w:rsidRPr="00411EB2">
        <w:rPr>
          <w:rtl/>
        </w:rPr>
        <w:t>وقد وضعت الإسقاطات للثنائية 2016/17 استنادا إلى توقعات كبير الموظفين الاقتصاديين،</w:t>
      </w:r>
      <w:r w:rsidRPr="00BF160B">
        <w:rPr>
          <w:rStyle w:val="FootnoteReference"/>
          <w:rFonts w:cs="Arabic Typesetting"/>
          <w:sz w:val="24"/>
          <w:rtl/>
        </w:rPr>
        <w:footnoteReference w:id="1"/>
      </w:r>
      <w:r w:rsidRPr="00411EB2">
        <w:rPr>
          <w:rtl/>
        </w:rPr>
        <w:t xml:space="preserve"> كما جرى في الثنائية السابقة.</w:t>
      </w:r>
      <w:r w:rsidR="00D4141D" w:rsidRPr="00411EB2">
        <w:rPr>
          <w:rtl/>
        </w:rPr>
        <w:t xml:space="preserve"> وتقوم أرقام التسجيل الأساسية التي توقعها كبير الموظفين الاقتصاديين مقام </w:t>
      </w:r>
      <w:proofErr w:type="spellStart"/>
      <w:r w:rsidR="00D4141D" w:rsidRPr="00411EB2">
        <w:rPr>
          <w:rtl/>
        </w:rPr>
        <w:t>برامترات</w:t>
      </w:r>
      <w:proofErr w:type="spellEnd"/>
      <w:r w:rsidR="00D4141D" w:rsidRPr="00411EB2">
        <w:rPr>
          <w:rtl/>
        </w:rPr>
        <w:t xml:space="preserve"> التخطيط لنظام معاهدة التعاون بشأن البراءات ونظام لاهاي للتسجيل في الثنائية 2016/17. وقد وضعت افتراضات التخطيط لنظام مدريد للتسجيل بأرقام أدنى بقليل من الأرقام الأسا</w:t>
      </w:r>
      <w:r w:rsidR="00F62FFC" w:rsidRPr="00411EB2">
        <w:rPr>
          <w:rtl/>
        </w:rPr>
        <w:t>سية المتوقعة في النماذج، وتراع</w:t>
      </w:r>
      <w:r w:rsidR="00F62FFC" w:rsidRPr="00411EB2">
        <w:rPr>
          <w:rtl/>
          <w:lang w:bidi="ar-SA"/>
        </w:rPr>
        <w:t xml:space="preserve">ى في ذلك </w:t>
      </w:r>
      <w:r w:rsidR="00D4141D" w:rsidRPr="00411EB2">
        <w:rPr>
          <w:rtl/>
        </w:rPr>
        <w:t>عوامل متعددة، منها أوجه عدم اليقين المتعلقة بأحجام الطلبات الواردة من الأعضاء الجدد في هذه الأنظمة.</w:t>
      </w:r>
    </w:p>
    <w:p w:rsidR="00D4141D" w:rsidRPr="00411EB2" w:rsidRDefault="00D4141D" w:rsidP="00F62FFC">
      <w:pPr>
        <w:pStyle w:val="ARNumbered1"/>
        <w:keepNext/>
        <w:numPr>
          <w:ilvl w:val="0"/>
          <w:numId w:val="0"/>
        </w:numPr>
        <w:spacing w:after="240"/>
        <w:jc w:val="center"/>
        <w:rPr>
          <w:b/>
          <w:bCs/>
          <w:rtl/>
        </w:rPr>
      </w:pPr>
      <w:r w:rsidRPr="00411EB2">
        <w:rPr>
          <w:b/>
          <w:bCs/>
          <w:rtl/>
        </w:rPr>
        <w:lastRenderedPageBreak/>
        <w:t>الجدول 2. تقديرات الطلب على الخدمات بناء على أنظمة البراءات ومدريد ولاهاي</w:t>
      </w:r>
    </w:p>
    <w:p w:rsidR="00D4141D" w:rsidRPr="00411EB2" w:rsidRDefault="00614C23" w:rsidP="00D4141D">
      <w:pPr>
        <w:pStyle w:val="ARNumbered1"/>
        <w:numPr>
          <w:ilvl w:val="0"/>
          <w:numId w:val="0"/>
        </w:numPr>
        <w:spacing w:line="240" w:lineRule="auto"/>
        <w:jc w:val="center"/>
      </w:pPr>
      <w:r w:rsidRPr="00614C23">
        <w:rPr>
          <w:noProof/>
          <w:rtl/>
          <w:lang w:val="en-US" w:bidi="ar-SA"/>
        </w:rPr>
        <w:drawing>
          <wp:inline distT="0" distB="0" distL="0" distR="0" wp14:anchorId="44A28F44" wp14:editId="2B5EEE7C">
            <wp:extent cx="5640219" cy="22786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2806" cy="2283715"/>
                    </a:xfrm>
                    <a:prstGeom prst="rect">
                      <a:avLst/>
                    </a:prstGeom>
                    <a:noFill/>
                    <a:ln>
                      <a:noFill/>
                    </a:ln>
                  </pic:spPr>
                </pic:pic>
              </a:graphicData>
            </a:graphic>
          </wp:inline>
        </w:drawing>
      </w:r>
    </w:p>
    <w:p w:rsidR="00D4141D" w:rsidRPr="00411EB2" w:rsidRDefault="00D4141D" w:rsidP="0018075A">
      <w:pPr>
        <w:pStyle w:val="ARNumbered1"/>
        <w:ind w:left="0" w:firstLine="0"/>
      </w:pPr>
      <w:r w:rsidRPr="00411EB2">
        <w:rPr>
          <w:rtl/>
        </w:rPr>
        <w:t xml:space="preserve">وتمثل الإيرادات العامة للثنائية 2016/17 المتوقعة عند مبلغ </w:t>
      </w:r>
      <w:r w:rsidRPr="00411EB2">
        <w:t>756.3</w:t>
      </w:r>
      <w:r w:rsidRPr="00411EB2">
        <w:rPr>
          <w:rtl/>
        </w:rPr>
        <w:t xml:space="preserve"> مليون فرنك سويسري، زيادة بنسبة 6.0 في المائة </w:t>
      </w:r>
      <w:r w:rsidR="0018075A" w:rsidRPr="00411EB2">
        <w:rPr>
          <w:rtl/>
        </w:rPr>
        <w:t xml:space="preserve">عن الإيرادات المحسوبة في ميزانية 2014/15. ومقارنة بتوقعات الثنائية 2014/15 (في أبريل 2015) تمثل هذه الإيرادات زيادة بنسبة </w:t>
      </w:r>
      <w:r w:rsidR="0018075A" w:rsidRPr="00411EB2">
        <w:t>2.1</w:t>
      </w:r>
      <w:r w:rsidR="0018075A" w:rsidRPr="00411EB2">
        <w:rPr>
          <w:rtl/>
        </w:rPr>
        <w:t xml:space="preserve"> في المائة.</w:t>
      </w:r>
    </w:p>
    <w:p w:rsidR="0018075A" w:rsidRPr="00411EB2" w:rsidRDefault="0018075A" w:rsidP="00F62FFC">
      <w:pPr>
        <w:pStyle w:val="ARNumbered1"/>
        <w:keepNext/>
        <w:numPr>
          <w:ilvl w:val="0"/>
          <w:numId w:val="0"/>
        </w:numPr>
        <w:spacing w:after="0"/>
        <w:jc w:val="center"/>
        <w:rPr>
          <w:b/>
          <w:bCs/>
          <w:rtl/>
        </w:rPr>
      </w:pPr>
      <w:r w:rsidRPr="00411EB2">
        <w:rPr>
          <w:b/>
          <w:bCs/>
          <w:rtl/>
        </w:rPr>
        <w:t>الجدول 3. تطور إيرادات المنظمة من الثنائية 2006/07 إلى الثنائية 2016/17</w:t>
      </w:r>
    </w:p>
    <w:p w:rsidR="0018075A" w:rsidRPr="00411EB2" w:rsidRDefault="0018075A" w:rsidP="00AA5889">
      <w:pPr>
        <w:pStyle w:val="ARNumbered1"/>
        <w:numPr>
          <w:ilvl w:val="0"/>
          <w:numId w:val="0"/>
        </w:numPr>
        <w:jc w:val="center"/>
        <w:rPr>
          <w:i/>
          <w:iCs/>
          <w:rtl/>
        </w:rPr>
      </w:pPr>
      <w:r w:rsidRPr="00411EB2">
        <w:rPr>
          <w:i/>
          <w:iCs/>
          <w:rtl/>
        </w:rPr>
        <w:t>(بملايين الفرنكات السويسرية)</w:t>
      </w:r>
    </w:p>
    <w:p w:rsidR="0018075A" w:rsidRPr="00411EB2" w:rsidRDefault="00C50C06" w:rsidP="00AA5889">
      <w:pPr>
        <w:pStyle w:val="ARNumbered1"/>
        <w:numPr>
          <w:ilvl w:val="0"/>
          <w:numId w:val="0"/>
        </w:numPr>
        <w:spacing w:after="0" w:line="240" w:lineRule="auto"/>
        <w:jc w:val="center"/>
      </w:pPr>
      <w:r w:rsidRPr="00C50C06">
        <w:rPr>
          <w:noProof/>
          <w:rtl/>
          <w:lang w:val="en-US" w:bidi="ar-SA"/>
        </w:rPr>
        <w:drawing>
          <wp:inline distT="0" distB="0" distL="0" distR="0" wp14:anchorId="73EFC929" wp14:editId="510519FD">
            <wp:extent cx="5634017" cy="2421403"/>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6489" cy="2422466"/>
                    </a:xfrm>
                    <a:prstGeom prst="rect">
                      <a:avLst/>
                    </a:prstGeom>
                    <a:noFill/>
                    <a:ln>
                      <a:noFill/>
                    </a:ln>
                  </pic:spPr>
                </pic:pic>
              </a:graphicData>
            </a:graphic>
          </wp:inline>
        </w:drawing>
      </w:r>
    </w:p>
    <w:p w:rsidR="00D4141D" w:rsidRPr="00C50C06" w:rsidRDefault="008D60F4" w:rsidP="008D60F4">
      <w:pPr>
        <w:pStyle w:val="ARNumbered1"/>
        <w:numPr>
          <w:ilvl w:val="0"/>
          <w:numId w:val="0"/>
        </w:numPr>
        <w:rPr>
          <w:i/>
          <w:iCs/>
          <w:sz w:val="24"/>
          <w:szCs w:val="24"/>
        </w:rPr>
      </w:pPr>
      <w:r w:rsidRPr="00C50C06">
        <w:rPr>
          <w:i/>
          <w:iCs/>
          <w:sz w:val="24"/>
          <w:szCs w:val="24"/>
          <w:rtl/>
        </w:rPr>
        <w:t xml:space="preserve">* ملاحظة: الإيرادات المتأتية من رسوم لشبونة (تبلغ الإيرادات المقدرة في ميزانية الثنائية 2014/15: 8,000 فرنك سويسري؛ وفي ميزانية الثنائية 2016/17: 30,000 فرنك سويسري) </w:t>
      </w:r>
    </w:p>
    <w:p w:rsidR="00D4141D" w:rsidRPr="00411EB2" w:rsidRDefault="00F62FFC" w:rsidP="008D60F4">
      <w:pPr>
        <w:pStyle w:val="ARNumbered1"/>
        <w:ind w:left="0" w:firstLine="0"/>
      </w:pPr>
      <w:r w:rsidRPr="00411EB2">
        <w:rPr>
          <w:rtl/>
        </w:rPr>
        <w:t>و</w:t>
      </w:r>
      <w:r w:rsidR="008D60F4" w:rsidRPr="00411EB2">
        <w:rPr>
          <w:rtl/>
        </w:rPr>
        <w:t>من المقدر أن تزيد الإيرادات في الثنائية 2016/17 لجميع أنظمة التسجيل، بحيث تزيد بنسب 5.5 بالمائة و12.3 بالمائة و20.3 بالمائة لأنظمة معاهدة التعاون بشأن البراءات ومدريد ولاهاي على التوالي مقارنة بميزانية الثنائية 2014/15.</w:t>
      </w:r>
      <w:r w:rsidR="008D60F4" w:rsidRPr="00411EB2">
        <w:rPr>
          <w:rStyle w:val="FootnoteReference"/>
          <w:rFonts w:cs="Arabic Typesetting"/>
          <w:rtl/>
        </w:rPr>
        <w:footnoteReference w:id="2"/>
      </w:r>
    </w:p>
    <w:p w:rsidR="008D60F4" w:rsidRPr="00411EB2" w:rsidRDefault="00F62FFC" w:rsidP="008D60F4">
      <w:pPr>
        <w:pStyle w:val="ARNumbered1"/>
        <w:ind w:left="0" w:firstLine="0"/>
      </w:pPr>
      <w:r w:rsidRPr="00411EB2">
        <w:rPr>
          <w:rtl/>
        </w:rPr>
        <w:t>و</w:t>
      </w:r>
      <w:r w:rsidR="008D60F4" w:rsidRPr="00411EB2">
        <w:rPr>
          <w:rtl/>
        </w:rPr>
        <w:t>تبلغ الإيرادات المتأتية من اشتراكات الدول الأعضاء 34.7 مليون فرنك سويسري للثنائية 2016/17، أي بانخفاض طفيف مقارنة بالثنائية 2014/15. ولا تزال قيمة وحدة الاشتراكات من الدول الأعضاء ثابتة لسنتي 2016 و2017</w:t>
      </w:r>
      <w:r w:rsidR="008D60F4" w:rsidRPr="00411EB2">
        <w:rPr>
          <w:rStyle w:val="FootnoteReference"/>
          <w:rFonts w:cs="Arabic Typesetting"/>
          <w:rtl/>
        </w:rPr>
        <w:footnoteReference w:id="3"/>
      </w:r>
      <w:r w:rsidR="008D60F4" w:rsidRPr="00411EB2">
        <w:rPr>
          <w:rtl/>
        </w:rPr>
        <w:t xml:space="preserve"> مقارنة بسنتي 2014 و2015.</w:t>
      </w:r>
    </w:p>
    <w:p w:rsidR="008D60F4" w:rsidRPr="00411EB2" w:rsidRDefault="008D60F4" w:rsidP="00142DB2">
      <w:pPr>
        <w:pStyle w:val="ARNumbered1"/>
        <w:ind w:left="0" w:firstLine="0"/>
      </w:pPr>
      <w:r w:rsidRPr="00411EB2">
        <w:rPr>
          <w:rtl/>
        </w:rPr>
        <w:lastRenderedPageBreak/>
        <w:t xml:space="preserve">ومن المقدر أن تنخفض الإيرادات </w:t>
      </w:r>
      <w:r w:rsidR="00142DB2" w:rsidRPr="00411EB2">
        <w:rPr>
          <w:rtl/>
        </w:rPr>
        <w:t>المتدفقة من مصادر دخل أخرى</w:t>
      </w:r>
      <w:r w:rsidR="00142DB2" w:rsidRPr="00411EB2">
        <w:rPr>
          <w:rStyle w:val="FootnoteReference"/>
          <w:rFonts w:cs="Arabic Typesetting"/>
          <w:rtl/>
        </w:rPr>
        <w:footnoteReference w:id="4"/>
      </w:r>
      <w:r w:rsidR="00142DB2" w:rsidRPr="00411EB2">
        <w:rPr>
          <w:rtl/>
        </w:rPr>
        <w:t xml:space="preserve"> – إيرادات الخدمات التي يقدمها مركز التحكيم والوساطة والمنشورات والفائدة – بنسب 10.7 بالمائة و74.2 بالمائة و100 بالمائة على التوالي مقارنة بميزانية الثنائية 2014/15. ومن المتوقع أن تظل الإيرادات المتنوعة ثابتة.</w:t>
      </w:r>
    </w:p>
    <w:p w:rsidR="00D4141D" w:rsidRPr="00411EB2" w:rsidRDefault="001A08EB" w:rsidP="00023C04">
      <w:pPr>
        <w:pStyle w:val="ARNumbered1"/>
        <w:ind w:left="0" w:firstLine="0"/>
      </w:pPr>
      <w:r w:rsidRPr="00411EB2">
        <w:rPr>
          <w:rtl/>
        </w:rPr>
        <w:t>ويعزى</w:t>
      </w:r>
      <w:r w:rsidR="00142DB2" w:rsidRPr="00411EB2">
        <w:rPr>
          <w:rtl/>
        </w:rPr>
        <w:t xml:space="preserve"> انخفاض تقديرات الدخل المتأتي من مركز التحكيم والوساطة أساسا إلى الأثر السلبي المحتمل لزيادة المنافسة </w:t>
      </w:r>
      <w:r w:rsidR="00A7437A" w:rsidRPr="00411EB2">
        <w:rPr>
          <w:rtl/>
          <w:lang w:bidi="ar-SA"/>
        </w:rPr>
        <w:t xml:space="preserve">مع المركز على عدد القضايا المرفوعة بناء على </w:t>
      </w:r>
      <w:r w:rsidR="00142DB2" w:rsidRPr="00411EB2">
        <w:rPr>
          <w:rtl/>
        </w:rPr>
        <w:t>السياسة الموحدة لتسوية المنازعات.</w:t>
      </w:r>
      <w:r w:rsidRPr="00411EB2">
        <w:rPr>
          <w:rtl/>
        </w:rPr>
        <w:t xml:space="preserve"> </w:t>
      </w:r>
      <w:r w:rsidR="00142DB2" w:rsidRPr="00411EB2">
        <w:rPr>
          <w:rtl/>
        </w:rPr>
        <w:t xml:space="preserve">ومن المتوقع أن تنخفض الإيرادات المتأتية من بيع المنشورات عقب تطبيق سياسة نشر البيانات الجديدة التي ستتاح بها منشورات الويبو إلى طائفة أعرض من الجمهور بكلفة متدنية أو من دون تكلفة. </w:t>
      </w:r>
      <w:r w:rsidRPr="00411EB2">
        <w:rPr>
          <w:rtl/>
        </w:rPr>
        <w:t xml:space="preserve">ومن المتوقع أن </w:t>
      </w:r>
      <w:r w:rsidR="00F62FFC" w:rsidRPr="00411EB2">
        <w:rPr>
          <w:rtl/>
        </w:rPr>
        <w:t>يؤدي تطبيق</w:t>
      </w:r>
      <w:r w:rsidRPr="00411EB2">
        <w:rPr>
          <w:rtl/>
        </w:rPr>
        <w:t xml:space="preserve"> أسعار الفا</w:t>
      </w:r>
      <w:r w:rsidR="00F62FFC" w:rsidRPr="00411EB2">
        <w:rPr>
          <w:rtl/>
        </w:rPr>
        <w:t>ئدة السلبية على ا</w:t>
      </w:r>
      <w:r w:rsidRPr="00411EB2">
        <w:rPr>
          <w:rtl/>
        </w:rPr>
        <w:t>لفرنك السويسري إلى</w:t>
      </w:r>
      <w:r w:rsidR="00F62FFC" w:rsidRPr="00411EB2">
        <w:rPr>
          <w:rtl/>
        </w:rPr>
        <w:t xml:space="preserve"> احتمال</w:t>
      </w:r>
      <w:r w:rsidRPr="00411EB2">
        <w:rPr>
          <w:rtl/>
        </w:rPr>
        <w:t xml:space="preserve"> انخفاض </w:t>
      </w:r>
      <w:r w:rsidR="00023C04" w:rsidRPr="00411EB2">
        <w:rPr>
          <w:rtl/>
        </w:rPr>
        <w:t xml:space="preserve">الدخل المتأتي من </w:t>
      </w:r>
      <w:r w:rsidRPr="00411EB2">
        <w:rPr>
          <w:rtl/>
        </w:rPr>
        <w:t>الفائدة في الويبو إلى صفر. وقد حسبت الإيرادات المتنو</w:t>
      </w:r>
      <w:r w:rsidR="00023C04" w:rsidRPr="00411EB2">
        <w:rPr>
          <w:rtl/>
        </w:rPr>
        <w:t xml:space="preserve">عة في ميزانية الثنائية المقبلة عند </w:t>
      </w:r>
      <w:r w:rsidRPr="00411EB2">
        <w:rPr>
          <w:rtl/>
        </w:rPr>
        <w:t>المستوى نفسه الذي حسبت عليه في الميزانية المعتمدة للثنائية 2014/15.</w:t>
      </w:r>
    </w:p>
    <w:p w:rsidR="001A08EB" w:rsidRPr="00411EB2" w:rsidRDefault="001A08EB" w:rsidP="001A08EB">
      <w:pPr>
        <w:pStyle w:val="ARNumbered1"/>
        <w:ind w:left="0" w:firstLine="0"/>
      </w:pPr>
      <w:r w:rsidRPr="00411EB2">
        <w:rPr>
          <w:rtl/>
        </w:rPr>
        <w:t>ولم تفتأ مستويات الإيرادات العامة تسجل زيادة مط</w:t>
      </w:r>
      <w:r w:rsidR="00023C04" w:rsidRPr="00411EB2">
        <w:rPr>
          <w:rtl/>
        </w:rPr>
        <w:t>ّ</w:t>
      </w:r>
      <w:r w:rsidRPr="00411EB2">
        <w:rPr>
          <w:rtl/>
        </w:rPr>
        <w:t>ردة في العقد المنصرم على النحو المبين في الشكل 1 الوارد أدناه.</w:t>
      </w:r>
    </w:p>
    <w:p w:rsidR="001A08EB" w:rsidRPr="00411EB2" w:rsidRDefault="001A08EB" w:rsidP="00023C04">
      <w:pPr>
        <w:pStyle w:val="ARNumbered1"/>
        <w:numPr>
          <w:ilvl w:val="0"/>
          <w:numId w:val="0"/>
        </w:numPr>
        <w:spacing w:after="240"/>
        <w:jc w:val="center"/>
        <w:rPr>
          <w:b/>
          <w:bCs/>
          <w:rtl/>
        </w:rPr>
      </w:pPr>
      <w:r w:rsidRPr="00411EB2">
        <w:rPr>
          <w:b/>
          <w:bCs/>
          <w:rtl/>
        </w:rPr>
        <w:t xml:space="preserve">الشكل </w:t>
      </w:r>
      <w:r w:rsidR="00967B32" w:rsidRPr="00411EB2">
        <w:rPr>
          <w:b/>
          <w:bCs/>
          <w:rtl/>
        </w:rPr>
        <w:t>1. تطو</w:t>
      </w:r>
      <w:r w:rsidRPr="00411EB2">
        <w:rPr>
          <w:b/>
          <w:bCs/>
          <w:rtl/>
        </w:rPr>
        <w:t>ر الإيرادات من الثنائية 1990/91 إلى الثنائية 2016/17*</w:t>
      </w:r>
    </w:p>
    <w:p w:rsidR="001A08EB" w:rsidRPr="00411EB2" w:rsidRDefault="00942EEB" w:rsidP="001A08EB">
      <w:pPr>
        <w:pStyle w:val="ARNumbered1"/>
        <w:numPr>
          <w:ilvl w:val="0"/>
          <w:numId w:val="0"/>
        </w:numPr>
        <w:spacing w:line="240" w:lineRule="auto"/>
        <w:jc w:val="center"/>
      </w:pPr>
      <w:r>
        <w:rPr>
          <w:noProof/>
          <w:lang w:val="en-US" w:bidi="ar-SA"/>
        </w:rPr>
        <w:drawing>
          <wp:inline distT="0" distB="0" distL="0" distR="0" wp14:anchorId="4BC2CE8F" wp14:editId="0B7B2104">
            <wp:extent cx="4715301" cy="306309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14813" cy="3062780"/>
                    </a:xfrm>
                    <a:prstGeom prst="rect">
                      <a:avLst/>
                    </a:prstGeom>
                    <a:noFill/>
                  </pic:spPr>
                </pic:pic>
              </a:graphicData>
            </a:graphic>
          </wp:inline>
        </w:drawing>
      </w:r>
    </w:p>
    <w:p w:rsidR="001A08EB" w:rsidRPr="00C50C06" w:rsidRDefault="00967B32" w:rsidP="00C50C06">
      <w:pPr>
        <w:pStyle w:val="ARNumbered1"/>
        <w:numPr>
          <w:ilvl w:val="0"/>
          <w:numId w:val="0"/>
        </w:numPr>
        <w:jc w:val="center"/>
        <w:rPr>
          <w:i/>
          <w:iCs/>
          <w:sz w:val="24"/>
          <w:szCs w:val="24"/>
        </w:rPr>
      </w:pPr>
      <w:r w:rsidRPr="00C50C06">
        <w:rPr>
          <w:i/>
          <w:iCs/>
          <w:sz w:val="24"/>
          <w:szCs w:val="24"/>
          <w:rtl/>
        </w:rPr>
        <w:t xml:space="preserve">* </w:t>
      </w:r>
      <w:r w:rsidR="001A08EB" w:rsidRPr="00C50C06">
        <w:rPr>
          <w:i/>
          <w:iCs/>
          <w:sz w:val="24"/>
          <w:szCs w:val="24"/>
          <w:rtl/>
        </w:rPr>
        <w:t>أرقام الثنائية 2014/15 والثنائية 2016/17 هي عبارة عن الإيرادات المقدرة المحسوبة في الميزانية</w:t>
      </w:r>
    </w:p>
    <w:p w:rsidR="001A08EB" w:rsidRPr="00411EB2" w:rsidRDefault="001A08EB" w:rsidP="00F43A0B">
      <w:pPr>
        <w:pStyle w:val="ARNumbered1"/>
        <w:ind w:left="0" w:firstLine="0"/>
      </w:pPr>
      <w:r w:rsidRPr="00411EB2">
        <w:rPr>
          <w:rtl/>
        </w:rPr>
        <w:t xml:space="preserve">ولا يزال مصدر الإيرادات الرئيسي في المنظمة هو الإيرادات المتأتية من رسوم خدمات التسجيل الدولي. ولم تفتأ </w:t>
      </w:r>
      <w:r w:rsidR="00F43A0B" w:rsidRPr="00411EB2">
        <w:rPr>
          <w:rtl/>
        </w:rPr>
        <w:t>تنمو حصة الإيرادات المتأتية من الرسوم في إجمالي إيرادات المنظمة، وهي مقدرة بنسبة 94.5 بالمائة للثنائية 2016/17 على النحو المبين في الشكل الوارد أدناه.</w:t>
      </w:r>
    </w:p>
    <w:p w:rsidR="00F43A0B" w:rsidRPr="00411EB2" w:rsidRDefault="00F43A0B" w:rsidP="00023C04">
      <w:pPr>
        <w:pStyle w:val="ARNumbered1"/>
        <w:keepNext/>
        <w:numPr>
          <w:ilvl w:val="0"/>
          <w:numId w:val="0"/>
        </w:numPr>
        <w:spacing w:after="240"/>
        <w:jc w:val="center"/>
        <w:rPr>
          <w:b/>
          <w:bCs/>
          <w:rtl/>
        </w:rPr>
      </w:pPr>
      <w:r w:rsidRPr="00411EB2">
        <w:rPr>
          <w:b/>
          <w:bCs/>
          <w:rtl/>
        </w:rPr>
        <w:lastRenderedPageBreak/>
        <w:t>الشكل 2. حصة الإيرادات المتأتية من الرسوم / إجمالي الإيرادات من الثنائية 2004/05 إلى الثنائية 2016/17</w:t>
      </w:r>
    </w:p>
    <w:p w:rsidR="00F43A0B" w:rsidRPr="00411EB2" w:rsidRDefault="00607D63" w:rsidP="00F43A0B">
      <w:pPr>
        <w:pStyle w:val="ARNumbered1"/>
        <w:numPr>
          <w:ilvl w:val="0"/>
          <w:numId w:val="0"/>
        </w:numPr>
        <w:spacing w:line="240" w:lineRule="auto"/>
        <w:jc w:val="center"/>
      </w:pPr>
      <w:r>
        <w:rPr>
          <w:noProof/>
          <w:lang w:val="en-US" w:bidi="ar-SA"/>
        </w:rPr>
        <w:drawing>
          <wp:inline distT="0" distB="0" distL="0" distR="0" wp14:anchorId="0DAE3A7F" wp14:editId="7006DBC5">
            <wp:extent cx="5220586" cy="3178343"/>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0041" cy="3184099"/>
                    </a:xfrm>
                    <a:prstGeom prst="rect">
                      <a:avLst/>
                    </a:prstGeom>
                    <a:noFill/>
                  </pic:spPr>
                </pic:pic>
              </a:graphicData>
            </a:graphic>
          </wp:inline>
        </w:drawing>
      </w:r>
    </w:p>
    <w:p w:rsidR="001A08EB" w:rsidRPr="00411EB2" w:rsidRDefault="00F43A0B" w:rsidP="00395F70">
      <w:pPr>
        <w:pStyle w:val="ARNumbered1"/>
        <w:ind w:left="0" w:firstLine="0"/>
      </w:pPr>
      <w:r w:rsidRPr="00411EB2">
        <w:rPr>
          <w:rtl/>
        </w:rPr>
        <w:t>ولا تزال المنظمة تعتمد على رسوم معاهدة التعاون بشأن البراءات التي تشكل نسبة 76 بالمائة تقريبا من دخلها (في الثنائية</w:t>
      </w:r>
      <w:r w:rsidR="00395F70">
        <w:rPr>
          <w:rFonts w:hint="cs"/>
          <w:rtl/>
        </w:rPr>
        <w:t> </w:t>
      </w:r>
      <w:r w:rsidRPr="00411EB2">
        <w:rPr>
          <w:rtl/>
        </w:rPr>
        <w:t xml:space="preserve">2016/17)، أي أنها تعتمد اعتمادا كبيرا على الإيرادات المتدفقة من </w:t>
      </w:r>
      <w:r w:rsidR="00CE5F6E" w:rsidRPr="00411EB2">
        <w:rPr>
          <w:rtl/>
        </w:rPr>
        <w:t>مص</w:t>
      </w:r>
      <w:r w:rsidRPr="00411EB2">
        <w:rPr>
          <w:rtl/>
        </w:rPr>
        <w:t>در دخل واحد.</w:t>
      </w:r>
      <w:r w:rsidR="00CE5F6E" w:rsidRPr="00411EB2">
        <w:rPr>
          <w:rtl/>
        </w:rPr>
        <w:t xml:space="preserve"> </w:t>
      </w:r>
      <w:r w:rsidR="00023C04" w:rsidRPr="00411EB2">
        <w:rPr>
          <w:rtl/>
        </w:rPr>
        <w:t>واستجابة</w:t>
      </w:r>
      <w:r w:rsidR="00CE5F6E" w:rsidRPr="00411EB2">
        <w:rPr>
          <w:rtl/>
        </w:rPr>
        <w:t xml:space="preserve"> </w:t>
      </w:r>
      <w:r w:rsidR="00023C04" w:rsidRPr="00411EB2">
        <w:rPr>
          <w:rtl/>
        </w:rPr>
        <w:t>ل</w:t>
      </w:r>
      <w:r w:rsidR="00CE5F6E" w:rsidRPr="00411EB2">
        <w:rPr>
          <w:rtl/>
        </w:rPr>
        <w:t>هذا الخطر الاستراتيجي ستواصل المنظمة استطلاع الفرص المتاحة لتحسين الاستدامة المالية من خلال توسيع نطاق مصادر تدفق الدخل الأخرى، بما في ذلك فرص استرداد التكاليف.</w:t>
      </w:r>
    </w:p>
    <w:p w:rsidR="00CE5F6E" w:rsidRPr="00411EB2" w:rsidRDefault="00CE5F6E" w:rsidP="00023C04">
      <w:pPr>
        <w:pStyle w:val="ARNumbered1"/>
        <w:numPr>
          <w:ilvl w:val="0"/>
          <w:numId w:val="0"/>
        </w:numPr>
        <w:spacing w:after="240"/>
        <w:jc w:val="center"/>
        <w:rPr>
          <w:b/>
          <w:bCs/>
          <w:rtl/>
        </w:rPr>
      </w:pPr>
      <w:r w:rsidRPr="00411EB2">
        <w:rPr>
          <w:b/>
          <w:bCs/>
          <w:rtl/>
        </w:rPr>
        <w:t>الشكل 3. حصة الإيرادات المتأتية من رسوم معاهدة البراءات / إجمالي الإيرادات من الثنائية 2004/05 إلى الثنائية 2016/17</w:t>
      </w:r>
    </w:p>
    <w:p w:rsidR="00CE5F6E" w:rsidRPr="00411EB2" w:rsidRDefault="00607D63" w:rsidP="00CE5F6E">
      <w:pPr>
        <w:pStyle w:val="ARNumbered1"/>
        <w:numPr>
          <w:ilvl w:val="0"/>
          <w:numId w:val="0"/>
        </w:numPr>
        <w:spacing w:line="240" w:lineRule="auto"/>
        <w:jc w:val="center"/>
        <w:rPr>
          <w:b/>
          <w:bCs/>
        </w:rPr>
      </w:pPr>
      <w:r>
        <w:rPr>
          <w:b/>
          <w:bCs/>
          <w:noProof/>
          <w:lang w:val="en-US" w:bidi="ar-SA"/>
        </w:rPr>
        <w:drawing>
          <wp:inline distT="0" distB="0" distL="0" distR="0" wp14:anchorId="522A1943" wp14:editId="3418138E">
            <wp:extent cx="5230543" cy="3179982"/>
            <wp:effectExtent l="0" t="0" r="825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6181" cy="3183410"/>
                    </a:xfrm>
                    <a:prstGeom prst="rect">
                      <a:avLst/>
                    </a:prstGeom>
                    <a:noFill/>
                  </pic:spPr>
                </pic:pic>
              </a:graphicData>
            </a:graphic>
          </wp:inline>
        </w:drawing>
      </w:r>
    </w:p>
    <w:p w:rsidR="00215B60" w:rsidRPr="00411EB2" w:rsidRDefault="00607D63" w:rsidP="00607D63">
      <w:pPr>
        <w:pStyle w:val="ARNumbered1"/>
        <w:numPr>
          <w:ilvl w:val="0"/>
          <w:numId w:val="0"/>
        </w:numPr>
        <w:rPr>
          <w:rtl/>
          <w:lang w:bidi="ar-SA"/>
        </w:rPr>
      </w:pPr>
      <w:r>
        <w:tab/>
      </w:r>
      <w:r w:rsidR="00CE5F6E" w:rsidRPr="00411EB2">
        <w:rPr>
          <w:rtl/>
        </w:rPr>
        <w:t>ترد تقديرات الإيرادات بحسب كل اتحاد في المرفق الثالث.</w:t>
      </w:r>
    </w:p>
    <w:p w:rsidR="00B820F9" w:rsidRPr="00411EB2" w:rsidRDefault="00B820F9" w:rsidP="00215B60">
      <w:pPr>
        <w:pStyle w:val="ARNormal"/>
        <w:ind w:left="-2"/>
        <w:rPr>
          <w:rtl/>
          <w:lang w:bidi="ar-EG"/>
        </w:rPr>
        <w:sectPr w:rsidR="00B820F9" w:rsidRPr="00411EB2" w:rsidSect="00861CFF">
          <w:headerReference w:type="even" r:id="rId29"/>
          <w:headerReference w:type="default" r:id="rId30"/>
          <w:footerReference w:type="default" r:id="rId31"/>
          <w:type w:val="continuous"/>
          <w:pgSz w:w="11906" w:h="16838" w:code="9"/>
          <w:pgMar w:top="1418" w:right="1418" w:bottom="1418" w:left="1134" w:header="510" w:footer="1021" w:gutter="0"/>
          <w:cols w:space="720"/>
          <w:bidi/>
          <w:rtlGutter/>
        </w:sectPr>
      </w:pPr>
    </w:p>
    <w:p w:rsidR="00631E8D" w:rsidRPr="00536221" w:rsidRDefault="00536221" w:rsidP="00536221">
      <w:pPr>
        <w:widowControl w:val="0"/>
        <w:tabs>
          <w:tab w:val="num" w:pos="690"/>
        </w:tabs>
        <w:spacing w:line="200" w:lineRule="exact"/>
        <w:jc w:val="center"/>
        <w:rPr>
          <w:rFonts w:ascii="Arabic Typesetting" w:hAnsi="Arabic Typesetting" w:cs="Arabic Typesetting"/>
          <w:rtl/>
          <w:lang w:eastAsia="da-DK"/>
        </w:rPr>
      </w:pPr>
      <w:r w:rsidRPr="003B52D4">
        <w:rPr>
          <w:rFonts w:ascii="Arabic Typesetting" w:eastAsia="SimSun" w:hAnsi="Arabic Typesetting" w:cs="Arabic Typesetting"/>
          <w:b/>
          <w:bCs/>
          <w:color w:val="000000"/>
          <w:sz w:val="24"/>
          <w:rtl/>
        </w:rPr>
        <w:lastRenderedPageBreak/>
        <w:t>إطار</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النتائج</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وميزانية</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الثنائي</w:t>
      </w:r>
      <w:r>
        <w:rPr>
          <w:rFonts w:ascii="Arabic Typesetting" w:eastAsia="SimSun" w:hAnsi="Arabic Typesetting" w:cs="Arabic Typesetting" w:hint="cs"/>
          <w:b/>
          <w:bCs/>
          <w:color w:val="000000"/>
          <w:sz w:val="24"/>
          <w:rtl/>
        </w:rPr>
        <w:t xml:space="preserve">ة </w:t>
      </w:r>
      <w:r w:rsidRPr="003B52D4">
        <w:rPr>
          <w:rFonts w:ascii="Arabic Typesetting" w:eastAsia="SimSun" w:hAnsi="Arabic Typesetting" w:cs="Arabic Typesetting"/>
          <w:b/>
          <w:color w:val="000000"/>
          <w:sz w:val="24"/>
        </w:rPr>
        <w:t xml:space="preserve"> 17/16</w:t>
      </w:r>
      <w:r w:rsidRPr="003B52D4">
        <w:rPr>
          <w:rFonts w:ascii="Arabic Typesetting" w:eastAsia="SimSun" w:hAnsi="Arabic Typesetting" w:cs="Arabic Typesetting"/>
          <w:b/>
          <w:bCs/>
          <w:color w:val="000000"/>
          <w:sz w:val="24"/>
          <w:rtl/>
        </w:rPr>
        <w:t>،</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بما</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في</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ذلك</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حصة</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التنمية</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بحسب</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كل</w:t>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b/>
          <w:bCs/>
          <w:color w:val="000000"/>
          <w:sz w:val="24"/>
          <w:rtl/>
        </w:rPr>
        <w:t>نتيجة</w:t>
      </w:r>
      <w:r>
        <w:rPr>
          <w:rFonts w:ascii="Arabic Typesetting" w:eastAsia="SimSun" w:hAnsi="Arabic Typesetting" w:cs="Arabic Typesetting" w:hint="cs"/>
          <w:b/>
          <w:bCs/>
          <w:color w:val="000000"/>
          <w:sz w:val="24"/>
          <w:rtl/>
        </w:rPr>
        <w:br/>
      </w:r>
      <w:r w:rsidRPr="003B52D4">
        <w:rPr>
          <w:rFonts w:ascii="Arabic Typesetting" w:eastAsia="SimSun" w:hAnsi="Arabic Typesetting" w:cs="Arabic Typesetting"/>
          <w:b/>
          <w:color w:val="000000"/>
          <w:sz w:val="24"/>
        </w:rPr>
        <w:t xml:space="preserve"> </w:t>
      </w:r>
      <w:r w:rsidRPr="003B52D4">
        <w:rPr>
          <w:rFonts w:ascii="Arabic Typesetting" w:eastAsia="SimSun" w:hAnsi="Arabic Typesetting" w:cs="Arabic Typesetting" w:hint="cs"/>
          <w:bCs/>
          <w:color w:val="000000"/>
          <w:szCs w:val="20"/>
          <w:rtl/>
        </w:rPr>
        <w:t>(</w:t>
      </w:r>
      <w:r w:rsidRPr="003B52D4">
        <w:rPr>
          <w:rFonts w:ascii="Arabic Typesetting" w:eastAsia="SimSun" w:hAnsi="Arabic Typesetting" w:cs="Arabic Typesetting"/>
          <w:bCs/>
          <w:color w:val="000000"/>
          <w:szCs w:val="20"/>
          <w:rtl/>
        </w:rPr>
        <w:t>بآلاف</w:t>
      </w:r>
      <w:r w:rsidRPr="003B52D4">
        <w:rPr>
          <w:rFonts w:ascii="Arabic Typesetting" w:eastAsia="SimSun" w:hAnsi="Arabic Typesetting" w:cs="Arabic Typesetting"/>
          <w:bCs/>
          <w:color w:val="000000"/>
          <w:szCs w:val="20"/>
        </w:rPr>
        <w:t xml:space="preserve"> </w:t>
      </w:r>
      <w:r w:rsidRPr="003B52D4">
        <w:rPr>
          <w:rFonts w:ascii="Arabic Typesetting" w:eastAsia="SimSun" w:hAnsi="Arabic Typesetting" w:cs="Arabic Typesetting"/>
          <w:bCs/>
          <w:color w:val="000000"/>
          <w:szCs w:val="20"/>
          <w:rtl/>
        </w:rPr>
        <w:t>الفرنكات</w:t>
      </w:r>
      <w:r w:rsidRPr="003B52D4">
        <w:rPr>
          <w:rFonts w:ascii="Arabic Typesetting" w:eastAsia="SimSun" w:hAnsi="Arabic Typesetting" w:cs="Arabic Typesetting"/>
          <w:bCs/>
          <w:color w:val="000000"/>
          <w:szCs w:val="20"/>
        </w:rPr>
        <w:t xml:space="preserve"> </w:t>
      </w:r>
      <w:r w:rsidRPr="003B52D4">
        <w:rPr>
          <w:rFonts w:ascii="Arabic Typesetting" w:eastAsia="SimSun" w:hAnsi="Arabic Typesetting" w:cs="Arabic Typesetting"/>
          <w:bCs/>
          <w:color w:val="000000"/>
          <w:szCs w:val="20"/>
          <w:rtl/>
        </w:rPr>
        <w:t>السويسرية</w:t>
      </w:r>
      <w:r w:rsidRPr="003B52D4">
        <w:rPr>
          <w:rFonts w:ascii="Arabic Typesetting" w:eastAsia="SimSun" w:hAnsi="Arabic Typesetting" w:cs="Arabic Typesetting" w:hint="cs"/>
          <w:bCs/>
          <w:color w:val="000000"/>
          <w:szCs w:val="20"/>
          <w:rtl/>
        </w:rPr>
        <w:t>)</w:t>
      </w:r>
      <w:r w:rsidRPr="003B52D4">
        <w:rPr>
          <w:rFonts w:ascii="Arabic Typesetting" w:eastAsia="SimSun" w:hAnsi="Arabic Typesetting" w:cs="Arabic Typesetting"/>
          <w:bCs/>
          <w:color w:val="000000"/>
          <w:szCs w:val="20"/>
        </w:rPr>
        <w:t xml:space="preserve"> </w:t>
      </w:r>
    </w:p>
    <w:tbl>
      <w:tblPr>
        <w:bidiVisual/>
        <w:tblW w:w="21679" w:type="dxa"/>
        <w:tblLayout w:type="fixed"/>
        <w:tblCellMar>
          <w:left w:w="28" w:type="dxa"/>
          <w:right w:w="28" w:type="dxa"/>
        </w:tblCellMar>
        <w:tblLook w:val="0000" w:firstRow="0" w:lastRow="0" w:firstColumn="0" w:lastColumn="0" w:noHBand="0" w:noVBand="0"/>
      </w:tblPr>
      <w:tblGrid>
        <w:gridCol w:w="387"/>
        <w:gridCol w:w="3040"/>
        <w:gridCol w:w="3041"/>
        <w:gridCol w:w="3043"/>
        <w:gridCol w:w="3041"/>
        <w:gridCol w:w="3040"/>
        <w:gridCol w:w="3041"/>
        <w:gridCol w:w="3046"/>
      </w:tblGrid>
      <w:tr w:rsidR="00536221" w:rsidRPr="007B6191" w:rsidTr="002C3C33">
        <w:trPr>
          <w:trHeight w:val="294"/>
        </w:trPr>
        <w:tc>
          <w:tcPr>
            <w:tcW w:w="387" w:type="dxa"/>
            <w:vMerge w:val="restart"/>
            <w:tcBorders>
              <w:top w:val="single" w:sz="8" w:space="0" w:color="auto"/>
              <w:left w:val="single" w:sz="8" w:space="0" w:color="auto"/>
              <w:bottom w:val="single" w:sz="4" w:space="0" w:color="000000"/>
              <w:right w:val="nil"/>
            </w:tcBorders>
            <w:shd w:val="clear" w:color="auto" w:fill="99CCFF"/>
            <w:textDirection w:val="btLr"/>
            <w:vAlign w:val="center"/>
          </w:tcPr>
          <w:p w:rsidR="00536221" w:rsidRPr="007B6191" w:rsidRDefault="00536221" w:rsidP="00A0285D">
            <w:pPr>
              <w:tabs>
                <w:tab w:val="right" w:pos="2835"/>
              </w:tabs>
              <w:spacing w:line="160" w:lineRule="exact"/>
              <w:jc w:val="center"/>
              <w:rPr>
                <w:rFonts w:ascii="Arabic Typesetting" w:hAnsi="Arabic Typesetting" w:cs="Arabic Typesetting"/>
                <w:b/>
                <w:bCs/>
                <w:sz w:val="16"/>
                <w:szCs w:val="16"/>
              </w:rPr>
            </w:pPr>
            <w:r w:rsidRPr="007B6191">
              <w:rPr>
                <w:rFonts w:ascii="Arabic Typesetting" w:hAnsi="Arabic Typesetting" w:cs="Arabic Typesetting"/>
                <w:b/>
                <w:bCs/>
                <w:sz w:val="16"/>
                <w:szCs w:val="16"/>
                <w:rtl/>
              </w:rPr>
              <w:t>تعميم</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الهدف</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الاستراتيجي</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الثالث</w:t>
            </w:r>
            <w:r w:rsidRPr="007B6191">
              <w:rPr>
                <w:rFonts w:ascii="Arabic Typesetting" w:hAnsi="Arabic Typesetting" w:cs="Arabic Typesetting"/>
                <w:b/>
                <w:bCs/>
                <w:sz w:val="16"/>
                <w:szCs w:val="16"/>
              </w:rPr>
              <w:t>:</w:t>
            </w:r>
            <w:r>
              <w:rPr>
                <w:rFonts w:ascii="Arabic Typesetting" w:hAnsi="Arabic Typesetting" w:cs="Arabic Typesetting"/>
                <w:b/>
                <w:bCs/>
                <w:sz w:val="16"/>
                <w:szCs w:val="16"/>
                <w:rtl/>
              </w:rPr>
              <w:t xml:space="preserve"> </w:t>
            </w:r>
            <w:r w:rsidRPr="007B6191">
              <w:rPr>
                <w:rFonts w:ascii="Arabic Typesetting" w:hAnsi="Arabic Typesetting" w:cs="Arabic Typesetting"/>
                <w:b/>
                <w:bCs/>
                <w:sz w:val="16"/>
                <w:szCs w:val="16"/>
                <w:rtl/>
              </w:rPr>
              <w:t>تسهيل</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الانتفاع</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بالملكية</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الفكرية</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في</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سبيل</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التنمية</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وجدول</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أعمال</w:t>
            </w:r>
            <w:r w:rsidRPr="007B6191">
              <w:rPr>
                <w:rFonts w:ascii="Arabic Typesetting" w:hAnsi="Arabic Typesetting" w:cs="Arabic Typesetting"/>
                <w:b/>
                <w:bCs/>
                <w:sz w:val="16"/>
                <w:szCs w:val="16"/>
              </w:rPr>
              <w:t xml:space="preserve"> </w:t>
            </w:r>
            <w:r w:rsidRPr="007B6191">
              <w:rPr>
                <w:rFonts w:ascii="Arabic Typesetting" w:hAnsi="Arabic Typesetting" w:cs="Arabic Typesetting"/>
                <w:b/>
                <w:bCs/>
                <w:sz w:val="16"/>
                <w:szCs w:val="16"/>
                <w:rtl/>
              </w:rPr>
              <w:t>التنمية</w:t>
            </w: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الثامن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آلية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تواصل</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متجاوب</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بين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الويبو</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والأعضاء</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وجميع</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أصحاب</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المصالح</w:t>
            </w:r>
          </w:p>
        </w:tc>
      </w:tr>
      <w:tr w:rsidR="00536221" w:rsidRPr="007B6191" w:rsidTr="002C3C33">
        <w:trPr>
          <w:trHeight w:val="145"/>
        </w:trPr>
        <w:tc>
          <w:tcPr>
            <w:tcW w:w="387" w:type="dxa"/>
            <w:vMerge/>
            <w:tcBorders>
              <w:top w:val="single" w:sz="8" w:space="0" w:color="auto"/>
              <w:left w:val="single" w:sz="8" w:space="0" w:color="auto"/>
              <w:bottom w:val="single" w:sz="4" w:space="0" w:color="000000"/>
              <w:right w:val="nil"/>
            </w:tcBorders>
            <w:vAlign w:val="center"/>
          </w:tcPr>
          <w:p w:rsidR="00536221" w:rsidRPr="007B6191" w:rsidRDefault="00536221" w:rsidP="00A0285D">
            <w:pPr>
              <w:tabs>
                <w:tab w:val="right" w:pos="2835"/>
              </w:tabs>
              <w:spacing w:line="160" w:lineRule="exact"/>
              <w:rPr>
                <w:rFonts w:ascii="Arabic Typesetting" w:hAnsi="Arabic Typesetting" w:cs="Arabic Typesetting"/>
                <w:b/>
                <w:bCs/>
                <w:sz w:val="16"/>
                <w:szCs w:val="16"/>
              </w:rPr>
            </w:pPr>
          </w:p>
        </w:tc>
        <w:tc>
          <w:tcPr>
            <w:tcW w:w="3040" w:type="dxa"/>
            <w:tcBorders>
              <w:top w:val="nil"/>
              <w:left w:val="single" w:sz="4" w:space="0" w:color="auto"/>
              <w:bottom w:val="nil"/>
              <w:right w:val="nil"/>
            </w:tcBorders>
            <w:shd w:val="clear" w:color="auto" w:fill="auto"/>
            <w:vAlign w:val="center"/>
          </w:tcPr>
          <w:p w:rsidR="00536221" w:rsidRPr="003624D2" w:rsidRDefault="00536221" w:rsidP="003624D2">
            <w:pPr>
              <w:tabs>
                <w:tab w:val="right" w:pos="2835"/>
              </w:tabs>
              <w:spacing w:line="220" w:lineRule="exact"/>
              <w:rPr>
                <w:rFonts w:ascii="Arabic Typesetting" w:hAnsi="Arabic Typesetting" w:cs="Arabic Typesetting"/>
                <w:sz w:val="22"/>
                <w:szCs w:val="22"/>
              </w:rPr>
            </w:pPr>
          </w:p>
        </w:tc>
        <w:tc>
          <w:tcPr>
            <w:tcW w:w="3041" w:type="dxa"/>
            <w:tcBorders>
              <w:top w:val="nil"/>
              <w:left w:val="nil"/>
              <w:bottom w:val="nil"/>
              <w:right w:val="nil"/>
            </w:tcBorders>
            <w:shd w:val="clear" w:color="auto" w:fill="auto"/>
            <w:vAlign w:val="center"/>
          </w:tcPr>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1.8</w:t>
            </w:r>
            <w:r w:rsidRPr="003624D2">
              <w:rPr>
                <w:rFonts w:ascii="Arabic Typesetting" w:hAnsi="Arabic Typesetting" w:cs="Arabic Typesetting"/>
                <w:sz w:val="22"/>
                <w:szCs w:val="22"/>
                <w:rtl/>
              </w:rPr>
              <w:t xml:space="preserve"> التواصل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بفعالية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أكبر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جمهور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واسع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بشأن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ودور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p>
          <w:p w:rsidR="00536221" w:rsidRPr="003624D2" w:rsidRDefault="00536221" w:rsidP="003624D2">
            <w:pPr>
              <w:tabs>
                <w:tab w:val="left" w:pos="335"/>
                <w:tab w:val="right" w:pos="2173"/>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12,033</w:t>
            </w:r>
          </w:p>
          <w:p w:rsidR="00536221" w:rsidRPr="003624D2" w:rsidRDefault="00536221" w:rsidP="003624D2">
            <w:pPr>
              <w:tabs>
                <w:tab w:val="left" w:pos="348"/>
                <w:tab w:val="right" w:pos="2173"/>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4,268</w:t>
            </w:r>
          </w:p>
          <w:p w:rsidR="00536221" w:rsidRPr="003624D2" w:rsidRDefault="00536221" w:rsidP="003624D2">
            <w:pPr>
              <w:tabs>
                <w:tab w:val="right" w:pos="2835"/>
              </w:tabs>
              <w:spacing w:line="220" w:lineRule="exact"/>
              <w:rPr>
                <w:rFonts w:ascii="Arabic Typesetting" w:hAnsi="Arabic Typesetting" w:cs="Arabic Typesetting"/>
                <w:sz w:val="22"/>
                <w:szCs w:val="22"/>
              </w:rPr>
            </w:pPr>
          </w:p>
        </w:tc>
        <w:tc>
          <w:tcPr>
            <w:tcW w:w="3042" w:type="dxa"/>
            <w:tcBorders>
              <w:top w:val="nil"/>
              <w:left w:val="nil"/>
              <w:bottom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highlight w:val="yellow"/>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2.8</w:t>
            </w:r>
            <w:r w:rsidRPr="003624D2">
              <w:rPr>
                <w:rFonts w:ascii="Arabic Typesetting" w:hAnsi="Arabic Typesetting" w:cs="Arabic Typesetting"/>
                <w:sz w:val="22"/>
                <w:szCs w:val="22"/>
                <w:rtl/>
              </w:rPr>
              <w:t xml:space="preserve"> ‏توجّه</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أكبر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نحو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تقديم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الخدمات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واستجابة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أفضل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للاستفسارات</w:t>
            </w:r>
          </w:p>
          <w:p w:rsidR="00536221" w:rsidRPr="003624D2" w:rsidRDefault="00536221" w:rsidP="003624D2">
            <w:pPr>
              <w:tabs>
                <w:tab w:val="left" w:pos="325"/>
                <w:tab w:val="right" w:pos="2189"/>
              </w:tabs>
              <w:spacing w:line="220" w:lineRule="exact"/>
              <w:rPr>
                <w:rFonts w:ascii="Arabic Typesetting" w:hAnsi="Arabic Typesetting" w:cs="Arabic Typesetting"/>
                <w:sz w:val="22"/>
                <w:szCs w:val="22"/>
                <w:highlight w:val="yellow"/>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 6,219</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2,779</w:t>
            </w:r>
            <w:r w:rsidRPr="003624D2">
              <w:rPr>
                <w:rFonts w:ascii="Arabic Typesetting" w:hAnsi="Arabic Typesetting" w:cs="Arabic Typesetting"/>
                <w:i/>
                <w:iCs/>
                <w:color w:val="0000FF"/>
                <w:sz w:val="22"/>
                <w:szCs w:val="22"/>
                <w:rtl/>
              </w:rPr>
              <w:t xml:space="preserve"> </w:t>
            </w:r>
          </w:p>
        </w:tc>
        <w:tc>
          <w:tcPr>
            <w:tcW w:w="3041" w:type="dxa"/>
            <w:tcBorders>
              <w:top w:val="nil"/>
              <w:left w:val="nil"/>
              <w:bottom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3.8</w:t>
            </w:r>
            <w:r w:rsidRPr="003624D2">
              <w:rPr>
                <w:rFonts w:ascii="Arabic Typesetting" w:hAnsi="Arabic Typesetting" w:cs="Arabic Typesetting"/>
                <w:sz w:val="22"/>
                <w:szCs w:val="22"/>
                <w:rtl/>
              </w:rPr>
              <w:t xml:space="preserve"> ‏</w:t>
            </w:r>
            <w:r w:rsidRPr="003624D2">
              <w:rPr>
                <w:rFonts w:ascii="Arabic Typesetting" w:hAnsi="Arabic Typesetting" w:cs="Arabic Typesetting" w:hint="cs"/>
                <w:sz w:val="22"/>
                <w:szCs w:val="22"/>
                <w:rtl/>
              </w:rPr>
              <w:t xml:space="preserve"> </w:t>
            </w:r>
            <w:r w:rsidRPr="003624D2">
              <w:rPr>
                <w:rFonts w:ascii="Arabic Typesetting" w:hAnsi="Arabic Typesetting" w:cs="Arabic Typesetting"/>
                <w:sz w:val="22"/>
                <w:szCs w:val="22"/>
                <w:rtl/>
              </w:rPr>
              <w:t>التزام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فعال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الأعضاء</w:t>
            </w:r>
          </w:p>
          <w:p w:rsidR="00536221" w:rsidRPr="003624D2" w:rsidRDefault="00536221" w:rsidP="003624D2">
            <w:pPr>
              <w:tabs>
                <w:tab w:val="left" w:pos="378"/>
                <w:tab w:val="right" w:pos="220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7,099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53"/>
                <w:tab w:val="right" w:pos="1938"/>
              </w:tabs>
              <w:spacing w:line="220" w:lineRule="exact"/>
              <w:rPr>
                <w:rFonts w:ascii="Arabic Typesetting" w:hAnsi="Arabic Typesetting" w:cs="Arabic Typesetting"/>
                <w:color w:val="000000"/>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حصة التنمية: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0" w:type="dxa"/>
            <w:tcBorders>
              <w:top w:val="nil"/>
              <w:left w:val="nil"/>
              <w:bottom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4.8</w:t>
            </w:r>
            <w:r w:rsidRPr="003624D2">
              <w:rPr>
                <w:rFonts w:ascii="Arabic Typesetting" w:hAnsi="Arabic Typesetting" w:cs="Arabic Typesetting"/>
                <w:sz w:val="22"/>
                <w:szCs w:val="22"/>
                <w:rtl/>
              </w:rPr>
              <w:t xml:space="preserve"> تفاعل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منفتح</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وشفاف</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ومتجاوب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أصحاب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المصلحة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غير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الحكوميين</w:t>
            </w:r>
          </w:p>
          <w:p w:rsidR="00536221" w:rsidRPr="003624D2" w:rsidRDefault="00536221" w:rsidP="003624D2">
            <w:pPr>
              <w:tabs>
                <w:tab w:val="left" w:pos="368"/>
                <w:tab w:val="right" w:pos="2221"/>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1,128 </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368"/>
                <w:tab w:val="right" w:pos="1955"/>
              </w:tabs>
              <w:spacing w:line="220" w:lineRule="exact"/>
              <w:rPr>
                <w:rFonts w:ascii="Arabic Typesetting" w:hAnsi="Arabic Typesetting" w:cs="Arabic Typesetting"/>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1" w:type="dxa"/>
            <w:tcBorders>
              <w:top w:val="nil"/>
              <w:left w:val="nil"/>
              <w:bottom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color w:val="000000"/>
                <w:sz w:val="22"/>
                <w:szCs w:val="22"/>
              </w:rPr>
            </w:pPr>
          </w:p>
          <w:p w:rsidR="00536221" w:rsidRPr="003624D2" w:rsidRDefault="00536221" w:rsidP="003624D2">
            <w:pPr>
              <w:tabs>
                <w:tab w:val="right" w:pos="2835"/>
              </w:tabs>
              <w:spacing w:line="220" w:lineRule="exact"/>
              <w:rPr>
                <w:rFonts w:ascii="Arabic Typesetting" w:hAnsi="Arabic Typesetting" w:cs="Arabic Typesetting"/>
                <w:color w:val="000000"/>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5.8</w:t>
            </w:r>
            <w:r w:rsidRPr="003624D2">
              <w:rPr>
                <w:rFonts w:ascii="Arabic Typesetting" w:hAnsi="Arabic Typesetting" w:cs="Arabic Typesetting"/>
                <w:sz w:val="22"/>
                <w:szCs w:val="22"/>
                <w:rtl/>
              </w:rPr>
              <w:t xml:space="preserve"> </w:t>
            </w:r>
            <w:r w:rsidRPr="003624D2">
              <w:rPr>
                <w:rFonts w:ascii="Arabic Typesetting" w:hAnsi="Arabic Typesetting" w:cs="Arabic Typesetting"/>
                <w:color w:val="000000"/>
                <w:sz w:val="22"/>
                <w:szCs w:val="22"/>
                <w:rtl/>
              </w:rPr>
              <w:t>تفاعل</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الويبو</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وتشاركها</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بفعالية</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مع</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مسارات</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ومفاوضات</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الأمم</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المتحدة</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وسائر</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المنظمات</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الحكومية</w:t>
            </w:r>
            <w:r w:rsidRPr="003624D2">
              <w:rPr>
                <w:rFonts w:ascii="Arabic Typesetting" w:hAnsi="Arabic Typesetting" w:cs="Arabic Typesetting"/>
                <w:color w:val="000000"/>
                <w:sz w:val="22"/>
                <w:szCs w:val="22"/>
              </w:rPr>
              <w:t xml:space="preserve"> </w:t>
            </w:r>
            <w:r w:rsidRPr="003624D2">
              <w:rPr>
                <w:rFonts w:ascii="Arabic Typesetting" w:hAnsi="Arabic Typesetting" w:cs="Arabic Typesetting"/>
                <w:color w:val="000000"/>
                <w:sz w:val="22"/>
                <w:szCs w:val="22"/>
                <w:rtl/>
              </w:rPr>
              <w:t>الدولية</w:t>
            </w:r>
          </w:p>
          <w:p w:rsidR="00536221" w:rsidRPr="003624D2" w:rsidRDefault="00536221" w:rsidP="003624D2">
            <w:pPr>
              <w:tabs>
                <w:tab w:val="left" w:pos="397"/>
                <w:tab w:val="right" w:pos="2237"/>
              </w:tabs>
              <w:spacing w:line="220" w:lineRule="exact"/>
              <w:rPr>
                <w:rFonts w:ascii="Arabic Typesetting" w:hAnsi="Arabic Typesetting" w:cs="Arabic Typesetting"/>
                <w:i/>
                <w:iCs/>
                <w:color w:val="000000"/>
                <w:sz w:val="22"/>
                <w:szCs w:val="22"/>
              </w:rPr>
            </w:pPr>
            <w:r w:rsidRPr="003624D2">
              <w:rPr>
                <w:rFonts w:ascii="Arabic Typesetting" w:hAnsi="Arabic Typesetting" w:cs="Arabic Typesetting"/>
                <w:i/>
                <w:iCs/>
                <w:color w:val="000000"/>
                <w:sz w:val="22"/>
                <w:szCs w:val="22"/>
              </w:rPr>
              <w:tab/>
            </w:r>
            <w:r w:rsidRPr="003624D2">
              <w:rPr>
                <w:rFonts w:ascii="Arabic Typesetting" w:hAnsi="Arabic Typesetting" w:cs="Arabic Typesetting"/>
                <w:i/>
                <w:iCs/>
                <w:color w:val="000000"/>
                <w:sz w:val="22"/>
                <w:szCs w:val="22"/>
                <w:rtl/>
              </w:rPr>
              <w:t xml:space="preserve">الميزانية المقترحة 16/17: </w:t>
            </w:r>
            <w:r w:rsidRPr="003624D2">
              <w:rPr>
                <w:rFonts w:ascii="Arabic Typesetting" w:hAnsi="Arabic Typesetting" w:cs="Arabic Typesetting"/>
                <w:i/>
                <w:iCs/>
                <w:color w:val="000000"/>
                <w:sz w:val="22"/>
                <w:szCs w:val="22"/>
              </w:rPr>
              <w:t>6,196</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color w:val="000000"/>
                <w:sz w:val="22"/>
                <w:szCs w:val="22"/>
              </w:rPr>
              <w:tab/>
            </w:r>
            <w:r w:rsidRPr="003624D2">
              <w:rPr>
                <w:rFonts w:ascii="Arabic Typesetting" w:hAnsi="Arabic Typesetting" w:cs="Arabic Typesetting"/>
                <w:i/>
                <w:iCs/>
                <w:color w:val="000000"/>
                <w:sz w:val="22"/>
                <w:szCs w:val="22"/>
                <w:rtl/>
              </w:rPr>
              <w:t xml:space="preserve"> </w:t>
            </w:r>
          </w:p>
          <w:p w:rsidR="00536221" w:rsidRPr="003624D2" w:rsidRDefault="00536221" w:rsidP="003624D2">
            <w:pPr>
              <w:tabs>
                <w:tab w:val="left" w:pos="409"/>
                <w:tab w:val="right" w:pos="2093"/>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3,784</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tc>
        <w:tc>
          <w:tcPr>
            <w:tcW w:w="3044" w:type="dxa"/>
            <w:tcBorders>
              <w:top w:val="nil"/>
              <w:left w:val="nil"/>
              <w:bottom w:val="nil"/>
              <w:right w:val="single" w:sz="4" w:space="0" w:color="auto"/>
            </w:tcBorders>
            <w:shd w:val="clear" w:color="auto" w:fill="auto"/>
            <w:vAlign w:val="bottom"/>
          </w:tcPr>
          <w:p w:rsidR="00536221" w:rsidRPr="003624D2" w:rsidRDefault="00536221" w:rsidP="003624D2">
            <w:pPr>
              <w:tabs>
                <w:tab w:val="right" w:pos="2253"/>
              </w:tabs>
              <w:spacing w:line="220" w:lineRule="exact"/>
              <w:rPr>
                <w:rFonts w:ascii="Arabic Typesetting" w:hAnsi="Arabic Typesetting" w:cs="Arabic Typesetting"/>
                <w:i/>
                <w:iCs/>
                <w:sz w:val="22"/>
                <w:szCs w:val="22"/>
                <w:rtl/>
              </w:rPr>
            </w:pPr>
          </w:p>
          <w:p w:rsidR="00536221" w:rsidRPr="003624D2" w:rsidRDefault="00536221" w:rsidP="003624D2">
            <w:pPr>
              <w:tabs>
                <w:tab w:val="right" w:pos="2253"/>
              </w:tabs>
              <w:spacing w:line="220" w:lineRule="exact"/>
              <w:rPr>
                <w:rFonts w:ascii="Arabic Typesetting" w:hAnsi="Arabic Typesetting" w:cs="Arabic Typesetting"/>
                <w:i/>
                <w:iCs/>
                <w:sz w:val="22"/>
                <w:szCs w:val="22"/>
                <w:rtl/>
              </w:rPr>
            </w:pPr>
          </w:p>
          <w:p w:rsidR="00536221" w:rsidRPr="003624D2" w:rsidRDefault="00536221" w:rsidP="003624D2">
            <w:pPr>
              <w:tabs>
                <w:tab w:val="right" w:pos="2253"/>
              </w:tabs>
              <w:spacing w:line="220" w:lineRule="exact"/>
              <w:rPr>
                <w:rFonts w:ascii="Arabic Typesetting" w:hAnsi="Arabic Typesetting" w:cs="Arabic Typesetting"/>
                <w:i/>
                <w:iCs/>
                <w:sz w:val="22"/>
                <w:szCs w:val="22"/>
                <w:rtl/>
              </w:rPr>
            </w:pPr>
          </w:p>
          <w:p w:rsidR="00536221" w:rsidRPr="003624D2" w:rsidRDefault="00536221" w:rsidP="003624D2">
            <w:pPr>
              <w:tabs>
                <w:tab w:val="right" w:pos="2253"/>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الاستراتيجي</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الثامن</w:t>
            </w:r>
            <w:r w:rsidRPr="003624D2">
              <w:rPr>
                <w:rFonts w:ascii="Arabic Typesetting" w:hAnsi="Arabic Typesetting" w:cs="Arabic Typesetting"/>
                <w:i/>
                <w:iCs/>
                <w:sz w:val="22"/>
                <w:szCs w:val="22"/>
              </w:rPr>
              <w:t>: 32,675</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right" w:pos="2350"/>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من</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الاستراتيجي</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الثامن</w:t>
            </w:r>
            <w:r w:rsidRPr="003624D2">
              <w:rPr>
                <w:rFonts w:ascii="Arabic Typesetting" w:hAnsi="Arabic Typesetting" w:cs="Arabic Typesetting"/>
                <w:i/>
                <w:iCs/>
                <w:color w:val="0000FF"/>
                <w:sz w:val="22"/>
                <w:szCs w:val="22"/>
              </w:rPr>
              <w:t>: 10,831</w:t>
            </w:r>
            <w:r w:rsidRPr="003624D2">
              <w:rPr>
                <w:rFonts w:ascii="Arabic Typesetting" w:hAnsi="Arabic Typesetting" w:cs="Arabic Typesetting"/>
                <w:i/>
                <w:iCs/>
                <w:color w:val="0000FF"/>
                <w:sz w:val="22"/>
                <w:szCs w:val="22"/>
              </w:rPr>
              <w:tab/>
            </w:r>
          </w:p>
        </w:tc>
      </w:tr>
      <w:tr w:rsidR="00536221" w:rsidRPr="007B6191" w:rsidTr="002C3C33">
        <w:trPr>
          <w:trHeight w:val="559"/>
        </w:trPr>
        <w:tc>
          <w:tcPr>
            <w:tcW w:w="387" w:type="dxa"/>
            <w:vMerge/>
            <w:tcBorders>
              <w:top w:val="single" w:sz="8" w:space="0" w:color="auto"/>
              <w:left w:val="single" w:sz="8" w:space="0" w:color="auto"/>
              <w:bottom w:val="single" w:sz="4" w:space="0" w:color="000000"/>
              <w:right w:val="nil"/>
            </w:tcBorders>
            <w:vAlign w:val="center"/>
          </w:tcPr>
          <w:p w:rsidR="00536221" w:rsidRPr="007B6191" w:rsidRDefault="00536221" w:rsidP="00A0285D">
            <w:pPr>
              <w:tabs>
                <w:tab w:val="right" w:pos="2835"/>
              </w:tabs>
              <w:spacing w:line="160" w:lineRule="exact"/>
              <w:rPr>
                <w:rFonts w:ascii="Arabic Typesetting" w:hAnsi="Arabic Typesetting" w:cs="Arabic Typesetting"/>
                <w:b/>
                <w:bCs/>
                <w:sz w:val="16"/>
                <w:szCs w:val="16"/>
              </w:rPr>
            </w:pPr>
          </w:p>
        </w:tc>
        <w:tc>
          <w:tcPr>
            <w:tcW w:w="3040" w:type="dxa"/>
            <w:tcBorders>
              <w:top w:val="single" w:sz="4" w:space="0" w:color="auto"/>
              <w:left w:val="single" w:sz="4" w:space="0" w:color="auto"/>
              <w:bottom w:val="single" w:sz="4" w:space="0" w:color="auto"/>
              <w:right w:val="single" w:sz="4" w:space="0" w:color="auto"/>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الأول</w:t>
            </w:r>
            <w:r w:rsidRPr="003624D2">
              <w:rPr>
                <w:rFonts w:ascii="Arabic Typesetting" w:hAnsi="Arabic Typesetting" w:cs="Arabic Typesetting"/>
                <w:b/>
                <w:bCs/>
                <w:sz w:val="22"/>
                <w:szCs w:val="22"/>
              </w:rPr>
              <w:t>:</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تطور</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متوازن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لوضع</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القواعد</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والمعايير</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الدولية</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بشأن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الملكية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الفكرية</w:t>
            </w:r>
          </w:p>
        </w:tc>
        <w:tc>
          <w:tcPr>
            <w:tcW w:w="3041" w:type="dxa"/>
            <w:tcBorders>
              <w:top w:val="single" w:sz="4" w:space="0" w:color="auto"/>
              <w:left w:val="nil"/>
              <w:bottom w:val="single" w:sz="4" w:space="0" w:color="auto"/>
              <w:right w:val="single" w:sz="4" w:space="0" w:color="auto"/>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الثاني</w:t>
            </w:r>
            <w:r w:rsidRPr="003624D2">
              <w:rPr>
                <w:rFonts w:ascii="Arabic Typesetting" w:hAnsi="Arabic Typesetting" w:cs="Arabic Typesetting"/>
                <w:b/>
                <w:bCs/>
                <w:sz w:val="22"/>
                <w:szCs w:val="22"/>
              </w:rPr>
              <w:t>:</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تقديم</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خدمات</w:t>
            </w:r>
            <w:r w:rsidRPr="003624D2">
              <w:rPr>
                <w:rFonts w:ascii="Arabic Typesetting" w:hAnsi="Arabic Typesetting" w:cs="Arabic Typesetting"/>
                <w:b/>
                <w:bCs/>
                <w:sz w:val="22"/>
                <w:szCs w:val="22"/>
              </w:rPr>
              <w:t xml:space="preserve"> </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عالمية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في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مجال</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الملكية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الفكرية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من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الطراز</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الأول</w:t>
            </w:r>
          </w:p>
        </w:tc>
        <w:tc>
          <w:tcPr>
            <w:tcW w:w="3042" w:type="dxa"/>
            <w:tcBorders>
              <w:top w:val="single" w:sz="4" w:space="0" w:color="auto"/>
              <w:left w:val="nil"/>
              <w:bottom w:val="single" w:sz="4" w:space="0" w:color="auto"/>
              <w:right w:val="single" w:sz="4" w:space="0" w:color="auto"/>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الثالث</w:t>
            </w:r>
            <w:r w:rsidRPr="003624D2">
              <w:rPr>
                <w:rFonts w:ascii="Arabic Typesetting" w:hAnsi="Arabic Typesetting" w:cs="Arabic Typesetting"/>
                <w:b/>
                <w:bCs/>
                <w:sz w:val="22"/>
                <w:szCs w:val="22"/>
              </w:rPr>
              <w:t>:</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تسهيل</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الانتفاع</w:t>
            </w:r>
            <w:r w:rsidRPr="003624D2">
              <w:rPr>
                <w:rFonts w:ascii="Arabic Typesetting" w:hAnsi="Arabic Typesetting" w:cs="Arabic Typesetting"/>
                <w:b/>
                <w:bCs/>
                <w:sz w:val="22"/>
                <w:szCs w:val="22"/>
              </w:rPr>
              <w:t xml:space="preserve"> </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بالملكية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الفكرية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في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سبيل</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التنمية</w:t>
            </w:r>
            <w:r w:rsidRPr="003624D2">
              <w:rPr>
                <w:rFonts w:ascii="Arabic Typesetting" w:hAnsi="Arabic Typesetting" w:cs="Arabic Typesetting"/>
                <w:b/>
                <w:bCs/>
                <w:sz w:val="22"/>
                <w:szCs w:val="22"/>
              </w:rPr>
              <w:t xml:space="preserve"> </w:t>
            </w:r>
          </w:p>
        </w:tc>
        <w:tc>
          <w:tcPr>
            <w:tcW w:w="3041" w:type="dxa"/>
            <w:tcBorders>
              <w:top w:val="single" w:sz="4" w:space="0" w:color="auto"/>
              <w:left w:val="nil"/>
              <w:bottom w:val="single" w:sz="4" w:space="0" w:color="auto"/>
              <w:right w:val="single" w:sz="4" w:space="0" w:color="auto"/>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الرابع</w:t>
            </w:r>
            <w:r w:rsidRPr="003624D2">
              <w:rPr>
                <w:rFonts w:ascii="Arabic Typesetting" w:hAnsi="Arabic Typesetting" w:cs="Arabic Typesetting"/>
                <w:b/>
                <w:bCs/>
                <w:sz w:val="22"/>
                <w:szCs w:val="22"/>
              </w:rPr>
              <w:t>:</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تنسيق</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البنية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التحتية</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العالمية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للملكية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الفكرية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وتطويرها</w:t>
            </w:r>
          </w:p>
        </w:tc>
        <w:tc>
          <w:tcPr>
            <w:tcW w:w="3040" w:type="dxa"/>
            <w:tcBorders>
              <w:top w:val="single" w:sz="4" w:space="0" w:color="auto"/>
              <w:left w:val="nil"/>
              <w:bottom w:val="single" w:sz="4" w:space="0" w:color="auto"/>
              <w:right w:val="single" w:sz="4" w:space="0" w:color="auto"/>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الخامس</w:t>
            </w:r>
            <w:r w:rsidRPr="003624D2">
              <w:rPr>
                <w:rFonts w:ascii="Arabic Typesetting" w:hAnsi="Arabic Typesetting" w:cs="Arabic Typesetting"/>
                <w:b/>
                <w:bCs/>
                <w:sz w:val="22"/>
                <w:szCs w:val="22"/>
              </w:rPr>
              <w:t>:</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المصدر</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 xml:space="preserve">العالمي </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لمراجع</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المعلومات</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والدراسات</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المتعلقة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بالملكية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الفكرية</w:t>
            </w:r>
            <w:r w:rsidRPr="003624D2">
              <w:rPr>
                <w:rFonts w:ascii="Arabic Typesetting" w:hAnsi="Arabic Typesetting" w:cs="Arabic Typesetting"/>
                <w:b/>
                <w:bCs/>
                <w:sz w:val="22"/>
                <w:szCs w:val="22"/>
              </w:rPr>
              <w:t xml:space="preserve"> </w:t>
            </w:r>
          </w:p>
        </w:tc>
        <w:tc>
          <w:tcPr>
            <w:tcW w:w="3041" w:type="dxa"/>
            <w:tcBorders>
              <w:top w:val="single" w:sz="4" w:space="0" w:color="auto"/>
              <w:left w:val="nil"/>
              <w:bottom w:val="single" w:sz="4" w:space="0" w:color="auto"/>
              <w:right w:val="single" w:sz="4" w:space="0" w:color="auto"/>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السادس</w:t>
            </w:r>
            <w:r w:rsidRPr="003624D2">
              <w:rPr>
                <w:rFonts w:ascii="Arabic Typesetting" w:hAnsi="Arabic Typesetting" w:cs="Arabic Typesetting"/>
                <w:b/>
                <w:bCs/>
                <w:sz w:val="22"/>
                <w:szCs w:val="22"/>
              </w:rPr>
              <w:t>:</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التعاون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الدولي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على</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إذكاء</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الاحترام</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للملكية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الفكرية</w:t>
            </w:r>
          </w:p>
        </w:tc>
        <w:tc>
          <w:tcPr>
            <w:tcW w:w="3044" w:type="dxa"/>
            <w:tcBorders>
              <w:top w:val="single" w:sz="4" w:space="0" w:color="auto"/>
              <w:left w:val="nil"/>
              <w:bottom w:val="single" w:sz="4" w:space="0" w:color="auto"/>
              <w:right w:val="single" w:sz="4" w:space="0" w:color="auto"/>
            </w:tcBorders>
            <w:shd w:val="clear" w:color="auto" w:fill="CCFFFF"/>
            <w:vAlign w:val="center"/>
          </w:tcPr>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السابع</w:t>
            </w:r>
            <w:r w:rsidRPr="003624D2">
              <w:rPr>
                <w:rFonts w:ascii="Arabic Typesetting" w:hAnsi="Arabic Typesetting" w:cs="Arabic Typesetting"/>
                <w:b/>
                <w:bCs/>
                <w:sz w:val="22"/>
                <w:szCs w:val="22"/>
              </w:rPr>
              <w:t>:</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الملكية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الفكرية</w:t>
            </w:r>
          </w:p>
          <w:p w:rsidR="00536221" w:rsidRPr="003624D2" w:rsidRDefault="00536221" w:rsidP="003624D2">
            <w:pPr>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وقضايا</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السياسيات</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العامة</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العالمية</w:t>
            </w:r>
          </w:p>
        </w:tc>
      </w:tr>
      <w:tr w:rsidR="00536221" w:rsidRPr="007B6191" w:rsidTr="003624D2">
        <w:trPr>
          <w:trHeight w:val="145"/>
        </w:trPr>
        <w:tc>
          <w:tcPr>
            <w:tcW w:w="387" w:type="dxa"/>
            <w:vMerge/>
            <w:tcBorders>
              <w:top w:val="single" w:sz="8" w:space="0" w:color="auto"/>
              <w:left w:val="single" w:sz="8" w:space="0" w:color="auto"/>
              <w:bottom w:val="single" w:sz="4" w:space="0" w:color="000000"/>
              <w:right w:val="nil"/>
            </w:tcBorders>
            <w:vAlign w:val="center"/>
          </w:tcPr>
          <w:p w:rsidR="00536221" w:rsidRPr="007B6191" w:rsidRDefault="00536221" w:rsidP="00A0285D">
            <w:pPr>
              <w:tabs>
                <w:tab w:val="right" w:pos="2835"/>
              </w:tabs>
              <w:spacing w:line="160" w:lineRule="exact"/>
              <w:rPr>
                <w:rFonts w:ascii="Arabic Typesetting" w:hAnsi="Arabic Typesetting" w:cs="Arabic Typesetting"/>
                <w:b/>
                <w:bCs/>
                <w:sz w:val="16"/>
                <w:szCs w:val="16"/>
              </w:rPr>
            </w:pPr>
          </w:p>
        </w:tc>
        <w:tc>
          <w:tcPr>
            <w:tcW w:w="3040" w:type="dxa"/>
            <w:tcBorders>
              <w:top w:val="nil"/>
              <w:left w:val="single" w:sz="4" w:space="0" w:color="auto"/>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1.1</w:t>
            </w:r>
            <w:r w:rsidRPr="003624D2">
              <w:rPr>
                <w:rFonts w:ascii="Arabic Typesetting" w:hAnsi="Arabic Typesetting" w:cs="Arabic Typesetting"/>
                <w:sz w:val="22"/>
                <w:szCs w:val="22"/>
                <w:rtl/>
              </w:rPr>
              <w:t xml:space="preserve"> تعاون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معزز</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الأعضاء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وضع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أطر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معيارية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دولية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متوازنة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مجال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p>
          <w:p w:rsidR="00536221" w:rsidRPr="003624D2" w:rsidRDefault="00536221" w:rsidP="003624D2">
            <w:pPr>
              <w:tabs>
                <w:tab w:val="left" w:pos="307"/>
                <w:tab w:val="left" w:pos="215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13,976</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Pr>
              <w:tab/>
            </w:r>
          </w:p>
          <w:p w:rsidR="00536221" w:rsidRPr="003624D2" w:rsidRDefault="00536221" w:rsidP="003624D2">
            <w:pPr>
              <w:tabs>
                <w:tab w:val="left" w:pos="319"/>
                <w:tab w:val="left" w:pos="2157"/>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8,712</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Pr>
              <w:tab/>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2.1</w:t>
            </w:r>
            <w:r w:rsidRPr="003624D2">
              <w:rPr>
                <w:rFonts w:ascii="Arabic Typesetting" w:hAnsi="Arabic Typesetting" w:cs="Arabic Typesetting"/>
                <w:sz w:val="22"/>
                <w:szCs w:val="22"/>
                <w:rtl/>
              </w:rPr>
              <w:t xml:space="preserve"> أطر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تشريعية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وتنظيمية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وسياسية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مكيّفة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ومتوازنة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مجال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p>
          <w:p w:rsidR="00536221" w:rsidRPr="003624D2" w:rsidRDefault="00536221" w:rsidP="003624D2">
            <w:pPr>
              <w:tabs>
                <w:tab w:val="left" w:pos="307"/>
                <w:tab w:val="left" w:pos="215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9,748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07"/>
                <w:tab w:val="left" w:pos="2157"/>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8,292</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3.1</w:t>
            </w:r>
            <w:r w:rsidRPr="003624D2">
              <w:rPr>
                <w:rFonts w:ascii="Arabic Typesetting" w:hAnsi="Arabic Typesetting" w:cs="Arabic Typesetting"/>
                <w:sz w:val="22"/>
                <w:szCs w:val="22"/>
                <w:rtl/>
              </w:rPr>
              <w:t xml:space="preserve"> حماية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متزايدة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لشعارات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وأسمائها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وشعارات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المنظمات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الحكومية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الدولية</w:t>
            </w:r>
          </w:p>
          <w:p w:rsidR="00536221" w:rsidRPr="003624D2" w:rsidRDefault="00536221" w:rsidP="003624D2">
            <w:pPr>
              <w:tabs>
                <w:tab w:val="left" w:pos="307"/>
                <w:tab w:val="left" w:pos="215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544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07"/>
                <w:tab w:val="left" w:pos="2157"/>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color w:val="000000"/>
                <w:sz w:val="22"/>
                <w:szCs w:val="22"/>
              </w:rPr>
            </w:pPr>
            <w:r w:rsidRPr="003624D2">
              <w:rPr>
                <w:rFonts w:ascii="Arabic Typesetting" w:hAnsi="Arabic Typesetting" w:cs="Arabic Typesetting"/>
                <w:color w:val="000000"/>
                <w:sz w:val="22"/>
                <w:szCs w:val="22"/>
              </w:rPr>
              <w:t> </w:t>
            </w:r>
          </w:p>
          <w:p w:rsidR="00536221" w:rsidRPr="003624D2" w:rsidRDefault="00536221" w:rsidP="003624D2">
            <w:pPr>
              <w:tabs>
                <w:tab w:val="left" w:pos="307"/>
                <w:tab w:val="left" w:pos="2157"/>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4.1</w:t>
            </w:r>
            <w:r w:rsidRPr="003624D2">
              <w:rPr>
                <w:rFonts w:ascii="Arabic Typesetting" w:hAnsi="Arabic Typesetting" w:cs="Arabic Typesetting"/>
                <w:sz w:val="22"/>
                <w:szCs w:val="22"/>
                <w:rtl/>
              </w:rPr>
              <w:t xml:space="preserve"> اهتمام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متزايد</w:t>
            </w:r>
            <w:r w:rsidRPr="003624D2">
              <w:rPr>
                <w:rFonts w:ascii="Arabic Typesetting" w:hAnsi="Arabic Typesetting" w:cs="Arabic Typesetting"/>
                <w:sz w:val="22"/>
                <w:szCs w:val="22"/>
              </w:rPr>
              <w:t xml:space="preserve"> </w:t>
            </w:r>
            <w:proofErr w:type="spellStart"/>
            <w:r w:rsidRPr="003624D2">
              <w:rPr>
                <w:rFonts w:ascii="Arabic Typesetting" w:hAnsi="Arabic Typesetting" w:cs="Arabic Typesetting"/>
                <w:sz w:val="22"/>
                <w:szCs w:val="22"/>
                <w:rtl/>
              </w:rPr>
              <w:t>بالويبو</w:t>
            </w:r>
            <w:proofErr w:type="spellEnd"/>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كمحفل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لتحليل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القضايا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فيما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يتعلق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بالحماية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الدولية</w:t>
            </w:r>
            <w:r w:rsidRPr="003624D2">
              <w:rPr>
                <w:rFonts w:ascii="Arabic Typesetting" w:hAnsi="Arabic Typesetting" w:cs="Arabic Typesetting"/>
                <w:sz w:val="22"/>
                <w:szCs w:val="22"/>
              </w:rPr>
              <w:t xml:space="preserve"> </w:t>
            </w:r>
            <w:r w:rsidR="00351999" w:rsidRPr="003624D2">
              <w:rPr>
                <w:rFonts w:ascii="Arabic Typesetting" w:hAnsi="Arabic Typesetting" w:cs="Arabic Typesetting"/>
                <w:sz w:val="22"/>
                <w:szCs w:val="22"/>
                <w:rtl/>
              </w:rPr>
              <w:t>ل</w:t>
            </w:r>
            <w:r w:rsidR="00300E5F" w:rsidRPr="003624D2">
              <w:rPr>
                <w:rFonts w:ascii="Arabic Typesetting" w:hAnsi="Arabic Typesetting" w:cs="Arabic Typesetting"/>
                <w:sz w:val="22"/>
                <w:szCs w:val="22"/>
                <w:rtl/>
              </w:rPr>
              <w:t>لبراءات ونماذج المنفعة وتصاميم (</w:t>
            </w:r>
            <w:proofErr w:type="spellStart"/>
            <w:r w:rsidR="00300E5F" w:rsidRPr="003624D2">
              <w:rPr>
                <w:rFonts w:ascii="Arabic Typesetting" w:hAnsi="Arabic Typesetting" w:cs="Arabic Typesetting"/>
                <w:sz w:val="22"/>
                <w:szCs w:val="22"/>
                <w:rtl/>
              </w:rPr>
              <w:t>طبوغرافيات</w:t>
            </w:r>
            <w:proofErr w:type="spellEnd"/>
            <w:r w:rsidR="00300E5F" w:rsidRPr="003624D2">
              <w:rPr>
                <w:rFonts w:ascii="Arabic Typesetting" w:hAnsi="Arabic Typesetting" w:cs="Arabic Typesetting"/>
                <w:sz w:val="22"/>
                <w:szCs w:val="22"/>
                <w:rtl/>
              </w:rPr>
              <w:t xml:space="preserve">) الدوائر المتكاملة </w:t>
            </w:r>
            <w:r w:rsidR="00300E5F" w:rsidRPr="003624D2">
              <w:rPr>
                <w:rFonts w:ascii="Arabic Typesetting" w:hAnsi="Arabic Typesetting" w:cs="Arabic Typesetting" w:hint="cs"/>
                <w:sz w:val="22"/>
                <w:szCs w:val="22"/>
                <w:rtl/>
              </w:rPr>
              <w:t>وال</w:t>
            </w:r>
            <w:r w:rsidRPr="003624D2">
              <w:rPr>
                <w:rFonts w:ascii="Arabic Typesetting" w:hAnsi="Arabic Typesetting" w:cs="Arabic Typesetting"/>
                <w:sz w:val="22"/>
                <w:szCs w:val="22"/>
                <w:rtl/>
              </w:rPr>
              <w:t>معلومات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السرية</w:t>
            </w:r>
          </w:p>
          <w:p w:rsidR="00536221" w:rsidRPr="003624D2" w:rsidRDefault="00536221" w:rsidP="003624D2">
            <w:pPr>
              <w:tabs>
                <w:tab w:val="left" w:pos="307"/>
                <w:tab w:val="left" w:pos="215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494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2157"/>
              </w:tabs>
              <w:spacing w:line="220" w:lineRule="exact"/>
              <w:rPr>
                <w:rFonts w:ascii="Arabic Typesetting" w:hAnsi="Arabic Typesetting" w:cs="Arabic Typesetting"/>
                <w:sz w:val="22"/>
                <w:szCs w:val="22"/>
              </w:rPr>
            </w:pPr>
            <w:r w:rsidRPr="003624D2">
              <w:rPr>
                <w:rFonts w:ascii="Arabic Typesetting" w:hAnsi="Arabic Typesetting" w:cs="Arabic Typesetting"/>
                <w:i/>
                <w:iCs/>
                <w:color w:val="0000FF"/>
                <w:sz w:val="22"/>
                <w:szCs w:val="22"/>
                <w:rtl/>
              </w:rPr>
              <w:t xml:space="preserve"> حصة التنمية: </w:t>
            </w:r>
            <w:r w:rsidRPr="003624D2">
              <w:rPr>
                <w:rFonts w:ascii="Arabic Typesetting" w:hAnsi="Arabic Typesetting" w:cs="Arabic Typesetting"/>
                <w:i/>
                <w:iCs/>
                <w:color w:val="0000FF"/>
                <w:sz w:val="22"/>
                <w:szCs w:val="22"/>
              </w:rPr>
              <w:t>-</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1" w:type="dxa"/>
            <w:tcBorders>
              <w:top w:val="nil"/>
              <w:left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1.2</w:t>
            </w:r>
            <w:r w:rsidRPr="003624D2">
              <w:rPr>
                <w:rFonts w:ascii="Arabic Typesetting" w:hAnsi="Arabic Typesetting" w:cs="Arabic Typesetting"/>
                <w:sz w:val="22"/>
                <w:szCs w:val="22"/>
                <w:rtl/>
              </w:rPr>
              <w:t xml:space="preserve"> استخدام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نظام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معاهدة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التعاون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بشأن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البراءات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نطاق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أوسع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وبفعالية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أكبر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لإيداع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طلبات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البراءات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الدولية</w:t>
            </w:r>
            <w:r w:rsidRPr="003624D2">
              <w:rPr>
                <w:rFonts w:ascii="Arabic Typesetting" w:hAnsi="Arabic Typesetting" w:cs="Arabic Typesetting"/>
                <w:sz w:val="22"/>
                <w:szCs w:val="22"/>
              </w:rPr>
              <w:t xml:space="preserve"> </w:t>
            </w:r>
          </w:p>
          <w:p w:rsidR="00536221" w:rsidRPr="003624D2" w:rsidRDefault="00536221" w:rsidP="003624D2">
            <w:pPr>
              <w:tabs>
                <w:tab w:val="left" w:pos="348"/>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29,156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48"/>
                <w:tab w:val="left" w:pos="2173"/>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حصة التنمية: </w:t>
            </w:r>
            <w:r w:rsidRPr="003624D2">
              <w:rPr>
                <w:rFonts w:ascii="Arabic Typesetting" w:hAnsi="Arabic Typesetting" w:cs="Arabic Typesetting"/>
                <w:i/>
                <w:iCs/>
                <w:color w:val="0000FF"/>
                <w:sz w:val="22"/>
                <w:szCs w:val="22"/>
              </w:rPr>
              <w:t>7,002</w:t>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autoSpaceDE w:val="0"/>
              <w:autoSpaceDN w:val="0"/>
              <w:adjustRightInd w:val="0"/>
              <w:spacing w:line="220" w:lineRule="exact"/>
              <w:rPr>
                <w:rFonts w:ascii="Arabic Typesetting" w:hAnsi="Arabic Typesetting" w:cs="Arabic Typesetting"/>
                <w:sz w:val="22"/>
                <w:szCs w:val="22"/>
                <w:lang w:eastAsia="zh-CN" w:bidi="th-TH"/>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3.2</w:t>
            </w:r>
            <w:r w:rsidRPr="003624D2">
              <w:rPr>
                <w:rFonts w:ascii="Arabic Typesetting" w:hAnsi="Arabic Typesetting" w:cs="Arabic Typesetting"/>
                <w:sz w:val="22"/>
                <w:szCs w:val="22"/>
                <w:rtl/>
              </w:rPr>
              <w:t xml:space="preserve"> إنتاجية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وجودة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خدمات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محسّنة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عمليات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معاهدة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التعاون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بشأن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البراءات</w:t>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181,080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35"/>
                <w:tab w:val="left" w:pos="2315"/>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حصة التنمية: -</w:t>
            </w:r>
            <w:r w:rsidRPr="003624D2">
              <w:rPr>
                <w:rFonts w:ascii="Arabic Typesetting" w:hAnsi="Arabic Typesetting" w:cs="Arabic Typesetting"/>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4.2</w:t>
            </w:r>
            <w:r w:rsidRPr="003624D2">
              <w:rPr>
                <w:rFonts w:ascii="Arabic Typesetting" w:hAnsi="Arabic Typesetting" w:cs="Arabic Typesetting"/>
                <w:sz w:val="22"/>
                <w:szCs w:val="22"/>
                <w:rtl/>
              </w:rPr>
              <w:t xml:space="preserve"> استخدام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نظام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لاهاي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نطاق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أوسع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وبفعالية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أكبر،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بما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ذلك</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قبل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النامية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الأقل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نموا</w:t>
            </w:r>
          </w:p>
          <w:p w:rsidR="00536221" w:rsidRPr="003624D2" w:rsidRDefault="00536221" w:rsidP="003624D2">
            <w:pPr>
              <w:tabs>
                <w:tab w:val="left" w:pos="323"/>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6,617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t xml:space="preserve"> </w:t>
            </w:r>
          </w:p>
          <w:p w:rsidR="00536221" w:rsidRPr="003624D2" w:rsidRDefault="00536221" w:rsidP="003624D2">
            <w:pPr>
              <w:tabs>
                <w:tab w:val="left" w:pos="323"/>
                <w:tab w:val="left" w:pos="2315"/>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1,085</w:t>
            </w:r>
            <w:r w:rsidRPr="003624D2">
              <w:rPr>
                <w:rFonts w:ascii="Arabic Typesetting" w:hAnsi="Arabic Typesetting" w:cs="Arabic Typesetting"/>
                <w:sz w:val="22"/>
                <w:szCs w:val="22"/>
                <w:rtl/>
              </w:rPr>
              <w:t xml:space="preserve"> </w:t>
            </w:r>
          </w:p>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5.2</w:t>
            </w:r>
            <w:r w:rsidRPr="003624D2">
              <w:rPr>
                <w:rFonts w:ascii="Arabic Typesetting" w:hAnsi="Arabic Typesetting" w:cs="Arabic Typesetting"/>
                <w:sz w:val="22"/>
                <w:szCs w:val="22"/>
                <w:rtl/>
              </w:rPr>
              <w:t xml:space="preserve"> إنتاجية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وجودة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خدمات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محسّنة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عمليات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نظام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لاهاي</w:t>
            </w:r>
          </w:p>
          <w:p w:rsidR="00536221" w:rsidRPr="003624D2" w:rsidRDefault="00536221" w:rsidP="003624D2">
            <w:pPr>
              <w:tabs>
                <w:tab w:val="left" w:pos="360"/>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2,234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60"/>
                <w:tab w:val="left" w:pos="231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حصة التنمية: -</w:t>
            </w:r>
          </w:p>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p>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6.2</w:t>
            </w:r>
            <w:r w:rsidRPr="003624D2">
              <w:rPr>
                <w:rFonts w:ascii="Arabic Typesetting" w:hAnsi="Arabic Typesetting" w:cs="Arabic Typesetting"/>
                <w:sz w:val="22"/>
                <w:szCs w:val="22"/>
                <w:rtl/>
              </w:rPr>
              <w:t xml:space="preserve"> استخدام</w:t>
            </w:r>
            <w:r w:rsidRPr="003624D2">
              <w:rPr>
                <w:rFonts w:ascii="Arabic Typesetting" w:hAnsi="Arabic Typesetting" w:cs="Arabic Typesetting"/>
                <w:sz w:val="22"/>
                <w:szCs w:val="22"/>
              </w:rPr>
              <w:t xml:space="preserve"> </w:t>
            </w:r>
            <w:r w:rsidR="00A0285D" w:rsidRPr="003624D2">
              <w:rPr>
                <w:rFonts w:ascii="Arabic Typesetting" w:hAnsi="Arabic Typesetting" w:cs="Arabic Typesetting"/>
                <w:sz w:val="22"/>
                <w:szCs w:val="22"/>
                <w:rtl/>
              </w:rPr>
              <w:t>نظام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مدريد</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نطاق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أوسع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وبفعالية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أكبر،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بما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ذلك</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قبل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النامية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الأقل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نموا</w:t>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005144CE" w:rsidRPr="003624D2">
              <w:rPr>
                <w:rFonts w:ascii="Arabic Typesetting" w:hAnsi="Arabic Typesetting" w:cs="Arabic Typesetting"/>
                <w:i/>
                <w:iCs/>
                <w:sz w:val="22"/>
                <w:szCs w:val="22"/>
              </w:rPr>
              <w:t>17</w:t>
            </w:r>
            <w:r w:rsidRPr="003624D2">
              <w:rPr>
                <w:rFonts w:ascii="Arabic Typesetting" w:hAnsi="Arabic Typesetting" w:cs="Arabic Typesetting"/>
                <w:i/>
                <w:iCs/>
                <w:sz w:val="22"/>
                <w:szCs w:val="22"/>
              </w:rPr>
              <w:t>,</w:t>
            </w:r>
            <w:r w:rsidR="00A0285D" w:rsidRPr="003624D2">
              <w:rPr>
                <w:rFonts w:ascii="Arabic Typesetting" w:hAnsi="Arabic Typesetting" w:cs="Arabic Typesetting"/>
                <w:i/>
                <w:iCs/>
                <w:sz w:val="22"/>
                <w:szCs w:val="22"/>
              </w:rPr>
              <w:t>069</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005144CE" w:rsidRPr="003624D2">
              <w:rPr>
                <w:rFonts w:ascii="Arabic Typesetting" w:hAnsi="Arabic Typesetting" w:cs="Arabic Typesetting"/>
                <w:i/>
                <w:iCs/>
                <w:color w:val="0000FF"/>
                <w:sz w:val="22"/>
                <w:szCs w:val="22"/>
              </w:rPr>
              <w:t>11</w:t>
            </w:r>
            <w:r w:rsidRPr="003624D2">
              <w:rPr>
                <w:rFonts w:ascii="Arabic Typesetting" w:hAnsi="Arabic Typesetting" w:cs="Arabic Typesetting"/>
                <w:i/>
                <w:iCs/>
                <w:color w:val="0000FF"/>
                <w:sz w:val="22"/>
                <w:szCs w:val="22"/>
              </w:rPr>
              <w:t>,</w:t>
            </w:r>
            <w:r w:rsidR="00A0285D" w:rsidRPr="003624D2">
              <w:rPr>
                <w:rFonts w:ascii="Arabic Typesetting" w:hAnsi="Arabic Typesetting" w:cs="Arabic Typesetting"/>
                <w:i/>
                <w:iCs/>
                <w:color w:val="0000FF"/>
                <w:sz w:val="22"/>
                <w:szCs w:val="22"/>
              </w:rPr>
              <w:t>188</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p>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7.2</w:t>
            </w:r>
            <w:r w:rsidRPr="003624D2">
              <w:rPr>
                <w:rFonts w:ascii="Arabic Typesetting" w:hAnsi="Arabic Typesetting" w:cs="Arabic Typesetting"/>
                <w:sz w:val="22"/>
                <w:szCs w:val="22"/>
                <w:rtl/>
              </w:rPr>
              <w:t xml:space="preserve"> إنتاجية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وجودة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خدمات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محسّنة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عمليات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نظام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مدريد</w:t>
            </w:r>
          </w:p>
          <w:p w:rsidR="00536221" w:rsidRPr="003624D2" w:rsidRDefault="00536221" w:rsidP="003624D2">
            <w:pPr>
              <w:tabs>
                <w:tab w:val="left" w:pos="331"/>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00550D69" w:rsidRPr="003624D2">
              <w:rPr>
                <w:rFonts w:ascii="Arabic Typesetting" w:hAnsi="Arabic Typesetting" w:cs="Arabic Typesetting"/>
                <w:i/>
                <w:iCs/>
                <w:sz w:val="22"/>
                <w:szCs w:val="22"/>
              </w:rPr>
              <w:t>42</w:t>
            </w:r>
            <w:r w:rsidRPr="003624D2">
              <w:rPr>
                <w:rFonts w:ascii="Arabic Typesetting" w:hAnsi="Arabic Typesetting" w:cs="Arabic Typesetting"/>
                <w:i/>
                <w:iCs/>
                <w:sz w:val="22"/>
                <w:szCs w:val="22"/>
              </w:rPr>
              <w:t>,</w:t>
            </w:r>
            <w:r w:rsidR="00A0285D" w:rsidRPr="003624D2">
              <w:rPr>
                <w:rFonts w:ascii="Arabic Typesetting" w:hAnsi="Arabic Typesetting" w:cs="Arabic Typesetting"/>
                <w:i/>
                <w:iCs/>
                <w:sz w:val="22"/>
                <w:szCs w:val="22"/>
              </w:rPr>
              <w:t>253</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31"/>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w:t>
            </w:r>
            <w:r w:rsidR="00550D69" w:rsidRPr="003624D2">
              <w:rPr>
                <w:rFonts w:ascii="Arabic Typesetting" w:hAnsi="Arabic Typesetting" w:cs="Arabic Typesetting"/>
                <w:i/>
                <w:iCs/>
                <w:color w:val="0000FF"/>
                <w:sz w:val="22"/>
                <w:szCs w:val="22"/>
              </w:rPr>
              <w:t>893</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left" w:pos="1525"/>
                <w:tab w:val="right" w:pos="2835"/>
              </w:tabs>
              <w:spacing w:line="220" w:lineRule="exact"/>
              <w:rPr>
                <w:rFonts w:ascii="Arabic Typesetting" w:hAnsi="Arabic Typesetting" w:cs="Arabic Typesetting"/>
                <w:i/>
                <w:iCs/>
                <w:sz w:val="22"/>
                <w:szCs w:val="22"/>
              </w:rPr>
            </w:pPr>
          </w:p>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8.2</w:t>
            </w:r>
            <w:r w:rsidRPr="003624D2">
              <w:rPr>
                <w:rFonts w:ascii="Arabic Typesetting" w:hAnsi="Arabic Typesetting" w:cs="Arabic Typesetting"/>
                <w:sz w:val="22"/>
                <w:szCs w:val="22"/>
                <w:rtl/>
              </w:rPr>
              <w:t xml:space="preserve"> تزايد</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تفادي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نشوء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المنازعات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المتعلقة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دوليا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وداخليا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وتسويتها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عبر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الوساطة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والتحكيم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وغيرها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أساليب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البديلة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لتسوية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المنازعات</w:t>
            </w:r>
          </w:p>
          <w:p w:rsidR="00536221" w:rsidRPr="003624D2" w:rsidRDefault="00536221" w:rsidP="003624D2">
            <w:pPr>
              <w:tabs>
                <w:tab w:val="left" w:pos="348"/>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4,802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661</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A0285D" w:rsidRPr="003624D2" w:rsidRDefault="00A0285D" w:rsidP="003624D2">
            <w:pPr>
              <w:tabs>
                <w:tab w:val="left" w:pos="1525"/>
                <w:tab w:val="right" w:pos="2835"/>
              </w:tabs>
              <w:spacing w:line="220" w:lineRule="exact"/>
              <w:rPr>
                <w:rFonts w:ascii="Arabic Typesetting" w:hAnsi="Arabic Typesetting" w:cs="Arabic Typesetting"/>
                <w:i/>
                <w:iCs/>
                <w:color w:val="0000FF"/>
                <w:sz w:val="22"/>
                <w:szCs w:val="22"/>
                <w:rtl/>
                <w:lang w:val="fr-CH" w:bidi="ar-SA"/>
              </w:rPr>
            </w:pPr>
          </w:p>
          <w:p w:rsidR="00A0285D" w:rsidRPr="003624D2" w:rsidRDefault="00A0285D" w:rsidP="003624D2">
            <w:pPr>
              <w:tabs>
                <w:tab w:val="left" w:pos="152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9.2</w:t>
            </w:r>
            <w:r w:rsidRPr="003624D2">
              <w:rPr>
                <w:rFonts w:ascii="Arabic Typesetting" w:hAnsi="Arabic Typesetting" w:cs="Arabic Typesetting"/>
                <w:sz w:val="22"/>
                <w:szCs w:val="22"/>
                <w:rtl/>
              </w:rPr>
              <w:t xml:space="preserve"> حماية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فعالة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الحقول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العليا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المكونة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أسماء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عامة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والحقول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العليا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المكونة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رموز</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p>
          <w:p w:rsidR="00A0285D" w:rsidRPr="003624D2" w:rsidRDefault="00A0285D"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6,899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A0285D" w:rsidP="003624D2">
            <w:pPr>
              <w:tabs>
                <w:tab w:val="left" w:pos="1525"/>
                <w:tab w:val="right" w:pos="2835"/>
              </w:tabs>
              <w:spacing w:line="220" w:lineRule="exact"/>
              <w:rPr>
                <w:rFonts w:ascii="Arabic Typesetting" w:hAnsi="Arabic Typesetting" w:cs="Arabic Typesetting"/>
                <w:i/>
                <w:iCs/>
                <w:color w:val="0000FF"/>
                <w:sz w:val="22"/>
                <w:szCs w:val="22"/>
                <w:rtl/>
                <w:lang w:val="fr-CH" w:bidi="ar-SA"/>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101</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CB08A7" w:rsidRPr="003624D2" w:rsidRDefault="00CB08A7" w:rsidP="003624D2">
            <w:pPr>
              <w:tabs>
                <w:tab w:val="left" w:pos="152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10.2</w:t>
            </w:r>
            <w:r w:rsidRPr="003624D2">
              <w:rPr>
                <w:rFonts w:ascii="Arabic Typesetting" w:hAnsi="Arabic Typesetting" w:cs="Arabic Typesetting"/>
                <w:sz w:val="22"/>
                <w:szCs w:val="22"/>
                <w:rtl/>
              </w:rPr>
              <w:t xml:space="preserve"> استخدام نظام </w:t>
            </w:r>
            <w:r w:rsidRPr="003624D2">
              <w:rPr>
                <w:rFonts w:ascii="Arabic Typesetting" w:hAnsi="Arabic Typesetting" w:cs="Arabic Typesetting" w:hint="cs"/>
                <w:sz w:val="22"/>
                <w:szCs w:val="22"/>
                <w:rtl/>
              </w:rPr>
              <w:t>لشبونة</w:t>
            </w:r>
            <w:r w:rsidRPr="003624D2">
              <w:rPr>
                <w:rFonts w:ascii="Arabic Typesetting" w:hAnsi="Arabic Typesetting" w:cs="Arabic Typesetting"/>
                <w:sz w:val="22"/>
                <w:szCs w:val="22"/>
                <w:rtl/>
              </w:rPr>
              <w:t xml:space="preserve"> على نطاق أوسع وبفعالية أكبر، بما في ذلك من قبل البلدان النامية والبلدان الأقل نموا</w:t>
            </w:r>
          </w:p>
          <w:p w:rsidR="00CB08A7" w:rsidRPr="003624D2" w:rsidRDefault="00CB08A7"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896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CB08A7" w:rsidRPr="003624D2" w:rsidRDefault="00CB08A7" w:rsidP="003624D2">
            <w:pPr>
              <w:tabs>
                <w:tab w:val="left" w:pos="1525"/>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597</w:t>
            </w:r>
            <w:r w:rsidRPr="003624D2">
              <w:rPr>
                <w:rFonts w:ascii="Arabic Typesetting" w:hAnsi="Arabic Typesetting" w:cs="Arabic Typesetting"/>
                <w:i/>
                <w:iCs/>
                <w:color w:val="0000FF"/>
                <w:sz w:val="22"/>
                <w:szCs w:val="22"/>
              </w:rPr>
              <w:tab/>
              <w:t xml:space="preserve"> </w:t>
            </w:r>
          </w:p>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00A0285D" w:rsidRPr="003624D2">
              <w:rPr>
                <w:rFonts w:ascii="Arabic Typesetting" w:hAnsi="Arabic Typesetting" w:cs="Arabic Typesetting"/>
                <w:sz w:val="22"/>
                <w:szCs w:val="22"/>
              </w:rPr>
              <w:t>1</w:t>
            </w:r>
            <w:r w:rsidR="00CB08A7" w:rsidRPr="003624D2">
              <w:rPr>
                <w:rFonts w:ascii="Arabic Typesetting" w:hAnsi="Arabic Typesetting" w:cs="Arabic Typesetting"/>
                <w:sz w:val="22"/>
                <w:szCs w:val="22"/>
              </w:rPr>
              <w:t>1</w:t>
            </w:r>
            <w:r w:rsidRPr="003624D2">
              <w:rPr>
                <w:rFonts w:ascii="Arabic Typesetting" w:hAnsi="Arabic Typesetting" w:cs="Arabic Typesetting"/>
                <w:sz w:val="22"/>
                <w:szCs w:val="22"/>
              </w:rPr>
              <w:t>.2</w:t>
            </w:r>
            <w:r w:rsidRPr="003624D2">
              <w:rPr>
                <w:rFonts w:ascii="Arabic Typesetting" w:hAnsi="Arabic Typesetting" w:cs="Arabic Typesetting"/>
                <w:sz w:val="22"/>
                <w:szCs w:val="22"/>
                <w:rtl/>
              </w:rPr>
              <w:t xml:space="preserve"> </w:t>
            </w:r>
            <w:r w:rsidR="00CB08A7" w:rsidRPr="003624D2">
              <w:rPr>
                <w:rFonts w:ascii="Arabic Typesetting" w:hAnsi="Arabic Typesetting" w:cs="Arabic Typesetting"/>
                <w:sz w:val="22"/>
                <w:szCs w:val="22"/>
                <w:rtl/>
              </w:rPr>
              <w:t>إنتاجية</w:t>
            </w:r>
            <w:r w:rsidR="00CB08A7" w:rsidRPr="003624D2">
              <w:rPr>
                <w:rFonts w:ascii="Arabic Typesetting" w:hAnsi="Arabic Typesetting" w:cs="Arabic Typesetting"/>
                <w:sz w:val="22"/>
                <w:szCs w:val="22"/>
              </w:rPr>
              <w:t xml:space="preserve"> </w:t>
            </w:r>
            <w:r w:rsidR="00CB08A7" w:rsidRPr="003624D2">
              <w:rPr>
                <w:rFonts w:ascii="Arabic Typesetting" w:hAnsi="Arabic Typesetting" w:cs="Arabic Typesetting"/>
                <w:sz w:val="22"/>
                <w:szCs w:val="22"/>
                <w:rtl/>
              </w:rPr>
              <w:t>وجودة</w:t>
            </w:r>
            <w:r w:rsidR="00CB08A7" w:rsidRPr="003624D2">
              <w:rPr>
                <w:rFonts w:ascii="Arabic Typesetting" w:hAnsi="Arabic Typesetting" w:cs="Arabic Typesetting"/>
                <w:sz w:val="22"/>
                <w:szCs w:val="22"/>
              </w:rPr>
              <w:t xml:space="preserve"> </w:t>
            </w:r>
            <w:r w:rsidR="00CB08A7" w:rsidRPr="003624D2">
              <w:rPr>
                <w:rFonts w:ascii="Arabic Typesetting" w:hAnsi="Arabic Typesetting" w:cs="Arabic Typesetting"/>
                <w:sz w:val="22"/>
                <w:szCs w:val="22"/>
                <w:rtl/>
              </w:rPr>
              <w:t>خدمات</w:t>
            </w:r>
            <w:r w:rsidR="00CB08A7" w:rsidRPr="003624D2">
              <w:rPr>
                <w:rFonts w:ascii="Arabic Typesetting" w:hAnsi="Arabic Typesetting" w:cs="Arabic Typesetting"/>
                <w:sz w:val="22"/>
                <w:szCs w:val="22"/>
              </w:rPr>
              <w:t xml:space="preserve"> </w:t>
            </w:r>
            <w:r w:rsidR="00CB08A7" w:rsidRPr="003624D2">
              <w:rPr>
                <w:rFonts w:ascii="Arabic Typesetting" w:hAnsi="Arabic Typesetting" w:cs="Arabic Typesetting"/>
                <w:sz w:val="22"/>
                <w:szCs w:val="22"/>
                <w:rtl/>
              </w:rPr>
              <w:t>محسّنة</w:t>
            </w:r>
            <w:r w:rsidR="00CB08A7" w:rsidRPr="003624D2">
              <w:rPr>
                <w:rFonts w:ascii="Arabic Typesetting" w:hAnsi="Arabic Typesetting" w:cs="Arabic Typesetting"/>
                <w:sz w:val="22"/>
                <w:szCs w:val="22"/>
              </w:rPr>
              <w:t xml:space="preserve"> </w:t>
            </w:r>
            <w:r w:rsidR="00CB08A7" w:rsidRPr="003624D2">
              <w:rPr>
                <w:rFonts w:ascii="Arabic Typesetting" w:hAnsi="Arabic Typesetting" w:cs="Arabic Typesetting"/>
                <w:sz w:val="22"/>
                <w:szCs w:val="22"/>
                <w:rtl/>
              </w:rPr>
              <w:t>في</w:t>
            </w:r>
            <w:r w:rsidR="00CB08A7" w:rsidRPr="003624D2">
              <w:rPr>
                <w:rFonts w:ascii="Arabic Typesetting" w:hAnsi="Arabic Typesetting" w:cs="Arabic Typesetting"/>
                <w:sz w:val="22"/>
                <w:szCs w:val="22"/>
              </w:rPr>
              <w:t xml:space="preserve"> </w:t>
            </w:r>
            <w:r w:rsidR="00CB08A7" w:rsidRPr="003624D2">
              <w:rPr>
                <w:rFonts w:ascii="Arabic Typesetting" w:hAnsi="Arabic Typesetting" w:cs="Arabic Typesetting"/>
                <w:sz w:val="22"/>
                <w:szCs w:val="22"/>
                <w:rtl/>
              </w:rPr>
              <w:t>عمليات</w:t>
            </w:r>
            <w:r w:rsidR="00CB08A7" w:rsidRPr="003624D2">
              <w:rPr>
                <w:rFonts w:ascii="Arabic Typesetting" w:hAnsi="Arabic Typesetting" w:cs="Arabic Typesetting"/>
                <w:sz w:val="22"/>
                <w:szCs w:val="22"/>
              </w:rPr>
              <w:t xml:space="preserve"> </w:t>
            </w:r>
            <w:r w:rsidR="00CB08A7" w:rsidRPr="003624D2">
              <w:rPr>
                <w:rFonts w:ascii="Arabic Typesetting" w:hAnsi="Arabic Typesetting" w:cs="Arabic Typesetting"/>
                <w:sz w:val="22"/>
                <w:szCs w:val="22"/>
                <w:rtl/>
              </w:rPr>
              <w:t>نظام</w:t>
            </w:r>
            <w:r w:rsidR="00CB08A7" w:rsidRPr="003624D2">
              <w:rPr>
                <w:rFonts w:ascii="Arabic Typesetting" w:hAnsi="Arabic Typesetting" w:cs="Arabic Typesetting"/>
                <w:sz w:val="22"/>
                <w:szCs w:val="22"/>
              </w:rPr>
              <w:t xml:space="preserve"> </w:t>
            </w:r>
            <w:r w:rsidR="00CB08A7" w:rsidRPr="003624D2">
              <w:rPr>
                <w:rFonts w:ascii="Arabic Typesetting" w:hAnsi="Arabic Typesetting" w:cs="Arabic Typesetting" w:hint="cs"/>
                <w:sz w:val="22"/>
                <w:szCs w:val="22"/>
                <w:rtl/>
              </w:rPr>
              <w:t>لشبونة</w:t>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00CB08A7" w:rsidRPr="003624D2">
              <w:rPr>
                <w:rFonts w:ascii="Arabic Typesetting" w:hAnsi="Arabic Typesetting" w:cs="Arabic Typesetting"/>
                <w:i/>
                <w:iCs/>
                <w:sz w:val="22"/>
                <w:szCs w:val="22"/>
              </w:rPr>
              <w:t>648</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00CB08A7" w:rsidRPr="003624D2">
              <w:rPr>
                <w:rFonts w:ascii="Arabic Typesetting" w:hAnsi="Arabic Typesetting" w:cs="Arabic Typesetting"/>
                <w:i/>
                <w:iCs/>
                <w:color w:val="0000FF"/>
                <w:sz w:val="22"/>
                <w:szCs w:val="22"/>
              </w:rPr>
              <w:t>-</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2" w:type="dxa"/>
            <w:tcBorders>
              <w:top w:val="nil"/>
              <w:left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1.3</w:t>
            </w:r>
            <w:r w:rsidRPr="003624D2">
              <w:rPr>
                <w:rFonts w:ascii="Arabic Typesetting" w:hAnsi="Arabic Typesetting" w:cs="Arabic Typesetting"/>
                <w:sz w:val="22"/>
                <w:szCs w:val="22"/>
                <w:rtl/>
              </w:rPr>
              <w:t xml:space="preserve"> استراتيجيات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وخطط</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وطنية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مجالي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الابتكار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تتماشى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الأهداف</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الإنمائية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الوطنية</w:t>
            </w:r>
            <w:r w:rsidRPr="003624D2">
              <w:rPr>
                <w:rFonts w:ascii="Arabic Typesetting" w:hAnsi="Arabic Typesetting" w:cs="Arabic Typesetting"/>
                <w:sz w:val="22"/>
                <w:szCs w:val="22"/>
              </w:rPr>
              <w:t xml:space="preserve"> </w:t>
            </w:r>
          </w:p>
          <w:p w:rsidR="00536221" w:rsidRPr="003624D2" w:rsidRDefault="00536221" w:rsidP="003624D2">
            <w:pPr>
              <w:tabs>
                <w:tab w:val="left" w:pos="346"/>
                <w:tab w:val="left" w:pos="2189"/>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10,957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50"/>
                <w:tab w:val="left" w:pos="2189"/>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10,957</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2.3</w:t>
            </w:r>
            <w:r w:rsidRPr="003624D2">
              <w:rPr>
                <w:rFonts w:ascii="Arabic Typesetting" w:hAnsi="Arabic Typesetting" w:cs="Arabic Typesetting"/>
                <w:sz w:val="22"/>
                <w:szCs w:val="22"/>
                <w:rtl/>
              </w:rPr>
              <w:t xml:space="preserve"> كفاءات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معزَّزة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للموارد</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البشرية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القادرة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تلبية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تشكيلة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واسعة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المتطلبات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لتسخير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بفعالية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لأغراض</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التنمية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النامية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الأقل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نموا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المنتقلة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اقتصاد</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السوق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الحر</w:t>
            </w:r>
          </w:p>
          <w:p w:rsidR="00536221" w:rsidRPr="003624D2" w:rsidRDefault="00536221" w:rsidP="003624D2">
            <w:pPr>
              <w:tabs>
                <w:tab w:val="left" w:pos="325"/>
                <w:tab w:val="left" w:pos="2189"/>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39,734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50"/>
                <w:tab w:val="left" w:pos="2189"/>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39,322</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3.3</w:t>
            </w:r>
            <w:r w:rsidRPr="003624D2">
              <w:rPr>
                <w:rFonts w:ascii="Arabic Typesetting" w:hAnsi="Arabic Typesetting" w:cs="Arabic Typesetting"/>
                <w:sz w:val="22"/>
                <w:szCs w:val="22"/>
                <w:rtl/>
              </w:rPr>
              <w:t xml:space="preserve"> تعميم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توصيات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جدول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أعمال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التنمية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عمل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p>
          <w:p w:rsidR="00536221" w:rsidRPr="003624D2" w:rsidRDefault="00536221" w:rsidP="003624D2">
            <w:pPr>
              <w:tabs>
                <w:tab w:val="left" w:pos="325"/>
                <w:tab w:val="left" w:pos="2189"/>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2,492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25"/>
                <w:tab w:val="left" w:pos="2189"/>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2,492</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color w:val="999999"/>
                <w:sz w:val="22"/>
                <w:szCs w:val="22"/>
              </w:rPr>
            </w:pPr>
          </w:p>
          <w:p w:rsidR="00536221" w:rsidRPr="003624D2" w:rsidRDefault="00536221" w:rsidP="003624D2">
            <w:pPr>
              <w:tabs>
                <w:tab w:val="right" w:pos="2835"/>
              </w:tabs>
              <w:spacing w:line="220" w:lineRule="exact"/>
              <w:rPr>
                <w:rFonts w:ascii="Arabic Typesetting" w:hAnsi="Arabic Typesetting" w:cs="Arabic Typesetting"/>
                <w:color w:val="999999"/>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lang w:bidi="ar-SA"/>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4.3</w:t>
            </w:r>
            <w:r w:rsidRPr="003624D2">
              <w:rPr>
                <w:rFonts w:ascii="Arabic Typesetting" w:hAnsi="Arabic Typesetting" w:cs="Arabic Typesetting"/>
                <w:sz w:val="22"/>
                <w:szCs w:val="22"/>
                <w:rtl/>
              </w:rPr>
              <w:t xml:space="preserve"> آليات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وبرامج</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تعاونية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معزّزة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ومكيّفة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حسب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احتياجات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النامية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الأقل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نموا</w:t>
            </w:r>
            <w:r w:rsidR="00D00364" w:rsidRPr="003624D2">
              <w:rPr>
                <w:rFonts w:ascii="Arabic Typesetting" w:hAnsi="Arabic Typesetting" w:cs="Arabic Typesetting" w:hint="cs"/>
                <w:sz w:val="22"/>
                <w:szCs w:val="22"/>
                <w:rtl/>
                <w:lang w:bidi="ar-SA"/>
              </w:rPr>
              <w:t xml:space="preserve"> والبلدان المنتقلة إلى نظام الاقتصاد الحر</w:t>
            </w:r>
          </w:p>
          <w:p w:rsidR="00536221" w:rsidRPr="003624D2" w:rsidRDefault="00536221" w:rsidP="003624D2">
            <w:pPr>
              <w:tabs>
                <w:tab w:val="left" w:pos="338"/>
                <w:tab w:val="left" w:pos="2189"/>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6,273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38"/>
                <w:tab w:val="left" w:pos="2189"/>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5,853</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left" w:pos="1525"/>
                <w:tab w:val="right" w:pos="2835"/>
              </w:tabs>
              <w:spacing w:line="220" w:lineRule="exact"/>
              <w:rPr>
                <w:rFonts w:ascii="Arabic Typesetting" w:hAnsi="Arabic Typesetting" w:cs="Arabic Typesetting"/>
                <w:color w:val="0000FF"/>
                <w:sz w:val="22"/>
                <w:szCs w:val="22"/>
              </w:rPr>
            </w:pPr>
          </w:p>
          <w:p w:rsidR="00536221" w:rsidRPr="003624D2" w:rsidRDefault="00536221" w:rsidP="003624D2">
            <w:pPr>
              <w:tabs>
                <w:tab w:val="left" w:pos="1525"/>
                <w:tab w:val="right" w:pos="2835"/>
              </w:tabs>
              <w:spacing w:line="220" w:lineRule="exact"/>
              <w:rPr>
                <w:rFonts w:ascii="Arabic Typesetting" w:hAnsi="Arabic Typesetting" w:cs="Arabic Typesetting"/>
                <w:color w:val="0000FF"/>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5.3</w:t>
            </w:r>
            <w:r w:rsidRPr="003624D2">
              <w:rPr>
                <w:rFonts w:ascii="Arabic Typesetting" w:hAnsi="Arabic Typesetting" w:cs="Arabic Typesetting"/>
                <w:sz w:val="22"/>
                <w:szCs w:val="22"/>
                <w:rtl/>
              </w:rPr>
              <w:t xml:space="preserve"> فهم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معمّق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لجدول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أعمال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التنمية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لدى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الأعضاء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والمنظمات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الحكومية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والمجتمع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المدني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وأصحاب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المصلحة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الآخرين</w:t>
            </w:r>
          </w:p>
          <w:p w:rsidR="00536221" w:rsidRPr="003624D2" w:rsidRDefault="00536221" w:rsidP="003624D2">
            <w:pPr>
              <w:tabs>
                <w:tab w:val="left" w:pos="338"/>
                <w:tab w:val="left" w:pos="2189"/>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16-17: 1,393 </w:t>
            </w:r>
          </w:p>
          <w:p w:rsidR="00536221" w:rsidRPr="003624D2" w:rsidRDefault="00536221" w:rsidP="003624D2">
            <w:pPr>
              <w:tabs>
                <w:tab w:val="left" w:pos="338"/>
                <w:tab w:val="left" w:pos="2189"/>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1,393</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6.3</w:t>
            </w:r>
            <w:r w:rsidRPr="003624D2">
              <w:rPr>
                <w:rFonts w:ascii="Arabic Typesetting" w:hAnsi="Arabic Typesetting" w:cs="Arabic Typesetting"/>
                <w:sz w:val="22"/>
                <w:szCs w:val="22"/>
                <w:rtl/>
              </w:rPr>
              <w:t xml:space="preserve"> قدرات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معزّزة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للشركات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الصغيرة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والمتوسطة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أجل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النجاح</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تسخير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لأغراض</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دعم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الابتكار</w:t>
            </w:r>
          </w:p>
          <w:p w:rsidR="00536221" w:rsidRPr="003624D2" w:rsidRDefault="00536221" w:rsidP="003624D2">
            <w:pPr>
              <w:tabs>
                <w:tab w:val="left" w:pos="338"/>
                <w:tab w:val="left" w:pos="2189"/>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 3,125</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hint="cs"/>
                <w:i/>
                <w:iCs/>
                <w:color w:val="0000FF"/>
                <w:sz w:val="22"/>
                <w:szCs w:val="22"/>
                <w:rtl/>
              </w:rPr>
              <w:br/>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حصة التنمية: </w:t>
            </w:r>
            <w:r w:rsidRPr="003624D2">
              <w:rPr>
                <w:rFonts w:ascii="Arabic Typesetting" w:hAnsi="Arabic Typesetting" w:cs="Arabic Typesetting"/>
                <w:i/>
                <w:iCs/>
                <w:color w:val="0000FF"/>
                <w:sz w:val="22"/>
                <w:szCs w:val="22"/>
              </w:rPr>
              <w:t>3,125</w:t>
            </w:r>
          </w:p>
          <w:p w:rsidR="00536221" w:rsidRPr="003624D2" w:rsidRDefault="00536221" w:rsidP="003624D2">
            <w:pPr>
              <w:tabs>
                <w:tab w:val="left" w:pos="346"/>
                <w:tab w:val="left" w:pos="1525"/>
                <w:tab w:val="right" w:pos="2835"/>
              </w:tabs>
              <w:spacing w:line="220" w:lineRule="exact"/>
              <w:rPr>
                <w:rFonts w:ascii="Arabic Typesetting" w:hAnsi="Arabic Typesetting" w:cs="Arabic Typesetting"/>
                <w:sz w:val="22"/>
                <w:szCs w:val="22"/>
              </w:rPr>
            </w:pPr>
          </w:p>
        </w:tc>
        <w:tc>
          <w:tcPr>
            <w:tcW w:w="3041" w:type="dxa"/>
            <w:tcBorders>
              <w:top w:val="nil"/>
              <w:left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1.4</w:t>
            </w:r>
            <w:r w:rsidRPr="003624D2">
              <w:rPr>
                <w:rFonts w:ascii="Arabic Typesetting" w:hAnsi="Arabic Typesetting" w:cs="Arabic Typesetting"/>
                <w:sz w:val="22"/>
                <w:szCs w:val="22"/>
                <w:rtl/>
              </w:rPr>
              <w:t xml:space="preserve"> نظام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محدّث</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ومقبول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عالميا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للتصنيفات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ومعايير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بهدف</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تيسير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النفاذ</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معلومات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واستخدامها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ونشرها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صفوف</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أصحاب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المصلحة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أنحاء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العالم</w:t>
            </w:r>
          </w:p>
          <w:p w:rsidR="00536221" w:rsidRPr="003624D2" w:rsidRDefault="00536221" w:rsidP="003624D2">
            <w:pPr>
              <w:tabs>
                <w:tab w:val="left" w:pos="378"/>
                <w:tab w:val="left" w:pos="2205"/>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7,070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78"/>
                <w:tab w:val="left" w:pos="2205"/>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1,078</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noProof/>
                <w:sz w:val="22"/>
                <w:szCs w:val="22"/>
                <w:lang w:bidi="ar-SA"/>
              </w:rPr>
              <mc:AlternateContent>
                <mc:Choice Requires="wps">
                  <w:drawing>
                    <wp:anchor distT="4294967294" distB="4294967294" distL="114298" distR="114298" simplePos="0" relativeHeight="251658240" behindDoc="0" locked="0" layoutInCell="0" allowOverlap="1" wp14:anchorId="1AB2FDDD" wp14:editId="5FC1C181">
                      <wp:simplePos x="0" y="0"/>
                      <wp:positionH relativeFrom="column">
                        <wp:posOffset>8083549</wp:posOffset>
                      </wp:positionH>
                      <wp:positionV relativeFrom="paragraph">
                        <wp:posOffset>668654</wp:posOffset>
                      </wp:positionV>
                      <wp:extent cx="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5824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" o:allowincell="f">
                      <v:stroke endarrow="block"/>
                    </v:line>
                  </w:pict>
                </mc:Fallback>
              </mc:AlternateContent>
            </w: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2.4</w:t>
            </w:r>
            <w:r w:rsidRPr="003624D2">
              <w:rPr>
                <w:rFonts w:ascii="Arabic Typesetting" w:hAnsi="Arabic Typesetting" w:cs="Arabic Typesetting"/>
                <w:sz w:val="22"/>
                <w:szCs w:val="22"/>
                <w:rtl/>
              </w:rPr>
              <w:t xml:space="preserve"> نفاذ</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محسّن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المعلومات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المتعلقة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واستخدامها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قبل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مؤسسات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والجمهور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لتشجيع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الابتكار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والإبداع</w:t>
            </w:r>
            <w:r w:rsidRPr="003624D2">
              <w:rPr>
                <w:rFonts w:ascii="Arabic Typesetting" w:hAnsi="Arabic Typesetting" w:cs="Arabic Typesetting"/>
                <w:sz w:val="22"/>
                <w:szCs w:val="22"/>
              </w:rPr>
              <w:t xml:space="preserve"> </w:t>
            </w:r>
          </w:p>
          <w:p w:rsidR="00536221" w:rsidRPr="003624D2" w:rsidRDefault="00536221" w:rsidP="003624D2">
            <w:pPr>
              <w:tabs>
                <w:tab w:val="left" w:pos="378"/>
                <w:tab w:val="left" w:pos="2205"/>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22,539 </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366"/>
                <w:tab w:val="left" w:pos="2205"/>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16,937</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3.4</w:t>
            </w:r>
            <w:r w:rsidRPr="003624D2">
              <w:rPr>
                <w:rFonts w:ascii="Arabic Typesetting" w:hAnsi="Arabic Typesetting" w:cs="Arabic Typesetting"/>
                <w:sz w:val="22"/>
                <w:szCs w:val="22"/>
                <w:rtl/>
              </w:rPr>
              <w:t xml:space="preserve"> تغطية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جغرافية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واسعة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لقواعد</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بيانات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العالمية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بشأن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حيث</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المحتوى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والاستخدام</w:t>
            </w:r>
            <w:r w:rsidRPr="003624D2">
              <w:rPr>
                <w:rFonts w:ascii="Arabic Typesetting" w:hAnsi="Arabic Typesetting" w:cs="Arabic Typesetting"/>
                <w:sz w:val="22"/>
                <w:szCs w:val="22"/>
              </w:rPr>
              <w:t xml:space="preserve"> </w:t>
            </w:r>
          </w:p>
          <w:p w:rsidR="00536221" w:rsidRPr="003624D2" w:rsidRDefault="00536221" w:rsidP="003624D2">
            <w:pPr>
              <w:tabs>
                <w:tab w:val="left" w:pos="366"/>
                <w:tab w:val="left" w:pos="2205"/>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1,956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78"/>
                <w:tab w:val="left" w:pos="2347"/>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489</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4.4</w:t>
            </w:r>
            <w:r w:rsidRPr="003624D2">
              <w:rPr>
                <w:rFonts w:ascii="Arabic Typesetting" w:hAnsi="Arabic Typesetting" w:cs="Arabic Typesetting"/>
                <w:sz w:val="22"/>
                <w:szCs w:val="22"/>
                <w:rtl/>
              </w:rPr>
              <w:t xml:space="preserve"> بنية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تحتية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تقنية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ومعرفية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معزّزة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لمكاتب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وسائر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مؤسسات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بما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يؤدي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خدمات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أفضل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بتكلفة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أقل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وسرعة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وجودة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أحسن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لأصحاب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المصلحة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الذين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يتعاملون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ونتائج</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أحسن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لإدارة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p>
          <w:p w:rsidR="00536221" w:rsidRPr="003624D2" w:rsidRDefault="00536221" w:rsidP="003624D2">
            <w:pPr>
              <w:tabs>
                <w:tab w:val="left" w:pos="353"/>
                <w:tab w:val="left" w:pos="2205"/>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15,409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66"/>
                <w:tab w:val="left" w:pos="2205"/>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13,499</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0" w:type="dxa"/>
            <w:tcBorders>
              <w:top w:val="nil"/>
              <w:left w:val="nil"/>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1.5</w:t>
            </w:r>
            <w:r w:rsidRPr="003624D2">
              <w:rPr>
                <w:rFonts w:ascii="Arabic Typesetting" w:hAnsi="Arabic Typesetting" w:cs="Arabic Typesetting"/>
                <w:sz w:val="22"/>
                <w:szCs w:val="22"/>
                <w:rtl/>
              </w:rPr>
              <w:t xml:space="preserve"> استخدام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معلومات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الإحصائية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بشأن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نطاق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أوسع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ونحو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أفضل</w:t>
            </w:r>
            <w:r w:rsidRPr="003624D2">
              <w:rPr>
                <w:rFonts w:ascii="Arabic Typesetting" w:hAnsi="Arabic Typesetting" w:cs="Arabic Typesetting"/>
                <w:sz w:val="22"/>
                <w:szCs w:val="22"/>
              </w:rPr>
              <w:t xml:space="preserve"> </w:t>
            </w:r>
          </w:p>
          <w:p w:rsidR="00536221" w:rsidRPr="003624D2" w:rsidRDefault="00536221" w:rsidP="003624D2">
            <w:pPr>
              <w:tabs>
                <w:tab w:val="left" w:pos="381"/>
                <w:tab w:val="left" w:pos="2221"/>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 xml:space="preserve">2,677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68"/>
                <w:tab w:val="left" w:pos="2221"/>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2.5</w:t>
            </w:r>
            <w:r w:rsidRPr="003624D2">
              <w:rPr>
                <w:rFonts w:ascii="Arabic Typesetting" w:hAnsi="Arabic Typesetting" w:cs="Arabic Typesetting"/>
                <w:sz w:val="22"/>
                <w:szCs w:val="22"/>
                <w:rtl/>
              </w:rPr>
              <w:t xml:space="preserve"> استخدام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تحليلات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الاقتصادية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نطاق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أوسع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ونحو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أفضل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صياغة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السياسات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العامة</w:t>
            </w:r>
            <w:r w:rsidRPr="003624D2">
              <w:rPr>
                <w:rFonts w:ascii="Arabic Typesetting" w:hAnsi="Arabic Typesetting" w:cs="Arabic Typesetting"/>
                <w:sz w:val="22"/>
                <w:szCs w:val="22"/>
              </w:rPr>
              <w:t xml:space="preserve"> </w:t>
            </w:r>
          </w:p>
          <w:p w:rsidR="00536221" w:rsidRPr="003624D2" w:rsidRDefault="00536221" w:rsidP="003624D2">
            <w:pPr>
              <w:tabs>
                <w:tab w:val="left" w:pos="381"/>
                <w:tab w:val="left" w:pos="2221"/>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3,395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81"/>
                <w:tab w:val="left" w:pos="2221"/>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1,525</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left" w:pos="1525"/>
                <w:tab w:val="right" w:pos="2835"/>
              </w:tabs>
              <w:spacing w:line="220" w:lineRule="exact"/>
              <w:rPr>
                <w:rFonts w:ascii="Arabic Typesetting" w:hAnsi="Arabic Typesetting" w:cs="Arabic Typesetting"/>
                <w:color w:val="0000FF"/>
                <w:sz w:val="22"/>
                <w:szCs w:val="22"/>
              </w:rPr>
            </w:pPr>
          </w:p>
        </w:tc>
        <w:tc>
          <w:tcPr>
            <w:tcW w:w="3041" w:type="dxa"/>
            <w:tcBorders>
              <w:top w:val="nil"/>
              <w:left w:val="nil"/>
              <w:right w:val="nil"/>
            </w:tcBorders>
            <w:shd w:val="clear" w:color="auto" w:fill="auto"/>
          </w:tcPr>
          <w:p w:rsidR="00536221" w:rsidRPr="003624D2" w:rsidRDefault="00536221" w:rsidP="003624D2">
            <w:pPr>
              <w:tabs>
                <w:tab w:val="left" w:pos="39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1.6</w:t>
            </w:r>
            <w:r w:rsidRPr="003624D2">
              <w:rPr>
                <w:rFonts w:ascii="Arabic Typesetting" w:hAnsi="Arabic Typesetting" w:cs="Arabic Typesetting"/>
                <w:sz w:val="22"/>
                <w:szCs w:val="22"/>
                <w:rtl/>
              </w:rPr>
              <w:t xml:space="preserve"> تقدّم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الحوار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السياسي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الأعضاء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حول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إذكاء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الاحترام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الاسترشاد</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بالتوصية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رقم</w:t>
            </w:r>
            <w:r w:rsidRPr="003624D2">
              <w:rPr>
                <w:rFonts w:ascii="Arabic Typesetting" w:hAnsi="Arabic Typesetting" w:cs="Arabic Typesetting"/>
                <w:sz w:val="22"/>
                <w:szCs w:val="22"/>
              </w:rPr>
              <w:t xml:space="preserve"> 45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جدول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أعمال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بشأن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التنمية</w:t>
            </w:r>
          </w:p>
          <w:p w:rsidR="00536221" w:rsidRPr="003624D2" w:rsidRDefault="00536221" w:rsidP="003624D2">
            <w:pPr>
              <w:tabs>
                <w:tab w:val="left" w:pos="384"/>
                <w:tab w:val="left" w:pos="223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756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95"/>
                <w:tab w:val="left" w:pos="2237"/>
                <w:tab w:val="right" w:pos="2835"/>
              </w:tabs>
              <w:spacing w:line="220" w:lineRule="exact"/>
              <w:rPr>
                <w:rFonts w:ascii="Arabic Typesetting" w:hAnsi="Arabic Typesetting" w:cs="Arabic Typesetting"/>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507</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2.6</w:t>
            </w:r>
            <w:r w:rsidRPr="003624D2">
              <w:rPr>
                <w:rFonts w:ascii="Arabic Typesetting" w:hAnsi="Arabic Typesetting" w:cs="Arabic Typesetting"/>
                <w:sz w:val="22"/>
                <w:szCs w:val="22"/>
                <w:rtl/>
              </w:rPr>
              <w:t xml:space="preserve"> تعاون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وتنسيق</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نحو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منتظم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وفعال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وشفاف</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عمل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وعمل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المنظمات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الدولية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الأخرى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مجال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إذكاء</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الاحترام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p>
          <w:p w:rsidR="00536221" w:rsidRPr="003624D2" w:rsidRDefault="00536221" w:rsidP="003624D2">
            <w:pPr>
              <w:tabs>
                <w:tab w:val="left" w:pos="397"/>
                <w:tab w:val="left" w:pos="223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 xml:space="preserve">1,308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84"/>
                <w:tab w:val="left" w:pos="2237"/>
                <w:tab w:val="right" w:pos="2835"/>
              </w:tabs>
              <w:spacing w:line="220" w:lineRule="exact"/>
              <w:rPr>
                <w:rFonts w:ascii="Arabic Typesetting" w:hAnsi="Arabic Typesetting" w:cs="Arabic Typesetting"/>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 xml:space="preserve"> 981</w:t>
            </w:r>
            <w:r w:rsidRPr="003624D2">
              <w:rPr>
                <w:rFonts w:ascii="Arabic Typesetting" w:hAnsi="Arabic Typesetting" w:cs="Arabic Typesetting"/>
                <w:i/>
                <w:iCs/>
                <w:color w:val="0000FF"/>
                <w:sz w:val="22"/>
                <w:szCs w:val="22"/>
              </w:rPr>
              <w:tab/>
              <w:t xml:space="preserve">  </w:t>
            </w:r>
          </w:p>
        </w:tc>
        <w:tc>
          <w:tcPr>
            <w:tcW w:w="3044" w:type="dxa"/>
            <w:tcBorders>
              <w:top w:val="nil"/>
              <w:left w:val="nil"/>
              <w:right w:val="single" w:sz="4" w:space="0" w:color="auto"/>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t> </w:t>
            </w:r>
          </w:p>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2.7</w:t>
            </w:r>
            <w:r w:rsidRPr="003624D2">
              <w:rPr>
                <w:rFonts w:ascii="Arabic Typesetting" w:hAnsi="Arabic Typesetting" w:cs="Arabic Typesetting"/>
                <w:sz w:val="22"/>
                <w:szCs w:val="22"/>
                <w:rtl/>
              </w:rPr>
              <w:t xml:space="preserve"> منصات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وأدوات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الملكية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الفكرية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لنقل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المعارف</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وتطويع</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التكنولوجيا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ونشرها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المتقدمة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إلى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النامية،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ولا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سيما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البلدان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الأقل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نموا،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لمواجهة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التحديات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العالمية</w:t>
            </w:r>
            <w:r w:rsidRPr="003624D2">
              <w:rPr>
                <w:rFonts w:ascii="Arabic Typesetting" w:hAnsi="Arabic Typesetting" w:cs="Arabic Typesetting"/>
                <w:sz w:val="22"/>
                <w:szCs w:val="22"/>
              </w:rPr>
              <w:t xml:space="preserve"> </w:t>
            </w:r>
          </w:p>
          <w:p w:rsidR="00536221" w:rsidRPr="003624D2" w:rsidRDefault="00536221" w:rsidP="003624D2">
            <w:pPr>
              <w:tabs>
                <w:tab w:val="left" w:pos="424"/>
                <w:tab w:val="left" w:pos="225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3,950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99"/>
                <w:tab w:val="left" w:pos="2253"/>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3,016</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right" w:pos="2835"/>
              </w:tabs>
              <w:spacing w:line="220" w:lineRule="exact"/>
              <w:rPr>
                <w:rFonts w:ascii="Arabic Typesetting" w:hAnsi="Arabic Typesetting" w:cs="Arabic Typesetting"/>
                <w:sz w:val="22"/>
                <w:szCs w:val="22"/>
              </w:rPr>
            </w:pPr>
          </w:p>
          <w:p w:rsidR="00536221" w:rsidRPr="003624D2" w:rsidRDefault="00536221" w:rsidP="003624D2">
            <w:pPr>
              <w:tabs>
                <w:tab w:val="left" w:pos="424"/>
                <w:tab w:val="left" w:pos="2253"/>
                <w:tab w:val="right" w:pos="2835"/>
              </w:tabs>
              <w:spacing w:line="220" w:lineRule="exact"/>
              <w:rPr>
                <w:rFonts w:ascii="Arabic Typesetting" w:hAnsi="Arabic Typesetting" w:cs="Arabic Typesetting"/>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Pr>
              <w:tab/>
            </w:r>
          </w:p>
        </w:tc>
      </w:tr>
      <w:tr w:rsidR="00536221" w:rsidRPr="007B6191" w:rsidTr="003624D2">
        <w:trPr>
          <w:trHeight w:val="145"/>
        </w:trPr>
        <w:tc>
          <w:tcPr>
            <w:tcW w:w="387" w:type="dxa"/>
            <w:vMerge/>
            <w:tcBorders>
              <w:top w:val="single" w:sz="8" w:space="0" w:color="auto"/>
              <w:left w:val="single" w:sz="8" w:space="0" w:color="auto"/>
              <w:bottom w:val="single" w:sz="4" w:space="0" w:color="000000"/>
              <w:right w:val="nil"/>
            </w:tcBorders>
            <w:vAlign w:val="center"/>
          </w:tcPr>
          <w:p w:rsidR="00536221" w:rsidRPr="007B6191" w:rsidRDefault="00536221" w:rsidP="00A0285D">
            <w:pPr>
              <w:tabs>
                <w:tab w:val="right" w:pos="2835"/>
              </w:tabs>
              <w:spacing w:line="160" w:lineRule="exact"/>
              <w:rPr>
                <w:rFonts w:ascii="Arabic Typesetting" w:hAnsi="Arabic Typesetting" w:cs="Arabic Typesetting"/>
                <w:b/>
                <w:bCs/>
                <w:sz w:val="16"/>
                <w:szCs w:val="16"/>
              </w:rPr>
            </w:pPr>
          </w:p>
        </w:tc>
        <w:tc>
          <w:tcPr>
            <w:tcW w:w="3040" w:type="dxa"/>
            <w:tcBorders>
              <w:top w:val="nil"/>
              <w:left w:val="single" w:sz="4" w:space="0" w:color="auto"/>
              <w:bottom w:val="single" w:sz="4" w:space="0" w:color="auto"/>
              <w:right w:val="nil"/>
            </w:tcBorders>
            <w:shd w:val="clear" w:color="auto" w:fill="auto"/>
          </w:tcPr>
          <w:p w:rsidR="00536221" w:rsidRPr="003624D2" w:rsidRDefault="00536221" w:rsidP="003624D2">
            <w:pPr>
              <w:tabs>
                <w:tab w:val="left" w:pos="215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الأول</w:t>
            </w:r>
            <w:r w:rsidRPr="003624D2">
              <w:rPr>
                <w:rFonts w:ascii="Arabic Typesetting" w:hAnsi="Arabic Typesetting" w:cs="Arabic Typesetting" w:hint="cs"/>
                <w:i/>
                <w:iCs/>
                <w:sz w:val="22"/>
                <w:szCs w:val="22"/>
                <w:rtl/>
              </w:rPr>
              <w:t>:</w:t>
            </w:r>
            <w:r w:rsidRPr="003624D2">
              <w:rPr>
                <w:rFonts w:ascii="Arabic Typesetting" w:hAnsi="Arabic Typesetting" w:cs="Arabic Typesetting"/>
                <w:i/>
                <w:iCs/>
                <w:sz w:val="22"/>
                <w:szCs w:val="22"/>
                <w:rtl/>
              </w:rPr>
              <w:t xml:space="preserve"> </w:t>
            </w:r>
            <w:r w:rsidRPr="003624D2">
              <w:rPr>
                <w:rFonts w:ascii="Arabic Typesetting" w:hAnsi="Arabic Typesetting" w:cs="Arabic Typesetting"/>
                <w:i/>
                <w:iCs/>
                <w:sz w:val="22"/>
                <w:szCs w:val="22"/>
              </w:rPr>
              <w:t>24,762</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215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الأول</w:t>
            </w:r>
            <w:r w:rsidRPr="003624D2">
              <w:rPr>
                <w:rFonts w:ascii="Arabic Typesetting" w:hAnsi="Arabic Typesetting" w:cs="Arabic Typesetting" w:hint="cs"/>
                <w:i/>
                <w:iCs/>
                <w:color w:val="0000FF"/>
                <w:sz w:val="22"/>
                <w:szCs w:val="22"/>
                <w:rtl/>
              </w:rPr>
              <w:t>:</w:t>
            </w:r>
            <w:r w:rsidRPr="003624D2">
              <w:rPr>
                <w:rFonts w:ascii="Arabic Typesetting" w:hAnsi="Arabic Typesetting" w:cs="Arabic Typesetting"/>
                <w:i/>
                <w:iCs/>
                <w:color w:val="0000FF"/>
                <w:sz w:val="22"/>
                <w:szCs w:val="22"/>
                <w:rtl/>
              </w:rPr>
              <w:t xml:space="preserve"> </w:t>
            </w:r>
            <w:r w:rsidRPr="003624D2">
              <w:rPr>
                <w:rFonts w:ascii="Arabic Typesetting" w:hAnsi="Arabic Typesetting" w:cs="Arabic Typesetting"/>
                <w:i/>
                <w:iCs/>
                <w:color w:val="0000FF"/>
                <w:sz w:val="22"/>
                <w:szCs w:val="22"/>
              </w:rPr>
              <w:t>17,005</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r w:rsidRPr="003624D2">
              <w:rPr>
                <w:rFonts w:ascii="Arabic Typesetting" w:hAnsi="Arabic Typesetting" w:cs="Arabic Typesetting"/>
                <w:i/>
                <w:iCs/>
                <w:color w:val="0000FF"/>
                <w:sz w:val="22"/>
                <w:szCs w:val="22"/>
              </w:rPr>
              <w:br/>
            </w:r>
          </w:p>
        </w:tc>
        <w:tc>
          <w:tcPr>
            <w:tcW w:w="3041" w:type="dxa"/>
            <w:tcBorders>
              <w:top w:val="nil"/>
              <w:left w:val="nil"/>
              <w:bottom w:val="single" w:sz="4" w:space="0" w:color="auto"/>
              <w:right w:val="nil"/>
            </w:tcBorders>
            <w:shd w:val="clear" w:color="auto" w:fill="auto"/>
          </w:tcPr>
          <w:p w:rsidR="00536221" w:rsidRPr="003624D2" w:rsidRDefault="00536221" w:rsidP="003624D2">
            <w:pPr>
              <w:tabs>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الثاني</w:t>
            </w:r>
            <w:r w:rsidRPr="003624D2">
              <w:rPr>
                <w:rFonts w:ascii="Arabic Typesetting" w:hAnsi="Arabic Typesetting" w:cs="Arabic Typesetting" w:hint="cs"/>
                <w:i/>
                <w:iCs/>
                <w:sz w:val="22"/>
                <w:szCs w:val="22"/>
                <w:rtl/>
              </w:rPr>
              <w:t>:</w:t>
            </w:r>
            <w:r w:rsidRPr="003624D2">
              <w:rPr>
                <w:rFonts w:ascii="Arabic Typesetting" w:hAnsi="Arabic Typesetting" w:cs="Arabic Typesetting"/>
                <w:i/>
                <w:iCs/>
                <w:sz w:val="22"/>
                <w:szCs w:val="22"/>
                <w:rtl/>
              </w:rPr>
              <w:t xml:space="preserve"> </w:t>
            </w:r>
            <w:r w:rsidRPr="003624D2">
              <w:rPr>
                <w:rFonts w:ascii="Arabic Typesetting" w:hAnsi="Arabic Typesetting" w:cs="Arabic Typesetting"/>
                <w:i/>
                <w:iCs/>
                <w:sz w:val="22"/>
                <w:szCs w:val="22"/>
              </w:rPr>
              <w:t>291,655</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الثاني</w:t>
            </w:r>
            <w:r w:rsidRPr="003624D2">
              <w:rPr>
                <w:rFonts w:ascii="Arabic Typesetting" w:hAnsi="Arabic Typesetting" w:cs="Arabic Typesetting" w:hint="cs"/>
                <w:i/>
                <w:iCs/>
                <w:color w:val="0000FF"/>
                <w:sz w:val="22"/>
                <w:szCs w:val="22"/>
                <w:rtl/>
              </w:rPr>
              <w:t>:</w:t>
            </w:r>
            <w:r w:rsidRPr="003624D2">
              <w:rPr>
                <w:rFonts w:ascii="Arabic Typesetting" w:hAnsi="Arabic Typesetting" w:cs="Arabic Typesetting"/>
                <w:i/>
                <w:iCs/>
                <w:color w:val="0000FF"/>
                <w:sz w:val="22"/>
                <w:szCs w:val="22"/>
                <w:rtl/>
              </w:rPr>
              <w:t xml:space="preserve"> </w:t>
            </w:r>
            <w:r w:rsidR="00D00364" w:rsidRPr="003624D2">
              <w:rPr>
                <w:rFonts w:ascii="Arabic Typesetting" w:hAnsi="Arabic Typesetting" w:cs="Arabic Typesetting"/>
                <w:i/>
                <w:iCs/>
                <w:color w:val="0000FF"/>
                <w:sz w:val="22"/>
                <w:szCs w:val="22"/>
              </w:rPr>
              <w:t>21</w:t>
            </w:r>
            <w:r w:rsidRPr="003624D2">
              <w:rPr>
                <w:rFonts w:ascii="Arabic Typesetting" w:hAnsi="Arabic Typesetting" w:cs="Arabic Typesetting"/>
                <w:i/>
                <w:iCs/>
                <w:color w:val="0000FF"/>
                <w:sz w:val="22"/>
                <w:szCs w:val="22"/>
              </w:rPr>
              <w:t>,</w:t>
            </w:r>
            <w:r w:rsidR="00D00364" w:rsidRPr="003624D2">
              <w:rPr>
                <w:rFonts w:ascii="Arabic Typesetting" w:hAnsi="Arabic Typesetting" w:cs="Arabic Typesetting"/>
                <w:i/>
                <w:iCs/>
                <w:color w:val="0000FF"/>
                <w:sz w:val="22"/>
                <w:szCs w:val="22"/>
              </w:rPr>
              <w:t>527</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t xml:space="preserve"> </w:t>
            </w:r>
          </w:p>
        </w:tc>
        <w:tc>
          <w:tcPr>
            <w:tcW w:w="3042" w:type="dxa"/>
            <w:tcBorders>
              <w:top w:val="nil"/>
              <w:left w:val="nil"/>
              <w:bottom w:val="single" w:sz="4" w:space="0" w:color="auto"/>
              <w:right w:val="nil"/>
            </w:tcBorders>
            <w:shd w:val="clear" w:color="auto" w:fill="auto"/>
          </w:tcPr>
          <w:p w:rsidR="00536221" w:rsidRPr="003624D2" w:rsidRDefault="00536221" w:rsidP="003624D2">
            <w:pPr>
              <w:tabs>
                <w:tab w:val="left" w:pos="2189"/>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الثالث</w:t>
            </w:r>
            <w:r w:rsidRPr="003624D2">
              <w:rPr>
                <w:rFonts w:ascii="Arabic Typesetting" w:hAnsi="Arabic Typesetting" w:cs="Arabic Typesetting" w:hint="cs"/>
                <w:i/>
                <w:iCs/>
                <w:sz w:val="22"/>
                <w:szCs w:val="22"/>
                <w:rtl/>
              </w:rPr>
              <w:t>:</w:t>
            </w:r>
            <w:r w:rsidRPr="003624D2">
              <w:rPr>
                <w:rFonts w:ascii="Arabic Typesetting" w:hAnsi="Arabic Typesetting" w:cs="Arabic Typesetting"/>
                <w:i/>
                <w:iCs/>
                <w:sz w:val="22"/>
                <w:szCs w:val="22"/>
                <w:rtl/>
              </w:rPr>
              <w:t xml:space="preserve"> </w:t>
            </w:r>
            <w:r w:rsidRPr="003624D2">
              <w:rPr>
                <w:rFonts w:ascii="Arabic Typesetting" w:hAnsi="Arabic Typesetting" w:cs="Arabic Typesetting"/>
                <w:i/>
                <w:iCs/>
                <w:sz w:val="22"/>
                <w:szCs w:val="22"/>
              </w:rPr>
              <w:t>63,974</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2189"/>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الثالث</w:t>
            </w:r>
            <w:r w:rsidRPr="003624D2">
              <w:rPr>
                <w:rFonts w:ascii="Arabic Typesetting" w:hAnsi="Arabic Typesetting" w:cs="Arabic Typesetting" w:hint="cs"/>
                <w:i/>
                <w:iCs/>
                <w:color w:val="0000FF"/>
                <w:sz w:val="22"/>
                <w:szCs w:val="22"/>
                <w:rtl/>
              </w:rPr>
              <w:t>:</w:t>
            </w:r>
            <w:r w:rsidRPr="003624D2">
              <w:rPr>
                <w:rFonts w:ascii="Arabic Typesetting" w:hAnsi="Arabic Typesetting" w:cs="Arabic Typesetting"/>
                <w:i/>
                <w:iCs/>
                <w:color w:val="0000FF"/>
                <w:sz w:val="22"/>
                <w:szCs w:val="22"/>
                <w:rtl/>
              </w:rPr>
              <w:t xml:space="preserve"> </w:t>
            </w:r>
            <w:r w:rsidRPr="003624D2">
              <w:rPr>
                <w:rFonts w:ascii="Arabic Typesetting" w:hAnsi="Arabic Typesetting" w:cs="Arabic Typesetting"/>
                <w:i/>
                <w:iCs/>
                <w:color w:val="0000FF"/>
                <w:sz w:val="22"/>
                <w:szCs w:val="22"/>
              </w:rPr>
              <w:t>63,142</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1" w:type="dxa"/>
            <w:tcBorders>
              <w:top w:val="nil"/>
              <w:left w:val="nil"/>
              <w:bottom w:val="single" w:sz="4" w:space="0" w:color="auto"/>
              <w:right w:val="nil"/>
            </w:tcBorders>
            <w:shd w:val="clear" w:color="auto" w:fill="auto"/>
          </w:tcPr>
          <w:p w:rsidR="00536221" w:rsidRPr="003624D2" w:rsidRDefault="00536221" w:rsidP="003624D2">
            <w:pPr>
              <w:tabs>
                <w:tab w:val="left" w:pos="2205"/>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 xml:space="preserve">الرابع: </w:t>
            </w:r>
            <w:r w:rsidRPr="003624D2">
              <w:rPr>
                <w:rFonts w:ascii="Arabic Typesetting" w:hAnsi="Arabic Typesetting" w:cs="Arabic Typesetting"/>
                <w:i/>
                <w:iCs/>
                <w:sz w:val="22"/>
                <w:szCs w:val="22"/>
              </w:rPr>
              <w:t>46,974</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2205"/>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 xml:space="preserve">الرابع: </w:t>
            </w:r>
            <w:r w:rsidRPr="003624D2">
              <w:rPr>
                <w:rFonts w:ascii="Arabic Typesetting" w:hAnsi="Arabic Typesetting" w:cs="Arabic Typesetting"/>
                <w:i/>
                <w:iCs/>
                <w:color w:val="0000FF"/>
                <w:sz w:val="22"/>
                <w:szCs w:val="22"/>
              </w:rPr>
              <w:t>32,003</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tc>
        <w:tc>
          <w:tcPr>
            <w:tcW w:w="3040" w:type="dxa"/>
            <w:tcBorders>
              <w:top w:val="nil"/>
              <w:left w:val="nil"/>
              <w:bottom w:val="single" w:sz="4" w:space="0" w:color="auto"/>
              <w:right w:val="nil"/>
            </w:tcBorders>
            <w:shd w:val="clear" w:color="auto" w:fill="auto"/>
          </w:tcPr>
          <w:p w:rsidR="00536221" w:rsidRPr="003624D2" w:rsidRDefault="00536221" w:rsidP="003624D2">
            <w:pPr>
              <w:tabs>
                <w:tab w:val="left" w:pos="2221"/>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الخامس</w:t>
            </w:r>
            <w:r w:rsidRPr="003624D2">
              <w:rPr>
                <w:rFonts w:ascii="Arabic Typesetting" w:hAnsi="Arabic Typesetting" w:cs="Arabic Typesetting" w:hint="cs"/>
                <w:i/>
                <w:iCs/>
                <w:sz w:val="22"/>
                <w:szCs w:val="22"/>
                <w:rtl/>
              </w:rPr>
              <w:t xml:space="preserve">: </w:t>
            </w:r>
            <w:r w:rsidRPr="003624D2">
              <w:rPr>
                <w:rFonts w:ascii="Arabic Typesetting" w:hAnsi="Arabic Typesetting" w:cs="Arabic Typesetting"/>
                <w:i/>
                <w:iCs/>
                <w:sz w:val="22"/>
                <w:szCs w:val="22"/>
              </w:rPr>
              <w:t>6,072</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2221"/>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الخامس</w:t>
            </w:r>
            <w:r w:rsidRPr="003624D2">
              <w:rPr>
                <w:rFonts w:ascii="Arabic Typesetting" w:hAnsi="Arabic Typesetting" w:cs="Arabic Typesetting" w:hint="cs"/>
                <w:i/>
                <w:iCs/>
                <w:color w:val="0000FF"/>
                <w:sz w:val="22"/>
                <w:szCs w:val="22"/>
                <w:rtl/>
              </w:rPr>
              <w:t xml:space="preserve">: </w:t>
            </w:r>
            <w:r w:rsidRPr="003624D2">
              <w:rPr>
                <w:rFonts w:ascii="Arabic Typesetting" w:hAnsi="Arabic Typesetting" w:cs="Arabic Typesetting"/>
                <w:i/>
                <w:iCs/>
                <w:color w:val="0000FF"/>
                <w:sz w:val="22"/>
                <w:szCs w:val="22"/>
              </w:rPr>
              <w:t>1,525</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tc>
        <w:tc>
          <w:tcPr>
            <w:tcW w:w="3041" w:type="dxa"/>
            <w:tcBorders>
              <w:top w:val="nil"/>
              <w:left w:val="nil"/>
              <w:bottom w:val="single" w:sz="4" w:space="0" w:color="auto"/>
              <w:right w:val="nil"/>
            </w:tcBorders>
            <w:shd w:val="clear" w:color="auto" w:fill="auto"/>
          </w:tcPr>
          <w:p w:rsidR="00536221" w:rsidRPr="003624D2" w:rsidRDefault="00536221" w:rsidP="003624D2">
            <w:pPr>
              <w:tabs>
                <w:tab w:val="left" w:pos="223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السادس</w:t>
            </w:r>
            <w:r w:rsidRPr="003624D2">
              <w:rPr>
                <w:rFonts w:ascii="Arabic Typesetting" w:hAnsi="Arabic Typesetting" w:cs="Arabic Typesetting" w:hint="cs"/>
                <w:i/>
                <w:iCs/>
                <w:sz w:val="22"/>
                <w:szCs w:val="22"/>
                <w:rtl/>
              </w:rPr>
              <w:t xml:space="preserve">: </w:t>
            </w:r>
            <w:r w:rsidRPr="003624D2">
              <w:rPr>
                <w:rFonts w:ascii="Arabic Typesetting" w:hAnsi="Arabic Typesetting" w:cs="Arabic Typesetting"/>
                <w:i/>
                <w:iCs/>
                <w:sz w:val="22"/>
                <w:szCs w:val="22"/>
              </w:rPr>
              <w:t>2,064</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2237"/>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السادس</w:t>
            </w:r>
            <w:r w:rsidRPr="003624D2">
              <w:rPr>
                <w:rFonts w:ascii="Arabic Typesetting" w:hAnsi="Arabic Typesetting" w:cs="Arabic Typesetting" w:hint="cs"/>
                <w:i/>
                <w:iCs/>
                <w:color w:val="0000FF"/>
                <w:sz w:val="22"/>
                <w:szCs w:val="22"/>
                <w:rtl/>
              </w:rPr>
              <w:t xml:space="preserve">: </w:t>
            </w:r>
            <w:r w:rsidRPr="003624D2">
              <w:rPr>
                <w:rFonts w:ascii="Arabic Typesetting" w:hAnsi="Arabic Typesetting" w:cs="Arabic Typesetting"/>
                <w:i/>
                <w:iCs/>
                <w:color w:val="0000FF"/>
                <w:sz w:val="22"/>
                <w:szCs w:val="22"/>
              </w:rPr>
              <w:t>1,488</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4" w:type="dxa"/>
            <w:tcBorders>
              <w:top w:val="nil"/>
              <w:left w:val="nil"/>
              <w:bottom w:val="single" w:sz="4" w:space="0" w:color="auto"/>
              <w:right w:val="single" w:sz="4" w:space="0" w:color="auto"/>
            </w:tcBorders>
            <w:shd w:val="clear" w:color="auto" w:fill="auto"/>
          </w:tcPr>
          <w:p w:rsidR="00536221" w:rsidRPr="003624D2" w:rsidRDefault="00536221" w:rsidP="003624D2">
            <w:pPr>
              <w:tabs>
                <w:tab w:val="left" w:pos="225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السابع</w:t>
            </w:r>
            <w:r w:rsidRPr="003624D2">
              <w:rPr>
                <w:rFonts w:ascii="Arabic Typesetting" w:hAnsi="Arabic Typesetting" w:cs="Arabic Typesetting" w:hint="cs"/>
                <w:i/>
                <w:iCs/>
                <w:sz w:val="22"/>
                <w:szCs w:val="22"/>
                <w:rtl/>
              </w:rPr>
              <w:t xml:space="preserve">: </w:t>
            </w:r>
            <w:r w:rsidRPr="003624D2">
              <w:rPr>
                <w:rFonts w:ascii="Arabic Typesetting" w:hAnsi="Arabic Typesetting" w:cs="Arabic Typesetting"/>
                <w:i/>
                <w:iCs/>
                <w:sz w:val="22"/>
                <w:szCs w:val="22"/>
              </w:rPr>
              <w:t xml:space="preserve"> 3,950</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Default="00536221" w:rsidP="003624D2">
            <w:pPr>
              <w:tabs>
                <w:tab w:val="left" w:pos="2253"/>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السابع</w:t>
            </w:r>
            <w:r w:rsidRPr="003624D2">
              <w:rPr>
                <w:rFonts w:ascii="Arabic Typesetting" w:hAnsi="Arabic Typesetting" w:cs="Arabic Typesetting" w:hint="cs"/>
                <w:i/>
                <w:iCs/>
                <w:color w:val="0000FF"/>
                <w:sz w:val="22"/>
                <w:szCs w:val="22"/>
                <w:rtl/>
              </w:rPr>
              <w:t xml:space="preserve">: </w:t>
            </w:r>
            <w:r w:rsidRPr="003624D2">
              <w:rPr>
                <w:rFonts w:ascii="Arabic Typesetting" w:hAnsi="Arabic Typesetting" w:cs="Arabic Typesetting"/>
                <w:i/>
                <w:iCs/>
                <w:color w:val="0000FF"/>
                <w:sz w:val="22"/>
                <w:szCs w:val="22"/>
              </w:rPr>
              <w:t xml:space="preserve"> 3,016</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p>
          <w:p w:rsidR="003624D2" w:rsidRDefault="003624D2" w:rsidP="003624D2">
            <w:pPr>
              <w:tabs>
                <w:tab w:val="left" w:pos="2253"/>
                <w:tab w:val="right" w:pos="2835"/>
              </w:tabs>
              <w:spacing w:line="220" w:lineRule="exact"/>
              <w:rPr>
                <w:rFonts w:ascii="Arabic Typesetting" w:hAnsi="Arabic Typesetting" w:cs="Arabic Typesetting"/>
                <w:i/>
                <w:iCs/>
                <w:color w:val="0000FF"/>
                <w:sz w:val="22"/>
                <w:szCs w:val="22"/>
              </w:rPr>
            </w:pPr>
          </w:p>
          <w:p w:rsidR="003624D2" w:rsidRDefault="003624D2" w:rsidP="003624D2">
            <w:pPr>
              <w:tabs>
                <w:tab w:val="left" w:pos="2253"/>
                <w:tab w:val="right" w:pos="2835"/>
              </w:tabs>
              <w:spacing w:line="220" w:lineRule="exact"/>
              <w:rPr>
                <w:rFonts w:ascii="Arabic Typesetting" w:hAnsi="Arabic Typesetting" w:cs="Arabic Typesetting"/>
                <w:i/>
                <w:iCs/>
                <w:color w:val="0000FF"/>
                <w:sz w:val="22"/>
                <w:szCs w:val="22"/>
              </w:rPr>
            </w:pPr>
          </w:p>
          <w:p w:rsidR="003624D2" w:rsidRDefault="003624D2" w:rsidP="003624D2">
            <w:pPr>
              <w:tabs>
                <w:tab w:val="left" w:pos="2253"/>
                <w:tab w:val="right" w:pos="2835"/>
              </w:tabs>
              <w:spacing w:line="220" w:lineRule="exact"/>
              <w:rPr>
                <w:rFonts w:ascii="Arabic Typesetting" w:hAnsi="Arabic Typesetting" w:cs="Arabic Typesetting"/>
                <w:i/>
                <w:iCs/>
                <w:color w:val="0000FF"/>
                <w:sz w:val="22"/>
                <w:szCs w:val="22"/>
              </w:rPr>
            </w:pPr>
          </w:p>
          <w:p w:rsidR="003624D2" w:rsidRPr="003624D2" w:rsidRDefault="003624D2" w:rsidP="003624D2">
            <w:pPr>
              <w:tabs>
                <w:tab w:val="left" w:pos="2253"/>
                <w:tab w:val="right" w:pos="2835"/>
              </w:tabs>
              <w:spacing w:line="220" w:lineRule="exact"/>
              <w:rPr>
                <w:rFonts w:ascii="Arabic Typesetting" w:hAnsi="Arabic Typesetting" w:cs="Arabic Typesetting"/>
                <w:i/>
                <w:iCs/>
                <w:color w:val="0000FF"/>
                <w:sz w:val="22"/>
                <w:szCs w:val="22"/>
              </w:rPr>
            </w:pPr>
          </w:p>
        </w:tc>
      </w:tr>
      <w:tr w:rsidR="00536221" w:rsidRPr="007B6191" w:rsidTr="003624D2">
        <w:trPr>
          <w:trHeight w:val="294"/>
        </w:trPr>
        <w:tc>
          <w:tcPr>
            <w:tcW w:w="387" w:type="dxa"/>
            <w:vMerge/>
            <w:tcBorders>
              <w:top w:val="single" w:sz="8" w:space="0" w:color="auto"/>
              <w:left w:val="single" w:sz="8" w:space="0" w:color="auto"/>
              <w:bottom w:val="single" w:sz="4" w:space="0" w:color="000000"/>
              <w:right w:val="nil"/>
            </w:tcBorders>
            <w:vAlign w:val="center"/>
          </w:tcPr>
          <w:p w:rsidR="00536221" w:rsidRPr="007B6191" w:rsidRDefault="00536221" w:rsidP="00A0285D">
            <w:pPr>
              <w:tabs>
                <w:tab w:val="right" w:pos="2835"/>
              </w:tabs>
              <w:spacing w:line="160" w:lineRule="exact"/>
              <w:rPr>
                <w:rFonts w:ascii="Arabic Typesetting" w:hAnsi="Arabic Typesetting" w:cs="Arabic Typesetting"/>
                <w:b/>
                <w:bCs/>
                <w:sz w:val="16"/>
                <w:szCs w:val="16"/>
              </w:rPr>
            </w:pP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536221" w:rsidRPr="003624D2" w:rsidRDefault="00536221" w:rsidP="003624D2">
            <w:pPr>
              <w:keepNext/>
              <w:tabs>
                <w:tab w:val="right" w:pos="2835"/>
              </w:tabs>
              <w:spacing w:line="220" w:lineRule="exact"/>
              <w:jc w:val="center"/>
              <w:rPr>
                <w:rFonts w:ascii="Arabic Typesetting" w:hAnsi="Arabic Typesetting" w:cs="Arabic Typesetting"/>
                <w:b/>
                <w:bCs/>
                <w:sz w:val="22"/>
                <w:szCs w:val="22"/>
              </w:rPr>
            </w:pPr>
            <w:r w:rsidRPr="003624D2">
              <w:rPr>
                <w:rFonts w:ascii="Arabic Typesetting" w:hAnsi="Arabic Typesetting" w:cs="Arabic Typesetting"/>
                <w:b/>
                <w:bCs/>
                <w:sz w:val="22"/>
                <w:szCs w:val="22"/>
                <w:rtl/>
              </w:rPr>
              <w:t>الهدف</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الاستراتيجي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التاسع</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دعم</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إداري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ومالي</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فعال</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لتمكين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الويبو</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من</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تنفيذ</w:t>
            </w:r>
            <w:r w:rsidRPr="003624D2">
              <w:rPr>
                <w:rFonts w:ascii="Arabic Typesetting" w:hAnsi="Arabic Typesetting" w:cs="Arabic Typesetting"/>
                <w:b/>
                <w:bCs/>
                <w:sz w:val="22"/>
                <w:szCs w:val="22"/>
              </w:rPr>
              <w:t xml:space="preserve"> </w:t>
            </w:r>
            <w:r w:rsidRPr="003624D2">
              <w:rPr>
                <w:rFonts w:ascii="Arabic Typesetting" w:hAnsi="Arabic Typesetting" w:cs="Arabic Typesetting"/>
                <w:b/>
                <w:bCs/>
                <w:sz w:val="22"/>
                <w:szCs w:val="22"/>
                <w:rtl/>
              </w:rPr>
              <w:t>برامجها</w:t>
            </w:r>
          </w:p>
        </w:tc>
      </w:tr>
      <w:tr w:rsidR="00536221" w:rsidRPr="007B6191" w:rsidTr="002C3C33">
        <w:trPr>
          <w:trHeight w:val="1695"/>
        </w:trPr>
        <w:tc>
          <w:tcPr>
            <w:tcW w:w="387" w:type="dxa"/>
            <w:vMerge/>
            <w:tcBorders>
              <w:top w:val="single" w:sz="8" w:space="0" w:color="auto"/>
              <w:left w:val="single" w:sz="8" w:space="0" w:color="auto"/>
              <w:bottom w:val="single" w:sz="4" w:space="0" w:color="000000"/>
              <w:right w:val="nil"/>
            </w:tcBorders>
            <w:vAlign w:val="center"/>
          </w:tcPr>
          <w:p w:rsidR="00536221" w:rsidRPr="007B6191" w:rsidRDefault="00536221" w:rsidP="00A0285D">
            <w:pPr>
              <w:tabs>
                <w:tab w:val="right" w:pos="2835"/>
              </w:tabs>
              <w:spacing w:line="160" w:lineRule="exact"/>
              <w:rPr>
                <w:rFonts w:ascii="Arabic Typesetting" w:hAnsi="Arabic Typesetting" w:cs="Arabic Typesetting"/>
                <w:b/>
                <w:bCs/>
                <w:sz w:val="16"/>
                <w:szCs w:val="16"/>
              </w:rPr>
            </w:pPr>
          </w:p>
        </w:tc>
        <w:tc>
          <w:tcPr>
            <w:tcW w:w="3040" w:type="dxa"/>
            <w:tcBorders>
              <w:top w:val="nil"/>
              <w:left w:val="single" w:sz="4" w:space="0" w:color="auto"/>
              <w:bottom w:val="single" w:sz="4" w:space="0" w:color="auto"/>
              <w:right w:val="nil"/>
            </w:tcBorders>
            <w:shd w:val="clear" w:color="auto" w:fill="auto"/>
          </w:tcPr>
          <w:p w:rsidR="00536221" w:rsidRPr="003624D2" w:rsidRDefault="00536221" w:rsidP="003624D2">
            <w:pPr>
              <w:tabs>
                <w:tab w:val="left" w:pos="1525"/>
                <w:tab w:val="right" w:pos="2835"/>
              </w:tabs>
              <w:spacing w:line="220" w:lineRule="exact"/>
              <w:rPr>
                <w:rFonts w:ascii="Arabic Typesetting" w:hAnsi="Arabic Typesetting" w:cs="Arabic Typesetting"/>
                <w:color w:val="0000FF"/>
                <w:sz w:val="22"/>
                <w:szCs w:val="22"/>
              </w:rPr>
            </w:pPr>
            <w:r w:rsidRPr="003624D2">
              <w:rPr>
                <w:rFonts w:ascii="Arabic Typesetting" w:hAnsi="Arabic Typesetting" w:cs="Arabic Typesetting"/>
                <w:sz w:val="22"/>
                <w:szCs w:val="22"/>
              </w:rPr>
              <w:br/>
            </w:r>
          </w:p>
        </w:tc>
        <w:tc>
          <w:tcPr>
            <w:tcW w:w="3041" w:type="dxa"/>
            <w:tcBorders>
              <w:top w:val="nil"/>
              <w:left w:val="nil"/>
              <w:bottom w:val="single" w:sz="4" w:space="0" w:color="auto"/>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1.9</w:t>
            </w:r>
            <w:r w:rsidRPr="003624D2">
              <w:rPr>
                <w:rFonts w:ascii="Arabic Typesetting" w:hAnsi="Arabic Typesetting" w:cs="Arabic Typesetting" w:hint="cs"/>
                <w:sz w:val="22"/>
                <w:szCs w:val="22"/>
                <w:rtl/>
              </w:rPr>
              <w:t xml:space="preserve"> </w:t>
            </w:r>
            <w:r w:rsidRPr="003624D2">
              <w:rPr>
                <w:rFonts w:ascii="Arabic Typesetting" w:hAnsi="Arabic Typesetting" w:cs="Arabic Typesetting"/>
                <w:sz w:val="22"/>
                <w:szCs w:val="22"/>
                <w:rtl/>
              </w:rPr>
              <w:t>خدمات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دعم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موجهة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للزبون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بفعالية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وكفاءة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وجودة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لفائدة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الزبائن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الداخليين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وأصحاب</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المصلحة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الخارجيين</w:t>
            </w:r>
            <w:r w:rsidRPr="003624D2">
              <w:rPr>
                <w:rFonts w:ascii="Arabic Typesetting" w:hAnsi="Arabic Typesetting" w:cs="Arabic Typesetting"/>
                <w:sz w:val="22"/>
                <w:szCs w:val="22"/>
              </w:rPr>
              <w:t xml:space="preserve"> </w:t>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p>
          <w:p w:rsidR="00536221" w:rsidRPr="003624D2" w:rsidRDefault="00536221" w:rsidP="003624D2">
            <w:pPr>
              <w:tabs>
                <w:tab w:val="left" w:pos="335"/>
                <w:tab w:val="left" w:pos="217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sz w:val="22"/>
                <w:szCs w:val="22"/>
              </w:rPr>
              <w:t xml:space="preserve">165,356 </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335"/>
                <w:tab w:val="left" w:pos="1525"/>
                <w:tab w:val="right" w:pos="2835"/>
              </w:tabs>
              <w:spacing w:line="220" w:lineRule="exact"/>
              <w:rPr>
                <w:rFonts w:ascii="Arabic Typesetting" w:hAnsi="Arabic Typesetting" w:cs="Arabic Typesetting"/>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 -</w:t>
            </w:r>
          </w:p>
        </w:tc>
        <w:tc>
          <w:tcPr>
            <w:tcW w:w="3042" w:type="dxa"/>
            <w:tcBorders>
              <w:top w:val="nil"/>
              <w:left w:val="nil"/>
              <w:bottom w:val="single" w:sz="4" w:space="0" w:color="auto"/>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 xml:space="preserve"> 2.9</w:t>
            </w:r>
            <w:r w:rsidRPr="003624D2">
              <w:rPr>
                <w:rFonts w:ascii="Arabic Typesetting" w:hAnsi="Arabic Typesetting" w:cs="Arabic Typesetting"/>
                <w:sz w:val="22"/>
                <w:szCs w:val="22"/>
                <w:rtl/>
              </w:rPr>
              <w:t xml:space="preserve"> أمانة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نبيهة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تعمل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بسلاسة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وموظفون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يعملون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تحت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إدارة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جيّدة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وبمهارات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مناسبة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ويحققون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النتائج</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بكفاءة</w:t>
            </w:r>
            <w:r w:rsidRPr="003624D2">
              <w:rPr>
                <w:rFonts w:ascii="Arabic Typesetting" w:hAnsi="Arabic Typesetting" w:cs="Arabic Typesetting"/>
                <w:sz w:val="22"/>
                <w:szCs w:val="22"/>
              </w:rPr>
              <w:t xml:space="preserve"> </w:t>
            </w:r>
          </w:p>
          <w:p w:rsidR="00536221" w:rsidRPr="003624D2" w:rsidRDefault="00536221" w:rsidP="003624D2">
            <w:pPr>
              <w:tabs>
                <w:tab w:val="left" w:pos="325"/>
                <w:tab w:val="left" w:pos="2189"/>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p>
          <w:p w:rsidR="00536221" w:rsidRPr="003624D2" w:rsidRDefault="00536221" w:rsidP="003624D2">
            <w:pPr>
              <w:tabs>
                <w:tab w:val="left" w:pos="338"/>
                <w:tab w:val="left" w:pos="1525"/>
                <w:tab w:val="right" w:pos="2835"/>
              </w:tabs>
              <w:spacing w:line="220" w:lineRule="exact"/>
              <w:ind w:left="313"/>
              <w:rPr>
                <w:rFonts w:ascii="Arabic Typesetting" w:hAnsi="Arabic Typesetting" w:cs="Arabic Typesetting"/>
                <w:color w:val="0000FF"/>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 xml:space="preserve">35,257 </w:t>
            </w:r>
            <w:r w:rsidRPr="003624D2">
              <w:rPr>
                <w:rFonts w:ascii="Arabic Typesetting" w:hAnsi="Arabic Typesetting" w:cs="Arabic Typesetting" w:hint="cs"/>
                <w:i/>
                <w:iCs/>
                <w:sz w:val="22"/>
                <w:szCs w:val="22"/>
                <w:rtl/>
              </w:rPr>
              <w:br/>
            </w:r>
            <w:r w:rsidRPr="003624D2">
              <w:rPr>
                <w:rFonts w:ascii="Arabic Typesetting" w:hAnsi="Arabic Typesetting" w:cs="Arabic Typesetting"/>
                <w:i/>
                <w:iCs/>
                <w:color w:val="0000FF"/>
                <w:sz w:val="22"/>
                <w:szCs w:val="22"/>
                <w:rtl/>
              </w:rPr>
              <w:t>حصة التنمية: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color w:val="0000FF"/>
                <w:sz w:val="22"/>
                <w:szCs w:val="22"/>
              </w:rPr>
              <w:tab/>
              <w:t xml:space="preserve"> </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tc>
        <w:tc>
          <w:tcPr>
            <w:tcW w:w="3041" w:type="dxa"/>
            <w:tcBorders>
              <w:top w:val="nil"/>
              <w:left w:val="nil"/>
              <w:bottom w:val="single" w:sz="4" w:space="0" w:color="auto"/>
              <w:right w:val="nil"/>
            </w:tcBorders>
            <w:shd w:val="clear" w:color="auto" w:fill="auto"/>
          </w:tcPr>
          <w:p w:rsidR="00536221" w:rsidRPr="003624D2" w:rsidRDefault="00536221" w:rsidP="003624D2">
            <w:pPr>
              <w:tabs>
                <w:tab w:val="left" w:pos="1525"/>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3.9</w:t>
            </w:r>
            <w:r w:rsidRPr="003624D2">
              <w:rPr>
                <w:rFonts w:ascii="Arabic Typesetting" w:hAnsi="Arabic Typesetting" w:cs="Arabic Typesetting"/>
                <w:sz w:val="22"/>
                <w:szCs w:val="22"/>
                <w:rtl/>
              </w:rPr>
              <w:t xml:space="preserve"> بيئة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عمل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داعمة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ومسنودة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بإطار</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تنظيمي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فعال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وقنوات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مناسبة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لمعالجة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مشاغل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الموظفين</w:t>
            </w:r>
          </w:p>
          <w:p w:rsidR="00536221" w:rsidRPr="003624D2" w:rsidRDefault="00536221" w:rsidP="003624D2">
            <w:pPr>
              <w:tabs>
                <w:tab w:val="left" w:pos="378"/>
                <w:tab w:val="left" w:pos="2205"/>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p>
          <w:p w:rsidR="00536221" w:rsidRPr="003624D2" w:rsidRDefault="00536221" w:rsidP="003624D2">
            <w:pPr>
              <w:tabs>
                <w:tab w:val="left" w:pos="378"/>
                <w:tab w:val="left" w:pos="2205"/>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 xml:space="preserve">2,540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66"/>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حصة التنمية: -</w:t>
            </w:r>
          </w:p>
          <w:p w:rsidR="00536221" w:rsidRPr="003624D2" w:rsidRDefault="00536221" w:rsidP="003624D2">
            <w:pPr>
              <w:tabs>
                <w:tab w:val="left" w:pos="1525"/>
                <w:tab w:val="right" w:pos="2835"/>
              </w:tabs>
              <w:spacing w:line="220" w:lineRule="exact"/>
              <w:rPr>
                <w:rFonts w:ascii="Arabic Typesetting" w:hAnsi="Arabic Typesetting" w:cs="Arabic Typesetting"/>
                <w:i/>
                <w:iCs/>
                <w:color w:val="0000FF"/>
                <w:sz w:val="22"/>
                <w:szCs w:val="22"/>
              </w:rPr>
            </w:pPr>
          </w:p>
        </w:tc>
        <w:tc>
          <w:tcPr>
            <w:tcW w:w="3040" w:type="dxa"/>
            <w:tcBorders>
              <w:top w:val="nil"/>
              <w:left w:val="nil"/>
              <w:bottom w:val="single" w:sz="4" w:space="0" w:color="auto"/>
              <w:right w:val="nil"/>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sz w:val="22"/>
                <w:szCs w:val="22"/>
              </w:rPr>
            </w:pPr>
            <w:r w:rsidRPr="003624D2">
              <w:rPr>
                <w:rFonts w:ascii="Arabic Typesetting" w:hAnsi="Arabic Typesetting" w:cs="Arabic Typesetting"/>
                <w:color w:val="999999"/>
                <w:sz w:val="22"/>
                <w:szCs w:val="22"/>
              </w:rPr>
              <w:br/>
            </w: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4.9</w:t>
            </w:r>
            <w:r w:rsidRPr="003624D2">
              <w:rPr>
                <w:rFonts w:ascii="Arabic Typesetting" w:hAnsi="Arabic Typesetting" w:cs="Arabic Typesetting"/>
                <w:sz w:val="22"/>
                <w:szCs w:val="22"/>
                <w:rtl/>
              </w:rPr>
              <w:t xml:space="preserve"> منظمة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ذات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مسؤولية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بيئية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واجتماعية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تكفل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السلامة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والأمن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للموظفين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الويبو</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والمندوبين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والزائرين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والممتلكات</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المادية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والمعلومات</w:t>
            </w:r>
          </w:p>
          <w:p w:rsidR="00536221" w:rsidRPr="003624D2" w:rsidRDefault="00536221" w:rsidP="003624D2">
            <w:pPr>
              <w:tabs>
                <w:tab w:val="left" w:pos="368"/>
                <w:tab w:val="left" w:pos="2221"/>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p>
          <w:p w:rsidR="00536221" w:rsidRPr="003624D2" w:rsidRDefault="00536221" w:rsidP="003624D2">
            <w:pPr>
              <w:tabs>
                <w:tab w:val="left" w:pos="368"/>
                <w:tab w:val="left" w:pos="2221"/>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 xml:space="preserve">18,403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356"/>
                <w:tab w:val="left" w:pos="1525"/>
                <w:tab w:val="right" w:pos="2835"/>
              </w:tabs>
              <w:spacing w:line="220" w:lineRule="exact"/>
              <w:rPr>
                <w:rFonts w:ascii="Arabic Typesetting" w:hAnsi="Arabic Typesetting" w:cs="Arabic Typesetting"/>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r w:rsidRPr="003624D2">
              <w:rPr>
                <w:rFonts w:ascii="Arabic Typesetting" w:hAnsi="Arabic Typesetting" w:cs="Arabic Typesetting"/>
                <w:color w:val="0000FF"/>
                <w:sz w:val="22"/>
                <w:szCs w:val="22"/>
                <w:rtl/>
              </w:rPr>
              <w:t xml:space="preserve">حصة التنمية: </w:t>
            </w:r>
            <w:r w:rsidRPr="003624D2">
              <w:rPr>
                <w:rFonts w:ascii="Arabic Typesetting" w:hAnsi="Arabic Typesetting" w:cs="Arabic Typesetting"/>
                <w:color w:val="0000FF"/>
                <w:sz w:val="22"/>
                <w:szCs w:val="22"/>
              </w:rPr>
              <w:t xml:space="preserve"> - </w:t>
            </w:r>
          </w:p>
          <w:p w:rsidR="00536221" w:rsidRPr="003624D2" w:rsidRDefault="00536221" w:rsidP="003624D2">
            <w:pPr>
              <w:tabs>
                <w:tab w:val="left" w:pos="381"/>
                <w:tab w:val="left" w:pos="1525"/>
                <w:tab w:val="right" w:pos="2835"/>
              </w:tabs>
              <w:spacing w:line="220" w:lineRule="exact"/>
              <w:rPr>
                <w:rFonts w:ascii="Arabic Typesetting" w:hAnsi="Arabic Typesetting" w:cs="Arabic Typesetting"/>
                <w:i/>
                <w:iCs/>
                <w:color w:val="0000FF"/>
                <w:sz w:val="22"/>
                <w:szCs w:val="22"/>
              </w:rPr>
            </w:pPr>
          </w:p>
        </w:tc>
        <w:tc>
          <w:tcPr>
            <w:tcW w:w="3041" w:type="dxa"/>
            <w:tcBorders>
              <w:top w:val="nil"/>
              <w:left w:val="nil"/>
              <w:bottom w:val="single" w:sz="4" w:space="0" w:color="auto"/>
              <w:right w:val="nil"/>
            </w:tcBorders>
            <w:shd w:val="clear" w:color="auto" w:fill="auto"/>
          </w:tcPr>
          <w:p w:rsidR="00536221" w:rsidRPr="003624D2" w:rsidRDefault="00536221" w:rsidP="003624D2">
            <w:pPr>
              <w:tabs>
                <w:tab w:val="left" w:pos="1525"/>
                <w:tab w:val="right" w:pos="2835"/>
              </w:tabs>
              <w:spacing w:line="220" w:lineRule="exact"/>
              <w:rPr>
                <w:rFonts w:ascii="Arabic Typesetting" w:hAnsi="Arabic Typesetting" w:cs="Arabic Typesetting"/>
                <w:i/>
                <w:iCs/>
                <w:color w:val="999999"/>
                <w:sz w:val="22"/>
                <w:szCs w:val="22"/>
              </w:rPr>
            </w:pPr>
          </w:p>
          <w:p w:rsidR="00536221" w:rsidRPr="003624D2" w:rsidRDefault="00536221" w:rsidP="003624D2">
            <w:pPr>
              <w:spacing w:line="220" w:lineRule="exact"/>
              <w:rPr>
                <w:rFonts w:ascii="Arabic Typesetting" w:hAnsi="Arabic Typesetting" w:cs="Arabic Typesetting"/>
                <w:sz w:val="22"/>
                <w:szCs w:val="22"/>
                <w:lang w:eastAsia="zh-CN" w:bidi="th-TH"/>
              </w:rPr>
            </w:pPr>
            <w:r w:rsidRPr="003624D2">
              <w:rPr>
                <w:rFonts w:ascii="Arabic Typesetting" w:hAnsi="Arabic Typesetting" w:cs="Arabic Typesetting"/>
                <w:sz w:val="22"/>
                <w:szCs w:val="22"/>
                <w:rtl/>
              </w:rPr>
              <w:t>ه</w:t>
            </w:r>
            <w:r w:rsidRPr="003624D2">
              <w:rPr>
                <w:rFonts w:ascii="Arabic Typesetting" w:hAnsi="Arabic Typesetting" w:cs="Arabic Typesetting"/>
                <w:sz w:val="22"/>
                <w:szCs w:val="22"/>
              </w:rPr>
              <w:t>8.9</w:t>
            </w:r>
            <w:r w:rsidRPr="003624D2">
              <w:rPr>
                <w:rFonts w:ascii="Arabic Typesetting" w:hAnsi="Arabic Typesetting" w:cs="Arabic Typesetting"/>
                <w:sz w:val="22"/>
                <w:szCs w:val="22"/>
                <w:rtl/>
              </w:rPr>
              <w:t xml:space="preserve"> مستوى</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محسّن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فيما</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يخص</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المساءلة،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والتعلم</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المؤسسي،</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والقيمة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مقابل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والريادة،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والمراقبة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الداخلية،</w:t>
            </w:r>
            <w:r w:rsidRPr="003624D2">
              <w:rPr>
                <w:rFonts w:ascii="Arabic Typesetting" w:hAnsi="Arabic Typesetting" w:cs="Arabic Typesetting"/>
                <w:sz w:val="22"/>
                <w:szCs w:val="22"/>
              </w:rPr>
              <w:t xml:space="preserve"> </w:t>
            </w:r>
            <w:proofErr w:type="spellStart"/>
            <w:r w:rsidRPr="003624D2">
              <w:rPr>
                <w:rFonts w:ascii="Arabic Typesetting" w:hAnsi="Arabic Typesetting" w:cs="Arabic Typesetting"/>
                <w:sz w:val="22"/>
                <w:szCs w:val="22"/>
                <w:rtl/>
              </w:rPr>
              <w:t>والحوكمة</w:t>
            </w:r>
            <w:proofErr w:type="spellEnd"/>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المؤسسية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من</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خلال</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الاستعانة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برقابة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فعالة</w:t>
            </w:r>
            <w:r w:rsidRPr="003624D2">
              <w:rPr>
                <w:rFonts w:ascii="Arabic Typesetting" w:hAnsi="Arabic Typesetting" w:cs="Arabic Typesetting"/>
                <w:sz w:val="22"/>
                <w:szCs w:val="22"/>
              </w:rPr>
              <w:t xml:space="preserve"> </w:t>
            </w:r>
            <w:r w:rsidRPr="003624D2">
              <w:rPr>
                <w:rFonts w:ascii="Arabic Typesetting" w:hAnsi="Arabic Typesetting" w:cs="Arabic Typesetting"/>
                <w:sz w:val="22"/>
                <w:szCs w:val="22"/>
                <w:rtl/>
              </w:rPr>
              <w:t>ومستقلة</w:t>
            </w:r>
          </w:p>
          <w:p w:rsidR="00536221" w:rsidRPr="003624D2" w:rsidRDefault="00536221" w:rsidP="003624D2">
            <w:pPr>
              <w:tabs>
                <w:tab w:val="left" w:pos="412"/>
                <w:tab w:val="left" w:pos="2237"/>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الميزانية المقترحة 16/17: </w:t>
            </w:r>
            <w:r w:rsidRPr="003624D2">
              <w:rPr>
                <w:rFonts w:ascii="Arabic Typesetting" w:hAnsi="Arabic Typesetting" w:cs="Arabic Typesetting"/>
                <w:i/>
                <w:iCs/>
                <w:color w:val="C00000"/>
                <w:sz w:val="22"/>
                <w:szCs w:val="22"/>
              </w:rPr>
              <w:t xml:space="preserve"> </w:t>
            </w:r>
            <w:r w:rsidRPr="003624D2">
              <w:rPr>
                <w:rFonts w:ascii="Arabic Typesetting" w:hAnsi="Arabic Typesetting" w:cs="Arabic Typesetting"/>
                <w:i/>
                <w:iCs/>
                <w:sz w:val="22"/>
                <w:szCs w:val="22"/>
              </w:rPr>
              <w:t xml:space="preserve">7,035 </w:t>
            </w:r>
            <w:r w:rsidRPr="003624D2">
              <w:rPr>
                <w:rFonts w:ascii="Arabic Typesetting" w:hAnsi="Arabic Typesetting" w:cs="Arabic Typesetting"/>
                <w:i/>
                <w:iCs/>
                <w:sz w:val="22"/>
                <w:szCs w:val="22"/>
              </w:rPr>
              <w:tab/>
              <w:t xml:space="preserve"> </w:t>
            </w:r>
            <w:r w:rsidRPr="003624D2">
              <w:rPr>
                <w:rFonts w:ascii="Arabic Typesetting" w:hAnsi="Arabic Typesetting" w:cs="Arabic Typesetting"/>
                <w:i/>
                <w:iCs/>
                <w:sz w:val="22"/>
                <w:szCs w:val="22"/>
              </w:rPr>
              <w:tab/>
            </w:r>
          </w:p>
          <w:p w:rsidR="00536221" w:rsidRPr="003624D2" w:rsidRDefault="00536221" w:rsidP="003624D2">
            <w:pPr>
              <w:tabs>
                <w:tab w:val="left" w:pos="424"/>
                <w:tab w:val="left" w:pos="2237"/>
                <w:tab w:val="right" w:pos="2835"/>
              </w:tabs>
              <w:spacing w:line="220" w:lineRule="exact"/>
              <w:rPr>
                <w:rFonts w:ascii="Arabic Typesetting" w:hAnsi="Arabic Typesetting" w:cs="Arabic Typesetting"/>
                <w:i/>
                <w:iCs/>
                <w:color w:val="0000FF"/>
                <w:sz w:val="22"/>
                <w:szCs w:val="22"/>
              </w:rPr>
            </w:pP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حصة التنمية: </w:t>
            </w:r>
            <w:r w:rsidRPr="003624D2">
              <w:rPr>
                <w:rFonts w:ascii="Arabic Typesetting" w:hAnsi="Arabic Typesetting" w:cs="Arabic Typesetting"/>
                <w:i/>
                <w:iCs/>
                <w:color w:val="0000FF"/>
                <w:sz w:val="22"/>
                <w:szCs w:val="22"/>
              </w:rPr>
              <w:t>963</w:t>
            </w:r>
            <w:r w:rsidRPr="003624D2">
              <w:rPr>
                <w:rFonts w:ascii="Arabic Typesetting" w:hAnsi="Arabic Typesetting" w:cs="Arabic Typesetting"/>
                <w:i/>
                <w:iCs/>
                <w:color w:val="0000FF"/>
                <w:sz w:val="22"/>
                <w:szCs w:val="22"/>
              </w:rPr>
              <w:tab/>
            </w:r>
            <w:r w:rsidRPr="003624D2">
              <w:rPr>
                <w:rFonts w:ascii="Arabic Typesetting" w:hAnsi="Arabic Typesetting" w:cs="Arabic Typesetting"/>
                <w:i/>
                <w:iCs/>
                <w:color w:val="0000FF"/>
                <w:sz w:val="22"/>
                <w:szCs w:val="22"/>
                <w:rtl/>
              </w:rPr>
              <w:t xml:space="preserve"> </w:t>
            </w:r>
          </w:p>
          <w:p w:rsidR="00536221" w:rsidRPr="003624D2" w:rsidRDefault="00536221" w:rsidP="003624D2">
            <w:pPr>
              <w:tabs>
                <w:tab w:val="left" w:pos="397"/>
                <w:tab w:val="right" w:pos="2835"/>
              </w:tabs>
              <w:spacing w:line="220" w:lineRule="exact"/>
              <w:rPr>
                <w:rFonts w:ascii="Arabic Typesetting" w:hAnsi="Arabic Typesetting" w:cs="Arabic Typesetting"/>
                <w:color w:val="0000FF"/>
                <w:sz w:val="22"/>
                <w:szCs w:val="22"/>
              </w:rPr>
            </w:pPr>
          </w:p>
        </w:tc>
        <w:tc>
          <w:tcPr>
            <w:tcW w:w="3044" w:type="dxa"/>
            <w:tcBorders>
              <w:top w:val="nil"/>
              <w:left w:val="nil"/>
              <w:bottom w:val="single" w:sz="4" w:space="0" w:color="auto"/>
              <w:right w:val="single" w:sz="4" w:space="0" w:color="auto"/>
            </w:tcBorders>
            <w:shd w:val="clear" w:color="auto" w:fill="auto"/>
          </w:tcPr>
          <w:p w:rsidR="00536221" w:rsidRPr="003624D2" w:rsidRDefault="00536221" w:rsidP="003624D2">
            <w:pPr>
              <w:tabs>
                <w:tab w:val="right" w:pos="2835"/>
              </w:tabs>
              <w:spacing w:line="220" w:lineRule="exact"/>
              <w:rPr>
                <w:rFonts w:ascii="Arabic Typesetting" w:hAnsi="Arabic Typesetting" w:cs="Arabic Typesetting"/>
                <w:i/>
                <w:iCs/>
                <w:color w:val="999999"/>
                <w:sz w:val="22"/>
                <w:szCs w:val="22"/>
              </w:rPr>
            </w:pPr>
            <w:r w:rsidRPr="003624D2">
              <w:rPr>
                <w:rFonts w:ascii="Arabic Typesetting" w:hAnsi="Arabic Typesetting" w:cs="Arabic Typesetting"/>
                <w:sz w:val="22"/>
                <w:szCs w:val="22"/>
              </w:rPr>
              <w:br/>
            </w:r>
          </w:p>
          <w:p w:rsidR="00536221" w:rsidRPr="003624D2" w:rsidRDefault="00536221" w:rsidP="003624D2">
            <w:pPr>
              <w:tabs>
                <w:tab w:val="left" w:pos="2040"/>
                <w:tab w:val="right" w:pos="2835"/>
              </w:tabs>
              <w:spacing w:line="220" w:lineRule="exact"/>
              <w:rPr>
                <w:rFonts w:ascii="Arabic Typesetting" w:hAnsi="Arabic Typesetting" w:cs="Arabic Typesetting"/>
                <w:i/>
                <w:iCs/>
                <w:sz w:val="22"/>
                <w:szCs w:val="22"/>
              </w:rPr>
            </w:pPr>
          </w:p>
          <w:p w:rsidR="00536221" w:rsidRPr="003624D2" w:rsidRDefault="00536221" w:rsidP="003624D2">
            <w:pPr>
              <w:tabs>
                <w:tab w:val="left" w:pos="2040"/>
                <w:tab w:val="right" w:pos="2835"/>
              </w:tabs>
              <w:spacing w:line="220" w:lineRule="exact"/>
              <w:rPr>
                <w:rFonts w:ascii="Arabic Typesetting" w:hAnsi="Arabic Typesetting" w:cs="Arabic Typesetting"/>
                <w:i/>
                <w:iCs/>
                <w:sz w:val="22"/>
                <w:szCs w:val="22"/>
              </w:rPr>
            </w:pPr>
          </w:p>
          <w:p w:rsidR="00536221" w:rsidRPr="003624D2" w:rsidRDefault="00536221" w:rsidP="003624D2">
            <w:pPr>
              <w:tabs>
                <w:tab w:val="left" w:pos="2253"/>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i/>
                <w:iCs/>
                <w:sz w:val="22"/>
                <w:szCs w:val="22"/>
                <w:rtl/>
              </w:rPr>
              <w:t>مجموع</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الميزانية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المقترحة</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للهدف</w:t>
            </w:r>
            <w:r w:rsidRPr="003624D2">
              <w:rPr>
                <w:rFonts w:ascii="Arabic Typesetting" w:hAnsi="Arabic Typesetting" w:cs="Arabic Typesetting"/>
                <w:i/>
                <w:iCs/>
                <w:sz w:val="22"/>
                <w:szCs w:val="22"/>
              </w:rPr>
              <w:t xml:space="preserve"> </w:t>
            </w:r>
            <w:r w:rsidRPr="003624D2">
              <w:rPr>
                <w:rFonts w:ascii="Arabic Typesetting" w:hAnsi="Arabic Typesetting" w:cs="Arabic Typesetting"/>
                <w:i/>
                <w:iCs/>
                <w:sz w:val="22"/>
                <w:szCs w:val="22"/>
                <w:rtl/>
              </w:rPr>
              <w:t>التاسع</w:t>
            </w:r>
            <w:r w:rsidRPr="003624D2">
              <w:rPr>
                <w:rFonts w:ascii="Arabic Typesetting" w:hAnsi="Arabic Typesetting" w:cs="Arabic Typesetting" w:hint="cs"/>
                <w:i/>
                <w:iCs/>
                <w:sz w:val="22"/>
                <w:szCs w:val="22"/>
                <w:rtl/>
              </w:rPr>
              <w:t xml:space="preserve">: </w:t>
            </w:r>
            <w:r w:rsidRPr="003624D2">
              <w:rPr>
                <w:rFonts w:ascii="Arabic Typesetting" w:hAnsi="Arabic Typesetting" w:cs="Arabic Typesetting"/>
                <w:i/>
                <w:iCs/>
                <w:sz w:val="22"/>
                <w:szCs w:val="22"/>
              </w:rPr>
              <w:t>228,591</w:t>
            </w:r>
            <w:r w:rsidRPr="003624D2">
              <w:rPr>
                <w:rFonts w:ascii="Arabic Typesetting" w:hAnsi="Arabic Typesetting" w:cs="Arabic Typesetting"/>
                <w:i/>
                <w:iCs/>
                <w:sz w:val="22"/>
                <w:szCs w:val="22"/>
              </w:rPr>
              <w:tab/>
            </w:r>
            <w:r w:rsidRPr="003624D2">
              <w:rPr>
                <w:rFonts w:ascii="Arabic Typesetting" w:hAnsi="Arabic Typesetting" w:cs="Arabic Typesetting"/>
                <w:i/>
                <w:iCs/>
                <w:sz w:val="22"/>
                <w:szCs w:val="22"/>
                <w:rtl/>
              </w:rPr>
              <w:t xml:space="preserve"> </w:t>
            </w:r>
          </w:p>
          <w:p w:rsidR="00536221" w:rsidRPr="003624D2" w:rsidRDefault="00536221" w:rsidP="003624D2">
            <w:pPr>
              <w:tabs>
                <w:tab w:val="left" w:pos="2040"/>
                <w:tab w:val="right" w:pos="2835"/>
              </w:tabs>
              <w:spacing w:line="220" w:lineRule="exact"/>
              <w:rPr>
                <w:rFonts w:ascii="Arabic Typesetting" w:hAnsi="Arabic Typesetting" w:cs="Arabic Typesetting"/>
                <w:color w:val="0000FF"/>
                <w:sz w:val="22"/>
                <w:szCs w:val="22"/>
              </w:rPr>
            </w:pPr>
            <w:r w:rsidRPr="003624D2">
              <w:rPr>
                <w:rFonts w:ascii="Arabic Typesetting" w:hAnsi="Arabic Typesetting" w:cs="Arabic Typesetting"/>
                <w:i/>
                <w:iCs/>
                <w:color w:val="0000FF"/>
                <w:sz w:val="22"/>
                <w:szCs w:val="22"/>
                <w:rtl/>
              </w:rPr>
              <w:t>مجموع</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حصة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التنمية</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للهدف</w:t>
            </w:r>
            <w:r w:rsidRPr="003624D2">
              <w:rPr>
                <w:rFonts w:ascii="Arabic Typesetting" w:hAnsi="Arabic Typesetting" w:cs="Arabic Typesetting"/>
                <w:i/>
                <w:iCs/>
                <w:color w:val="0000FF"/>
                <w:sz w:val="22"/>
                <w:szCs w:val="22"/>
              </w:rPr>
              <w:t xml:space="preserve"> </w:t>
            </w:r>
            <w:r w:rsidRPr="003624D2">
              <w:rPr>
                <w:rFonts w:ascii="Arabic Typesetting" w:hAnsi="Arabic Typesetting" w:cs="Arabic Typesetting"/>
                <w:i/>
                <w:iCs/>
                <w:color w:val="0000FF"/>
                <w:sz w:val="22"/>
                <w:szCs w:val="22"/>
                <w:rtl/>
              </w:rPr>
              <w:t>التاسع</w:t>
            </w:r>
            <w:r w:rsidRPr="003624D2">
              <w:rPr>
                <w:rFonts w:ascii="Arabic Typesetting" w:hAnsi="Arabic Typesetting" w:cs="Arabic Typesetting" w:hint="cs"/>
                <w:i/>
                <w:iCs/>
                <w:color w:val="0000FF"/>
                <w:sz w:val="22"/>
                <w:szCs w:val="22"/>
                <w:rtl/>
              </w:rPr>
              <w:t xml:space="preserve">: </w:t>
            </w:r>
            <w:r w:rsidRPr="003624D2">
              <w:rPr>
                <w:rFonts w:ascii="Arabic Typesetting" w:hAnsi="Arabic Typesetting" w:cs="Arabic Typesetting"/>
                <w:i/>
                <w:iCs/>
                <w:color w:val="0000FF"/>
                <w:sz w:val="22"/>
                <w:szCs w:val="22"/>
              </w:rPr>
              <w:t>963</w:t>
            </w:r>
          </w:p>
        </w:tc>
      </w:tr>
      <w:tr w:rsidR="00536221" w:rsidRPr="007B6191" w:rsidTr="002C3C33">
        <w:trPr>
          <w:trHeight w:val="684"/>
        </w:trPr>
        <w:tc>
          <w:tcPr>
            <w:tcW w:w="387" w:type="dxa"/>
            <w:tcBorders>
              <w:top w:val="nil"/>
              <w:left w:val="nil"/>
              <w:bottom w:val="nil"/>
              <w:right w:val="nil"/>
            </w:tcBorders>
            <w:shd w:val="clear" w:color="auto" w:fill="auto"/>
            <w:noWrap/>
            <w:vAlign w:val="bottom"/>
          </w:tcPr>
          <w:p w:rsidR="00536221" w:rsidRPr="007B6191" w:rsidRDefault="00536221" w:rsidP="00A0285D">
            <w:pPr>
              <w:tabs>
                <w:tab w:val="right" w:pos="2835"/>
              </w:tabs>
              <w:spacing w:line="160" w:lineRule="exact"/>
              <w:rPr>
                <w:rFonts w:ascii="Arabic Typesetting" w:hAnsi="Arabic Typesetting" w:cs="Arabic Typesetting"/>
                <w:szCs w:val="20"/>
              </w:rPr>
            </w:pPr>
          </w:p>
        </w:tc>
        <w:tc>
          <w:tcPr>
            <w:tcW w:w="9124" w:type="dxa"/>
            <w:gridSpan w:val="3"/>
            <w:tcBorders>
              <w:top w:val="single" w:sz="4" w:space="0" w:color="auto"/>
              <w:left w:val="nil"/>
              <w:bottom w:val="nil"/>
              <w:right w:val="nil"/>
            </w:tcBorders>
            <w:shd w:val="clear" w:color="auto" w:fill="auto"/>
            <w:vAlign w:val="center"/>
          </w:tcPr>
          <w:p w:rsidR="00536221" w:rsidRPr="003624D2" w:rsidRDefault="00536221" w:rsidP="003624D2">
            <w:pPr>
              <w:tabs>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hint="cs"/>
                <w:i/>
                <w:iCs/>
                <w:sz w:val="22"/>
                <w:szCs w:val="22"/>
                <w:vertAlign w:val="superscript"/>
                <w:rtl/>
              </w:rPr>
              <w:t>1</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الميزانية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المقترحة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بحسب</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النتائج</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تشمل</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الميزانية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المقترحة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للاعتمادات</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غير</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المخصَّصة</w:t>
            </w:r>
            <w:r w:rsidRPr="003624D2">
              <w:rPr>
                <w:rFonts w:ascii="Arabic Typesetting" w:hAnsi="Arabic Typesetting" w:cs="Arabic Typesetting"/>
                <w:i/>
                <w:iCs/>
                <w:sz w:val="22"/>
                <w:szCs w:val="22"/>
                <w:vertAlign w:val="superscript"/>
              </w:rPr>
              <w:t>: 6.319</w:t>
            </w:r>
            <w:r w:rsidRPr="003624D2">
              <w:rPr>
                <w:rFonts w:ascii="Arabic Typesetting" w:hAnsi="Arabic Typesetting" w:cs="Arabic Typesetting"/>
                <w:i/>
                <w:iCs/>
                <w:sz w:val="22"/>
                <w:szCs w:val="22"/>
                <w:vertAlign w:val="superscript"/>
                <w:rtl/>
              </w:rPr>
              <w:t xml:space="preserve"> مليون</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فرنك</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سويسري</w:t>
            </w:r>
            <w:r w:rsidRPr="003624D2">
              <w:rPr>
                <w:rFonts w:ascii="Arabic Typesetting" w:hAnsi="Arabic Typesetting" w:cs="Arabic Typesetting"/>
                <w:i/>
                <w:iCs/>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hint="cs"/>
                <w:i/>
                <w:iCs/>
                <w:sz w:val="22"/>
                <w:szCs w:val="22"/>
                <w:vertAlign w:val="superscript"/>
                <w:rtl/>
              </w:rPr>
              <w:t>2</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حصة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التنمية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يعد</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الإنفاق</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إنفاقا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على</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التنمية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إلا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عندما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يكون</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المستفيد</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بلداً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نامياً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ولا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يكون</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الإنفاق</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المعادل</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متاحاً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للبلدان</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المتقدمة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وفقا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للممارسات</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السابقة،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تُدرج</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البلدان</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المنتقلة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إلى</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نظام</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الاقتصاد</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الحر</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لأغراض</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البرنامج</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والميزانية</w:t>
            </w:r>
            <w:r w:rsidRPr="003624D2">
              <w:rPr>
                <w:rFonts w:ascii="Arabic Typesetting" w:hAnsi="Arabic Typesetting" w:cs="Arabic Typesetting"/>
                <w:i/>
                <w:iCs/>
                <w:sz w:val="22"/>
                <w:szCs w:val="22"/>
                <w:vertAlign w:val="superscript"/>
              </w:rPr>
              <w:t>)</w:t>
            </w:r>
            <w:r w:rsidRPr="003624D2">
              <w:rPr>
                <w:rFonts w:ascii="Arabic Typesetting" w:hAnsi="Arabic Typesetting" w:cs="Arabic Typesetting"/>
                <w:i/>
                <w:iCs/>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hint="cs"/>
                <w:i/>
                <w:iCs/>
                <w:sz w:val="22"/>
                <w:szCs w:val="22"/>
                <w:vertAlign w:val="superscript"/>
                <w:rtl/>
              </w:rPr>
              <w:t>3</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تشمل</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حصة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التنمية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موارد</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مشروعات</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جدول</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أعمال</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التنمية</w:t>
            </w:r>
            <w:r w:rsidRPr="003624D2">
              <w:rPr>
                <w:rFonts w:ascii="Arabic Typesetting" w:hAnsi="Arabic Typesetting" w:cs="Arabic Typesetting"/>
                <w:i/>
                <w:iCs/>
                <w:sz w:val="22"/>
                <w:szCs w:val="22"/>
                <w:rtl/>
              </w:rPr>
              <w:t xml:space="preserve"> </w:t>
            </w:r>
          </w:p>
          <w:p w:rsidR="00536221" w:rsidRPr="003624D2" w:rsidRDefault="00536221" w:rsidP="003624D2">
            <w:pPr>
              <w:tabs>
                <w:tab w:val="right" w:pos="2835"/>
              </w:tabs>
              <w:spacing w:line="220" w:lineRule="exact"/>
              <w:rPr>
                <w:rFonts w:ascii="Arabic Typesetting" w:hAnsi="Arabic Typesetting" w:cs="Arabic Typesetting"/>
                <w:i/>
                <w:iCs/>
                <w:sz w:val="22"/>
                <w:szCs w:val="22"/>
              </w:rPr>
            </w:pPr>
            <w:r w:rsidRPr="003624D2">
              <w:rPr>
                <w:rFonts w:ascii="Arabic Typesetting" w:hAnsi="Arabic Typesetting" w:cs="Arabic Typesetting" w:hint="cs"/>
                <w:i/>
                <w:iCs/>
                <w:sz w:val="22"/>
                <w:szCs w:val="22"/>
                <w:vertAlign w:val="superscript"/>
                <w:rtl/>
              </w:rPr>
              <w:t>4</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أرقام</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قد</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لا</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تضاف</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للميزانية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الإجمالية</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بسبب</w:t>
            </w:r>
            <w:r w:rsidRPr="003624D2">
              <w:rPr>
                <w:rFonts w:ascii="Arabic Typesetting" w:hAnsi="Arabic Typesetting" w:cs="Arabic Typesetting"/>
                <w:i/>
                <w:iCs/>
                <w:sz w:val="22"/>
                <w:szCs w:val="22"/>
                <w:vertAlign w:val="superscript"/>
              </w:rPr>
              <w:t xml:space="preserve"> </w:t>
            </w:r>
            <w:r w:rsidRPr="003624D2">
              <w:rPr>
                <w:rFonts w:ascii="Arabic Typesetting" w:hAnsi="Arabic Typesetting" w:cs="Arabic Typesetting"/>
                <w:i/>
                <w:iCs/>
                <w:sz w:val="22"/>
                <w:szCs w:val="22"/>
                <w:vertAlign w:val="superscript"/>
                <w:rtl/>
              </w:rPr>
              <w:t>التقريب</w:t>
            </w:r>
            <w:r w:rsidRPr="003624D2">
              <w:rPr>
                <w:rFonts w:ascii="Arabic Typesetting" w:hAnsi="Arabic Typesetting" w:cs="Arabic Typesetting"/>
                <w:i/>
                <w:iCs/>
                <w:sz w:val="22"/>
                <w:szCs w:val="22"/>
                <w:rtl/>
              </w:rPr>
              <w:t xml:space="preserve"> </w:t>
            </w:r>
          </w:p>
        </w:tc>
        <w:tc>
          <w:tcPr>
            <w:tcW w:w="3041" w:type="dxa"/>
            <w:tcBorders>
              <w:top w:val="nil"/>
              <w:left w:val="nil"/>
              <w:bottom w:val="nil"/>
              <w:right w:val="nil"/>
            </w:tcBorders>
            <w:shd w:val="clear" w:color="auto" w:fill="auto"/>
            <w:noWrap/>
            <w:vAlign w:val="bottom"/>
          </w:tcPr>
          <w:p w:rsidR="00536221" w:rsidRPr="003624D2" w:rsidRDefault="00536221" w:rsidP="003624D2">
            <w:pPr>
              <w:tabs>
                <w:tab w:val="right" w:pos="2835"/>
              </w:tabs>
              <w:spacing w:line="220" w:lineRule="exact"/>
              <w:rPr>
                <w:rFonts w:ascii="Arabic Typesetting" w:hAnsi="Arabic Typesetting" w:cs="Arabic Typesetting"/>
                <w:sz w:val="22"/>
                <w:szCs w:val="22"/>
              </w:rPr>
            </w:pPr>
          </w:p>
        </w:tc>
        <w:tc>
          <w:tcPr>
            <w:tcW w:w="3040" w:type="dxa"/>
            <w:tcBorders>
              <w:top w:val="nil"/>
              <w:left w:val="nil"/>
              <w:bottom w:val="nil"/>
              <w:right w:val="nil"/>
            </w:tcBorders>
            <w:shd w:val="clear" w:color="auto" w:fill="auto"/>
            <w:noWrap/>
            <w:vAlign w:val="bottom"/>
          </w:tcPr>
          <w:p w:rsidR="00536221" w:rsidRPr="003624D2" w:rsidRDefault="00536221" w:rsidP="003624D2">
            <w:pPr>
              <w:tabs>
                <w:tab w:val="right" w:pos="2835"/>
              </w:tabs>
              <w:spacing w:line="220" w:lineRule="exact"/>
              <w:rPr>
                <w:rFonts w:ascii="Arabic Typesetting" w:hAnsi="Arabic Typesetting" w:cs="Arabic Typesetting"/>
                <w:sz w:val="22"/>
                <w:szCs w:val="22"/>
              </w:rPr>
            </w:pPr>
          </w:p>
        </w:tc>
        <w:tc>
          <w:tcPr>
            <w:tcW w:w="6086" w:type="dxa"/>
            <w:gridSpan w:val="2"/>
            <w:tcBorders>
              <w:top w:val="nil"/>
              <w:left w:val="nil"/>
              <w:bottom w:val="nil"/>
              <w:right w:val="nil"/>
            </w:tcBorders>
            <w:shd w:val="clear" w:color="auto" w:fill="auto"/>
            <w:noWrap/>
          </w:tcPr>
          <w:p w:rsidR="00536221" w:rsidRPr="003624D2" w:rsidRDefault="00536221" w:rsidP="003624D2">
            <w:pPr>
              <w:tabs>
                <w:tab w:val="right" w:pos="2835"/>
              </w:tabs>
              <w:spacing w:line="220" w:lineRule="exact"/>
              <w:rPr>
                <w:rFonts w:ascii="Arabic Typesetting" w:hAnsi="Arabic Typesetting" w:cs="Arabic Typesetting"/>
                <w:b/>
                <w:bCs/>
                <w:i/>
                <w:iCs/>
                <w:sz w:val="22"/>
                <w:szCs w:val="22"/>
              </w:rPr>
            </w:pPr>
          </w:p>
          <w:p w:rsidR="00536221" w:rsidRPr="003624D2" w:rsidRDefault="00536221" w:rsidP="003624D2">
            <w:pPr>
              <w:tabs>
                <w:tab w:val="right" w:pos="2835"/>
              </w:tabs>
              <w:spacing w:line="220" w:lineRule="exact"/>
              <w:rPr>
                <w:rFonts w:ascii="Arabic Typesetting" w:hAnsi="Arabic Typesetting" w:cs="Arabic Typesetting"/>
                <w:b/>
                <w:bCs/>
                <w:i/>
                <w:iCs/>
                <w:sz w:val="22"/>
                <w:szCs w:val="22"/>
              </w:rPr>
            </w:pPr>
            <w:r w:rsidRPr="003624D2">
              <w:rPr>
                <w:rFonts w:ascii="Arabic Typesetting" w:hAnsi="Arabic Typesetting" w:cs="Arabic Typesetting"/>
                <w:b/>
                <w:bCs/>
                <w:i/>
                <w:iCs/>
                <w:sz w:val="22"/>
                <w:szCs w:val="22"/>
                <w:rtl/>
              </w:rPr>
              <w:t>مجموع</w:t>
            </w:r>
            <w:r w:rsidRPr="003624D2">
              <w:rPr>
                <w:rFonts w:ascii="Arabic Typesetting" w:hAnsi="Arabic Typesetting" w:cs="Arabic Typesetting"/>
                <w:b/>
                <w:bCs/>
                <w:i/>
                <w:iCs/>
                <w:sz w:val="22"/>
                <w:szCs w:val="22"/>
              </w:rPr>
              <w:t xml:space="preserve"> </w:t>
            </w:r>
            <w:r w:rsidRPr="003624D2">
              <w:rPr>
                <w:rFonts w:ascii="Arabic Typesetting" w:hAnsi="Arabic Typesetting" w:cs="Arabic Typesetting"/>
                <w:b/>
                <w:bCs/>
                <w:i/>
                <w:iCs/>
                <w:sz w:val="22"/>
                <w:szCs w:val="22"/>
                <w:rtl/>
              </w:rPr>
              <w:t xml:space="preserve">الميزانية المقترحة 16/17: </w:t>
            </w:r>
            <w:r w:rsidRPr="003624D2">
              <w:rPr>
                <w:rFonts w:ascii="Arabic Typesetting" w:hAnsi="Arabic Typesetting" w:cs="Arabic Typesetting"/>
                <w:b/>
                <w:bCs/>
                <w:i/>
                <w:iCs/>
                <w:sz w:val="22"/>
                <w:szCs w:val="22"/>
              </w:rPr>
              <w:t>707,036</w:t>
            </w:r>
            <w:r w:rsidRPr="003624D2">
              <w:rPr>
                <w:rFonts w:ascii="Arabic Typesetting" w:hAnsi="Arabic Typesetting" w:cs="Arabic Typesetting"/>
                <w:b/>
                <w:bCs/>
                <w:i/>
                <w:iCs/>
                <w:sz w:val="22"/>
                <w:szCs w:val="22"/>
              </w:rPr>
              <w:tab/>
            </w:r>
            <w:r w:rsidRPr="003624D2">
              <w:rPr>
                <w:rFonts w:ascii="Arabic Typesetting" w:hAnsi="Arabic Typesetting" w:cs="Arabic Typesetting"/>
                <w:b/>
                <w:bCs/>
                <w:i/>
                <w:iCs/>
                <w:sz w:val="22"/>
                <w:szCs w:val="22"/>
              </w:rPr>
              <w:tab/>
              <w:t xml:space="preserve"> </w:t>
            </w:r>
          </w:p>
          <w:p w:rsidR="00536221" w:rsidRPr="003624D2" w:rsidRDefault="00536221" w:rsidP="003624D2">
            <w:pPr>
              <w:tabs>
                <w:tab w:val="right" w:pos="2663"/>
              </w:tabs>
              <w:spacing w:line="220" w:lineRule="exact"/>
              <w:rPr>
                <w:rFonts w:ascii="Arabic Typesetting" w:hAnsi="Arabic Typesetting" w:cs="Arabic Typesetting"/>
                <w:b/>
                <w:bCs/>
                <w:i/>
                <w:iCs/>
                <w:color w:val="0000FF"/>
                <w:sz w:val="22"/>
                <w:szCs w:val="22"/>
              </w:rPr>
            </w:pPr>
            <w:r w:rsidRPr="003624D2">
              <w:rPr>
                <w:rFonts w:ascii="Arabic Typesetting" w:hAnsi="Arabic Typesetting" w:cs="Arabic Typesetting"/>
                <w:b/>
                <w:bCs/>
                <w:i/>
                <w:iCs/>
                <w:color w:val="0000FF"/>
                <w:sz w:val="22"/>
                <w:szCs w:val="22"/>
                <w:rtl/>
              </w:rPr>
              <w:t>مجموع</w:t>
            </w:r>
            <w:r w:rsidRPr="003624D2">
              <w:rPr>
                <w:rFonts w:ascii="Arabic Typesetting" w:hAnsi="Arabic Typesetting" w:cs="Arabic Typesetting"/>
                <w:b/>
                <w:bCs/>
                <w:i/>
                <w:iCs/>
                <w:color w:val="0000FF"/>
                <w:sz w:val="22"/>
                <w:szCs w:val="22"/>
              </w:rPr>
              <w:t xml:space="preserve"> </w:t>
            </w:r>
            <w:r w:rsidRPr="003624D2">
              <w:rPr>
                <w:rFonts w:ascii="Arabic Typesetting" w:hAnsi="Arabic Typesetting" w:cs="Arabic Typesetting"/>
                <w:b/>
                <w:bCs/>
                <w:i/>
                <w:iCs/>
                <w:color w:val="0000FF"/>
                <w:sz w:val="22"/>
                <w:szCs w:val="22"/>
                <w:rtl/>
              </w:rPr>
              <w:t xml:space="preserve">حصة التنمية: </w:t>
            </w:r>
            <w:r w:rsidRPr="003624D2">
              <w:rPr>
                <w:rFonts w:ascii="Arabic Typesetting" w:hAnsi="Arabic Typesetting" w:cs="Arabic Typesetting"/>
                <w:b/>
                <w:bCs/>
                <w:i/>
                <w:iCs/>
                <w:color w:val="0000FF"/>
                <w:sz w:val="22"/>
                <w:szCs w:val="22"/>
              </w:rPr>
              <w:t xml:space="preserve"> </w:t>
            </w:r>
            <w:r w:rsidR="00D00364" w:rsidRPr="003624D2">
              <w:rPr>
                <w:rFonts w:ascii="Arabic Typesetting" w:hAnsi="Arabic Typesetting" w:cs="Arabic Typesetting"/>
                <w:b/>
                <w:bCs/>
                <w:i/>
                <w:iCs/>
                <w:color w:val="0000FF"/>
                <w:sz w:val="22"/>
                <w:szCs w:val="22"/>
              </w:rPr>
              <w:t>151</w:t>
            </w:r>
            <w:r w:rsidRPr="003624D2">
              <w:rPr>
                <w:rFonts w:ascii="Arabic Typesetting" w:hAnsi="Arabic Typesetting" w:cs="Arabic Typesetting"/>
                <w:b/>
                <w:bCs/>
                <w:i/>
                <w:iCs/>
                <w:color w:val="0000FF"/>
                <w:sz w:val="22"/>
                <w:szCs w:val="22"/>
              </w:rPr>
              <w:t>,</w:t>
            </w:r>
            <w:r w:rsidR="00D00364" w:rsidRPr="003624D2">
              <w:rPr>
                <w:rFonts w:ascii="Arabic Typesetting" w:hAnsi="Arabic Typesetting" w:cs="Arabic Typesetting"/>
                <w:b/>
                <w:bCs/>
                <w:i/>
                <w:iCs/>
                <w:color w:val="0000FF"/>
                <w:sz w:val="22"/>
                <w:szCs w:val="22"/>
              </w:rPr>
              <w:t>500</w:t>
            </w:r>
            <w:r w:rsidRPr="003624D2">
              <w:rPr>
                <w:rFonts w:ascii="Arabic Typesetting" w:hAnsi="Arabic Typesetting" w:cs="Arabic Typesetting"/>
                <w:b/>
                <w:bCs/>
                <w:i/>
                <w:iCs/>
                <w:color w:val="0000FF"/>
                <w:sz w:val="22"/>
                <w:szCs w:val="22"/>
              </w:rPr>
              <w:tab/>
              <w:t xml:space="preserve"> </w:t>
            </w:r>
            <w:r w:rsidRPr="003624D2">
              <w:rPr>
                <w:rFonts w:ascii="Arabic Typesetting" w:hAnsi="Arabic Typesetting" w:cs="Arabic Typesetting"/>
                <w:b/>
                <w:bCs/>
                <w:i/>
                <w:iCs/>
                <w:color w:val="0000FF"/>
                <w:sz w:val="22"/>
                <w:szCs w:val="22"/>
              </w:rPr>
              <w:tab/>
            </w:r>
            <w:r w:rsidRPr="003624D2">
              <w:rPr>
                <w:rFonts w:ascii="Arabic Typesetting" w:hAnsi="Arabic Typesetting" w:cs="Arabic Typesetting"/>
                <w:b/>
                <w:bCs/>
                <w:i/>
                <w:iCs/>
                <w:color w:val="0000FF"/>
                <w:sz w:val="22"/>
                <w:szCs w:val="22"/>
              </w:rPr>
              <w:tab/>
            </w:r>
          </w:p>
        </w:tc>
      </w:tr>
    </w:tbl>
    <w:p w:rsidR="00536221" w:rsidRPr="00536221" w:rsidRDefault="00536221" w:rsidP="00631E8D">
      <w:pPr>
        <w:rPr>
          <w:rFonts w:ascii="Arabic Typesetting" w:hAnsi="Arabic Typesetting" w:cs="Arabic Typesetting"/>
          <w:lang w:eastAsia="da-DK"/>
        </w:rPr>
      </w:pPr>
    </w:p>
    <w:p w:rsidR="003624D2" w:rsidRDefault="003624D2">
      <w:pPr>
        <w:bidi w:val="0"/>
        <w:rPr>
          <w:rFonts w:ascii="Arabic Typesetting" w:hAnsi="Arabic Typesetting" w:cs="Arabic Typesetting"/>
          <w:lang w:val="en-GB" w:eastAsia="da-DK"/>
        </w:rPr>
      </w:pPr>
    </w:p>
    <w:p w:rsidR="003624D2" w:rsidRDefault="003624D2" w:rsidP="003624D2">
      <w:pPr>
        <w:bidi w:val="0"/>
        <w:rPr>
          <w:rFonts w:ascii="Arabic Typesetting" w:hAnsi="Arabic Typesetting" w:cs="Arabic Typesetting"/>
          <w:lang w:val="en-GB" w:eastAsia="da-DK"/>
        </w:rPr>
        <w:sectPr w:rsidR="003624D2" w:rsidSect="00861CFF">
          <w:headerReference w:type="even" r:id="rId32"/>
          <w:pgSz w:w="23814" w:h="16840" w:orient="landscape" w:code="8"/>
          <w:pgMar w:top="709" w:right="851" w:bottom="709" w:left="851" w:header="284" w:footer="851" w:gutter="0"/>
          <w:cols w:space="720"/>
          <w:bidi/>
          <w:rtlGutter/>
        </w:sectPr>
      </w:pPr>
    </w:p>
    <w:p w:rsidR="00B820F9" w:rsidRPr="00411EB2" w:rsidRDefault="00FD38F2" w:rsidP="009738FC">
      <w:pPr>
        <w:pStyle w:val="ARHeading1"/>
        <w:outlineLvl w:val="0"/>
        <w:rPr>
          <w:rtl/>
        </w:rPr>
      </w:pPr>
      <w:bookmarkStart w:id="6" w:name="_Toc420595492"/>
      <w:r w:rsidRPr="00411EB2">
        <w:rPr>
          <w:rtl/>
        </w:rPr>
        <w:lastRenderedPageBreak/>
        <w:t>النتائج والموارد</w:t>
      </w:r>
      <w:bookmarkEnd w:id="6"/>
    </w:p>
    <w:p w:rsidR="00085F1C" w:rsidRPr="00411EB2" w:rsidRDefault="00FD38F2" w:rsidP="00C6479A">
      <w:pPr>
        <w:pStyle w:val="ARNumbered1"/>
        <w:ind w:left="0" w:firstLine="0"/>
      </w:pPr>
      <w:r w:rsidRPr="00411EB2">
        <w:rPr>
          <w:rtl/>
        </w:rPr>
        <w:t xml:space="preserve">يضمن اقتراح الميزانية للثنائية 2016/17 استمرار توزيع موارد المنظمة </w:t>
      </w:r>
      <w:r w:rsidR="00C6479A" w:rsidRPr="00411EB2">
        <w:rPr>
          <w:rtl/>
        </w:rPr>
        <w:t>بما</w:t>
      </w:r>
      <w:r w:rsidRPr="00411EB2">
        <w:rPr>
          <w:rtl/>
        </w:rPr>
        <w:t xml:space="preserve"> </w:t>
      </w:r>
      <w:r w:rsidR="00C6479A" w:rsidRPr="00411EB2">
        <w:rPr>
          <w:rtl/>
        </w:rPr>
        <w:t>يحق</w:t>
      </w:r>
      <w:r w:rsidRPr="00411EB2">
        <w:rPr>
          <w:rtl/>
        </w:rPr>
        <w:t>ق النتائج الأعلى قيمة للدول الأعضاء وأصحاب المصالح. و</w:t>
      </w:r>
      <w:r w:rsidR="00C6479A" w:rsidRPr="00411EB2">
        <w:rPr>
          <w:rtl/>
        </w:rPr>
        <w:t xml:space="preserve">قد </w:t>
      </w:r>
      <w:r w:rsidRPr="00411EB2">
        <w:rPr>
          <w:rtl/>
        </w:rPr>
        <w:t>ح</w:t>
      </w:r>
      <w:r w:rsidR="00C6479A" w:rsidRPr="00411EB2">
        <w:rPr>
          <w:rtl/>
        </w:rPr>
        <w:t>ُ</w:t>
      </w:r>
      <w:r w:rsidRPr="00411EB2">
        <w:rPr>
          <w:rtl/>
        </w:rPr>
        <w:t xml:space="preserve">سب إجمالي النفقات المقترحة للثنائية 2016/17 بمبلغ </w:t>
      </w:r>
      <w:r w:rsidRPr="00411EB2">
        <w:t>707.0</w:t>
      </w:r>
      <w:r w:rsidRPr="00411EB2">
        <w:rPr>
          <w:rtl/>
        </w:rPr>
        <w:t xml:space="preserve"> مليون فرنك سويسري، ما يمثل زيادة بمبلغ 33 مليون فرنك سويسري</w:t>
      </w:r>
      <w:r w:rsidR="00023C04" w:rsidRPr="00411EB2">
        <w:rPr>
          <w:rtl/>
        </w:rPr>
        <w:t>،</w:t>
      </w:r>
      <w:r w:rsidRPr="00411EB2">
        <w:rPr>
          <w:rtl/>
        </w:rPr>
        <w:t xml:space="preserve"> أو بنسبة </w:t>
      </w:r>
      <w:r w:rsidR="00023C04" w:rsidRPr="00411EB2">
        <w:rPr>
          <w:rtl/>
        </w:rPr>
        <w:t>4.9 بالمائة عن ميزانية النفقات المعتم</w:t>
      </w:r>
      <w:r w:rsidRPr="00411EB2">
        <w:rPr>
          <w:rtl/>
        </w:rPr>
        <w:t xml:space="preserve">دة للثنائية 2014/15 وقدرها 674 مليون فرنك سويسري. </w:t>
      </w:r>
      <w:r w:rsidR="00C6479A" w:rsidRPr="00411EB2">
        <w:rPr>
          <w:rtl/>
        </w:rPr>
        <w:t>وينبغي النظر في هذا الأمر في سياق الزيادة المقدرة في الإيرادات بنسبة 6.0 بالمائة عن الميزانية المعتمدة للثنائية 2014/15، ما يبين الجهود التي تبذلها الأمانة لاحتواء التكاليف على الرغم من تزايد الطلبات على الخدمات.</w:t>
      </w:r>
    </w:p>
    <w:p w:rsidR="00C6479A" w:rsidRPr="00411EB2" w:rsidRDefault="00C6479A" w:rsidP="00023C04">
      <w:pPr>
        <w:pStyle w:val="ARNumbered1"/>
        <w:ind w:left="0" w:firstLine="0"/>
        <w:rPr>
          <w:rtl/>
        </w:rPr>
      </w:pPr>
      <w:r w:rsidRPr="00411EB2">
        <w:rPr>
          <w:rtl/>
        </w:rPr>
        <w:t>ويحتوي شكل إطار النتائج على نتائج المنظمة المرتقبة للثنائية 2016/17 وعددها 37 نتيجة</w:t>
      </w:r>
      <w:r w:rsidR="008F35CE" w:rsidRPr="00411EB2">
        <w:rPr>
          <w:rtl/>
        </w:rPr>
        <w:t xml:space="preserve">، وهي </w:t>
      </w:r>
      <w:r w:rsidRPr="00411EB2">
        <w:rPr>
          <w:rtl/>
        </w:rPr>
        <w:t xml:space="preserve">تحتوي على ولايات البرامج المساهمة في تحقيق تلك النتائج. ويحتوي الشكل أيضا على نظرة تقوم على النتائج لميزانية الثنائية 2016/17 وحصة التنمية من الموارد المخصصة لكل نتيجة. وترد أيضا تفاصيل الموارد الخارجة عن الميزانية المحتمل أن تكون متاحة </w:t>
      </w:r>
      <w:r w:rsidR="00023C04" w:rsidRPr="00411EB2">
        <w:rPr>
          <w:rtl/>
        </w:rPr>
        <w:t>ل</w:t>
      </w:r>
      <w:r w:rsidRPr="00411EB2">
        <w:rPr>
          <w:rtl/>
        </w:rPr>
        <w:t xml:space="preserve">كل برنامج </w:t>
      </w:r>
      <w:r w:rsidR="008F35CE" w:rsidRPr="00411EB2">
        <w:rPr>
          <w:rtl/>
        </w:rPr>
        <w:t>على م</w:t>
      </w:r>
      <w:r w:rsidR="00023C04" w:rsidRPr="00411EB2">
        <w:rPr>
          <w:rtl/>
        </w:rPr>
        <w:t>ستوى البرامج وفي المرفق الثامن.</w:t>
      </w:r>
    </w:p>
    <w:p w:rsidR="00FD38F2" w:rsidRPr="00411EB2" w:rsidRDefault="008F35CE" w:rsidP="00B01FA4">
      <w:pPr>
        <w:pStyle w:val="ARNumbered1"/>
        <w:ind w:left="0" w:firstLine="0"/>
      </w:pPr>
      <w:r w:rsidRPr="00411EB2">
        <w:rPr>
          <w:rtl/>
        </w:rPr>
        <w:t>ويحتوي الجدولان 4 و5 أدناه على ملخص ميزانية الثنائية 2016/17 بحسب البرنامج وبحسب فئة التكاليف. ولا يزال هيكل البرامج لم يتغير من الثنائية 2014/15، فيما عدا: "1" البرنامج 29 (قاعة المؤت</w:t>
      </w:r>
      <w:r w:rsidR="00023C04" w:rsidRPr="00411EB2">
        <w:rPr>
          <w:rtl/>
        </w:rPr>
        <w:t>مرات الجديدة) الذي لم يعد لازما</w:t>
      </w:r>
      <w:r w:rsidRPr="00411EB2">
        <w:rPr>
          <w:rtl/>
        </w:rPr>
        <w:t xml:space="preserve"> في الثنائية 2016/17 بعد استكمال البناء، "2" والبرنامج 28 الذي يشمل الآن تأمين المعلومات</w:t>
      </w:r>
      <w:r w:rsidR="00B01FA4" w:rsidRPr="00411EB2">
        <w:rPr>
          <w:rtl/>
        </w:rPr>
        <w:t xml:space="preserve"> (منقول</w:t>
      </w:r>
      <w:r w:rsidRPr="00411EB2">
        <w:rPr>
          <w:rtl/>
        </w:rPr>
        <w:t xml:space="preserve"> من البرنامج 25 (تكنولوجيا المعلومات والاتصالات)) فضلا عن السلامة والأمن. ويحتوي المرفق الأول على مقارنة بين الميزانية بحسب </w:t>
      </w:r>
      <w:r w:rsidR="00B01FA4" w:rsidRPr="00411EB2">
        <w:rPr>
          <w:rtl/>
        </w:rPr>
        <w:t>البرنامج</w:t>
      </w:r>
      <w:r w:rsidRPr="00411EB2">
        <w:rPr>
          <w:rtl/>
        </w:rPr>
        <w:t xml:space="preserve"> للثنائية 2016/17 والميزانية المعتمدة للثنائية 2014/15 والميزانية بعد التحويلات. ويحتوي الجدول 13 الوارد في المرفق الثالث على ميزانية الثنائية 2016/17 بحسب البرنامج والاتحاد.</w:t>
      </w:r>
    </w:p>
    <w:p w:rsidR="008F35CE" w:rsidRPr="00411EB2" w:rsidRDefault="008F35CE" w:rsidP="00B01FA4">
      <w:pPr>
        <w:pStyle w:val="ARNumbered1"/>
        <w:ind w:left="0" w:firstLine="0"/>
      </w:pPr>
      <w:r w:rsidRPr="00411EB2">
        <w:rPr>
          <w:rtl/>
        </w:rPr>
        <w:t xml:space="preserve">وتُعد الميزانية على أساس </w:t>
      </w:r>
      <w:r w:rsidR="00967B32" w:rsidRPr="00411EB2">
        <w:rPr>
          <w:rtl/>
        </w:rPr>
        <w:t>الاستح</w:t>
      </w:r>
      <w:r w:rsidR="003F6DC0" w:rsidRPr="00411EB2">
        <w:rPr>
          <w:rtl/>
        </w:rPr>
        <w:t>قاق</w:t>
      </w:r>
      <w:r w:rsidR="00577D82" w:rsidRPr="00411EB2">
        <w:rPr>
          <w:rtl/>
        </w:rPr>
        <w:t xml:space="preserve"> المعد</w:t>
      </w:r>
      <w:r w:rsidR="003F6DC0" w:rsidRPr="00411EB2">
        <w:rPr>
          <w:rtl/>
        </w:rPr>
        <w:t>ّ</w:t>
      </w:r>
      <w:r w:rsidR="00577D82" w:rsidRPr="00411EB2">
        <w:rPr>
          <w:rtl/>
        </w:rPr>
        <w:t>ل</w:t>
      </w:r>
      <w:r w:rsidR="003F6DC0" w:rsidRPr="00411EB2">
        <w:rPr>
          <w:rStyle w:val="FootnoteReference"/>
          <w:rFonts w:cs="Arabic Typesetting"/>
          <w:rtl/>
        </w:rPr>
        <w:footnoteReference w:id="5"/>
      </w:r>
      <w:r w:rsidR="00577D82" w:rsidRPr="00411EB2">
        <w:rPr>
          <w:rtl/>
        </w:rPr>
        <w:t xml:space="preserve"> وفقا </w:t>
      </w:r>
      <w:r w:rsidR="00967B32" w:rsidRPr="00411EB2">
        <w:rPr>
          <w:rtl/>
        </w:rPr>
        <w:t>ل</w:t>
      </w:r>
      <w:r w:rsidR="00577D82" w:rsidRPr="00411EB2">
        <w:rPr>
          <w:rtl/>
        </w:rPr>
        <w:t xml:space="preserve">نظام المنظمة المالي ولائحته. ولا تزال ميزانية الويبو التي ستعرض على الجمعيات لتعتمدها تعد كل سنتين، كما يتطلب شرط إعداد التقارير سنويا </w:t>
      </w:r>
      <w:r w:rsidR="00B01FA4" w:rsidRPr="00411EB2">
        <w:rPr>
          <w:rtl/>
        </w:rPr>
        <w:t xml:space="preserve">عن البيانات المالية للمنظمة </w:t>
      </w:r>
      <w:r w:rsidR="00577D82" w:rsidRPr="00411EB2">
        <w:rPr>
          <w:rtl/>
        </w:rPr>
        <w:t xml:space="preserve">بناء </w:t>
      </w:r>
      <w:r w:rsidR="00967B32" w:rsidRPr="00411EB2">
        <w:rPr>
          <w:rtl/>
        </w:rPr>
        <w:t xml:space="preserve">على </w:t>
      </w:r>
      <w:r w:rsidR="00577D82" w:rsidRPr="00411EB2">
        <w:rPr>
          <w:rtl/>
        </w:rPr>
        <w:t>المعايير المحاسبية الدولية للقطاع العام أن تعرض المنظمة ميزانيتها سنويا. ولهذا الغرض ترد أرقام الميزانية السنوية للإيرادات والنفقات في المرفق التاسع لهذه الوثيقة.</w:t>
      </w:r>
    </w:p>
    <w:p w:rsidR="00577D82" w:rsidRPr="00411EB2" w:rsidRDefault="00577D82" w:rsidP="00B01FA4">
      <w:pPr>
        <w:pStyle w:val="ARNumbered1"/>
        <w:keepNext/>
        <w:numPr>
          <w:ilvl w:val="0"/>
          <w:numId w:val="0"/>
        </w:numPr>
        <w:tabs>
          <w:tab w:val="left" w:pos="1232"/>
          <w:tab w:val="center" w:pos="4677"/>
        </w:tabs>
        <w:spacing w:after="0"/>
        <w:jc w:val="center"/>
        <w:rPr>
          <w:b/>
          <w:bCs/>
          <w:rtl/>
        </w:rPr>
      </w:pPr>
      <w:r w:rsidRPr="00411EB2">
        <w:rPr>
          <w:b/>
          <w:bCs/>
          <w:rtl/>
        </w:rPr>
        <w:lastRenderedPageBreak/>
        <w:t>الجدول 4. اقتراح الميزانية بحسب البرامج للثنائية 2016/17</w:t>
      </w:r>
    </w:p>
    <w:p w:rsidR="00577D82" w:rsidRPr="00411EB2" w:rsidRDefault="00577D82" w:rsidP="00B01FA4">
      <w:pPr>
        <w:pStyle w:val="ARNumbered1"/>
        <w:keepNext/>
        <w:numPr>
          <w:ilvl w:val="0"/>
          <w:numId w:val="0"/>
        </w:numPr>
        <w:spacing w:after="240"/>
        <w:jc w:val="center"/>
        <w:rPr>
          <w:i/>
          <w:iCs/>
          <w:rtl/>
        </w:rPr>
      </w:pPr>
      <w:r w:rsidRPr="00411EB2">
        <w:rPr>
          <w:i/>
          <w:iCs/>
          <w:rtl/>
        </w:rPr>
        <w:t>(بآلاف الفرنكات السويسرية)</w:t>
      </w:r>
    </w:p>
    <w:p w:rsidR="00577D82" w:rsidRPr="00411EB2" w:rsidRDefault="00D7216C" w:rsidP="00C165C7">
      <w:pPr>
        <w:pStyle w:val="ARNumbered1"/>
        <w:numPr>
          <w:ilvl w:val="0"/>
          <w:numId w:val="0"/>
        </w:numPr>
        <w:spacing w:line="240" w:lineRule="auto"/>
        <w:jc w:val="center"/>
      </w:pPr>
      <w:r w:rsidRPr="00D7216C">
        <w:rPr>
          <w:noProof/>
          <w:rtl/>
          <w:lang w:val="en-US" w:bidi="ar-SA"/>
        </w:rPr>
        <w:drawing>
          <wp:inline distT="0" distB="0" distL="0" distR="0" wp14:anchorId="272950E0" wp14:editId="77106123">
            <wp:extent cx="5443768" cy="5701706"/>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8989" cy="5707174"/>
                    </a:xfrm>
                    <a:prstGeom prst="rect">
                      <a:avLst/>
                    </a:prstGeom>
                    <a:noFill/>
                    <a:ln>
                      <a:noFill/>
                    </a:ln>
                  </pic:spPr>
                </pic:pic>
              </a:graphicData>
            </a:graphic>
          </wp:inline>
        </w:drawing>
      </w:r>
    </w:p>
    <w:p w:rsidR="0050039D" w:rsidRPr="00411EB2" w:rsidRDefault="00C165C7" w:rsidP="00D937D7">
      <w:pPr>
        <w:pStyle w:val="ARNumbered1"/>
        <w:keepNext/>
        <w:numPr>
          <w:ilvl w:val="0"/>
          <w:numId w:val="0"/>
        </w:numPr>
        <w:spacing w:before="240"/>
        <w:rPr>
          <w:b/>
          <w:bCs/>
        </w:rPr>
      </w:pPr>
      <w:r w:rsidRPr="00411EB2">
        <w:rPr>
          <w:b/>
          <w:bCs/>
          <w:rtl/>
        </w:rPr>
        <w:t>الأولويات الرئيسية خلال الثنائية</w:t>
      </w:r>
    </w:p>
    <w:p w:rsidR="00C165C7" w:rsidRPr="00D937D7" w:rsidRDefault="00D41B64" w:rsidP="00B01FA4">
      <w:pPr>
        <w:pStyle w:val="ARNumbered1"/>
        <w:ind w:left="0" w:firstLine="0"/>
      </w:pPr>
      <w:r w:rsidRPr="00D937D7">
        <w:rPr>
          <w:rtl/>
        </w:rPr>
        <w:t xml:space="preserve">لا </w:t>
      </w:r>
      <w:r w:rsidR="008945F0" w:rsidRPr="00D937D7">
        <w:rPr>
          <w:rtl/>
        </w:rPr>
        <w:t>ي</w:t>
      </w:r>
      <w:r w:rsidRPr="00D937D7">
        <w:rPr>
          <w:rtl/>
        </w:rPr>
        <w:t xml:space="preserve">زال من الأولويات الرئيسية للثنائية 2016/17، ضمان </w:t>
      </w:r>
      <w:r w:rsidR="008B1AB2" w:rsidRPr="00D937D7">
        <w:rPr>
          <w:rtl/>
        </w:rPr>
        <w:t xml:space="preserve">استخدام الخدمات التي تقدمها أنظمة الويبو العالمية للتسجيل، وخاصة </w:t>
      </w:r>
      <w:r w:rsidR="00B01FA4" w:rsidRPr="00D937D7">
        <w:rPr>
          <w:rtl/>
        </w:rPr>
        <w:t>أنظمة</w:t>
      </w:r>
      <w:r w:rsidR="008B1AB2" w:rsidRPr="00D937D7">
        <w:rPr>
          <w:rtl/>
        </w:rPr>
        <w:t xml:space="preserve"> معاهدة التعاون بشأن البراءات </w:t>
      </w:r>
      <w:r w:rsidR="00B01FA4" w:rsidRPr="00D937D7">
        <w:rPr>
          <w:rtl/>
        </w:rPr>
        <w:t>و</w:t>
      </w:r>
      <w:r w:rsidR="008B1AB2" w:rsidRPr="00D937D7">
        <w:rPr>
          <w:rtl/>
        </w:rPr>
        <w:t xml:space="preserve">مدريد </w:t>
      </w:r>
      <w:r w:rsidR="00B01FA4" w:rsidRPr="00D937D7">
        <w:rPr>
          <w:rtl/>
        </w:rPr>
        <w:t>و</w:t>
      </w:r>
      <w:r w:rsidR="008B1AB2" w:rsidRPr="00D937D7">
        <w:rPr>
          <w:rtl/>
        </w:rPr>
        <w:t>لاهاي، على نطاق أوسع وبفعالية أكبر</w:t>
      </w:r>
      <w:r w:rsidRPr="00D937D7">
        <w:rPr>
          <w:rtl/>
        </w:rPr>
        <w:t xml:space="preserve">. </w:t>
      </w:r>
      <w:r w:rsidR="00217167" w:rsidRPr="00D937D7">
        <w:rPr>
          <w:rtl/>
        </w:rPr>
        <w:t xml:space="preserve">وبما أن </w:t>
      </w:r>
      <w:r w:rsidR="008B1AB2" w:rsidRPr="00D937D7">
        <w:rPr>
          <w:rtl/>
        </w:rPr>
        <w:t>تزويد</w:t>
      </w:r>
      <w:r w:rsidR="00217167" w:rsidRPr="00D937D7">
        <w:rPr>
          <w:rtl/>
        </w:rPr>
        <w:t xml:space="preserve"> </w:t>
      </w:r>
      <w:r w:rsidR="008B1AB2" w:rsidRPr="00D937D7">
        <w:rPr>
          <w:rtl/>
        </w:rPr>
        <w:t>ا</w:t>
      </w:r>
      <w:r w:rsidR="00217167" w:rsidRPr="00D937D7">
        <w:rPr>
          <w:rtl/>
        </w:rPr>
        <w:t>لبرامج التي تقدم خدمات التسجيل</w:t>
      </w:r>
      <w:r w:rsidR="009963E2" w:rsidRPr="00D937D7">
        <w:rPr>
          <w:rtl/>
        </w:rPr>
        <w:t xml:space="preserve"> بالموارد</w:t>
      </w:r>
      <w:r w:rsidR="00217167" w:rsidRPr="00D937D7">
        <w:rPr>
          <w:rtl/>
        </w:rPr>
        <w:t xml:space="preserve"> </w:t>
      </w:r>
      <w:r w:rsidR="008B1AB2" w:rsidRPr="00D937D7">
        <w:rPr>
          <w:rtl/>
        </w:rPr>
        <w:t xml:space="preserve">على نحو مناسب وملائم </w:t>
      </w:r>
      <w:r w:rsidR="00B01FA4" w:rsidRPr="00D937D7">
        <w:rPr>
          <w:rtl/>
        </w:rPr>
        <w:t>هو</w:t>
      </w:r>
      <w:r w:rsidR="009963E2" w:rsidRPr="00D937D7">
        <w:rPr>
          <w:rtl/>
        </w:rPr>
        <w:t xml:space="preserve"> الأساس الرئيسي لا</w:t>
      </w:r>
      <w:r w:rsidR="00217167" w:rsidRPr="00D937D7">
        <w:rPr>
          <w:rtl/>
        </w:rPr>
        <w:t xml:space="preserve">ستدامة </w:t>
      </w:r>
      <w:r w:rsidR="008B1AB2" w:rsidRPr="00D937D7">
        <w:rPr>
          <w:rtl/>
        </w:rPr>
        <w:t>المنظمة ماليا</w:t>
      </w:r>
      <w:r w:rsidR="00217167" w:rsidRPr="00D937D7">
        <w:rPr>
          <w:rtl/>
        </w:rPr>
        <w:t xml:space="preserve"> على الأجل الطويل، فإنه أمر حاسم لضمان أن </w:t>
      </w:r>
      <w:r w:rsidR="009963E2" w:rsidRPr="00D937D7">
        <w:rPr>
          <w:rtl/>
        </w:rPr>
        <w:t xml:space="preserve">تفي </w:t>
      </w:r>
      <w:r w:rsidR="00217167" w:rsidRPr="00D937D7">
        <w:rPr>
          <w:rtl/>
        </w:rPr>
        <w:t xml:space="preserve">الويبو </w:t>
      </w:r>
      <w:r w:rsidR="009963E2" w:rsidRPr="00D937D7">
        <w:rPr>
          <w:rtl/>
        </w:rPr>
        <w:t>ب</w:t>
      </w:r>
      <w:r w:rsidR="00217167" w:rsidRPr="00D937D7">
        <w:rPr>
          <w:rtl/>
        </w:rPr>
        <w:t>التزاماتها بموجب المعاهدات وأنها لا تزال تبعث على الرضا لدى المود</w:t>
      </w:r>
      <w:r w:rsidR="009963E2" w:rsidRPr="00D937D7">
        <w:rPr>
          <w:rtl/>
        </w:rPr>
        <w:t xml:space="preserve">عين من خلال تقديم خدمات </w:t>
      </w:r>
      <w:r w:rsidR="00217167" w:rsidRPr="00D937D7">
        <w:rPr>
          <w:rtl/>
        </w:rPr>
        <w:t xml:space="preserve">عالية الجودة، ما سيقتضي مواجهة تحديات تغير التأليف الجغرافي للطلب على هذه الخدمات، بما في ذلك شروط المهارات اللغوية المرتبطة بذلك والعضوية السريعة التوسع في نظامي مدريد ولاهاي على وجه الخصوص. </w:t>
      </w:r>
      <w:r w:rsidR="00B01FA4" w:rsidRPr="00D937D7">
        <w:rPr>
          <w:rtl/>
        </w:rPr>
        <w:t>وستظل</w:t>
      </w:r>
      <w:r w:rsidR="00217167" w:rsidRPr="00D937D7">
        <w:rPr>
          <w:rtl/>
        </w:rPr>
        <w:t xml:space="preserve"> الفعالية التشغيلية لأنظمة التسجيل أيضا من الأولويات، مع استمرار مضي المنظمة قدما نحو إرساء بيئة مؤتمتة تماما لأنظمة معاهدة التعاون بشأن البراءات ومدريد ولاهاي.</w:t>
      </w:r>
    </w:p>
    <w:p w:rsidR="00C165C7" w:rsidRPr="00411EB2" w:rsidRDefault="00482D2C" w:rsidP="00D60389">
      <w:pPr>
        <w:pStyle w:val="ARNumbered1"/>
        <w:numPr>
          <w:ilvl w:val="0"/>
          <w:numId w:val="7"/>
        </w:numPr>
        <w:rPr>
          <w:i/>
          <w:iCs/>
        </w:rPr>
      </w:pPr>
      <w:r w:rsidRPr="00411EB2">
        <w:rPr>
          <w:i/>
          <w:iCs/>
          <w:rtl/>
        </w:rPr>
        <w:lastRenderedPageBreak/>
        <w:t>يرد</w:t>
      </w:r>
      <w:r w:rsidR="00C41F89" w:rsidRPr="00411EB2">
        <w:rPr>
          <w:i/>
          <w:iCs/>
          <w:rtl/>
        </w:rPr>
        <w:t xml:space="preserve"> </w:t>
      </w:r>
      <w:r w:rsidRPr="00411EB2">
        <w:rPr>
          <w:i/>
          <w:iCs/>
          <w:rtl/>
        </w:rPr>
        <w:t xml:space="preserve">إجمالي الموارد </w:t>
      </w:r>
      <w:r w:rsidR="004F5FD1" w:rsidRPr="00411EB2">
        <w:rPr>
          <w:i/>
          <w:iCs/>
          <w:rtl/>
        </w:rPr>
        <w:t xml:space="preserve">المرتبطة بذلك </w:t>
      </w:r>
      <w:r w:rsidRPr="00411EB2">
        <w:rPr>
          <w:i/>
          <w:iCs/>
          <w:rtl/>
        </w:rPr>
        <w:t xml:space="preserve">لنظام لاهاي في البرنامج 31 (نظام لاهاي)، </w:t>
      </w:r>
      <w:r w:rsidR="00C41F89" w:rsidRPr="00411EB2">
        <w:rPr>
          <w:i/>
          <w:iCs/>
          <w:rtl/>
        </w:rPr>
        <w:t xml:space="preserve">في حين ترد الزيادات </w:t>
      </w:r>
      <w:r w:rsidR="004F5FD1" w:rsidRPr="00411EB2">
        <w:rPr>
          <w:i/>
          <w:iCs/>
          <w:rtl/>
        </w:rPr>
        <w:t>المرتبطة بذلك</w:t>
      </w:r>
      <w:r w:rsidR="00D60389">
        <w:rPr>
          <w:rFonts w:hint="cs"/>
          <w:i/>
          <w:iCs/>
          <w:rtl/>
        </w:rPr>
        <w:t> </w:t>
      </w:r>
      <w:r w:rsidR="00C41F89" w:rsidRPr="00411EB2">
        <w:rPr>
          <w:i/>
          <w:iCs/>
          <w:rtl/>
        </w:rPr>
        <w:t>لنظامي معاهدة التعاون بشأن البراءات ومدريد في البرنامج 5 (معاهدة التعاون بشأن البراءات) والبرنامج</w:t>
      </w:r>
      <w:r w:rsidR="00D60389">
        <w:rPr>
          <w:rFonts w:hint="cs"/>
          <w:i/>
          <w:iCs/>
          <w:rtl/>
        </w:rPr>
        <w:t> </w:t>
      </w:r>
      <w:r w:rsidR="00C41F89" w:rsidRPr="00411EB2">
        <w:rPr>
          <w:i/>
          <w:iCs/>
          <w:rtl/>
        </w:rPr>
        <w:t>6</w:t>
      </w:r>
      <w:r w:rsidR="00D60389">
        <w:rPr>
          <w:rFonts w:hint="cs"/>
          <w:i/>
          <w:iCs/>
          <w:rtl/>
        </w:rPr>
        <w:t> </w:t>
      </w:r>
      <w:r w:rsidR="00C41F89" w:rsidRPr="00411EB2">
        <w:rPr>
          <w:i/>
          <w:iCs/>
          <w:rtl/>
        </w:rPr>
        <w:t>(نظام</w:t>
      </w:r>
      <w:r w:rsidR="00D60389">
        <w:rPr>
          <w:rFonts w:hint="cs"/>
          <w:i/>
          <w:iCs/>
          <w:rtl/>
        </w:rPr>
        <w:t> </w:t>
      </w:r>
      <w:r w:rsidR="00C41F89" w:rsidRPr="00411EB2">
        <w:rPr>
          <w:i/>
          <w:iCs/>
          <w:rtl/>
        </w:rPr>
        <w:t>مدريد).</w:t>
      </w:r>
    </w:p>
    <w:p w:rsidR="00C41F89" w:rsidRPr="00411EB2" w:rsidRDefault="00C41F89" w:rsidP="00B01FA4">
      <w:pPr>
        <w:pStyle w:val="ARNumbered1"/>
        <w:ind w:left="0" w:firstLine="0"/>
      </w:pPr>
      <w:r w:rsidRPr="00411EB2">
        <w:rPr>
          <w:rtl/>
        </w:rPr>
        <w:t>ولا تفتأ البيئة الخارجية ت</w:t>
      </w:r>
      <w:r w:rsidR="00B01FA4" w:rsidRPr="00411EB2">
        <w:rPr>
          <w:rtl/>
        </w:rPr>
        <w:t xml:space="preserve">فرض تهديدات على عمليات الويبو، وبالتالي </w:t>
      </w:r>
      <w:r w:rsidRPr="00411EB2">
        <w:rPr>
          <w:rtl/>
        </w:rPr>
        <w:t xml:space="preserve">ستعزز قدرات الويبو على التخطيط للطوارئ من خلال إنشاء إطار </w:t>
      </w:r>
      <w:r w:rsidR="00D134BC" w:rsidRPr="00411EB2">
        <w:rPr>
          <w:rtl/>
        </w:rPr>
        <w:t>تنظيمي للمرونة</w:t>
      </w:r>
      <w:r w:rsidRPr="00411EB2">
        <w:rPr>
          <w:rtl/>
        </w:rPr>
        <w:t xml:space="preserve"> بهدف التخفيف من وقع الاضطرابات على عمليات المنظمة الحاسمة أو التقليل منها قدر المستطاع.</w:t>
      </w:r>
    </w:p>
    <w:p w:rsidR="00C41F89" w:rsidRPr="00411EB2" w:rsidRDefault="00482D2C" w:rsidP="00F174B2">
      <w:pPr>
        <w:pStyle w:val="ARNumbered1"/>
        <w:numPr>
          <w:ilvl w:val="0"/>
          <w:numId w:val="7"/>
        </w:numPr>
        <w:rPr>
          <w:i/>
          <w:iCs/>
        </w:rPr>
      </w:pPr>
      <w:r w:rsidRPr="00411EB2">
        <w:rPr>
          <w:i/>
          <w:iCs/>
          <w:rtl/>
        </w:rPr>
        <w:t xml:space="preserve">يرد إجمالي الموارد </w:t>
      </w:r>
      <w:r w:rsidR="004F5FD1" w:rsidRPr="00411EB2">
        <w:rPr>
          <w:i/>
          <w:iCs/>
          <w:rtl/>
        </w:rPr>
        <w:t xml:space="preserve">المرتبطة بذلك </w:t>
      </w:r>
      <w:r w:rsidRPr="00411EB2">
        <w:rPr>
          <w:i/>
          <w:iCs/>
          <w:rtl/>
        </w:rPr>
        <w:t>في</w:t>
      </w:r>
      <w:r w:rsidR="00C41F89" w:rsidRPr="00411EB2">
        <w:rPr>
          <w:i/>
          <w:iCs/>
          <w:rtl/>
        </w:rPr>
        <w:t xml:space="preserve"> البرنامج 21 (الإدارة التنفيذية)</w:t>
      </w:r>
      <w:r w:rsidR="008B1AB2" w:rsidRPr="00411EB2">
        <w:rPr>
          <w:i/>
          <w:iCs/>
          <w:rtl/>
        </w:rPr>
        <w:t>.</w:t>
      </w:r>
    </w:p>
    <w:p w:rsidR="00C41F89" w:rsidRPr="00411EB2" w:rsidRDefault="008B1AB2" w:rsidP="00136735">
      <w:pPr>
        <w:pStyle w:val="ARNumbered1"/>
        <w:ind w:left="0" w:firstLine="0"/>
      </w:pPr>
      <w:r w:rsidRPr="00411EB2">
        <w:rPr>
          <w:rtl/>
        </w:rPr>
        <w:t xml:space="preserve">وقد أضحت المنظمة تعتمد أكثر من أي وقت مضى على البنية التحتية والخدمات في مجال تكنولوجيا المعلومات والاتصالات. ويتوقع الزبائن العالميون أن تكون خدمات تكنولوجيا المعلومات </w:t>
      </w:r>
      <w:proofErr w:type="spellStart"/>
      <w:r w:rsidRPr="00411EB2">
        <w:rPr>
          <w:rtl/>
        </w:rPr>
        <w:t>والاصتالات</w:t>
      </w:r>
      <w:proofErr w:type="spellEnd"/>
      <w:r w:rsidRPr="00411EB2">
        <w:rPr>
          <w:rtl/>
        </w:rPr>
        <w:t xml:space="preserve"> التي تقدمها الويبو أكثر قدرة على تلبية احتياجاتهم وتكون موثوقة ويسهل النفاذ إليها </w:t>
      </w:r>
      <w:r w:rsidR="00B01FA4" w:rsidRPr="00411EB2">
        <w:rPr>
          <w:rtl/>
        </w:rPr>
        <w:t xml:space="preserve">على نحو أكبر </w:t>
      </w:r>
      <w:r w:rsidRPr="00411EB2">
        <w:rPr>
          <w:rtl/>
        </w:rPr>
        <w:t xml:space="preserve">وتكون مؤمنة من الكوارث الطبيعية والكوارث المترتبة على أفعال الإنسان، ومنها الهجمات الإلكترونية. وبالتالي يكتسي أمن المعلومات واستمرار العمل الأولوية القصوى وسينصب التركيز عليهما </w:t>
      </w:r>
      <w:r w:rsidR="00136735" w:rsidRPr="00411EB2">
        <w:rPr>
          <w:rtl/>
        </w:rPr>
        <w:t>خلال</w:t>
      </w:r>
      <w:r w:rsidRPr="00411EB2">
        <w:rPr>
          <w:rtl/>
        </w:rPr>
        <w:t xml:space="preserve"> الثنائية المقبلة.</w:t>
      </w:r>
    </w:p>
    <w:p w:rsidR="008B1AB2" w:rsidRPr="00411EB2" w:rsidRDefault="00482D2C" w:rsidP="00F174B2">
      <w:pPr>
        <w:pStyle w:val="ARNumbered1"/>
        <w:numPr>
          <w:ilvl w:val="0"/>
          <w:numId w:val="7"/>
        </w:numPr>
        <w:rPr>
          <w:i/>
          <w:iCs/>
        </w:rPr>
      </w:pPr>
      <w:r w:rsidRPr="00411EB2">
        <w:rPr>
          <w:i/>
          <w:iCs/>
          <w:rtl/>
        </w:rPr>
        <w:t>ترد</w:t>
      </w:r>
      <w:r w:rsidR="008B1AB2" w:rsidRPr="00411EB2">
        <w:rPr>
          <w:i/>
          <w:iCs/>
          <w:rtl/>
        </w:rPr>
        <w:t xml:space="preserve"> </w:t>
      </w:r>
      <w:r w:rsidRPr="00411EB2">
        <w:rPr>
          <w:i/>
          <w:iCs/>
          <w:rtl/>
        </w:rPr>
        <w:t xml:space="preserve">الزيادات </w:t>
      </w:r>
      <w:r w:rsidR="004F5FD1" w:rsidRPr="00411EB2">
        <w:rPr>
          <w:i/>
          <w:iCs/>
          <w:rtl/>
        </w:rPr>
        <w:t xml:space="preserve">المرتبطة بذلك </w:t>
      </w:r>
      <w:r w:rsidRPr="00411EB2">
        <w:rPr>
          <w:i/>
          <w:iCs/>
          <w:rtl/>
        </w:rPr>
        <w:t xml:space="preserve">في إجمالي الموارد في </w:t>
      </w:r>
      <w:r w:rsidR="008B1AB2" w:rsidRPr="00411EB2">
        <w:rPr>
          <w:i/>
          <w:iCs/>
          <w:rtl/>
        </w:rPr>
        <w:t>البرنامج 5 (معاهدة التعاون بشأن البراءات) والبرنامج 25 (تكنولوجيا المعلومات والاتصالات) والبرنامج 28 (تأمين المعلومات والسلامة والأمن).</w:t>
      </w:r>
    </w:p>
    <w:p w:rsidR="00C165C7" w:rsidRPr="00411EB2" w:rsidRDefault="00B6023E" w:rsidP="00B6023E">
      <w:pPr>
        <w:pStyle w:val="ARNumbered1"/>
        <w:ind w:left="0" w:firstLine="0"/>
      </w:pPr>
      <w:r w:rsidRPr="00411EB2">
        <w:rPr>
          <w:rtl/>
        </w:rPr>
        <w:t>ولن يفتأ تيسير التعاون المعزز والاتفاق بين الدول الأعضاء على وضع إطار معياري دولي متوازن في مجال الملكية الفكرية، يستند في الثنائية 2016/17 إلى قرارات الدول الأعضاء. وتشمل افتراضات التخطيط للثنائية 2016/17 عقد ما يبلغ ثلاث دورات للجنة الدائمة المعنية بقانون البراءات واللجنة الدائمة المعنية بقانون العلامات التجارية والتصاميم الصناعية والبيانات الجغرافية وما يبلغ أربع دورات للجنة الدائمة المعنية بحق المؤلف والحقوق المجاورة واللجنة الحكومية الدولية المعنية بالملكية الفكرية والموارد الوراثية والمعارف التقليدية والفولكلور، ما يتبين في البرنامج 1 (قانون البراءات) والبرنامج 2 (قانون العلامات التجارية) والبرنامج 3 (حق المؤلف والحقوق المجاورة) والبرنامج 4 (المعارف التقليدية وأشكال التعبير الثقافي التقليدي والموارد الوراثية).</w:t>
      </w:r>
    </w:p>
    <w:p w:rsidR="00B6023E" w:rsidRPr="00411EB2" w:rsidRDefault="00B6023E" w:rsidP="00703B3A">
      <w:pPr>
        <w:pStyle w:val="ARNumbered1"/>
        <w:numPr>
          <w:ilvl w:val="0"/>
          <w:numId w:val="7"/>
        </w:numPr>
        <w:rPr>
          <w:i/>
          <w:iCs/>
        </w:rPr>
      </w:pPr>
      <w:r w:rsidRPr="00411EB2">
        <w:rPr>
          <w:i/>
          <w:iCs/>
          <w:rtl/>
        </w:rPr>
        <w:t xml:space="preserve">خُصص مبلغ مليون فرنك سويسري واحد من الميزانية لإمكانية عقد مؤتمر دبلوماسي إن قررت الدول الأعضاء عقده في الثنائية 2016/17. ويظهر هذا المبلغ </w:t>
      </w:r>
      <w:r w:rsidRPr="00703B3A">
        <w:rPr>
          <w:i/>
          <w:iCs/>
          <w:rtl/>
        </w:rPr>
        <w:t>في</w:t>
      </w:r>
      <w:r w:rsidR="00482D2C" w:rsidRPr="00703B3A">
        <w:rPr>
          <w:i/>
          <w:iCs/>
          <w:rtl/>
        </w:rPr>
        <w:t xml:space="preserve"> </w:t>
      </w:r>
      <w:r w:rsidR="00703B3A" w:rsidRPr="00703B3A">
        <w:rPr>
          <w:rFonts w:hint="cs"/>
          <w:i/>
          <w:iCs/>
          <w:rtl/>
        </w:rPr>
        <w:t>فئة</w:t>
      </w:r>
      <w:r w:rsidR="00631827" w:rsidRPr="00411EB2">
        <w:rPr>
          <w:rtl/>
        </w:rPr>
        <w:t xml:space="preserve"> </w:t>
      </w:r>
      <w:r w:rsidRPr="00411EB2">
        <w:rPr>
          <w:i/>
          <w:iCs/>
          <w:rtl/>
        </w:rPr>
        <w:t xml:space="preserve">"المبالغ غير المخصصة". </w:t>
      </w:r>
    </w:p>
    <w:p w:rsidR="00C165C7" w:rsidRPr="00411EB2" w:rsidRDefault="00482D2C" w:rsidP="00FD38F2">
      <w:pPr>
        <w:pStyle w:val="ARNumbered1"/>
        <w:ind w:left="0" w:firstLine="0"/>
      </w:pPr>
      <w:proofErr w:type="spellStart"/>
      <w:r w:rsidRPr="00411EB2">
        <w:rPr>
          <w:rtl/>
        </w:rPr>
        <w:t>وسيتاوصل</w:t>
      </w:r>
      <w:proofErr w:type="spellEnd"/>
      <w:r w:rsidRPr="00411EB2">
        <w:rPr>
          <w:rtl/>
        </w:rPr>
        <w:t xml:space="preserve"> العمل للتشجيع على الانضمام إلى معاهدات الويبو وتنفيذها، وخاصة معاهدة بيجين ومعاهدة مراكش ومعاهدات الويبو الخاصة بالإنترنت ومعاهدة سنغافورة ومعاهدة قانون البراءات.</w:t>
      </w:r>
    </w:p>
    <w:p w:rsidR="00482D2C" w:rsidRPr="00411EB2" w:rsidRDefault="00482D2C" w:rsidP="00F174B2">
      <w:pPr>
        <w:pStyle w:val="ARNumbered1"/>
        <w:numPr>
          <w:ilvl w:val="0"/>
          <w:numId w:val="7"/>
        </w:numPr>
        <w:rPr>
          <w:i/>
          <w:iCs/>
        </w:rPr>
      </w:pPr>
      <w:r w:rsidRPr="00411EB2">
        <w:rPr>
          <w:i/>
          <w:iCs/>
          <w:rtl/>
        </w:rPr>
        <w:t xml:space="preserve">يرد إجمال الموارد </w:t>
      </w:r>
      <w:r w:rsidR="004F5FD1" w:rsidRPr="00411EB2">
        <w:rPr>
          <w:i/>
          <w:iCs/>
          <w:rtl/>
        </w:rPr>
        <w:t xml:space="preserve">المرتبطة بذلك </w:t>
      </w:r>
      <w:r w:rsidRPr="00411EB2">
        <w:rPr>
          <w:i/>
          <w:iCs/>
          <w:rtl/>
        </w:rPr>
        <w:t xml:space="preserve">في البرنامج 1 (قانون البراءات) والبرنامج 2 (العلامات </w:t>
      </w:r>
      <w:proofErr w:type="spellStart"/>
      <w:r w:rsidRPr="00411EB2">
        <w:rPr>
          <w:i/>
          <w:iCs/>
          <w:rtl/>
        </w:rPr>
        <w:t>التجراية</w:t>
      </w:r>
      <w:proofErr w:type="spellEnd"/>
      <w:r w:rsidRPr="00411EB2">
        <w:rPr>
          <w:i/>
          <w:iCs/>
          <w:rtl/>
        </w:rPr>
        <w:t xml:space="preserve"> والتصاميم الصناعية والبيانات الجغرافية) والبرنامج 3 (حق المؤلف والحقوق المجاورة). </w:t>
      </w:r>
    </w:p>
    <w:p w:rsidR="00C165C7" w:rsidRPr="00411EB2" w:rsidRDefault="00482D2C" w:rsidP="00C963AC">
      <w:pPr>
        <w:pStyle w:val="ARNumbered1"/>
        <w:ind w:left="0" w:firstLine="0"/>
      </w:pPr>
      <w:r w:rsidRPr="00411EB2">
        <w:rPr>
          <w:rtl/>
        </w:rPr>
        <w:t>وسيستمر مركز الويبو لبيانات الملكية الفكرية الإحصائية في إتاحة جميع الإحصاءات للمستخدمين في شتى أرجاء العالم. وستبذل جهود خاصة لجمع الإحصاءات الجديدة عن الأنشطة المتعلقة بالبيانات الجغرافية وحق المؤلف وإعداد التقارير عنها، ولمواصلة تحسين ملائمة إحصاءات الويبو للمستخدم. وفي مجال التحليل الاقتصادي، ستواصل الويبو الاشتراك في نشر مؤشر الابتكار العالمي ساعية إلى الإسهام في قياس مدى الابتكار ومزودة راسمي السياسات بأداة لقياس الأداء الابتكاري. وستستمر سلسلة تقارير الويبو للملكية الفكرية العالمية أيضا في استطلاع مواضيع جديدة و</w:t>
      </w:r>
      <w:r w:rsidR="00C963AC" w:rsidRPr="00411EB2">
        <w:rPr>
          <w:rtl/>
        </w:rPr>
        <w:t>ال</w:t>
      </w:r>
      <w:r w:rsidRPr="00411EB2">
        <w:rPr>
          <w:rtl/>
        </w:rPr>
        <w:t>تعميق</w:t>
      </w:r>
      <w:r w:rsidR="00C963AC" w:rsidRPr="00411EB2">
        <w:rPr>
          <w:rtl/>
        </w:rPr>
        <w:t xml:space="preserve"> في</w:t>
      </w:r>
      <w:r w:rsidRPr="00411EB2">
        <w:rPr>
          <w:rtl/>
        </w:rPr>
        <w:t xml:space="preserve"> تحليل مواضيع الملكية الفكرية العالمية </w:t>
      </w:r>
      <w:r w:rsidR="00C963AC" w:rsidRPr="00411EB2">
        <w:rPr>
          <w:rtl/>
        </w:rPr>
        <w:t>المطروحة</w:t>
      </w:r>
      <w:r w:rsidRPr="00411EB2">
        <w:rPr>
          <w:rtl/>
        </w:rPr>
        <w:t xml:space="preserve"> حتى الآن. وفضلا عن ذلك سيقام خط جديد خلال الثنائية 2016/17 للبحث في سياسات الدوائر الصناعية و</w:t>
      </w:r>
      <w:r w:rsidR="00C963AC" w:rsidRPr="00411EB2">
        <w:rPr>
          <w:rtl/>
        </w:rPr>
        <w:t>أ</w:t>
      </w:r>
      <w:r w:rsidRPr="00411EB2">
        <w:rPr>
          <w:rtl/>
        </w:rPr>
        <w:t>دائها فيما يتعلق بحق المؤلف.</w:t>
      </w:r>
    </w:p>
    <w:p w:rsidR="003F6DC0" w:rsidRPr="00411EB2" w:rsidRDefault="003F6DC0" w:rsidP="00F174B2">
      <w:pPr>
        <w:pStyle w:val="ARNumbered1"/>
        <w:numPr>
          <w:ilvl w:val="0"/>
          <w:numId w:val="7"/>
        </w:numPr>
        <w:rPr>
          <w:i/>
          <w:iCs/>
        </w:rPr>
      </w:pPr>
      <w:r w:rsidRPr="00411EB2">
        <w:rPr>
          <w:i/>
          <w:iCs/>
          <w:rtl/>
        </w:rPr>
        <w:t xml:space="preserve">ترد الزيادة </w:t>
      </w:r>
      <w:r w:rsidR="004F5FD1" w:rsidRPr="00411EB2">
        <w:rPr>
          <w:i/>
          <w:iCs/>
          <w:rtl/>
        </w:rPr>
        <w:t xml:space="preserve">المرتبطة بذلك </w:t>
      </w:r>
      <w:r w:rsidRPr="00411EB2">
        <w:rPr>
          <w:i/>
          <w:iCs/>
          <w:rtl/>
        </w:rPr>
        <w:t>في إجمالي الموارد في البرنامج 16 (الاقتصاد والإحصاء).</w:t>
      </w:r>
    </w:p>
    <w:p w:rsidR="003F6DC0" w:rsidRPr="00411EB2" w:rsidRDefault="003F6DC0" w:rsidP="004055CD">
      <w:pPr>
        <w:pStyle w:val="ARNumbered1"/>
        <w:ind w:left="0" w:firstLine="0"/>
      </w:pPr>
      <w:r w:rsidRPr="00411EB2">
        <w:rPr>
          <w:rtl/>
        </w:rPr>
        <w:t>لا تزال التنمية تكتسي الأولوية في الثنائية 2016/17، ما أدى إلى بقاء حصة التنمية ثابتة عند نسبة 21.</w:t>
      </w:r>
      <w:r w:rsidR="004055CD">
        <w:rPr>
          <w:rFonts w:hint="cs"/>
          <w:rtl/>
        </w:rPr>
        <w:t>1</w:t>
      </w:r>
      <w:r w:rsidRPr="00411EB2">
        <w:rPr>
          <w:rtl/>
        </w:rPr>
        <w:t xml:space="preserve"> بالمائة في الثنائية المقبلة.</w:t>
      </w:r>
      <w:r w:rsidRPr="00411EB2">
        <w:rPr>
          <w:rStyle w:val="FootnoteReference"/>
          <w:rFonts w:cs="Arabic Typesetting"/>
          <w:rtl/>
        </w:rPr>
        <w:footnoteReference w:id="6"/>
      </w:r>
    </w:p>
    <w:p w:rsidR="003F6DC0" w:rsidRPr="00411EB2" w:rsidRDefault="003F6DC0" w:rsidP="004055CD">
      <w:pPr>
        <w:pStyle w:val="ARNumbered1"/>
        <w:numPr>
          <w:ilvl w:val="0"/>
          <w:numId w:val="7"/>
        </w:numPr>
        <w:rPr>
          <w:i/>
          <w:iCs/>
        </w:rPr>
      </w:pPr>
      <w:r w:rsidRPr="00411EB2">
        <w:rPr>
          <w:i/>
          <w:iCs/>
          <w:rtl/>
        </w:rPr>
        <w:lastRenderedPageBreak/>
        <w:t>يمثل ذلك زيادة مطلقة في النفقات الإنمائية بنسبة</w:t>
      </w:r>
      <w:r w:rsidR="004055CD">
        <w:rPr>
          <w:rFonts w:hint="cs"/>
          <w:i/>
          <w:iCs/>
          <w:rtl/>
        </w:rPr>
        <w:t xml:space="preserve"> 4</w:t>
      </w:r>
      <w:r w:rsidRPr="00411EB2">
        <w:rPr>
          <w:i/>
          <w:iCs/>
          <w:rtl/>
        </w:rPr>
        <w:t xml:space="preserve"> بالمائة مقارنة بالميزانية المعتمدة للثنائية 2014/15.</w:t>
      </w:r>
    </w:p>
    <w:p w:rsidR="003F6DC0" w:rsidRPr="00411EB2" w:rsidRDefault="00234BC6" w:rsidP="00234BC6">
      <w:pPr>
        <w:pStyle w:val="ARNumbered1"/>
        <w:ind w:left="0" w:firstLine="0"/>
      </w:pPr>
      <w:r w:rsidRPr="00411EB2">
        <w:rPr>
          <w:rtl/>
        </w:rPr>
        <w:t>و</w:t>
      </w:r>
      <w:r w:rsidR="003F6DC0" w:rsidRPr="00411EB2">
        <w:rPr>
          <w:rtl/>
        </w:rPr>
        <w:t xml:space="preserve">لا تزال أنشطة الويبو الإنمائية تسترشد بتوصيات جدول أعمال التنمية. ولا تزال صلات البرامج بتوصيات جدول أعمال التنمية تُبين على نحو موضوعي </w:t>
      </w:r>
      <w:r w:rsidRPr="00411EB2">
        <w:rPr>
          <w:rtl/>
        </w:rPr>
        <w:t xml:space="preserve">في وصف كل برنامج معني. وقد عُممت مشروعات جدول أعمال التنمية، من حيث الموضوع والموارد </w:t>
      </w:r>
      <w:r w:rsidR="001F52F6" w:rsidRPr="00411EB2">
        <w:rPr>
          <w:rtl/>
        </w:rPr>
        <w:t>على حد سواء</w:t>
      </w:r>
      <w:r w:rsidRPr="00411EB2">
        <w:rPr>
          <w:rtl/>
        </w:rPr>
        <w:t>، في كل برنامج بما يتماشى مع عملية إعداد الميزانية للمشروعات التي اقترحتها اللجنة المعنية بالتنمية والملكية الفكرية لتنفيذ توصيات جدول أعمال التنمية التي اعتمدتها جمعيات الويبو في سنة 2010.</w:t>
      </w:r>
      <w:r w:rsidRPr="00411EB2">
        <w:rPr>
          <w:rStyle w:val="FootnoteReference"/>
          <w:rFonts w:cs="Arabic Typesetting"/>
          <w:rtl/>
        </w:rPr>
        <w:footnoteReference w:id="7"/>
      </w:r>
    </w:p>
    <w:p w:rsidR="00234BC6" w:rsidRPr="00411EB2" w:rsidRDefault="00234BC6" w:rsidP="00C963AC">
      <w:pPr>
        <w:pStyle w:val="ARNumbered1"/>
        <w:numPr>
          <w:ilvl w:val="0"/>
          <w:numId w:val="7"/>
        </w:numPr>
        <w:rPr>
          <w:i/>
          <w:iCs/>
        </w:rPr>
      </w:pPr>
      <w:r w:rsidRPr="00411EB2">
        <w:rPr>
          <w:i/>
          <w:iCs/>
          <w:rtl/>
        </w:rPr>
        <w:t>اقت</w:t>
      </w:r>
      <w:r w:rsidR="009963E2" w:rsidRPr="00411EB2">
        <w:rPr>
          <w:i/>
          <w:iCs/>
          <w:rtl/>
        </w:rPr>
        <w:t>ُ</w:t>
      </w:r>
      <w:r w:rsidRPr="00411EB2">
        <w:rPr>
          <w:i/>
          <w:iCs/>
          <w:rtl/>
        </w:rPr>
        <w:t>رح ما مجموعه ستة مشروعات في جدول أعمال التنمية للثنائية 2016/17،</w:t>
      </w:r>
      <w:r w:rsidRPr="00411EB2">
        <w:rPr>
          <w:rStyle w:val="FootnoteReference"/>
          <w:rFonts w:cs="Arabic Typesetting"/>
          <w:i/>
          <w:iCs/>
          <w:rtl/>
        </w:rPr>
        <w:footnoteReference w:id="8"/>
      </w:r>
      <w:r w:rsidRPr="00411EB2">
        <w:rPr>
          <w:i/>
          <w:iCs/>
          <w:rtl/>
        </w:rPr>
        <w:t xml:space="preserve"> رهنا بموافقة اللجنة المعنية بالتنمية والملكية الفكرية، وحدد لها إطار لإجمالي الموارد </w:t>
      </w:r>
      <w:r w:rsidR="004F5FD1" w:rsidRPr="00411EB2">
        <w:rPr>
          <w:i/>
          <w:iCs/>
          <w:rtl/>
        </w:rPr>
        <w:t xml:space="preserve">المرتبطة </w:t>
      </w:r>
      <w:r w:rsidR="00C963AC" w:rsidRPr="00411EB2">
        <w:rPr>
          <w:i/>
          <w:iCs/>
          <w:rtl/>
        </w:rPr>
        <w:t>بها</w:t>
      </w:r>
      <w:r w:rsidR="004F5FD1" w:rsidRPr="00411EB2">
        <w:rPr>
          <w:i/>
          <w:iCs/>
          <w:rtl/>
        </w:rPr>
        <w:t xml:space="preserve"> </w:t>
      </w:r>
      <w:r w:rsidRPr="00411EB2">
        <w:rPr>
          <w:i/>
          <w:iCs/>
          <w:rtl/>
        </w:rPr>
        <w:t>قدره 2.5 مليون فرنك سويسري.</w:t>
      </w:r>
      <w:r w:rsidRPr="00411EB2">
        <w:rPr>
          <w:rStyle w:val="FootnoteReference"/>
          <w:rFonts w:cs="Arabic Typesetting"/>
          <w:i/>
          <w:iCs/>
          <w:rtl/>
        </w:rPr>
        <w:footnoteReference w:id="9"/>
      </w:r>
    </w:p>
    <w:p w:rsidR="003F6DC0" w:rsidRPr="00411EB2" w:rsidRDefault="001923A4" w:rsidP="00807DBF">
      <w:pPr>
        <w:pStyle w:val="ARNumbered1"/>
        <w:ind w:left="0" w:firstLine="0"/>
      </w:pPr>
      <w:r w:rsidRPr="00411EB2">
        <w:rPr>
          <w:rtl/>
        </w:rPr>
        <w:t xml:space="preserve">وباعتماد الدول الأعضاء في الأمم المتحدة في وقت سابق لجدول أعمال التنمية لما بعد </w:t>
      </w:r>
      <w:r w:rsidR="00807DBF" w:rsidRPr="00411EB2">
        <w:rPr>
          <w:rtl/>
        </w:rPr>
        <w:t>سنة</w:t>
      </w:r>
      <w:r w:rsidRPr="00411EB2">
        <w:rPr>
          <w:rtl/>
        </w:rPr>
        <w:t xml:space="preserve"> 2015 ولاتفاق دولي جديد بشأن تغير المناخ، تكون الأمم المتحدة شرعت في </w:t>
      </w:r>
      <w:r w:rsidR="00807DBF" w:rsidRPr="00411EB2">
        <w:rPr>
          <w:rtl/>
        </w:rPr>
        <w:t>الانتقال</w:t>
      </w:r>
      <w:r w:rsidRPr="00411EB2">
        <w:rPr>
          <w:rtl/>
        </w:rPr>
        <w:t xml:space="preserve"> من مرحلة </w:t>
      </w:r>
      <w:proofErr w:type="spellStart"/>
      <w:r w:rsidRPr="00411EB2">
        <w:rPr>
          <w:rtl/>
        </w:rPr>
        <w:t>التفواض</w:t>
      </w:r>
      <w:proofErr w:type="spellEnd"/>
      <w:r w:rsidRPr="00411EB2">
        <w:rPr>
          <w:rtl/>
        </w:rPr>
        <w:t xml:space="preserve"> إلى مرحلة العمل. والويبو باعتبارها عضوا من أعضاء أسرة الأمم المتحدة الملتزمين التزاما </w:t>
      </w:r>
      <w:r w:rsidR="00807DBF" w:rsidRPr="00411EB2">
        <w:rPr>
          <w:rtl/>
        </w:rPr>
        <w:t>تاما</w:t>
      </w:r>
      <w:r w:rsidRPr="00411EB2">
        <w:rPr>
          <w:rtl/>
        </w:rPr>
        <w:t xml:space="preserve">، وتحتضن روح جدول أعمال الويبو بشأن التنمية وتوصياته، فإنها ستؤدي دورها الكامل في الشراكة العالمية لتحقيق التنمية دعما لتنفيذ جميع عناصر جدول </w:t>
      </w:r>
      <w:r w:rsidR="00807DBF" w:rsidRPr="00411EB2">
        <w:rPr>
          <w:rtl/>
        </w:rPr>
        <w:t>أعمال التنمية لما بعد سنة 2015.</w:t>
      </w:r>
    </w:p>
    <w:p w:rsidR="00807DBF" w:rsidRPr="00411EB2" w:rsidRDefault="00807DBF" w:rsidP="00EA5693">
      <w:pPr>
        <w:pStyle w:val="ARNumbered1"/>
        <w:numPr>
          <w:ilvl w:val="0"/>
          <w:numId w:val="7"/>
        </w:numPr>
        <w:rPr>
          <w:i/>
          <w:iCs/>
        </w:rPr>
      </w:pPr>
      <w:r w:rsidRPr="00411EB2">
        <w:rPr>
          <w:i/>
          <w:iCs/>
          <w:rtl/>
        </w:rPr>
        <w:t xml:space="preserve">يرد إجمالي الموارد </w:t>
      </w:r>
      <w:r w:rsidR="004F5FD1" w:rsidRPr="00411EB2">
        <w:rPr>
          <w:i/>
          <w:iCs/>
          <w:rtl/>
        </w:rPr>
        <w:t>المرتبطة بذلك</w:t>
      </w:r>
      <w:r w:rsidRPr="00411EB2">
        <w:rPr>
          <w:i/>
          <w:iCs/>
          <w:rtl/>
        </w:rPr>
        <w:t>، أساسا، في البرنامج 9 (</w:t>
      </w:r>
      <w:r w:rsidR="00EA5693">
        <w:rPr>
          <w:rFonts w:hint="cs"/>
          <w:i/>
          <w:iCs/>
          <w:rtl/>
        </w:rPr>
        <w:t xml:space="preserve">أفريقيا </w:t>
      </w:r>
      <w:r w:rsidRPr="00411EB2">
        <w:rPr>
          <w:i/>
          <w:iCs/>
          <w:rtl/>
        </w:rPr>
        <w:t>و</w:t>
      </w:r>
      <w:r w:rsidR="00EA5693">
        <w:rPr>
          <w:rFonts w:hint="cs"/>
          <w:i/>
          <w:iCs/>
          <w:rtl/>
        </w:rPr>
        <w:t xml:space="preserve">البلدان </w:t>
      </w:r>
      <w:r w:rsidRPr="00411EB2">
        <w:rPr>
          <w:i/>
          <w:iCs/>
          <w:rtl/>
        </w:rPr>
        <w:t>العربية وبلدان آسيا والمحيط الهادئ وأمريكا اللاتينية والكاريبي والبلدان الأقل نموا) والبرنامج 18 (الملكية الفكرية والتحديات العالمية) والبرنامج 20 (العلاقات الخارجية والشراكات والمكاتب الخارجية).</w:t>
      </w:r>
    </w:p>
    <w:p w:rsidR="00234BC6" w:rsidRPr="00411EB2" w:rsidRDefault="001F52F6" w:rsidP="00C56FD8">
      <w:pPr>
        <w:pStyle w:val="ARNumbered1"/>
        <w:ind w:left="0" w:firstLine="0"/>
      </w:pPr>
      <w:r w:rsidRPr="00411EB2">
        <w:rPr>
          <w:rtl/>
        </w:rPr>
        <w:t>و</w:t>
      </w:r>
      <w:r w:rsidR="00C56FD8" w:rsidRPr="00411EB2">
        <w:rPr>
          <w:rtl/>
        </w:rPr>
        <w:t>سيتواصل تحسين النفاذ إلى المعلومات المتعلقة بالملكية الفكرية واستخدامها من قبل مؤسسات الملكية الفكرية والجمهور لتشجيع الابتكار والإبداع. وسيوسع نطاق التغطية الجغرافية لمجموعات البيانات الوطنية في قواعد البيانات العالمية، بما في ذلك قاعدة البيانات العالمية للتصاميم التي أعدت خلال الثنائية 2014/15.</w:t>
      </w:r>
    </w:p>
    <w:p w:rsidR="00C56FD8" w:rsidRPr="00411EB2" w:rsidRDefault="00C56FD8" w:rsidP="00F174B2">
      <w:pPr>
        <w:pStyle w:val="ARNumbered1"/>
        <w:numPr>
          <w:ilvl w:val="0"/>
          <w:numId w:val="7"/>
        </w:numPr>
        <w:rPr>
          <w:i/>
          <w:iCs/>
        </w:rPr>
      </w:pPr>
      <w:r w:rsidRPr="00411EB2">
        <w:rPr>
          <w:i/>
          <w:iCs/>
          <w:rtl/>
        </w:rPr>
        <w:t xml:space="preserve">ترد الزيادة </w:t>
      </w:r>
      <w:r w:rsidR="004F5FD1" w:rsidRPr="00411EB2">
        <w:rPr>
          <w:i/>
          <w:iCs/>
          <w:rtl/>
        </w:rPr>
        <w:t xml:space="preserve">المرتبطة بذلك </w:t>
      </w:r>
      <w:r w:rsidRPr="00411EB2">
        <w:rPr>
          <w:i/>
          <w:iCs/>
          <w:rtl/>
        </w:rPr>
        <w:t>في إجمالي الموارد في البرنامج 13 (قواعد البيانات العالمية).</w:t>
      </w:r>
    </w:p>
    <w:p w:rsidR="00234BC6" w:rsidRPr="00411EB2" w:rsidRDefault="00C963AC" w:rsidP="00C56FD8">
      <w:pPr>
        <w:pStyle w:val="ARNumbered1"/>
        <w:ind w:left="0" w:firstLine="0"/>
      </w:pPr>
      <w:r w:rsidRPr="00411EB2">
        <w:rPr>
          <w:rtl/>
        </w:rPr>
        <w:t>و</w:t>
      </w:r>
      <w:r w:rsidR="00C56FD8" w:rsidRPr="00411EB2">
        <w:rPr>
          <w:rtl/>
        </w:rPr>
        <w:t>سيتواصل تيسير تعزيز النفاذ إلى المعرفة المتعلقة بالملكية الفكرية من خلال إنشاء و/أو تعزيز شبكات مستدامة لمراكز دعم التكنولوجيا والابتكار</w:t>
      </w:r>
      <w:r w:rsidRPr="00411EB2">
        <w:rPr>
          <w:rtl/>
        </w:rPr>
        <w:t xml:space="preserve"> وإقامة مشروعات خاصة تيس</w:t>
      </w:r>
      <w:r w:rsidR="00C56FD8" w:rsidRPr="00411EB2">
        <w:rPr>
          <w:rtl/>
        </w:rPr>
        <w:t>ر النفاذ إلى قواعد البيانات التجارية.</w:t>
      </w:r>
    </w:p>
    <w:p w:rsidR="00C56FD8" w:rsidRPr="00411EB2" w:rsidRDefault="00C56FD8" w:rsidP="00F174B2">
      <w:pPr>
        <w:pStyle w:val="ARNumbered1"/>
        <w:numPr>
          <w:ilvl w:val="0"/>
          <w:numId w:val="7"/>
        </w:numPr>
        <w:rPr>
          <w:i/>
          <w:iCs/>
        </w:rPr>
      </w:pPr>
      <w:r w:rsidRPr="00411EB2">
        <w:rPr>
          <w:i/>
          <w:iCs/>
          <w:rtl/>
        </w:rPr>
        <w:t xml:space="preserve">يرد إجمالي الموارد </w:t>
      </w:r>
      <w:r w:rsidR="004F5FD1" w:rsidRPr="00411EB2">
        <w:rPr>
          <w:i/>
          <w:iCs/>
          <w:rtl/>
        </w:rPr>
        <w:t xml:space="preserve">المرتبطة بذلك </w:t>
      </w:r>
      <w:r w:rsidRPr="00411EB2">
        <w:rPr>
          <w:i/>
          <w:iCs/>
          <w:rtl/>
        </w:rPr>
        <w:t>في البرنامج 14 (خدمات النفاذ إلى المعلومات والمعرفة)</w:t>
      </w:r>
      <w:r w:rsidR="009963E2" w:rsidRPr="00411EB2">
        <w:rPr>
          <w:i/>
          <w:iCs/>
          <w:rtl/>
        </w:rPr>
        <w:t>.</w:t>
      </w:r>
    </w:p>
    <w:p w:rsidR="00234BC6" w:rsidRPr="00411EB2" w:rsidRDefault="00C56FD8" w:rsidP="009E667A">
      <w:pPr>
        <w:pStyle w:val="ARNumbered1"/>
        <w:ind w:left="0" w:firstLine="0"/>
      </w:pPr>
      <w:r w:rsidRPr="00411EB2">
        <w:rPr>
          <w:rtl/>
        </w:rPr>
        <w:t xml:space="preserve">وسيتواصل تعزيز البنية التحتية التقنية لمكاتب الملكية الفكرية في الثنائية 2016/17 من خلال نموذج المساعدة التقنية المعدّل مع التركيز على النتائج المستدامة على الصعيد القطري. </w:t>
      </w:r>
      <w:r w:rsidR="009E667A" w:rsidRPr="00411EB2">
        <w:rPr>
          <w:rtl/>
        </w:rPr>
        <w:t>وفضلا عن ذلك ستتاح أول نسخة من نظام شبكة الويبو لحق المؤلف لأول مجموعة من منظمات الإدارة الجماعية في البلدان النامية والبلدان الأقل نموا.</w:t>
      </w:r>
    </w:p>
    <w:p w:rsidR="009E667A" w:rsidRPr="00411EB2" w:rsidRDefault="009E667A" w:rsidP="00F174B2">
      <w:pPr>
        <w:pStyle w:val="ARNumbered1"/>
        <w:numPr>
          <w:ilvl w:val="0"/>
          <w:numId w:val="7"/>
        </w:numPr>
        <w:rPr>
          <w:i/>
          <w:iCs/>
        </w:rPr>
      </w:pPr>
      <w:r w:rsidRPr="00411EB2">
        <w:rPr>
          <w:i/>
          <w:iCs/>
          <w:rtl/>
        </w:rPr>
        <w:t xml:space="preserve">ترد الزيادة </w:t>
      </w:r>
      <w:r w:rsidR="004F5FD1" w:rsidRPr="00411EB2">
        <w:rPr>
          <w:i/>
          <w:iCs/>
          <w:rtl/>
        </w:rPr>
        <w:t xml:space="preserve">المرتبطة بذلك </w:t>
      </w:r>
      <w:r w:rsidRPr="00411EB2">
        <w:rPr>
          <w:i/>
          <w:iCs/>
          <w:rtl/>
        </w:rPr>
        <w:t>في إجمالي الموارد في البرنامج 15 (الحلول التجارية لمكاتب الملكية الفكرية).</w:t>
      </w:r>
    </w:p>
    <w:p w:rsidR="00234BC6" w:rsidRPr="00411EB2" w:rsidRDefault="001F52F6" w:rsidP="00030F9C">
      <w:pPr>
        <w:pStyle w:val="ARNumbered1"/>
        <w:ind w:left="0" w:firstLine="0"/>
      </w:pPr>
      <w:r w:rsidRPr="00411EB2">
        <w:rPr>
          <w:rtl/>
        </w:rPr>
        <w:t>و</w:t>
      </w:r>
      <w:r w:rsidR="009E667A" w:rsidRPr="00411EB2">
        <w:rPr>
          <w:rtl/>
        </w:rPr>
        <w:t xml:space="preserve">سيركز العمل المنجز في مجال حق المؤلف والحقوق المجاورة على إعداد معيار دليل الامتياز الدولي لضمان الجودة لدى منظمات الإدارة الجماعية وإعداد </w:t>
      </w:r>
      <w:proofErr w:type="spellStart"/>
      <w:r w:rsidR="009E667A" w:rsidRPr="00411EB2">
        <w:rPr>
          <w:rtl/>
        </w:rPr>
        <w:t>برناج</w:t>
      </w:r>
      <w:proofErr w:type="spellEnd"/>
      <w:r w:rsidR="009E667A" w:rsidRPr="00411EB2">
        <w:rPr>
          <w:rtl/>
        </w:rPr>
        <w:t xml:space="preserve"> تعليمي إرشادي عن الشفافية والمساءلة </w:t>
      </w:r>
      <w:proofErr w:type="spellStart"/>
      <w:r w:rsidR="009E667A" w:rsidRPr="00411EB2">
        <w:rPr>
          <w:rtl/>
        </w:rPr>
        <w:t>والحوكمة</w:t>
      </w:r>
      <w:proofErr w:type="spellEnd"/>
      <w:r w:rsidR="009E667A" w:rsidRPr="00411EB2">
        <w:rPr>
          <w:rtl/>
        </w:rPr>
        <w:t xml:space="preserve"> في منظمات الإدارة الجماعية. ولاستكمال الأنشطة المتعلقة بالأدلة الإرشادية، ستصمم منصة جديدة وتطور لتنفيذ العديد من مشروعات ال</w:t>
      </w:r>
      <w:r w:rsidR="00030F9C" w:rsidRPr="00411EB2">
        <w:rPr>
          <w:rtl/>
        </w:rPr>
        <w:t>ويبو الخاصة بالبنية التحتية لحق المؤلف عبر الإنترنت وبالشراكة مع الغير. وسيتواصل إنجاز العمل أيضا لجعل اتحاد الكتب الميسرة أول هيئة عالمية تيسر نفاذ العاجزين عن قراءة المطبوعات إلى الكتب في شتى أرجاء العالم.</w:t>
      </w:r>
    </w:p>
    <w:p w:rsidR="00030F9C" w:rsidRPr="00411EB2" w:rsidRDefault="00030F9C" w:rsidP="00F174B2">
      <w:pPr>
        <w:pStyle w:val="ARNumbered1"/>
        <w:numPr>
          <w:ilvl w:val="0"/>
          <w:numId w:val="7"/>
        </w:numPr>
        <w:rPr>
          <w:i/>
          <w:iCs/>
        </w:rPr>
      </w:pPr>
      <w:r w:rsidRPr="00411EB2">
        <w:rPr>
          <w:i/>
          <w:iCs/>
          <w:rtl/>
        </w:rPr>
        <w:t xml:space="preserve">يرد إجمالي الموارد </w:t>
      </w:r>
      <w:r w:rsidR="004F5FD1" w:rsidRPr="00411EB2">
        <w:rPr>
          <w:i/>
          <w:iCs/>
          <w:rtl/>
        </w:rPr>
        <w:t xml:space="preserve">المرتبطة بذلك </w:t>
      </w:r>
      <w:r w:rsidRPr="00411EB2">
        <w:rPr>
          <w:i/>
          <w:iCs/>
          <w:rtl/>
        </w:rPr>
        <w:t>في البرنامج</w:t>
      </w:r>
      <w:r w:rsidR="00D71F1D" w:rsidRPr="00411EB2">
        <w:rPr>
          <w:i/>
          <w:iCs/>
          <w:rtl/>
        </w:rPr>
        <w:t xml:space="preserve"> 3 (حق المؤلف والحقوق المجاورة)</w:t>
      </w:r>
      <w:r w:rsidR="009963E2" w:rsidRPr="00411EB2">
        <w:rPr>
          <w:i/>
          <w:iCs/>
          <w:rtl/>
        </w:rPr>
        <w:t>.</w:t>
      </w:r>
    </w:p>
    <w:p w:rsidR="00234BC6" w:rsidRPr="00411EB2" w:rsidRDefault="001F52F6" w:rsidP="00030F9C">
      <w:pPr>
        <w:pStyle w:val="ARNumbered1"/>
        <w:ind w:left="0" w:firstLine="0"/>
      </w:pPr>
      <w:r w:rsidRPr="00411EB2">
        <w:rPr>
          <w:rtl/>
        </w:rPr>
        <w:t>و</w:t>
      </w:r>
      <w:r w:rsidR="00030F9C" w:rsidRPr="00411EB2">
        <w:rPr>
          <w:rtl/>
        </w:rPr>
        <w:t xml:space="preserve">سيولى اهتمام خاص خلال الثنائية 2016/17 إلى تحسين التعاون التقني الذي تقدمه الويبو واتساقه في البلدان النامية والبلدان الأقل نموا والبلدان المنتقلة إلى نظام الاقتصاد الحر، بالاستناد إلى التقدم المحرز في تطوير الاستراتيجيات الوطنية للملكية </w:t>
      </w:r>
      <w:r w:rsidR="00030F9C" w:rsidRPr="00411EB2">
        <w:rPr>
          <w:rtl/>
        </w:rPr>
        <w:lastRenderedPageBreak/>
        <w:t>الفكرية خلال الثنائية 2014/15. ولهذا الغرض سيضفى الطابع المؤسسي على الخطط القطرية التي تعدها المكاتب الإقليمية وتحافظ عليها على أساس احتياجات البلدان المتلقية ووقائعها، والتي تحتوي على جميع المشروعات والأنشطة التي ستنجز في كل بلد. وسيتزايد تقديم التعاون التقني أيضا باتباع مقاربات تقوم على المشروعات، وتعزيز الخبرات المكتسبة خلال السنوات الأخيرة أثناء تنفيذ مشروعات جدول أعمال التنمية وغيرها من المشروعات الإنمائية الخاصة. وسيُكفل أيضا التخطيط المتسق للأنشطة المنجزة بالتعاون فيما بين بلدان الجنوب والإبلاغ عنها على المستوى التنظيمي، كما سيضمن التفاعل مع أصحا</w:t>
      </w:r>
      <w:r w:rsidR="00D71F1D" w:rsidRPr="00411EB2">
        <w:rPr>
          <w:rtl/>
        </w:rPr>
        <w:t xml:space="preserve">ب المصالح الداخليين والخارجيين. </w:t>
      </w:r>
    </w:p>
    <w:p w:rsidR="00234BC6" w:rsidRPr="00411EB2" w:rsidRDefault="00D71F1D" w:rsidP="00F174B2">
      <w:pPr>
        <w:pStyle w:val="ARNumbered1"/>
        <w:numPr>
          <w:ilvl w:val="0"/>
          <w:numId w:val="7"/>
        </w:numPr>
        <w:rPr>
          <w:i/>
          <w:iCs/>
        </w:rPr>
      </w:pPr>
      <w:r w:rsidRPr="00411EB2">
        <w:rPr>
          <w:i/>
          <w:iCs/>
          <w:rtl/>
        </w:rPr>
        <w:t xml:space="preserve">يرد إجمال الموارد </w:t>
      </w:r>
      <w:r w:rsidR="004F5FD1" w:rsidRPr="00411EB2">
        <w:rPr>
          <w:i/>
          <w:iCs/>
          <w:rtl/>
        </w:rPr>
        <w:t xml:space="preserve">المرتبطة بذلك </w:t>
      </w:r>
      <w:r w:rsidRPr="00411EB2">
        <w:rPr>
          <w:i/>
          <w:iCs/>
          <w:rtl/>
        </w:rPr>
        <w:t>في البرنامج 9 (أفريقيا والبلدان العربية وبلدان آسيا والمحيط الهادئ وأمريكا اللاتينية والكاريبي والبلدان الأقل نموا) والبرنامج 10 (البلدان المنتقلة إلى نظام الاقتصاد الحر والمتقدمة)</w:t>
      </w:r>
      <w:r w:rsidR="009963E2" w:rsidRPr="00411EB2">
        <w:rPr>
          <w:i/>
          <w:iCs/>
          <w:rtl/>
        </w:rPr>
        <w:t>.</w:t>
      </w:r>
    </w:p>
    <w:p w:rsidR="001F52F6" w:rsidRPr="00411EB2" w:rsidRDefault="001F52F6" w:rsidP="00986885">
      <w:pPr>
        <w:pStyle w:val="ARNumbered1"/>
        <w:ind w:left="0" w:firstLine="0"/>
      </w:pPr>
      <w:r w:rsidRPr="00411EB2">
        <w:rPr>
          <w:rtl/>
        </w:rPr>
        <w:t>و</w:t>
      </w:r>
      <w:r w:rsidR="00D71F1D" w:rsidRPr="00411EB2">
        <w:rPr>
          <w:rtl/>
        </w:rPr>
        <w:t xml:space="preserve">سيُعزز التركيز الخاص على البلدان الأقل نموا للاستجابة إلى الاحتياجات الفردية والمشتركة المتزايدة. وسيتم التركيز خاصة على تطوير كفاءاتها الوطنية والتكنولوجية في مجال الملكية الفكرية لمساعدتها على تحقيق أهدافها، ومنها الحد من الفقر والنمو الاقتصادي وغير ذلك من السياسات الإنمائية. ويعد تكوين الكفاءات في استعمال المعلومات التقنية والعلمية الملائمة لمجالات تكنولوجية محددة حلا لتحديات إنمائية محددة، </w:t>
      </w:r>
      <w:r w:rsidR="00911AE4" w:rsidRPr="00411EB2">
        <w:rPr>
          <w:rtl/>
        </w:rPr>
        <w:t>و</w:t>
      </w:r>
      <w:r w:rsidR="00D71F1D" w:rsidRPr="00411EB2">
        <w:rPr>
          <w:rtl/>
        </w:rPr>
        <w:t xml:space="preserve">محرك الدعم الرئيسي في هذا المجال. وعلاوة على ذلك ستواصل الويبو </w:t>
      </w:r>
      <w:r w:rsidR="00986885" w:rsidRPr="00411EB2">
        <w:rPr>
          <w:rtl/>
        </w:rPr>
        <w:t xml:space="preserve">إنجاز أنشطة الدعم </w:t>
      </w:r>
      <w:r w:rsidR="00D71F1D" w:rsidRPr="00411EB2">
        <w:rPr>
          <w:rtl/>
        </w:rPr>
        <w:t xml:space="preserve">على وجه الخصوص </w:t>
      </w:r>
      <w:r w:rsidR="00986885" w:rsidRPr="00411EB2">
        <w:rPr>
          <w:rtl/>
        </w:rPr>
        <w:t>في مجالات الأولوية المحددة في مشروعات الويبو المعتمدة في مؤتمر الأمم المتحدة الرابع المعني بالبلدان الأقل نموا والمصممة م</w:t>
      </w:r>
      <w:r w:rsidRPr="00411EB2">
        <w:rPr>
          <w:rtl/>
        </w:rPr>
        <w:t>ن أجل تنفيذ برنامج عمل إسطنبول.</w:t>
      </w:r>
    </w:p>
    <w:p w:rsidR="001F52F6" w:rsidRPr="00411EB2" w:rsidRDefault="001F52F6" w:rsidP="00F174B2">
      <w:pPr>
        <w:pStyle w:val="ARNumbered1"/>
        <w:numPr>
          <w:ilvl w:val="0"/>
          <w:numId w:val="7"/>
        </w:numPr>
        <w:rPr>
          <w:i/>
          <w:iCs/>
        </w:rPr>
      </w:pPr>
      <w:r w:rsidRPr="00411EB2">
        <w:rPr>
          <w:i/>
          <w:iCs/>
          <w:rtl/>
        </w:rPr>
        <w:t xml:space="preserve">يرد إجمالي الموارد </w:t>
      </w:r>
      <w:r w:rsidR="004F5FD1" w:rsidRPr="00411EB2">
        <w:rPr>
          <w:i/>
          <w:iCs/>
          <w:rtl/>
        </w:rPr>
        <w:t xml:space="preserve">المرتبطة بذلك </w:t>
      </w:r>
      <w:r w:rsidRPr="00411EB2">
        <w:rPr>
          <w:i/>
          <w:iCs/>
          <w:rtl/>
        </w:rPr>
        <w:t>في البرنامج 9 (أفريقيا والبلدان العربية وبلدان آسيا والمحيط الهادئ وأمريكا اللاتينية والكاريبي والبلدان الأقل نموا)</w:t>
      </w:r>
      <w:r w:rsidR="009963E2" w:rsidRPr="00411EB2">
        <w:rPr>
          <w:i/>
          <w:iCs/>
          <w:rtl/>
        </w:rPr>
        <w:t>.</w:t>
      </w:r>
    </w:p>
    <w:p w:rsidR="001F52F6" w:rsidRPr="00411EB2" w:rsidRDefault="001F52F6" w:rsidP="00911AE4">
      <w:pPr>
        <w:pStyle w:val="ARNumbered1"/>
        <w:ind w:left="0" w:firstLine="0"/>
      </w:pPr>
      <w:r w:rsidRPr="00411EB2">
        <w:rPr>
          <w:rtl/>
        </w:rPr>
        <w:t xml:space="preserve">وسعيا إلى تخطيط أنشطة التدريب وتكوين الكفاءات وتقديمها على نحو أكثر شمولا، وسعيا إلى تعزيز الجودة والفعالية من حيث التكاليف، شرعت أكاديمية الويبو في عملية إصلاح تدريجي ومتسق خلال الثنائية 2014/15 لتعود إلى مكانتها باعتبارها </w:t>
      </w:r>
      <w:r w:rsidR="00911AE4" w:rsidRPr="00411EB2">
        <w:rPr>
          <w:rtl/>
        </w:rPr>
        <w:t>الدافع ل</w:t>
      </w:r>
      <w:r w:rsidRPr="00411EB2">
        <w:rPr>
          <w:rtl/>
        </w:rPr>
        <w:t xml:space="preserve">لتدريب المهني وتكوين الكفاءات على </w:t>
      </w:r>
      <w:r w:rsidR="009963E2" w:rsidRPr="00411EB2">
        <w:rPr>
          <w:rtl/>
        </w:rPr>
        <w:t>صعيد المنظمة.</w:t>
      </w:r>
      <w:r w:rsidR="00911AE4" w:rsidRPr="00411EB2">
        <w:rPr>
          <w:rtl/>
        </w:rPr>
        <w:t xml:space="preserve"> </w:t>
      </w:r>
      <w:r w:rsidR="009963E2" w:rsidRPr="00411EB2">
        <w:rPr>
          <w:rtl/>
        </w:rPr>
        <w:t>وستتواصل هذه العملية خلال الثنائية 2016/17.</w:t>
      </w:r>
    </w:p>
    <w:p w:rsidR="009963E2" w:rsidRPr="00411EB2" w:rsidRDefault="009963E2" w:rsidP="00F174B2">
      <w:pPr>
        <w:pStyle w:val="ARNumbered1"/>
        <w:numPr>
          <w:ilvl w:val="0"/>
          <w:numId w:val="7"/>
        </w:numPr>
        <w:rPr>
          <w:i/>
          <w:iCs/>
        </w:rPr>
      </w:pPr>
      <w:r w:rsidRPr="00411EB2">
        <w:rPr>
          <w:i/>
          <w:iCs/>
          <w:rtl/>
        </w:rPr>
        <w:t xml:space="preserve">يرد إجمالي الموارد </w:t>
      </w:r>
      <w:r w:rsidR="004F5FD1" w:rsidRPr="00411EB2">
        <w:rPr>
          <w:i/>
          <w:iCs/>
          <w:rtl/>
        </w:rPr>
        <w:t xml:space="preserve">المرتبطة بذلك </w:t>
      </w:r>
      <w:r w:rsidRPr="00411EB2">
        <w:rPr>
          <w:i/>
          <w:iCs/>
          <w:rtl/>
        </w:rPr>
        <w:t>في البرنامج 11 (أكاديمية الويبو).</w:t>
      </w:r>
    </w:p>
    <w:p w:rsidR="001F52F6" w:rsidRPr="00411EB2" w:rsidRDefault="009963E2" w:rsidP="00911AE4">
      <w:pPr>
        <w:pStyle w:val="ARNumbered1"/>
        <w:ind w:left="0" w:firstLine="0"/>
      </w:pPr>
      <w:r w:rsidRPr="00411EB2">
        <w:rPr>
          <w:rtl/>
        </w:rPr>
        <w:t xml:space="preserve">وبالاستناد إلى المبادرات المتخذة خلال الثنائية 2014/15 لتعزيز القيمة المضافة ومواصلة تحسين إنتاجية المكاتب الخارجية وفعاليتها، سيتواصل خلال الثنائية 2016/17 بذل الجهود الرامية إلى </w:t>
      </w:r>
      <w:r w:rsidR="00911AE4" w:rsidRPr="00411EB2">
        <w:rPr>
          <w:rtl/>
        </w:rPr>
        <w:t xml:space="preserve">الاستمرار في </w:t>
      </w:r>
      <w:r w:rsidRPr="00411EB2">
        <w:rPr>
          <w:rtl/>
        </w:rPr>
        <w:t xml:space="preserve">تعزيز إدراج المكاتب الخارجية </w:t>
      </w:r>
      <w:r w:rsidR="00911AE4" w:rsidRPr="00411EB2">
        <w:rPr>
          <w:rtl/>
        </w:rPr>
        <w:t>الموجودة</w:t>
      </w:r>
      <w:r w:rsidRPr="00411EB2">
        <w:rPr>
          <w:rtl/>
        </w:rPr>
        <w:t xml:space="preserve"> في جميع </w:t>
      </w:r>
      <w:r w:rsidR="00D60389">
        <w:rPr>
          <w:rFonts w:hint="cs"/>
          <w:rtl/>
        </w:rPr>
        <w:t>ال</w:t>
      </w:r>
      <w:r w:rsidRPr="00411EB2">
        <w:rPr>
          <w:rtl/>
        </w:rPr>
        <w:t xml:space="preserve">جوانب </w:t>
      </w:r>
      <w:r w:rsidR="00D60389">
        <w:rPr>
          <w:rFonts w:hint="cs"/>
          <w:rtl/>
        </w:rPr>
        <w:t xml:space="preserve">المعنية من </w:t>
      </w:r>
      <w:r w:rsidRPr="00411EB2">
        <w:rPr>
          <w:rtl/>
        </w:rPr>
        <w:t>سير المنظمة، ما سيعززه وضع نظام وهيكل معياري عالمي ل</w:t>
      </w:r>
      <w:r w:rsidR="00911AE4" w:rsidRPr="00411EB2">
        <w:rPr>
          <w:rtl/>
        </w:rPr>
        <w:t>تلك ا</w:t>
      </w:r>
      <w:r w:rsidRPr="00411EB2">
        <w:rPr>
          <w:rtl/>
        </w:rPr>
        <w:t>لمكاتب، الأمر الذي سيكون حاسما لضمان استمرار الويبو في التطور كمنظمة عالمية حقيقية تستجيب للدول الأعضاء وأصحاب المصالح وتستطيع تحقيق أهدافها الطموحة الرامية إلى تقديم خدماتها بمزيد من الفعالية من خلال التعاون الأوثق.</w:t>
      </w:r>
    </w:p>
    <w:p w:rsidR="009963E2" w:rsidRPr="00411EB2" w:rsidRDefault="004F5FD1" w:rsidP="00703B3A">
      <w:pPr>
        <w:pStyle w:val="ARNumbered1"/>
        <w:numPr>
          <w:ilvl w:val="0"/>
          <w:numId w:val="7"/>
        </w:numPr>
        <w:rPr>
          <w:i/>
          <w:iCs/>
        </w:rPr>
      </w:pPr>
      <w:r w:rsidRPr="00411EB2">
        <w:rPr>
          <w:i/>
          <w:iCs/>
          <w:rtl/>
        </w:rPr>
        <w:t xml:space="preserve">يرد إجمالي الموارد المرتبطة بذلك في البرنامج 20 (العلاقات الخارجية والشراكات والمكاتب الخارجية). وإن وافقت الدول الأعضاء على فتح مكاتب خارجية جديدة خلال الثنائية 2016/17، فيمكن تمويل هذه المكاتب من المليون فرنك سويسري المخصص لخلاف موارد الموظفين في </w:t>
      </w:r>
      <w:r w:rsidR="00703B3A" w:rsidRPr="00703B3A">
        <w:rPr>
          <w:rFonts w:hint="cs"/>
          <w:i/>
          <w:iCs/>
          <w:rtl/>
        </w:rPr>
        <w:t>فئة</w:t>
      </w:r>
      <w:r w:rsidR="00631827" w:rsidRPr="00411EB2">
        <w:rPr>
          <w:rtl/>
        </w:rPr>
        <w:t xml:space="preserve"> </w:t>
      </w:r>
      <w:r w:rsidRPr="00411EB2">
        <w:rPr>
          <w:i/>
          <w:iCs/>
          <w:rtl/>
        </w:rPr>
        <w:t>"المبالغ غير المخصصة"</w:t>
      </w:r>
    </w:p>
    <w:p w:rsidR="001F52F6" w:rsidRPr="00411EB2" w:rsidRDefault="000F400E" w:rsidP="00911AE4">
      <w:pPr>
        <w:pStyle w:val="ARNumbered1"/>
        <w:ind w:left="0" w:firstLine="0"/>
      </w:pPr>
      <w:r w:rsidRPr="00411EB2">
        <w:rPr>
          <w:rtl/>
        </w:rPr>
        <w:t xml:space="preserve">وستتواصل الجهود الرامية إلى أن تضحى الأمانة نبيهة وتعمل بسلاسة </w:t>
      </w:r>
      <w:r w:rsidR="00ED3378" w:rsidRPr="00411EB2">
        <w:rPr>
          <w:rtl/>
        </w:rPr>
        <w:t>ويعمل ال</w:t>
      </w:r>
      <w:r w:rsidRPr="00411EB2">
        <w:rPr>
          <w:rtl/>
        </w:rPr>
        <w:t>موظفون تحت إدارة جيّدة وبمهارات مناسبة ويحققون النتائج بكفاءة</w:t>
      </w:r>
      <w:r w:rsidR="00ED3378" w:rsidRPr="00411EB2">
        <w:rPr>
          <w:rtl/>
        </w:rPr>
        <w:t xml:space="preserve">، في إطار الهدف الاستراتيجي التاسع. </w:t>
      </w:r>
      <w:r w:rsidR="00B631A9" w:rsidRPr="00411EB2">
        <w:rPr>
          <w:rtl/>
        </w:rPr>
        <w:t xml:space="preserve">وسيولى اهتمام خاص خلال الثنائية إلى التوازن بين الجنسين والتنوع الجغرافي. وسيبذل المزيد من الجهود لتطوير المهارات الإدارية والقيادية لدى المرأة في المنظمة، بهدف تمكينها من تولي مناصب أعلى، مع مواصلة مخاطبة المرشحات المحتملات. وبالنظر إلى التنوع الجغرافي سيزيد بذل الجهود الاستباقية، بدعم من الدول الأعضاء، </w:t>
      </w:r>
      <w:r w:rsidR="00911AE4" w:rsidRPr="00411EB2">
        <w:rPr>
          <w:rtl/>
        </w:rPr>
        <w:t>للوصول إلى</w:t>
      </w:r>
      <w:r w:rsidR="00B631A9" w:rsidRPr="00411EB2">
        <w:rPr>
          <w:rtl/>
        </w:rPr>
        <w:t xml:space="preserve"> المرشحات </w:t>
      </w:r>
      <w:r w:rsidR="00911AE4" w:rsidRPr="00411EB2">
        <w:rPr>
          <w:rtl/>
        </w:rPr>
        <w:t xml:space="preserve">المحتملات من </w:t>
      </w:r>
      <w:r w:rsidR="00B631A9" w:rsidRPr="00411EB2">
        <w:rPr>
          <w:rtl/>
        </w:rPr>
        <w:t xml:space="preserve">البلدان غير الممثلة </w:t>
      </w:r>
      <w:r w:rsidR="007308CD" w:rsidRPr="00411EB2">
        <w:rPr>
          <w:rtl/>
        </w:rPr>
        <w:t xml:space="preserve">بما يكفي بين الموظفين في الفئة المهنية وما فوقها. وعقب تنفيذ النسخة المراجعة لنظام الموظفين ولائحته التي وافقت عليها لجنة التنسيق في سنتي 2012 و2013، بما في ذلك تعزيز نظام العدالة الداخلية، </w:t>
      </w:r>
      <w:r w:rsidR="00911AE4" w:rsidRPr="00411EB2">
        <w:rPr>
          <w:rtl/>
        </w:rPr>
        <w:t>سيكون أحد مجالات التركيز</w:t>
      </w:r>
      <w:r w:rsidR="007308CD" w:rsidRPr="00411EB2">
        <w:rPr>
          <w:rtl/>
        </w:rPr>
        <w:t xml:space="preserve"> المهمة في الثنائية 2016/17 تلافي المنازعات والتخفيف من وقعها وإدارة القضايا بفعالية من خلال نظام العدالة الداخلية. وستستمر المنظمة أيضا في الاشتراك في مراجعة </w:t>
      </w:r>
      <w:r w:rsidR="00B92D09" w:rsidRPr="00411EB2">
        <w:rPr>
          <w:rtl/>
        </w:rPr>
        <w:t>مجموعة ال</w:t>
      </w:r>
      <w:r w:rsidR="007308CD" w:rsidRPr="00411EB2">
        <w:rPr>
          <w:rtl/>
        </w:rPr>
        <w:t>تعويضات</w:t>
      </w:r>
      <w:r w:rsidR="00B92D09" w:rsidRPr="00411EB2">
        <w:rPr>
          <w:rtl/>
        </w:rPr>
        <w:t xml:space="preserve"> المشتركة لمنظومة الأمم المتحدة. </w:t>
      </w:r>
    </w:p>
    <w:p w:rsidR="00B92D09" w:rsidRPr="00411EB2" w:rsidRDefault="00B92D09" w:rsidP="00F174B2">
      <w:pPr>
        <w:pStyle w:val="ARNumbered1"/>
        <w:numPr>
          <w:ilvl w:val="0"/>
          <w:numId w:val="7"/>
        </w:numPr>
        <w:rPr>
          <w:i/>
          <w:iCs/>
        </w:rPr>
      </w:pPr>
      <w:r w:rsidRPr="00411EB2">
        <w:rPr>
          <w:i/>
          <w:iCs/>
          <w:rtl/>
        </w:rPr>
        <w:t>يرد إجمالي الموارد المرتبطة بذلك في البرنامج 23 (إدارة الموارد البشرية وتطويرها).</w:t>
      </w:r>
    </w:p>
    <w:p w:rsidR="001F52F6" w:rsidRPr="00411EB2" w:rsidRDefault="00B92D09" w:rsidP="00911AE4">
      <w:pPr>
        <w:pStyle w:val="ARNumbered1"/>
        <w:ind w:left="0" w:firstLine="0"/>
      </w:pPr>
      <w:r w:rsidRPr="00411EB2">
        <w:rPr>
          <w:rtl/>
        </w:rPr>
        <w:lastRenderedPageBreak/>
        <w:t xml:space="preserve">وباعتماد الدول الأعضاء لسياسة اللغات في سنة 2011 وتمديد التغطية اللغوية باللغات الست لتغطي جميع وثائق لجان الويبو والهيئات الرئيسية في الثنائية 2012/13، تم تمديد التغطية ذاتها لتشمل </w:t>
      </w:r>
      <w:r w:rsidR="00911AE4" w:rsidRPr="00411EB2">
        <w:rPr>
          <w:rtl/>
        </w:rPr>
        <w:t xml:space="preserve">العديد من </w:t>
      </w:r>
      <w:r w:rsidRPr="00411EB2">
        <w:rPr>
          <w:rtl/>
        </w:rPr>
        <w:t>أفرق عمل في الثنائية 2014/15. ومن المتوقع تغطية الأفرقة العاملة المتبقية في الثنائية 2016/17. وسعيا إلى احتواء تكاليف الترجمة، عززت شبكة المترجمين الفرديين الخارجيين وشركات الترجمة الخارجية لضمان إسناد أعمال الترجمة "الإسناد الصحيح" ونشر الأدوات التكنولوجية الجديدة لتحسين بيئة الترجمة وإعداد قواعد بيانات المصطلحات وضمان مراقبة الجودة. وسيستمر رصد حجم الو</w:t>
      </w:r>
      <w:r w:rsidR="00911AE4" w:rsidRPr="00411EB2">
        <w:rPr>
          <w:rtl/>
        </w:rPr>
        <w:t>ث</w:t>
      </w:r>
      <w:r w:rsidRPr="00411EB2">
        <w:rPr>
          <w:rtl/>
        </w:rPr>
        <w:t>ائق وعددها عن كثب أيضا. وقد أدت تدابير الترشيد المذكورة إلى احتواء تكاليف الترجمة.</w:t>
      </w:r>
    </w:p>
    <w:p w:rsidR="00B92D09" w:rsidRPr="00411EB2" w:rsidRDefault="00B92D09" w:rsidP="00411EB2">
      <w:pPr>
        <w:pStyle w:val="ARNumbered1"/>
        <w:numPr>
          <w:ilvl w:val="0"/>
          <w:numId w:val="7"/>
        </w:numPr>
        <w:rPr>
          <w:i/>
          <w:iCs/>
        </w:rPr>
      </w:pPr>
      <w:r w:rsidRPr="00411EB2">
        <w:rPr>
          <w:i/>
          <w:iCs/>
          <w:rtl/>
        </w:rPr>
        <w:t xml:space="preserve">يرد إجمالي الموارد المرتبطة بذلك في البرنامج 27 (خدمات المؤتمرات واللغات). وبالتالي من المقدر </w:t>
      </w:r>
      <w:r w:rsidR="00411EB2" w:rsidRPr="00411EB2">
        <w:rPr>
          <w:i/>
          <w:iCs/>
          <w:rtl/>
        </w:rPr>
        <w:t>ألا يكون جزء</w:t>
      </w:r>
      <w:r w:rsidRPr="00411EB2">
        <w:rPr>
          <w:i/>
          <w:iCs/>
          <w:rtl/>
        </w:rPr>
        <w:t xml:space="preserve"> من الزيادة في ميزانية خلاف الموظفين المعتمدة للبرنامج في الثنائية 2014/15، لازم</w:t>
      </w:r>
      <w:r w:rsidR="00411EB2" w:rsidRPr="00411EB2">
        <w:rPr>
          <w:i/>
          <w:iCs/>
          <w:rtl/>
        </w:rPr>
        <w:t>ا</w:t>
      </w:r>
      <w:r w:rsidRPr="00411EB2">
        <w:rPr>
          <w:i/>
          <w:iCs/>
          <w:rtl/>
        </w:rPr>
        <w:t xml:space="preserve"> للثنائية 2016/17.</w:t>
      </w:r>
    </w:p>
    <w:p w:rsidR="001F52F6" w:rsidRPr="00411EB2" w:rsidRDefault="0017565C" w:rsidP="00411EB2">
      <w:pPr>
        <w:pStyle w:val="ARNumbered1"/>
        <w:ind w:left="0" w:firstLine="0"/>
      </w:pPr>
      <w:r w:rsidRPr="00411EB2">
        <w:rPr>
          <w:rtl/>
        </w:rPr>
        <w:t xml:space="preserve">ستتسم الثنائية المقبلة بعدة تغييرات في المجالين المصرفي والاستثماري بسبب </w:t>
      </w:r>
      <w:proofErr w:type="spellStart"/>
      <w:r w:rsidR="00A7437A" w:rsidRPr="00411EB2">
        <w:rPr>
          <w:rtl/>
        </w:rPr>
        <w:t>التسيهلات</w:t>
      </w:r>
      <w:proofErr w:type="spellEnd"/>
      <w:r w:rsidRPr="00411EB2">
        <w:rPr>
          <w:rtl/>
        </w:rPr>
        <w:t xml:space="preserve"> المصرفي</w:t>
      </w:r>
      <w:r w:rsidR="00A7437A" w:rsidRPr="00411EB2">
        <w:rPr>
          <w:rtl/>
        </w:rPr>
        <w:t>ة</w:t>
      </w:r>
      <w:r w:rsidRPr="00411EB2">
        <w:rPr>
          <w:rtl/>
        </w:rPr>
        <w:t xml:space="preserve"> المميز</w:t>
      </w:r>
      <w:r w:rsidR="00A7437A" w:rsidRPr="00411EB2">
        <w:rPr>
          <w:rtl/>
        </w:rPr>
        <w:t>ة</w:t>
      </w:r>
      <w:r w:rsidRPr="00411EB2">
        <w:rPr>
          <w:rtl/>
        </w:rPr>
        <w:t xml:space="preserve"> </w:t>
      </w:r>
      <w:r w:rsidR="00A7437A" w:rsidRPr="00411EB2">
        <w:rPr>
          <w:rtl/>
        </w:rPr>
        <w:t xml:space="preserve">التي </w:t>
      </w:r>
      <w:proofErr w:type="spellStart"/>
      <w:r w:rsidR="00A7437A" w:rsidRPr="00411EB2">
        <w:rPr>
          <w:rtl/>
        </w:rPr>
        <w:t>تتيحها</w:t>
      </w:r>
      <w:proofErr w:type="spellEnd"/>
      <w:r w:rsidR="00A7437A" w:rsidRPr="00411EB2">
        <w:rPr>
          <w:rtl/>
        </w:rPr>
        <w:t xml:space="preserve"> </w:t>
      </w:r>
      <w:r w:rsidRPr="00411EB2">
        <w:rPr>
          <w:rtl/>
        </w:rPr>
        <w:t xml:space="preserve">للويبو حاليا الإدارة الاتحادية للشؤون المالية السويسرية </w:t>
      </w:r>
      <w:r w:rsidR="00411EB2" w:rsidRPr="00411EB2">
        <w:rPr>
          <w:rtl/>
        </w:rPr>
        <w:t>والتي تنتهي</w:t>
      </w:r>
      <w:r w:rsidRPr="00411EB2">
        <w:rPr>
          <w:rtl/>
        </w:rPr>
        <w:t xml:space="preserve"> في ديسمبر 2015، وبسبب </w:t>
      </w:r>
      <w:r w:rsidR="00A7437A" w:rsidRPr="00411EB2">
        <w:rPr>
          <w:rtl/>
        </w:rPr>
        <w:t>تطبيق أسعار فائدة سلبية على ا</w:t>
      </w:r>
      <w:r w:rsidRPr="00411EB2">
        <w:rPr>
          <w:rtl/>
        </w:rPr>
        <w:t xml:space="preserve">لودائع بالفرنك السويسري. وبالتالي سيلزم </w:t>
      </w:r>
      <w:r w:rsidR="00411EB2" w:rsidRPr="00411EB2">
        <w:rPr>
          <w:rtl/>
        </w:rPr>
        <w:t>التـأكد من</w:t>
      </w:r>
      <w:r w:rsidRPr="00411EB2">
        <w:rPr>
          <w:rtl/>
        </w:rPr>
        <w:t xml:space="preserve"> اتباع مقاربة </w:t>
      </w:r>
      <w:r w:rsidR="00EA42EB" w:rsidRPr="00411EB2">
        <w:rPr>
          <w:rtl/>
        </w:rPr>
        <w:t>أكثر فعالية لكن حريصة في تخطيط الاستثمار وإدارته على أن تسترشد هذه المقاربة بسياسة الاستثمار المعدّلة التي وافقت عليها الدول الأعضاء.</w:t>
      </w:r>
    </w:p>
    <w:p w:rsidR="00EA42EB" w:rsidRPr="00411EB2" w:rsidRDefault="00EA42EB" w:rsidP="00F174B2">
      <w:pPr>
        <w:pStyle w:val="ARNumbered1"/>
        <w:numPr>
          <w:ilvl w:val="0"/>
          <w:numId w:val="7"/>
        </w:numPr>
        <w:rPr>
          <w:i/>
          <w:iCs/>
        </w:rPr>
      </w:pPr>
      <w:r w:rsidRPr="00411EB2">
        <w:rPr>
          <w:i/>
          <w:iCs/>
          <w:rtl/>
        </w:rPr>
        <w:t>خصص مبلغ 2.4 مليون فرنك سويسري في ميزانية خلاف الموظفين لسداد أسعار الفائدة السلبية على ودائع الويبو.</w:t>
      </w:r>
    </w:p>
    <w:p w:rsidR="001F52F6" w:rsidRPr="00411EB2" w:rsidRDefault="00F56238" w:rsidP="00F56238">
      <w:pPr>
        <w:pStyle w:val="ARNumbered1"/>
        <w:ind w:left="0" w:firstLine="0"/>
      </w:pPr>
      <w:r w:rsidRPr="00411EB2">
        <w:rPr>
          <w:rtl/>
        </w:rPr>
        <w:t>وسيتكثف إدماج النماذج والإمكانيات الجديدة لنظام التخطيط للموارد المؤسسية في العمليات خلال الثنائية 2016/17، ما من شأنه أن يحتم دعم نظام متكامل للتخطيط للموارد المؤسسية واستدامته بطريقة فعالة من حيث التكلفة وموجهة نحو الخدمات. وستظل الاستراتيجية الرئيسية هي إسناد الدعم والصيانة والتطوير التقني إلى جهات خارجية تحت إشراف إدارة متينة وفي إطار ضمان الجودة.</w:t>
      </w:r>
    </w:p>
    <w:p w:rsidR="00F56238" w:rsidRPr="00411EB2" w:rsidRDefault="00F56238" w:rsidP="00F174B2">
      <w:pPr>
        <w:pStyle w:val="ARNumbered1"/>
        <w:numPr>
          <w:ilvl w:val="0"/>
          <w:numId w:val="7"/>
        </w:numPr>
        <w:rPr>
          <w:i/>
          <w:iCs/>
        </w:rPr>
      </w:pPr>
      <w:r w:rsidRPr="00411EB2">
        <w:rPr>
          <w:i/>
          <w:iCs/>
          <w:rtl/>
        </w:rPr>
        <w:t>خصص مبلغ 1.6 مليون فرنك سويسري في ميزانية خلاف الموظفين في البرنامج 22 (إدارة البرامج والموارد) لزيادة بصمة نظام التخطيط للموارد المؤسسية.</w:t>
      </w:r>
    </w:p>
    <w:p w:rsidR="001F52F6" w:rsidRPr="00411EB2" w:rsidRDefault="00411EB2" w:rsidP="00411EB2">
      <w:pPr>
        <w:pStyle w:val="ARNumbered1"/>
        <w:ind w:left="0" w:firstLine="0"/>
      </w:pPr>
      <w:r>
        <w:rPr>
          <w:rFonts w:hint="cs"/>
          <w:rtl/>
        </w:rPr>
        <w:t>و</w:t>
      </w:r>
      <w:r w:rsidR="00F56238" w:rsidRPr="00411EB2">
        <w:rPr>
          <w:rtl/>
        </w:rPr>
        <w:t>أدخلت تحسينات إضافية على المقاييس</w:t>
      </w:r>
      <w:r w:rsidR="0030758F" w:rsidRPr="00411EB2">
        <w:rPr>
          <w:rtl/>
        </w:rPr>
        <w:t>، أي مؤشرات الأداء والأسس المرجعية والأهداف</w:t>
      </w:r>
      <w:r>
        <w:rPr>
          <w:rFonts w:hint="cs"/>
          <w:rtl/>
        </w:rPr>
        <w:t>،</w:t>
      </w:r>
      <w:r w:rsidR="0030758F" w:rsidRPr="00411EB2">
        <w:rPr>
          <w:rtl/>
        </w:rPr>
        <w:t xml:space="preserve"> عملا بتوصية التثبت المستقل الذي أجرته شعبة الرقابة الداخلية، ونزولا عند طلب الدول الأعضاء </w:t>
      </w:r>
      <w:r w:rsidRPr="00411EB2">
        <w:rPr>
          <w:rtl/>
        </w:rPr>
        <w:t xml:space="preserve">بإدخال </w:t>
      </w:r>
      <w:r w:rsidR="0030758F" w:rsidRPr="00411EB2">
        <w:rPr>
          <w:rtl/>
        </w:rPr>
        <w:t xml:space="preserve">التحسينات </w:t>
      </w:r>
      <w:r w:rsidRPr="00411EB2">
        <w:rPr>
          <w:rtl/>
        </w:rPr>
        <w:t xml:space="preserve">على </w:t>
      </w:r>
      <w:r w:rsidR="0030758F" w:rsidRPr="00411EB2">
        <w:rPr>
          <w:rtl/>
        </w:rPr>
        <w:t>تقرير أداء البرنامج. وقد تمت مواءمة الأسس المرجعية في وثيقة البرنامج والميزانية، قدر المستطاع، كي تتماشى مع بيانات الأداء الواردة في تقرير أداء البرنامج لسنة</w:t>
      </w:r>
      <w:r>
        <w:rPr>
          <w:rFonts w:hint="cs"/>
          <w:rtl/>
        </w:rPr>
        <w:t> </w:t>
      </w:r>
      <w:r w:rsidR="0030758F" w:rsidRPr="00411EB2">
        <w:rPr>
          <w:rtl/>
        </w:rPr>
        <w:t>2014.</w:t>
      </w:r>
      <w:r w:rsidR="0030758F" w:rsidRPr="002E2358">
        <w:rPr>
          <w:rStyle w:val="FootnoteReference"/>
          <w:rFonts w:cs="Arabic Typesetting"/>
          <w:sz w:val="24"/>
          <w:rtl/>
        </w:rPr>
        <w:footnoteReference w:id="10"/>
      </w:r>
    </w:p>
    <w:p w:rsidR="001F52F6" w:rsidRPr="00411EB2" w:rsidRDefault="0030758F" w:rsidP="00695C6B">
      <w:pPr>
        <w:pStyle w:val="ARNumbered1"/>
        <w:ind w:left="0" w:firstLine="0"/>
      </w:pPr>
      <w:r w:rsidRPr="00411EB2">
        <w:rPr>
          <w:rtl/>
        </w:rPr>
        <w:t xml:space="preserve">وقد أدى تنفيذ عملية </w:t>
      </w:r>
      <w:proofErr w:type="spellStart"/>
      <w:r w:rsidRPr="00411EB2">
        <w:rPr>
          <w:rtl/>
        </w:rPr>
        <w:t>مهيكلة</w:t>
      </w:r>
      <w:proofErr w:type="spellEnd"/>
      <w:r w:rsidRPr="00411EB2">
        <w:rPr>
          <w:rtl/>
        </w:rPr>
        <w:t xml:space="preserve"> ومنهجية لإدارة المخاطر في المنظمة برمتها إلى تحسين التخطيط وفهم الأحداث التي يمكن أن تعرقل تحقيق النتائج المرتقبة. وتجري جميع البرامج الآن تق</w:t>
      </w:r>
      <w:r w:rsidR="00695C6B" w:rsidRPr="00411EB2">
        <w:rPr>
          <w:rtl/>
        </w:rPr>
        <w:t>يي</w:t>
      </w:r>
      <w:r w:rsidRPr="00411EB2">
        <w:rPr>
          <w:rtl/>
        </w:rPr>
        <w:t xml:space="preserve">مات للمخاطر كجزء من التخطيط الذي تعده كل سنتين والتخطيط السنوي للعمل. وتحتوي هذه الوثيقة على تفاصيل المخاطر الرئيسية واستراتيجيات التخفيف منها في نهاية </w:t>
      </w:r>
      <w:r w:rsidR="00695C6B" w:rsidRPr="00411EB2">
        <w:rPr>
          <w:rtl/>
        </w:rPr>
        <w:t>وصف كل برنامج.</w:t>
      </w:r>
    </w:p>
    <w:p w:rsidR="0030758F" w:rsidRPr="00411EB2" w:rsidRDefault="0030758F">
      <w:pPr>
        <w:bidi w:val="0"/>
        <w:rPr>
          <w:rFonts w:ascii="Arabic Typesetting" w:hAnsi="Arabic Typesetting" w:cs="Arabic Typesetting"/>
          <w:sz w:val="34"/>
          <w:szCs w:val="34"/>
          <w:rtl/>
          <w:lang w:val="fr-CH"/>
        </w:rPr>
      </w:pPr>
      <w:r w:rsidRPr="00411EB2">
        <w:rPr>
          <w:rFonts w:ascii="Arabic Typesetting" w:hAnsi="Arabic Typesetting" w:cs="Arabic Typesetting"/>
          <w:rtl/>
        </w:rPr>
        <w:br w:type="page"/>
      </w:r>
    </w:p>
    <w:p w:rsidR="0030758F" w:rsidRPr="00411EB2" w:rsidRDefault="0030758F" w:rsidP="00411EB2">
      <w:pPr>
        <w:pStyle w:val="ARNumbered1"/>
        <w:numPr>
          <w:ilvl w:val="0"/>
          <w:numId w:val="0"/>
        </w:numPr>
        <w:spacing w:after="0"/>
        <w:jc w:val="center"/>
        <w:rPr>
          <w:b/>
          <w:bCs/>
          <w:rtl/>
        </w:rPr>
      </w:pPr>
      <w:r w:rsidRPr="00411EB2">
        <w:rPr>
          <w:b/>
          <w:bCs/>
          <w:rtl/>
        </w:rPr>
        <w:lastRenderedPageBreak/>
        <w:t>الجدول 5. اقتراح ميزانية الثنائية 2016/17 بحسب غرض الإنفاق</w:t>
      </w:r>
    </w:p>
    <w:p w:rsidR="0030758F" w:rsidRPr="00411EB2" w:rsidRDefault="0030758F" w:rsidP="00411EB2">
      <w:pPr>
        <w:pStyle w:val="ARNumbered1"/>
        <w:numPr>
          <w:ilvl w:val="0"/>
          <w:numId w:val="0"/>
        </w:numPr>
        <w:spacing w:after="240"/>
        <w:jc w:val="center"/>
        <w:rPr>
          <w:i/>
          <w:iCs/>
          <w:rtl/>
        </w:rPr>
      </w:pPr>
      <w:r w:rsidRPr="00411EB2">
        <w:rPr>
          <w:i/>
          <w:iCs/>
          <w:rtl/>
        </w:rPr>
        <w:t>(بآلاف الفرنكات السويسرية)</w:t>
      </w:r>
    </w:p>
    <w:p w:rsidR="0030758F" w:rsidRPr="00411EB2" w:rsidRDefault="006F072A" w:rsidP="0030758F">
      <w:pPr>
        <w:pStyle w:val="ARNumbered1"/>
        <w:numPr>
          <w:ilvl w:val="0"/>
          <w:numId w:val="0"/>
        </w:numPr>
        <w:spacing w:line="240" w:lineRule="auto"/>
        <w:jc w:val="center"/>
      </w:pPr>
      <w:r w:rsidRPr="006F072A">
        <w:rPr>
          <w:noProof/>
          <w:rtl/>
          <w:lang w:val="en-US" w:bidi="ar-SA"/>
        </w:rPr>
        <w:drawing>
          <wp:inline distT="0" distB="0" distL="0" distR="0" wp14:anchorId="4A6B6BA8" wp14:editId="160DF41C">
            <wp:extent cx="5580559" cy="6181141"/>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8421" cy="6178773"/>
                    </a:xfrm>
                    <a:prstGeom prst="rect">
                      <a:avLst/>
                    </a:prstGeom>
                    <a:noFill/>
                    <a:ln>
                      <a:noFill/>
                    </a:ln>
                  </pic:spPr>
                </pic:pic>
              </a:graphicData>
            </a:graphic>
          </wp:inline>
        </w:drawing>
      </w:r>
    </w:p>
    <w:p w:rsidR="001F52F6" w:rsidRPr="006F072A" w:rsidRDefault="0030758F" w:rsidP="006F072A">
      <w:pPr>
        <w:pStyle w:val="ARNumbered1"/>
        <w:numPr>
          <w:ilvl w:val="0"/>
          <w:numId w:val="0"/>
        </w:numPr>
        <w:spacing w:after="0" w:line="280" w:lineRule="exact"/>
        <w:rPr>
          <w:sz w:val="28"/>
          <w:szCs w:val="28"/>
          <w:rtl/>
        </w:rPr>
      </w:pPr>
      <w:r w:rsidRPr="006F072A">
        <w:rPr>
          <w:sz w:val="28"/>
          <w:szCs w:val="28"/>
          <w:rtl/>
        </w:rPr>
        <w:t>ملاحظتان:</w:t>
      </w:r>
    </w:p>
    <w:p w:rsidR="0030758F" w:rsidRPr="006F072A" w:rsidRDefault="00F6769D" w:rsidP="006F072A">
      <w:pPr>
        <w:pStyle w:val="ARNumbered1"/>
        <w:numPr>
          <w:ilvl w:val="0"/>
          <w:numId w:val="8"/>
        </w:numPr>
        <w:spacing w:after="0" w:line="280" w:lineRule="exact"/>
        <w:rPr>
          <w:i/>
          <w:iCs/>
          <w:sz w:val="28"/>
          <w:szCs w:val="28"/>
        </w:rPr>
      </w:pPr>
      <w:r w:rsidRPr="006F072A">
        <w:rPr>
          <w:i/>
          <w:iCs/>
          <w:sz w:val="28"/>
          <w:szCs w:val="28"/>
          <w:rtl/>
        </w:rPr>
        <w:t xml:space="preserve">تبين ميزانية الثنائية 2014/15 بعد التحويلات </w:t>
      </w:r>
      <w:r w:rsidR="00695C6B" w:rsidRPr="006F072A">
        <w:rPr>
          <w:i/>
          <w:iCs/>
          <w:sz w:val="28"/>
          <w:szCs w:val="28"/>
          <w:rtl/>
        </w:rPr>
        <w:t>ما أجري من تحويلات</w:t>
      </w:r>
      <w:r w:rsidRPr="006F072A">
        <w:rPr>
          <w:i/>
          <w:iCs/>
          <w:sz w:val="28"/>
          <w:szCs w:val="28"/>
          <w:rtl/>
        </w:rPr>
        <w:t xml:space="preserve"> لتلبية الاحتياجات خلال الثنائية 2014/15 عملا بالمادة 5.5 من النظام المالي التالي نصها: "يجوز للمدير العام أن يحول مبالغ من برنامج إلى برنامج آخر من البرنامج والميزانية لأي فترة مالية معينة بحدود خمسة في المائة من المبلغ المطابق لاعتمادات فترة السنتين للبرنامج المستفيد من ذلك، أو بحدود واحد في المائة من إجمالي الميزانية، أيهما أكبر، متى كان ذلك التحويل ضرورياً لضمان حسن سير الأعمال". وميزانية الثنائية 2014/15 بعد التحويلات هي الميزانية في 31 مارس 2015.</w:t>
      </w:r>
    </w:p>
    <w:p w:rsidR="00F6769D" w:rsidRPr="006F072A" w:rsidRDefault="00695C6B" w:rsidP="006F072A">
      <w:pPr>
        <w:pStyle w:val="ARNumbered1"/>
        <w:numPr>
          <w:ilvl w:val="0"/>
          <w:numId w:val="8"/>
        </w:numPr>
        <w:spacing w:after="0" w:line="280" w:lineRule="exact"/>
        <w:rPr>
          <w:i/>
          <w:iCs/>
          <w:sz w:val="28"/>
          <w:szCs w:val="28"/>
        </w:rPr>
      </w:pPr>
      <w:r w:rsidRPr="006F072A">
        <w:rPr>
          <w:i/>
          <w:iCs/>
          <w:sz w:val="28"/>
          <w:szCs w:val="28"/>
          <w:rtl/>
        </w:rPr>
        <w:t>و</w:t>
      </w:r>
      <w:r w:rsidR="00F6769D" w:rsidRPr="006F072A">
        <w:rPr>
          <w:i/>
          <w:iCs/>
          <w:sz w:val="28"/>
          <w:szCs w:val="28"/>
          <w:rtl/>
        </w:rPr>
        <w:t xml:space="preserve">يرد شرح </w:t>
      </w:r>
      <w:r w:rsidRPr="006F072A">
        <w:rPr>
          <w:i/>
          <w:iCs/>
          <w:sz w:val="28"/>
          <w:szCs w:val="28"/>
          <w:rtl/>
        </w:rPr>
        <w:t>تغييرات</w:t>
      </w:r>
      <w:r w:rsidR="00F6769D" w:rsidRPr="006F072A">
        <w:rPr>
          <w:i/>
          <w:iCs/>
          <w:sz w:val="28"/>
          <w:szCs w:val="28"/>
          <w:rtl/>
        </w:rPr>
        <w:t xml:space="preserve"> فئات التكاليف بين الثنائية 2014/15 والثنائية 2016/17 في </w:t>
      </w:r>
      <w:r w:rsidR="00411EB2" w:rsidRPr="006F072A">
        <w:rPr>
          <w:rFonts w:hint="cs"/>
          <w:i/>
          <w:iCs/>
          <w:sz w:val="28"/>
          <w:szCs w:val="28"/>
          <w:rtl/>
        </w:rPr>
        <w:t>قسم</w:t>
      </w:r>
      <w:r w:rsidR="00F174B2" w:rsidRPr="006F072A">
        <w:rPr>
          <w:i/>
          <w:iCs/>
          <w:sz w:val="28"/>
          <w:szCs w:val="28"/>
          <w:rtl/>
        </w:rPr>
        <w:t xml:space="preserve"> </w:t>
      </w:r>
      <w:r w:rsidR="00F6769D" w:rsidRPr="006F072A">
        <w:rPr>
          <w:i/>
          <w:iCs/>
          <w:sz w:val="28"/>
          <w:szCs w:val="28"/>
          <w:rtl/>
        </w:rPr>
        <w:t>"تغييرات فئات التكاليف"</w:t>
      </w:r>
      <w:r w:rsidR="00411EB2" w:rsidRPr="006F072A">
        <w:rPr>
          <w:rFonts w:hint="cs"/>
          <w:i/>
          <w:iCs/>
          <w:sz w:val="28"/>
          <w:szCs w:val="28"/>
          <w:rtl/>
        </w:rPr>
        <w:t xml:space="preserve"> أدناه</w:t>
      </w:r>
      <w:r w:rsidR="00F6769D" w:rsidRPr="006F072A">
        <w:rPr>
          <w:i/>
          <w:iCs/>
          <w:sz w:val="28"/>
          <w:szCs w:val="28"/>
          <w:rtl/>
        </w:rPr>
        <w:t>.</w:t>
      </w:r>
    </w:p>
    <w:p w:rsidR="001F52F6" w:rsidRPr="00411EB2" w:rsidRDefault="00F6769D" w:rsidP="00122DF2">
      <w:pPr>
        <w:pStyle w:val="ARNumbered1"/>
        <w:keepNext/>
        <w:numPr>
          <w:ilvl w:val="0"/>
          <w:numId w:val="0"/>
        </w:numPr>
        <w:outlineLvl w:val="0"/>
        <w:rPr>
          <w:b/>
          <w:bCs/>
        </w:rPr>
      </w:pPr>
      <w:bookmarkStart w:id="7" w:name="_Toc420595493"/>
      <w:r w:rsidRPr="00411EB2">
        <w:rPr>
          <w:b/>
          <w:bCs/>
          <w:rtl/>
        </w:rPr>
        <w:lastRenderedPageBreak/>
        <w:t>موارد خلاف الموظفين</w:t>
      </w:r>
      <w:bookmarkEnd w:id="7"/>
    </w:p>
    <w:p w:rsidR="001F52F6" w:rsidRPr="00411EB2" w:rsidRDefault="00F6769D" w:rsidP="000A427C">
      <w:pPr>
        <w:pStyle w:val="ARNumbered1"/>
        <w:ind w:left="0" w:firstLine="0"/>
      </w:pPr>
      <w:r w:rsidRPr="00411EB2">
        <w:rPr>
          <w:rtl/>
        </w:rPr>
        <w:t>زادت موارد خلاف الموظفين للثنائية</w:t>
      </w:r>
      <w:r w:rsidR="000A427C">
        <w:rPr>
          <w:rFonts w:hint="cs"/>
          <w:rtl/>
        </w:rPr>
        <w:t> </w:t>
      </w:r>
      <w:r w:rsidRPr="00411EB2">
        <w:rPr>
          <w:rtl/>
        </w:rPr>
        <w:t xml:space="preserve">2016/17 بمبلغ 22.8 مليون فرنك سويسري، أو بنسبة 10 بالمائة، مقارنة </w:t>
      </w:r>
      <w:r w:rsidR="000A427C">
        <w:rPr>
          <w:rFonts w:hint="cs"/>
          <w:rtl/>
        </w:rPr>
        <w:t>بال</w:t>
      </w:r>
      <w:r w:rsidR="00082CDD" w:rsidRPr="00411EB2">
        <w:rPr>
          <w:rtl/>
        </w:rPr>
        <w:t xml:space="preserve">ميزانية </w:t>
      </w:r>
      <w:r w:rsidR="000A427C">
        <w:rPr>
          <w:rFonts w:hint="cs"/>
          <w:rtl/>
        </w:rPr>
        <w:t>المعتمدة للثنائية </w:t>
      </w:r>
      <w:r w:rsidR="00082CDD" w:rsidRPr="00411EB2">
        <w:rPr>
          <w:rtl/>
        </w:rPr>
        <w:t>2014/15 بعد التحويلات. إلا أن بمقا</w:t>
      </w:r>
      <w:r w:rsidR="00A66C8D">
        <w:rPr>
          <w:rtl/>
        </w:rPr>
        <w:t>رن</w:t>
      </w:r>
      <w:r w:rsidR="00A66C8D">
        <w:rPr>
          <w:rFonts w:hint="cs"/>
          <w:rtl/>
        </w:rPr>
        <w:t>ة هذه الزيادة</w:t>
      </w:r>
      <w:r w:rsidR="00082CDD" w:rsidRPr="00411EB2">
        <w:rPr>
          <w:rtl/>
        </w:rPr>
        <w:t xml:space="preserve"> بميزانية خلاف الموظفين المعتمدة للثنائية 2012/13،</w:t>
      </w:r>
      <w:r w:rsidR="00E85456" w:rsidRPr="002E2358">
        <w:rPr>
          <w:rStyle w:val="FootnoteReference"/>
          <w:rFonts w:cs="Arabic Typesetting"/>
          <w:sz w:val="24"/>
          <w:rtl/>
        </w:rPr>
        <w:footnoteReference w:id="11"/>
      </w:r>
      <w:r w:rsidR="00695C6B" w:rsidRPr="002E2358">
        <w:rPr>
          <w:sz w:val="24"/>
          <w:szCs w:val="24"/>
          <w:rtl/>
        </w:rPr>
        <w:t xml:space="preserve"> </w:t>
      </w:r>
      <w:r w:rsidR="00A66C8D">
        <w:rPr>
          <w:rFonts w:hint="cs"/>
          <w:rtl/>
        </w:rPr>
        <w:t>فإنها لا</w:t>
      </w:r>
      <w:r w:rsidR="00695C6B" w:rsidRPr="00411EB2">
        <w:rPr>
          <w:rtl/>
        </w:rPr>
        <w:t xml:space="preserve"> تمثل سوى </w:t>
      </w:r>
      <w:r w:rsidR="00082CDD" w:rsidRPr="00411EB2">
        <w:rPr>
          <w:rtl/>
        </w:rPr>
        <w:t>نسبة 4.9 بالمائة فقط.</w:t>
      </w:r>
    </w:p>
    <w:p w:rsidR="00082CDD" w:rsidRPr="00411EB2" w:rsidRDefault="00082CDD" w:rsidP="00082CDD">
      <w:pPr>
        <w:pStyle w:val="ARNumbered1"/>
        <w:ind w:left="0" w:firstLine="0"/>
      </w:pPr>
      <w:r w:rsidRPr="00411EB2">
        <w:rPr>
          <w:rtl/>
        </w:rPr>
        <w:t xml:space="preserve">وما أتاح زيادة تكاليف خلاف الموظفين </w:t>
      </w:r>
      <w:r w:rsidR="00695C6B" w:rsidRPr="00411EB2">
        <w:rPr>
          <w:rtl/>
        </w:rPr>
        <w:t xml:space="preserve">هو </w:t>
      </w:r>
      <w:r w:rsidRPr="00411EB2">
        <w:rPr>
          <w:rtl/>
        </w:rPr>
        <w:t>اتباع استراتيجية واعية للانتقال إلى نموذج أكثر مرونة لحشد الموارد ما أدى إلى احتواء تكاليف الموظفين.</w:t>
      </w:r>
    </w:p>
    <w:p w:rsidR="00234BC6" w:rsidRPr="00411EB2" w:rsidRDefault="00DD132B" w:rsidP="00A66C8D">
      <w:pPr>
        <w:pStyle w:val="ARNumbered1"/>
        <w:ind w:left="0" w:firstLine="0"/>
      </w:pPr>
      <w:r w:rsidRPr="00411EB2">
        <w:rPr>
          <w:rtl/>
        </w:rPr>
        <w:t xml:space="preserve">وفيما يلي </w:t>
      </w:r>
      <w:r w:rsidR="00A66C8D">
        <w:rPr>
          <w:rFonts w:hint="cs"/>
          <w:rtl/>
        </w:rPr>
        <w:t>الأسباب</w:t>
      </w:r>
      <w:r w:rsidRPr="00411EB2">
        <w:rPr>
          <w:rtl/>
        </w:rPr>
        <w:t xml:space="preserve"> الرئيسية لز</w:t>
      </w:r>
      <w:r w:rsidR="00695C6B" w:rsidRPr="00411EB2">
        <w:rPr>
          <w:rtl/>
        </w:rPr>
        <w:t>ي</w:t>
      </w:r>
      <w:r w:rsidRPr="00411EB2">
        <w:rPr>
          <w:rtl/>
        </w:rPr>
        <w:t>ادة تكاليف خلاف الموظفين:</w:t>
      </w:r>
    </w:p>
    <w:p w:rsidR="00DD132B" w:rsidRPr="00411EB2" w:rsidRDefault="00DD132B" w:rsidP="00F174B2">
      <w:pPr>
        <w:pStyle w:val="ARNumbered1"/>
        <w:numPr>
          <w:ilvl w:val="0"/>
          <w:numId w:val="7"/>
        </w:numPr>
      </w:pPr>
      <w:r w:rsidRPr="00411EB2">
        <w:rPr>
          <w:rtl/>
        </w:rPr>
        <w:t>زيادة أحجام الترجمة في معاهدة التعاون بشأن البراءات</w:t>
      </w:r>
    </w:p>
    <w:p w:rsidR="00DD132B" w:rsidRPr="00411EB2" w:rsidRDefault="00DD132B" w:rsidP="00246B1B">
      <w:pPr>
        <w:pStyle w:val="ARNumbered1"/>
        <w:numPr>
          <w:ilvl w:val="1"/>
          <w:numId w:val="7"/>
        </w:numPr>
        <w:rPr>
          <w:i/>
          <w:iCs/>
        </w:rPr>
      </w:pPr>
      <w:r w:rsidRPr="00411EB2">
        <w:rPr>
          <w:i/>
          <w:iCs/>
          <w:rtl/>
        </w:rPr>
        <w:t xml:space="preserve">تبلغ تكاليف الترجمة الإضافية </w:t>
      </w:r>
      <w:r w:rsidR="00246B1B" w:rsidRPr="00411EB2">
        <w:rPr>
          <w:i/>
          <w:iCs/>
          <w:rtl/>
        </w:rPr>
        <w:t xml:space="preserve">المقدرة </w:t>
      </w:r>
      <w:r w:rsidRPr="00411EB2">
        <w:rPr>
          <w:i/>
          <w:iCs/>
          <w:rtl/>
        </w:rPr>
        <w:t>4.2 مليون فرنك سويسري (ترد في البرنامج 5 – نظام معاهدة التعاون بشأن البراءات)</w:t>
      </w:r>
    </w:p>
    <w:p w:rsidR="00DD132B" w:rsidRPr="00411EB2" w:rsidRDefault="006C50D1" w:rsidP="006C50D1">
      <w:pPr>
        <w:pStyle w:val="ARNumbered1"/>
        <w:numPr>
          <w:ilvl w:val="0"/>
          <w:numId w:val="7"/>
        </w:numPr>
      </w:pPr>
      <w:r>
        <w:rPr>
          <w:rFonts w:hint="cs"/>
          <w:rtl/>
        </w:rPr>
        <w:t xml:space="preserve">اتساع نطاق </w:t>
      </w:r>
      <w:r>
        <w:rPr>
          <w:rtl/>
        </w:rPr>
        <w:t>عضوية نظام مدريد وتعز</w:t>
      </w:r>
      <w:r w:rsidR="00DD132B" w:rsidRPr="00411EB2">
        <w:rPr>
          <w:rtl/>
        </w:rPr>
        <w:t xml:space="preserve">ز أوجه </w:t>
      </w:r>
      <w:r>
        <w:rPr>
          <w:rFonts w:hint="cs"/>
          <w:rtl/>
        </w:rPr>
        <w:t>فعاليته</w:t>
      </w:r>
      <w:r w:rsidR="00DD132B" w:rsidRPr="00411EB2">
        <w:rPr>
          <w:rtl/>
        </w:rPr>
        <w:t xml:space="preserve"> التشغيلية </w:t>
      </w:r>
    </w:p>
    <w:p w:rsidR="00DD132B" w:rsidRPr="00411EB2" w:rsidRDefault="00DD132B" w:rsidP="00D60389">
      <w:pPr>
        <w:pStyle w:val="ARNumbered1"/>
        <w:numPr>
          <w:ilvl w:val="1"/>
          <w:numId w:val="7"/>
        </w:numPr>
        <w:rPr>
          <w:i/>
          <w:iCs/>
        </w:rPr>
      </w:pPr>
      <w:r w:rsidRPr="00411EB2">
        <w:rPr>
          <w:i/>
          <w:iCs/>
          <w:rtl/>
        </w:rPr>
        <w:t xml:space="preserve">تبلغ موارد خلاف الموظفين الإضافية </w:t>
      </w:r>
      <w:r w:rsidR="00246B1B" w:rsidRPr="00411EB2">
        <w:rPr>
          <w:i/>
          <w:iCs/>
          <w:rtl/>
        </w:rPr>
        <w:t xml:space="preserve">المقدرة </w:t>
      </w:r>
      <w:r w:rsidRPr="00411EB2">
        <w:rPr>
          <w:i/>
          <w:iCs/>
          <w:rtl/>
        </w:rPr>
        <w:t>اللازمة لنظام مدريد 2.5 مليون فرنك سويسري (ترد في البرنامج</w:t>
      </w:r>
      <w:r w:rsidR="006C50D1">
        <w:rPr>
          <w:rFonts w:hint="cs"/>
          <w:i/>
          <w:iCs/>
          <w:rtl/>
        </w:rPr>
        <w:t> </w:t>
      </w:r>
      <w:r w:rsidRPr="00411EB2">
        <w:rPr>
          <w:i/>
          <w:iCs/>
          <w:rtl/>
        </w:rPr>
        <w:t>6 – نظام مدريد)</w:t>
      </w:r>
    </w:p>
    <w:p w:rsidR="00DD132B" w:rsidRPr="00411EB2" w:rsidRDefault="00DD132B" w:rsidP="00F174B2">
      <w:pPr>
        <w:pStyle w:val="ARNumbered1"/>
        <w:numPr>
          <w:ilvl w:val="0"/>
          <w:numId w:val="7"/>
        </w:numPr>
      </w:pPr>
      <w:r w:rsidRPr="00411EB2">
        <w:rPr>
          <w:rtl/>
        </w:rPr>
        <w:t>زيادة الاعتماد على تكنولوجيا المعلومات والاتصالات وضرورة تعزيز مرونة معاهدة التعاون بشأن البراءات وأمن تكنولوجيا المعلومات والاتصالات</w:t>
      </w:r>
    </w:p>
    <w:p w:rsidR="00DD132B" w:rsidRPr="00411EB2" w:rsidRDefault="00DD132B" w:rsidP="00246B1B">
      <w:pPr>
        <w:pStyle w:val="ARNumbered1"/>
        <w:numPr>
          <w:ilvl w:val="1"/>
          <w:numId w:val="7"/>
        </w:numPr>
        <w:rPr>
          <w:i/>
          <w:iCs/>
        </w:rPr>
      </w:pPr>
      <w:r w:rsidRPr="00411EB2">
        <w:rPr>
          <w:i/>
          <w:iCs/>
          <w:rtl/>
        </w:rPr>
        <w:t xml:space="preserve">تبلغ موارد خلاف الموظفين الإضافية </w:t>
      </w:r>
      <w:r w:rsidR="00246B1B" w:rsidRPr="00411EB2">
        <w:rPr>
          <w:i/>
          <w:iCs/>
          <w:rtl/>
        </w:rPr>
        <w:t xml:space="preserve">المقدرة </w:t>
      </w:r>
      <w:r w:rsidRPr="00411EB2">
        <w:rPr>
          <w:i/>
          <w:iCs/>
          <w:rtl/>
        </w:rPr>
        <w:t xml:space="preserve">اللازمة 1.4 مليون فرنك سويسري (ترد في البرنامج 5 – نظام معاهدة التعاون بشأن البراءات) و6.9 مليون فرنك سويسري (ترد في البرنامج 25 – تكنولوجيا المعلومات والاتصالات) و3.9 مليون فرنك سويسري (ترد في البرنامج 28 – تأمين المعلومات والسلامة والأمن) </w:t>
      </w:r>
    </w:p>
    <w:p w:rsidR="00DD132B" w:rsidRPr="00411EB2" w:rsidRDefault="00DD132B" w:rsidP="00F174B2">
      <w:pPr>
        <w:pStyle w:val="ARNumbered1"/>
        <w:numPr>
          <w:ilvl w:val="0"/>
          <w:numId w:val="7"/>
        </w:numPr>
      </w:pPr>
      <w:r w:rsidRPr="00411EB2">
        <w:rPr>
          <w:rtl/>
        </w:rPr>
        <w:t>زيادة بصمة التخطيط للموارد المؤسسية في العمليات</w:t>
      </w:r>
    </w:p>
    <w:p w:rsidR="00DD132B" w:rsidRPr="00411EB2" w:rsidRDefault="00DD132B" w:rsidP="00F174B2">
      <w:pPr>
        <w:pStyle w:val="ARNumbered1"/>
        <w:numPr>
          <w:ilvl w:val="1"/>
          <w:numId w:val="7"/>
        </w:numPr>
        <w:rPr>
          <w:i/>
          <w:iCs/>
        </w:rPr>
      </w:pPr>
      <w:r w:rsidRPr="00411EB2">
        <w:rPr>
          <w:i/>
          <w:iCs/>
          <w:rtl/>
        </w:rPr>
        <w:t>تبلغ موارد خلاف الموظفين الإضافية المقدرة اللازمة 1.6 مليون فرنك سويسري (ترد في البرنامج 22 – إدارة البرامج والموارد)</w:t>
      </w:r>
    </w:p>
    <w:p w:rsidR="00DD132B" w:rsidRPr="00411EB2" w:rsidRDefault="00DA223B" w:rsidP="00F174B2">
      <w:pPr>
        <w:pStyle w:val="ARNumbered1"/>
        <w:numPr>
          <w:ilvl w:val="0"/>
          <w:numId w:val="7"/>
        </w:numPr>
      </w:pPr>
      <w:r>
        <w:rPr>
          <w:rFonts w:hint="cs"/>
          <w:rtl/>
        </w:rPr>
        <w:t xml:space="preserve">تطبيق </w:t>
      </w:r>
      <w:r w:rsidR="00DD132B" w:rsidRPr="00411EB2">
        <w:rPr>
          <w:rtl/>
        </w:rPr>
        <w:t>أسعار الفائدة السلبية على الودائع بالفرنك السويسري</w:t>
      </w:r>
    </w:p>
    <w:p w:rsidR="00E85456" w:rsidRPr="00DA223B" w:rsidRDefault="00E85456" w:rsidP="00F174B2">
      <w:pPr>
        <w:pStyle w:val="ARNumbered1"/>
        <w:numPr>
          <w:ilvl w:val="1"/>
          <w:numId w:val="7"/>
        </w:numPr>
        <w:rPr>
          <w:i/>
          <w:iCs/>
        </w:rPr>
      </w:pPr>
      <w:r w:rsidRPr="00DA223B">
        <w:rPr>
          <w:i/>
          <w:iCs/>
          <w:rtl/>
        </w:rPr>
        <w:t>تبلغ موارد خلاف الموظفين المقدرة اللازمة 2.4 مليون فرنك سويسري (ترد في البرنامج 22 – إدارة البرامج والموارد)</w:t>
      </w:r>
    </w:p>
    <w:p w:rsidR="00C92921" w:rsidRDefault="00C92921" w:rsidP="00691D01">
      <w:pPr>
        <w:pStyle w:val="ARNumbered1"/>
        <w:ind w:left="0" w:firstLine="0"/>
      </w:pPr>
      <w:r>
        <w:rPr>
          <w:rFonts w:hint="cs"/>
          <w:rtl/>
        </w:rPr>
        <w:t xml:space="preserve">وخصّصت </w:t>
      </w:r>
      <w:r w:rsidRPr="00C92921">
        <w:rPr>
          <w:rtl/>
        </w:rPr>
        <w:t xml:space="preserve">الأمانة </w:t>
      </w:r>
      <w:r>
        <w:rPr>
          <w:rFonts w:hint="cs"/>
          <w:rtl/>
        </w:rPr>
        <w:t>موارد</w:t>
      </w:r>
      <w:r w:rsidRPr="00C92921">
        <w:rPr>
          <w:rtl/>
        </w:rPr>
        <w:t xml:space="preserve"> </w:t>
      </w:r>
      <w:r>
        <w:rPr>
          <w:rFonts w:hint="cs"/>
          <w:rtl/>
        </w:rPr>
        <w:t>ل</w:t>
      </w:r>
      <w:r w:rsidRPr="00C92921">
        <w:rPr>
          <w:rtl/>
        </w:rPr>
        <w:t xml:space="preserve">متطلبات </w:t>
      </w:r>
      <w:r>
        <w:rPr>
          <w:rFonts w:hint="cs"/>
          <w:rtl/>
        </w:rPr>
        <w:t xml:space="preserve">عمليات تجديد المباني و/أو تحويلها و/أو تحديثها ضمن </w:t>
      </w:r>
      <w:r w:rsidRPr="00C92921">
        <w:rPr>
          <w:rtl/>
        </w:rPr>
        <w:t>الميزانية العادية للبرنامج</w:t>
      </w:r>
      <w:r w:rsidR="00691D01">
        <w:rPr>
          <w:rFonts w:hint="eastAsia"/>
          <w:rtl/>
        </w:rPr>
        <w:t> </w:t>
      </w:r>
      <w:r>
        <w:rPr>
          <w:rFonts w:hint="cs"/>
          <w:rtl/>
        </w:rPr>
        <w:t>24 (</w:t>
      </w:r>
      <w:r w:rsidR="00691D01">
        <w:rPr>
          <w:rFonts w:hint="cs"/>
          <w:rtl/>
        </w:rPr>
        <w:t>خدمات الدعم العامة).</w:t>
      </w:r>
    </w:p>
    <w:p w:rsidR="00234BC6" w:rsidRPr="00411EB2" w:rsidRDefault="00E85456" w:rsidP="00E85456">
      <w:pPr>
        <w:pStyle w:val="ARNumbered1"/>
        <w:ind w:left="0" w:firstLine="0"/>
      </w:pPr>
      <w:r w:rsidRPr="00411EB2">
        <w:rPr>
          <w:rtl/>
        </w:rPr>
        <w:t>وترد تدابير الفعالية من حيث التكاليف المحددة في الثنائية 2014/15 كأسس مقارنة في وثيقة البرنامج والميزانية للثنائية 2016/17 (أي تكاليف السفر وأوجه الفعالية في العقود وخفض تكاليف الطباعة وإسناد الترجمات إلى الجهات الصحيحة وما إلى ذلك)، وسيتواصل تحديد تدابير الفعالية من التكاليف وتن</w:t>
      </w:r>
      <w:r w:rsidR="00DA223B">
        <w:rPr>
          <w:rFonts w:hint="cs"/>
          <w:rtl/>
        </w:rPr>
        <w:t>ف</w:t>
      </w:r>
      <w:r w:rsidRPr="00411EB2">
        <w:rPr>
          <w:rtl/>
        </w:rPr>
        <w:t>يذها خلال الثنائية، بما في ذلك عبر فريق جنيف الدولي للتعاون، وهو فريق يضم منظمات دولية قائمة في جنيف أنشئ في سنة 2014. ويرمي هذا الفريق إلى تحقيق وفورات كبيرة في مجالات منها خدمات التأمين والمؤتمرات والطباعة، وخدمات البلد المضيف.</w:t>
      </w:r>
    </w:p>
    <w:p w:rsidR="00234BC6" w:rsidRPr="00411EB2" w:rsidRDefault="008945F0" w:rsidP="00AA5889">
      <w:pPr>
        <w:pStyle w:val="ARNumbered1"/>
        <w:keepNext/>
        <w:numPr>
          <w:ilvl w:val="0"/>
          <w:numId w:val="0"/>
        </w:numPr>
        <w:rPr>
          <w:b/>
          <w:bCs/>
        </w:rPr>
      </w:pPr>
      <w:r w:rsidRPr="00411EB2">
        <w:rPr>
          <w:b/>
          <w:bCs/>
          <w:rtl/>
        </w:rPr>
        <w:lastRenderedPageBreak/>
        <w:t>تغييرات</w:t>
      </w:r>
      <w:r w:rsidR="00E85456" w:rsidRPr="00411EB2">
        <w:rPr>
          <w:b/>
          <w:bCs/>
          <w:rtl/>
        </w:rPr>
        <w:t xml:space="preserve"> فئات التكاليف</w:t>
      </w:r>
    </w:p>
    <w:p w:rsidR="00234BC6" w:rsidRPr="00411EB2" w:rsidRDefault="00DA223B" w:rsidP="00AA5889">
      <w:pPr>
        <w:pStyle w:val="ARNumbered1"/>
        <w:keepNext/>
        <w:ind w:left="0" w:firstLine="0"/>
      </w:pPr>
      <w:r>
        <w:rPr>
          <w:rFonts w:hint="cs"/>
          <w:rtl/>
        </w:rPr>
        <w:t xml:space="preserve">ترد </w:t>
      </w:r>
      <w:r w:rsidR="008945F0" w:rsidRPr="00411EB2">
        <w:rPr>
          <w:rtl/>
        </w:rPr>
        <w:t>فيما يلي تغييرات فئات التكاليف للثنائية 2016/17:</w:t>
      </w:r>
      <w:r w:rsidR="008945F0" w:rsidRPr="00411EB2">
        <w:rPr>
          <w:rStyle w:val="FootnoteReference"/>
          <w:rFonts w:cs="Arabic Typesetting"/>
          <w:rtl/>
        </w:rPr>
        <w:footnoteReference w:id="12"/>
      </w:r>
      <w:r w:rsidR="008945F0" w:rsidRPr="00411EB2">
        <w:rPr>
          <w:rtl/>
        </w:rPr>
        <w:t xml:space="preserve"> </w:t>
      </w:r>
    </w:p>
    <w:p w:rsidR="00234BC6" w:rsidRPr="00411EB2" w:rsidRDefault="00DA223B" w:rsidP="00703B3A">
      <w:pPr>
        <w:pStyle w:val="ARNumbered1"/>
        <w:ind w:left="0" w:firstLine="0"/>
      </w:pPr>
      <w:r>
        <w:rPr>
          <w:rFonts w:hint="cs"/>
          <w:rtl/>
        </w:rPr>
        <w:t>أنشئ</w:t>
      </w:r>
      <w:r w:rsidR="00703B3A">
        <w:rPr>
          <w:rFonts w:hint="cs"/>
          <w:rtl/>
        </w:rPr>
        <w:t>ت</w:t>
      </w:r>
      <w:r>
        <w:rPr>
          <w:rFonts w:hint="cs"/>
          <w:rtl/>
        </w:rPr>
        <w:t xml:space="preserve"> </w:t>
      </w:r>
      <w:r w:rsidR="00703B3A">
        <w:rPr>
          <w:rFonts w:hint="cs"/>
          <w:rtl/>
        </w:rPr>
        <w:t>فئة</w:t>
      </w:r>
      <w:r>
        <w:rPr>
          <w:rtl/>
        </w:rPr>
        <w:t xml:space="preserve"> التكاليف الجديد</w:t>
      </w:r>
      <w:r w:rsidR="00703B3A">
        <w:rPr>
          <w:rFonts w:hint="cs"/>
          <w:rtl/>
        </w:rPr>
        <w:t>ة</w:t>
      </w:r>
      <w:r>
        <w:rPr>
          <w:rtl/>
        </w:rPr>
        <w:t xml:space="preserve"> </w:t>
      </w:r>
      <w:proofErr w:type="spellStart"/>
      <w:r>
        <w:rPr>
          <w:rtl/>
        </w:rPr>
        <w:t>المعنون</w:t>
      </w:r>
      <w:r w:rsidR="00703B3A">
        <w:rPr>
          <w:rFonts w:hint="cs"/>
          <w:rtl/>
        </w:rPr>
        <w:t>ة</w:t>
      </w:r>
      <w:proofErr w:type="spellEnd"/>
      <w:r w:rsidR="00787989" w:rsidRPr="00411EB2">
        <w:rPr>
          <w:rtl/>
        </w:rPr>
        <w:t xml:space="preserve"> "</w:t>
      </w:r>
      <w:r>
        <w:rPr>
          <w:rFonts w:hint="cs"/>
          <w:rtl/>
        </w:rPr>
        <w:t>تكاليف</w:t>
      </w:r>
      <w:r w:rsidR="00E32463" w:rsidRPr="00411EB2">
        <w:rPr>
          <w:rtl/>
        </w:rPr>
        <w:t xml:space="preserve"> الخدمات المالية</w:t>
      </w:r>
      <w:r w:rsidR="00787989" w:rsidRPr="00411EB2">
        <w:rPr>
          <w:rtl/>
        </w:rPr>
        <w:t xml:space="preserve">" بتوصية من مراجع الحسابات الخارجي للإبلاغ على نحو منفصل عن سداد </w:t>
      </w:r>
      <w:r w:rsidR="00E32463" w:rsidRPr="00411EB2">
        <w:rPr>
          <w:rtl/>
        </w:rPr>
        <w:t>فوائد</w:t>
      </w:r>
      <w:r w:rsidR="00787989" w:rsidRPr="00411EB2">
        <w:rPr>
          <w:rtl/>
        </w:rPr>
        <w:t xml:space="preserve"> قرض المبنى الجديد (المحسوبة في البرنامج 24)، </w:t>
      </w:r>
      <w:r w:rsidR="00E32463" w:rsidRPr="00411EB2">
        <w:rPr>
          <w:rtl/>
        </w:rPr>
        <w:t>والتكاليف</w:t>
      </w:r>
      <w:r w:rsidR="00787989" w:rsidRPr="00411EB2">
        <w:rPr>
          <w:rtl/>
        </w:rPr>
        <w:t xml:space="preserve"> المصرفية، بما فيها سداد </w:t>
      </w:r>
      <w:r w:rsidR="00E32463" w:rsidRPr="00411EB2">
        <w:rPr>
          <w:rtl/>
        </w:rPr>
        <w:t>الفوائد</w:t>
      </w:r>
      <w:r w:rsidR="00787989" w:rsidRPr="00411EB2">
        <w:rPr>
          <w:rtl/>
        </w:rPr>
        <w:t xml:space="preserve"> السلبية </w:t>
      </w:r>
      <w:r w:rsidR="00703B3A">
        <w:rPr>
          <w:rFonts w:hint="cs"/>
          <w:rtl/>
        </w:rPr>
        <w:t xml:space="preserve">المطبقة </w:t>
      </w:r>
      <w:r w:rsidR="00787989" w:rsidRPr="00411EB2">
        <w:rPr>
          <w:rtl/>
        </w:rPr>
        <w:t xml:space="preserve">على الودائع بالفرنك السويسري (المحسوبة في البرنامج 22). وعليه يمكن ملاحظة زيادة بمبلغ 6.4 مليون فرنك سويسري في </w:t>
      </w:r>
      <w:r w:rsidR="00703B3A">
        <w:rPr>
          <w:rFonts w:hint="cs"/>
          <w:rtl/>
        </w:rPr>
        <w:t>فئة</w:t>
      </w:r>
      <w:r w:rsidR="00787989" w:rsidRPr="00411EB2">
        <w:rPr>
          <w:rtl/>
        </w:rPr>
        <w:t xml:space="preserve"> "</w:t>
      </w:r>
      <w:r>
        <w:rPr>
          <w:rFonts w:hint="cs"/>
          <w:rtl/>
        </w:rPr>
        <w:t>تكاليف</w:t>
      </w:r>
      <w:r w:rsidR="00E32463" w:rsidRPr="00411EB2">
        <w:rPr>
          <w:rtl/>
        </w:rPr>
        <w:t xml:space="preserve"> الخدمات المالية</w:t>
      </w:r>
      <w:r w:rsidR="00787989" w:rsidRPr="00411EB2">
        <w:rPr>
          <w:rtl/>
        </w:rPr>
        <w:t xml:space="preserve">" يعوضها جزئيا انخفاض </w:t>
      </w:r>
      <w:r>
        <w:rPr>
          <w:rFonts w:hint="cs"/>
          <w:rtl/>
        </w:rPr>
        <w:t>قدره</w:t>
      </w:r>
      <w:r w:rsidR="00787989" w:rsidRPr="00411EB2">
        <w:rPr>
          <w:rtl/>
        </w:rPr>
        <w:t xml:space="preserve"> 3.5 مليون فرنك سويسري في </w:t>
      </w:r>
      <w:r w:rsidR="00703B3A">
        <w:rPr>
          <w:rFonts w:hint="cs"/>
          <w:rtl/>
        </w:rPr>
        <w:t>فئة</w:t>
      </w:r>
      <w:r w:rsidR="00631827" w:rsidRPr="00411EB2">
        <w:rPr>
          <w:rtl/>
        </w:rPr>
        <w:t xml:space="preserve"> </w:t>
      </w:r>
      <w:r w:rsidR="00787989" w:rsidRPr="00411EB2">
        <w:rPr>
          <w:rtl/>
        </w:rPr>
        <w:t xml:space="preserve">"المباني والصيانة" (حسبت </w:t>
      </w:r>
      <w:r w:rsidR="00E32463" w:rsidRPr="00411EB2">
        <w:rPr>
          <w:rtl/>
        </w:rPr>
        <w:t>الفوائد</w:t>
      </w:r>
      <w:r w:rsidR="00787989" w:rsidRPr="00411EB2">
        <w:rPr>
          <w:rtl/>
        </w:rPr>
        <w:t xml:space="preserve"> </w:t>
      </w:r>
      <w:r w:rsidR="00E32463" w:rsidRPr="00411EB2">
        <w:rPr>
          <w:rtl/>
        </w:rPr>
        <w:t xml:space="preserve">التي سبق سدادها </w:t>
      </w:r>
      <w:r w:rsidR="00787989" w:rsidRPr="00411EB2">
        <w:rPr>
          <w:rtl/>
        </w:rPr>
        <w:t xml:space="preserve">في إطار هذه الفئة من التكاليف). وفي الثنائية 2016/17 استعيض عن </w:t>
      </w:r>
      <w:r w:rsidR="00703B3A">
        <w:rPr>
          <w:rFonts w:hint="cs"/>
          <w:rtl/>
        </w:rPr>
        <w:t>فئة</w:t>
      </w:r>
      <w:r w:rsidR="00631827" w:rsidRPr="00411EB2">
        <w:rPr>
          <w:rtl/>
        </w:rPr>
        <w:t xml:space="preserve"> </w:t>
      </w:r>
      <w:r w:rsidR="00787989" w:rsidRPr="00411EB2">
        <w:rPr>
          <w:rtl/>
        </w:rPr>
        <w:t xml:space="preserve">التكاليف </w:t>
      </w:r>
      <w:proofErr w:type="spellStart"/>
      <w:r>
        <w:rPr>
          <w:rFonts w:hint="cs"/>
          <w:rtl/>
        </w:rPr>
        <w:t>المعنون</w:t>
      </w:r>
      <w:r w:rsidR="00703B3A">
        <w:rPr>
          <w:rFonts w:hint="cs"/>
          <w:rtl/>
        </w:rPr>
        <w:t>ة</w:t>
      </w:r>
      <w:proofErr w:type="spellEnd"/>
      <w:r>
        <w:rPr>
          <w:rFonts w:hint="cs"/>
          <w:rtl/>
        </w:rPr>
        <w:t xml:space="preserve"> </w:t>
      </w:r>
      <w:r w:rsidR="00787989" w:rsidRPr="00411EB2">
        <w:rPr>
          <w:rtl/>
        </w:rPr>
        <w:t xml:space="preserve">"الرسوم الإدارية والمصرفية" </w:t>
      </w:r>
      <w:r w:rsidR="00703B3A">
        <w:rPr>
          <w:rFonts w:hint="cs"/>
          <w:rtl/>
        </w:rPr>
        <w:t>بفئة</w:t>
      </w:r>
      <w:r w:rsidR="00787989" w:rsidRPr="00411EB2">
        <w:rPr>
          <w:rtl/>
        </w:rPr>
        <w:t xml:space="preserve"> "</w:t>
      </w:r>
      <w:r>
        <w:rPr>
          <w:rFonts w:hint="cs"/>
          <w:rtl/>
        </w:rPr>
        <w:t>تكاليف</w:t>
      </w:r>
      <w:r w:rsidR="00E32463" w:rsidRPr="00411EB2">
        <w:rPr>
          <w:rtl/>
        </w:rPr>
        <w:t xml:space="preserve"> الخدمات المالية</w:t>
      </w:r>
      <w:r w:rsidR="00787989" w:rsidRPr="00411EB2">
        <w:rPr>
          <w:rtl/>
        </w:rPr>
        <w:t>".</w:t>
      </w:r>
    </w:p>
    <w:p w:rsidR="00D46086" w:rsidRPr="00411EB2" w:rsidRDefault="00703B3A" w:rsidP="00703B3A">
      <w:pPr>
        <w:pStyle w:val="ARNumbered1"/>
        <w:ind w:left="0" w:firstLine="0"/>
      </w:pPr>
      <w:r>
        <w:rPr>
          <w:rFonts w:hint="cs"/>
          <w:rtl/>
        </w:rPr>
        <w:t>وتشمل فئة</w:t>
      </w:r>
      <w:r w:rsidR="00631827" w:rsidRPr="00411EB2">
        <w:rPr>
          <w:rtl/>
        </w:rPr>
        <w:t xml:space="preserve"> </w:t>
      </w:r>
      <w:r w:rsidR="00DA223B">
        <w:rPr>
          <w:rtl/>
        </w:rPr>
        <w:t>التكاليف الجديد</w:t>
      </w:r>
      <w:r>
        <w:rPr>
          <w:rFonts w:hint="cs"/>
          <w:rtl/>
        </w:rPr>
        <w:t>ة</w:t>
      </w:r>
      <w:r w:rsidR="00DA223B">
        <w:rPr>
          <w:rtl/>
        </w:rPr>
        <w:t xml:space="preserve"> </w:t>
      </w:r>
      <w:proofErr w:type="spellStart"/>
      <w:r w:rsidR="00DA223B">
        <w:rPr>
          <w:rtl/>
        </w:rPr>
        <w:t>المعنون</w:t>
      </w:r>
      <w:r>
        <w:rPr>
          <w:rFonts w:hint="cs"/>
          <w:rtl/>
        </w:rPr>
        <w:t>ة</w:t>
      </w:r>
      <w:proofErr w:type="spellEnd"/>
      <w:r w:rsidR="00D90C1C" w:rsidRPr="00411EB2">
        <w:rPr>
          <w:rtl/>
        </w:rPr>
        <w:t xml:space="preserve"> "التمثيل ومصروفات التشغيل الأخرى" تكاليف تمثيل المجموعات وغيرها من مصروفات التشغيل (المحسوبة في ميزانية الثنائية 2014/15 في </w:t>
      </w:r>
      <w:r>
        <w:rPr>
          <w:rFonts w:hint="cs"/>
          <w:rtl/>
        </w:rPr>
        <w:t>فئة</w:t>
      </w:r>
      <w:r w:rsidR="00631827" w:rsidRPr="00411EB2">
        <w:rPr>
          <w:rtl/>
        </w:rPr>
        <w:t xml:space="preserve"> </w:t>
      </w:r>
      <w:r w:rsidR="00D90C1C" w:rsidRPr="00411EB2">
        <w:rPr>
          <w:rtl/>
        </w:rPr>
        <w:t xml:space="preserve">"الرسوم الإدارية والمصرفية") ما </w:t>
      </w:r>
      <w:r w:rsidR="00E32463" w:rsidRPr="00411EB2">
        <w:rPr>
          <w:rtl/>
        </w:rPr>
        <w:t>أدى</w:t>
      </w:r>
      <w:r w:rsidR="00D90C1C" w:rsidRPr="00411EB2">
        <w:rPr>
          <w:rtl/>
        </w:rPr>
        <w:t xml:space="preserve"> إلى زيادة</w:t>
      </w:r>
      <w:r w:rsidR="00E32463" w:rsidRPr="00411EB2">
        <w:rPr>
          <w:rtl/>
        </w:rPr>
        <w:t xml:space="preserve"> التكاليف</w:t>
      </w:r>
      <w:r w:rsidR="00D90C1C" w:rsidRPr="00411EB2">
        <w:rPr>
          <w:rtl/>
        </w:rPr>
        <w:t xml:space="preserve"> </w:t>
      </w:r>
      <w:r>
        <w:rPr>
          <w:rFonts w:hint="cs"/>
          <w:rtl/>
        </w:rPr>
        <w:t>بمبلغ</w:t>
      </w:r>
      <w:r w:rsidR="00D90C1C" w:rsidRPr="00411EB2">
        <w:rPr>
          <w:rtl/>
        </w:rPr>
        <w:t xml:space="preserve"> 0.3 مليون فرنك سويسري في الثنائية 2016/17.</w:t>
      </w:r>
    </w:p>
    <w:p w:rsidR="00D90C1C" w:rsidRPr="00411EB2" w:rsidRDefault="00D90C1C" w:rsidP="00703B3A">
      <w:pPr>
        <w:pStyle w:val="ARNumbered1"/>
        <w:ind w:left="0" w:firstLine="0"/>
      </w:pPr>
      <w:r w:rsidRPr="00411EB2">
        <w:rPr>
          <w:rtl/>
        </w:rPr>
        <w:t xml:space="preserve">وأعيد تسمية </w:t>
      </w:r>
      <w:r w:rsidR="00703B3A">
        <w:rPr>
          <w:rFonts w:hint="cs"/>
          <w:rtl/>
        </w:rPr>
        <w:t>فئة</w:t>
      </w:r>
      <w:r w:rsidR="00631827" w:rsidRPr="00411EB2">
        <w:rPr>
          <w:rtl/>
        </w:rPr>
        <w:t xml:space="preserve"> </w:t>
      </w:r>
      <w:r w:rsidR="00DA223B">
        <w:rPr>
          <w:rtl/>
        </w:rPr>
        <w:t>التكاليف السابق</w:t>
      </w:r>
      <w:r w:rsidR="00703B3A">
        <w:rPr>
          <w:rFonts w:hint="cs"/>
          <w:rtl/>
        </w:rPr>
        <w:t>ة</w:t>
      </w:r>
      <w:r w:rsidRPr="00411EB2">
        <w:rPr>
          <w:rtl/>
        </w:rPr>
        <w:t xml:space="preserve"> "منح الدورات" باسم "التدريب وما يرتبط به من منح الأسفار" للتفرقة على نحو أفضل بين طبيعة هذه النفقات وطبيعة نفقات "منح الويبو". وعلى الرغم من أن </w:t>
      </w:r>
      <w:proofErr w:type="spellStart"/>
      <w:r w:rsidRPr="00411EB2">
        <w:rPr>
          <w:rtl/>
        </w:rPr>
        <w:t>الانفخاض</w:t>
      </w:r>
      <w:proofErr w:type="spellEnd"/>
      <w:r w:rsidRPr="00411EB2">
        <w:rPr>
          <w:rtl/>
        </w:rPr>
        <w:t xml:space="preserve"> في </w:t>
      </w:r>
      <w:r w:rsidR="00703B3A">
        <w:rPr>
          <w:rFonts w:hint="cs"/>
          <w:rtl/>
        </w:rPr>
        <w:t>هذه الفئة</w:t>
      </w:r>
      <w:r w:rsidRPr="00411EB2">
        <w:rPr>
          <w:rtl/>
        </w:rPr>
        <w:t xml:space="preserve"> </w:t>
      </w:r>
      <w:r w:rsidR="00DA223B" w:rsidRPr="00411EB2">
        <w:rPr>
          <w:rtl/>
        </w:rPr>
        <w:t xml:space="preserve">يبلغ 0.8 مليون فرنك سويسري </w:t>
      </w:r>
      <w:r w:rsidRPr="00411EB2">
        <w:rPr>
          <w:rtl/>
        </w:rPr>
        <w:t>مقارنة بميزانية</w:t>
      </w:r>
      <w:r w:rsidR="00DA223B">
        <w:rPr>
          <w:rtl/>
        </w:rPr>
        <w:t xml:space="preserve"> الثنائية 2014/15 بعد التحويلات</w:t>
      </w:r>
      <w:r w:rsidR="00DA223B">
        <w:rPr>
          <w:rFonts w:hint="cs"/>
          <w:rtl/>
        </w:rPr>
        <w:t>،</w:t>
      </w:r>
      <w:r w:rsidRPr="00411EB2">
        <w:rPr>
          <w:rtl/>
        </w:rPr>
        <w:t xml:space="preserve"> </w:t>
      </w:r>
      <w:r w:rsidR="00DA223B">
        <w:rPr>
          <w:rFonts w:hint="cs"/>
          <w:rtl/>
        </w:rPr>
        <w:t xml:space="preserve">فإنه </w:t>
      </w:r>
      <w:r w:rsidR="00DA223B" w:rsidRPr="00411EB2">
        <w:rPr>
          <w:rtl/>
        </w:rPr>
        <w:t xml:space="preserve">لا يبلغ سوى 0.2 مليون فرنك سويسري </w:t>
      </w:r>
      <w:r w:rsidRPr="00411EB2">
        <w:rPr>
          <w:rtl/>
        </w:rPr>
        <w:t>مقارنة بالميزانية المعتمدة للثنائية</w:t>
      </w:r>
      <w:r w:rsidR="00DA223B">
        <w:rPr>
          <w:rFonts w:hint="cs"/>
          <w:rtl/>
        </w:rPr>
        <w:t> </w:t>
      </w:r>
      <w:r w:rsidRPr="00411EB2">
        <w:rPr>
          <w:rtl/>
        </w:rPr>
        <w:t>2014/15. وتبين التغييرات الملاحظة إعادة توزيع الموارد داخل أكاديمية الويبو والبرنامج 3 (حق المؤلف والحقوق المجاورة).</w:t>
      </w:r>
    </w:p>
    <w:p w:rsidR="00D90C1C" w:rsidRPr="00411EB2" w:rsidRDefault="001052C2" w:rsidP="00703B3A">
      <w:pPr>
        <w:pStyle w:val="ARNumbered1"/>
        <w:ind w:left="0" w:firstLine="0"/>
      </w:pPr>
      <w:r w:rsidRPr="00411EB2">
        <w:rPr>
          <w:rtl/>
        </w:rPr>
        <w:t>و</w:t>
      </w:r>
      <w:r w:rsidR="000B340E" w:rsidRPr="00411EB2">
        <w:rPr>
          <w:rtl/>
        </w:rPr>
        <w:t xml:space="preserve">تعزى الزيادة في </w:t>
      </w:r>
      <w:r w:rsidR="00703B3A">
        <w:rPr>
          <w:rFonts w:hint="cs"/>
          <w:rtl/>
        </w:rPr>
        <w:t>فئة</w:t>
      </w:r>
      <w:r w:rsidR="00631827" w:rsidRPr="00411EB2">
        <w:rPr>
          <w:rtl/>
        </w:rPr>
        <w:t xml:space="preserve"> </w:t>
      </w:r>
      <w:r w:rsidR="000B340E" w:rsidRPr="00411EB2">
        <w:rPr>
          <w:rtl/>
        </w:rPr>
        <w:t xml:space="preserve">"الخدمات التعاقدية الأخرى" </w:t>
      </w:r>
      <w:r w:rsidR="008D31F1" w:rsidRPr="00411EB2">
        <w:rPr>
          <w:rtl/>
        </w:rPr>
        <w:t>بمبلغ</w:t>
      </w:r>
      <w:r w:rsidR="000B340E" w:rsidRPr="00411EB2">
        <w:rPr>
          <w:rtl/>
        </w:rPr>
        <w:t xml:space="preserve"> 21.4 مليون فرنك سويسري، أو بنسبة 21.6 بالمائة، مقارنة بميزانية الثنائية 2014/15 بعد التحويلات، أساسا إلى زيادة أحجام الترجمة في معاهدة التعاون بشأن البراءات، وضرورة تعزيز مرونة نظام </w:t>
      </w:r>
      <w:r w:rsidR="002C764D" w:rsidRPr="00411EB2">
        <w:rPr>
          <w:rtl/>
        </w:rPr>
        <w:t>المعاهدة</w:t>
      </w:r>
      <w:r w:rsidR="000B340E" w:rsidRPr="00411EB2">
        <w:rPr>
          <w:rtl/>
        </w:rPr>
        <w:t xml:space="preserve"> وزيادة الاعتماد على تكنولوجيا المعلومات والاتصالات </w:t>
      </w:r>
      <w:r w:rsidRPr="00411EB2">
        <w:rPr>
          <w:rtl/>
        </w:rPr>
        <w:t xml:space="preserve">وأمن المعلومات، ما أدى إلى </w:t>
      </w:r>
      <w:r w:rsidR="00631827">
        <w:rPr>
          <w:rFonts w:hint="cs"/>
          <w:rtl/>
        </w:rPr>
        <w:t xml:space="preserve">زيادة في </w:t>
      </w:r>
      <w:r w:rsidR="00703B3A">
        <w:rPr>
          <w:rFonts w:hint="cs"/>
          <w:rtl/>
        </w:rPr>
        <w:t>فئة</w:t>
      </w:r>
      <w:r w:rsidR="00631827" w:rsidRPr="00411EB2">
        <w:rPr>
          <w:rtl/>
        </w:rPr>
        <w:t xml:space="preserve"> </w:t>
      </w:r>
      <w:r w:rsidRPr="00411EB2">
        <w:rPr>
          <w:rtl/>
        </w:rPr>
        <w:t>"الإمدادات واللوازم" (وخاصة ز</w:t>
      </w:r>
      <w:r w:rsidR="002C764D" w:rsidRPr="00411EB2">
        <w:rPr>
          <w:rtl/>
        </w:rPr>
        <w:t>ي</w:t>
      </w:r>
      <w:r w:rsidRPr="00411EB2">
        <w:rPr>
          <w:rtl/>
        </w:rPr>
        <w:t>ادة تكاليف البرمجيات والتراخيص).</w:t>
      </w:r>
    </w:p>
    <w:p w:rsidR="001052C2" w:rsidRPr="00411EB2" w:rsidRDefault="001052C2" w:rsidP="00703B3A">
      <w:pPr>
        <w:pStyle w:val="ARNumbered1"/>
        <w:ind w:left="0" w:firstLine="0"/>
      </w:pPr>
      <w:r w:rsidRPr="00411EB2">
        <w:rPr>
          <w:rtl/>
        </w:rPr>
        <w:t xml:space="preserve">وأدت زيادة الاحتياجات التشغيلية في أنظمة التسجيل الدولي إلى زيادة الموارد المحسوبة في ميزانية </w:t>
      </w:r>
      <w:r w:rsidR="00703B3A">
        <w:rPr>
          <w:rFonts w:hint="cs"/>
          <w:rtl/>
        </w:rPr>
        <w:t>فئة</w:t>
      </w:r>
      <w:r w:rsidR="00631827" w:rsidRPr="00411EB2">
        <w:rPr>
          <w:rtl/>
        </w:rPr>
        <w:t xml:space="preserve"> </w:t>
      </w:r>
      <w:r w:rsidRPr="00411EB2">
        <w:rPr>
          <w:rtl/>
        </w:rPr>
        <w:t xml:space="preserve">"منح الويبو" بمبلغ 0.7 مليون فرنك سويسري في الثنائية 2016/17 مقارنة بميزانية </w:t>
      </w:r>
      <w:r w:rsidR="002C764D" w:rsidRPr="00411EB2">
        <w:rPr>
          <w:rtl/>
        </w:rPr>
        <w:t>الثنائية 2014/15 بعد التحويلات.</w:t>
      </w:r>
    </w:p>
    <w:p w:rsidR="00D90C1C" w:rsidRPr="00411EB2" w:rsidRDefault="001052C2" w:rsidP="00703B3A">
      <w:pPr>
        <w:pStyle w:val="ARNumbered1"/>
        <w:ind w:left="0" w:firstLine="0"/>
      </w:pPr>
      <w:r w:rsidRPr="00411EB2">
        <w:rPr>
          <w:rtl/>
        </w:rPr>
        <w:t xml:space="preserve">ويعزى الانخفاض البالغ 0.5 مليون فرنك سويسري في الموارد المحسوبة </w:t>
      </w:r>
      <w:r w:rsidR="00703B3A">
        <w:rPr>
          <w:rFonts w:hint="cs"/>
          <w:rtl/>
        </w:rPr>
        <w:t>ل</w:t>
      </w:r>
      <w:r w:rsidRPr="00411EB2">
        <w:rPr>
          <w:rtl/>
        </w:rPr>
        <w:t xml:space="preserve">ميزانية </w:t>
      </w:r>
      <w:r w:rsidR="00703B3A">
        <w:rPr>
          <w:rFonts w:hint="cs"/>
          <w:rtl/>
        </w:rPr>
        <w:t>فئة</w:t>
      </w:r>
      <w:r w:rsidR="00631827" w:rsidRPr="00411EB2">
        <w:rPr>
          <w:rtl/>
        </w:rPr>
        <w:t xml:space="preserve"> </w:t>
      </w:r>
      <w:r w:rsidRPr="00411EB2">
        <w:rPr>
          <w:rtl/>
        </w:rPr>
        <w:t xml:space="preserve">"المؤتمرات" إلى تخصيص أموال لعقد مؤتمرين دبلوماسيين في الثنائية 2014/15 في إطار البرنامجين 2 و4، مقارنة بتخصيص مبلغ لمؤتمر دبلوماسي واحد في الثنائية 2016/17 في </w:t>
      </w:r>
      <w:r w:rsidR="00703B3A">
        <w:rPr>
          <w:rFonts w:hint="cs"/>
          <w:rtl/>
        </w:rPr>
        <w:t>فئة</w:t>
      </w:r>
      <w:r w:rsidR="00631827" w:rsidRPr="00411EB2">
        <w:rPr>
          <w:rtl/>
        </w:rPr>
        <w:t xml:space="preserve"> </w:t>
      </w:r>
      <w:r w:rsidRPr="00411EB2">
        <w:rPr>
          <w:rtl/>
        </w:rPr>
        <w:t>"موارد خلاف الموظفين غير المخصصة".</w:t>
      </w:r>
    </w:p>
    <w:p w:rsidR="00D90C1C" w:rsidRPr="00411EB2" w:rsidRDefault="001052C2" w:rsidP="002C764D">
      <w:pPr>
        <w:pStyle w:val="ARNumbered1"/>
        <w:ind w:left="0" w:firstLine="0"/>
      </w:pPr>
      <w:r w:rsidRPr="00411EB2">
        <w:rPr>
          <w:rtl/>
        </w:rPr>
        <w:t>وخلال الثنائية 2016/17 لم تعد تحسب تكاليف التدريب في ميزانية البرنامج 23 (إ</w:t>
      </w:r>
      <w:r w:rsidR="00E32463" w:rsidRPr="00411EB2">
        <w:rPr>
          <w:rtl/>
        </w:rPr>
        <w:t>دارة الموارد البشرية وتطويرها)، ووزّعت</w:t>
      </w:r>
      <w:r w:rsidRPr="00411EB2">
        <w:rPr>
          <w:rtl/>
        </w:rPr>
        <w:t xml:space="preserve"> ع</w:t>
      </w:r>
      <w:r w:rsidR="00E32463" w:rsidRPr="00411EB2">
        <w:rPr>
          <w:rtl/>
        </w:rPr>
        <w:t>لى</w:t>
      </w:r>
      <w:r w:rsidR="00631827">
        <w:rPr>
          <w:rFonts w:hint="cs"/>
          <w:rtl/>
        </w:rPr>
        <w:t xml:space="preserve"> سائر</w:t>
      </w:r>
      <w:r w:rsidR="00E32463" w:rsidRPr="00411EB2">
        <w:rPr>
          <w:rtl/>
        </w:rPr>
        <w:t xml:space="preserve"> البرامج. ويشكل المبلغ المخصص</w:t>
      </w:r>
      <w:r w:rsidRPr="00411EB2">
        <w:rPr>
          <w:rtl/>
        </w:rPr>
        <w:t xml:space="preserve"> في ميزانية الثنائية 2016/17 زيادة بنسبة 0.1 مليون فرنك سويسري مقارنة بالميزانية المعتمدة للثنائية 2014/15، ما يبين </w:t>
      </w:r>
      <w:r w:rsidR="002C764D" w:rsidRPr="00411EB2">
        <w:rPr>
          <w:rtl/>
        </w:rPr>
        <w:t>تطبيق</w:t>
      </w:r>
      <w:r w:rsidRPr="00411EB2">
        <w:rPr>
          <w:rtl/>
        </w:rPr>
        <w:t xml:space="preserve"> افتراض تخطيطي أكثر واقعية يقوم على الاحتياجات المتوقعة.</w:t>
      </w:r>
    </w:p>
    <w:p w:rsidR="001052C2" w:rsidRPr="00411EB2" w:rsidRDefault="001052C2" w:rsidP="00AA5889">
      <w:pPr>
        <w:pStyle w:val="ARNumbered1"/>
        <w:keepNext/>
        <w:numPr>
          <w:ilvl w:val="0"/>
          <w:numId w:val="0"/>
        </w:numPr>
        <w:outlineLvl w:val="0"/>
        <w:rPr>
          <w:b/>
          <w:bCs/>
          <w:rtl/>
        </w:rPr>
      </w:pPr>
      <w:bookmarkStart w:id="8" w:name="_Toc420595494"/>
      <w:r w:rsidRPr="00411EB2">
        <w:rPr>
          <w:b/>
          <w:bCs/>
          <w:rtl/>
        </w:rPr>
        <w:t>تكاليف الموظفين</w:t>
      </w:r>
      <w:bookmarkEnd w:id="8"/>
    </w:p>
    <w:p w:rsidR="001052C2" w:rsidRPr="00411EB2" w:rsidRDefault="001052C2" w:rsidP="00AA5889">
      <w:pPr>
        <w:pStyle w:val="ARNumbered1"/>
        <w:keepNext/>
        <w:numPr>
          <w:ilvl w:val="0"/>
          <w:numId w:val="0"/>
        </w:numPr>
        <w:tabs>
          <w:tab w:val="left" w:pos="1114"/>
        </w:tabs>
        <w:rPr>
          <w:b/>
          <w:bCs/>
        </w:rPr>
      </w:pPr>
      <w:r w:rsidRPr="00411EB2">
        <w:rPr>
          <w:b/>
          <w:bCs/>
          <w:rtl/>
        </w:rPr>
        <w:t>المنهجية</w:t>
      </w:r>
    </w:p>
    <w:p w:rsidR="001052C2" w:rsidRPr="00411EB2" w:rsidRDefault="006078A3" w:rsidP="006078A3">
      <w:pPr>
        <w:pStyle w:val="ARNumbered1"/>
        <w:ind w:left="0" w:firstLine="0"/>
      </w:pPr>
      <w:r w:rsidRPr="00411EB2">
        <w:rPr>
          <w:rtl/>
        </w:rPr>
        <w:t>اعتمد تغيير في منهجية حساب التكاليف في ميزانية موارد الموظفين عن طريق الانتقال من المنهجية القائمة على متوسط التكاليف المعيارية إلى حساب التكاليف القائم على المبالغ الفعلية. وترمي المنهجية الجديدة إلى تعزيز متانة افتراضات تكاليف الموظفين القائمة على الاستحق</w:t>
      </w:r>
      <w:r w:rsidR="006233A8">
        <w:rPr>
          <w:rtl/>
        </w:rPr>
        <w:t>اقات الفعلية للموظفين المعنيين.</w:t>
      </w:r>
    </w:p>
    <w:p w:rsidR="00D90C1C" w:rsidRPr="00411EB2" w:rsidRDefault="006078A3" w:rsidP="00E32463">
      <w:pPr>
        <w:pStyle w:val="ARNumbered1"/>
        <w:ind w:left="0" w:firstLine="0"/>
      </w:pPr>
      <w:r w:rsidRPr="00411EB2">
        <w:rPr>
          <w:rtl/>
        </w:rPr>
        <w:t xml:space="preserve">وفي الوقت الذي تستند فيه تكاليف المناصب المشغولة إلى </w:t>
      </w:r>
      <w:r w:rsidR="00E32463" w:rsidRPr="00411EB2">
        <w:rPr>
          <w:rtl/>
        </w:rPr>
        <w:t>أحدث جداول المرتبات وجداول الأجور الداخلة في حساب المعاش التقاعدي للأمم المتحدة</w:t>
      </w:r>
      <w:r w:rsidRPr="00411EB2">
        <w:rPr>
          <w:rtl/>
        </w:rPr>
        <w:t xml:space="preserve">، والمزايا والاستحقاقات (تماشيا مع السياسات والاستحقاقات المطبقة)، تستند تكاليف المناصب الشاغرة إلى حساب متوسط </w:t>
      </w:r>
      <w:r w:rsidR="00F1520A" w:rsidRPr="00411EB2">
        <w:rPr>
          <w:rtl/>
        </w:rPr>
        <w:t>التكاليف المعيارية.</w:t>
      </w:r>
    </w:p>
    <w:p w:rsidR="006078A3" w:rsidRPr="00411EB2" w:rsidRDefault="006078A3" w:rsidP="006078A3">
      <w:pPr>
        <w:pStyle w:val="ARNumbered1"/>
        <w:ind w:left="0" w:firstLine="0"/>
      </w:pPr>
      <w:r w:rsidRPr="00411EB2">
        <w:rPr>
          <w:rtl/>
        </w:rPr>
        <w:lastRenderedPageBreak/>
        <w:t>وما يسر تنفيذ المنهجية الجديدة تطبيق نظام التخطيط للموارد المؤسسية في مرحلة التخطي</w:t>
      </w:r>
      <w:r w:rsidR="00F1520A" w:rsidRPr="00411EB2">
        <w:rPr>
          <w:rtl/>
        </w:rPr>
        <w:t>ط</w:t>
      </w:r>
      <w:r w:rsidRPr="00411EB2">
        <w:rPr>
          <w:rtl/>
        </w:rPr>
        <w:t>، وسيمك</w:t>
      </w:r>
      <w:r w:rsidR="00F1520A" w:rsidRPr="00411EB2">
        <w:rPr>
          <w:rtl/>
        </w:rPr>
        <w:t>ّ</w:t>
      </w:r>
      <w:r w:rsidRPr="00411EB2">
        <w:rPr>
          <w:rtl/>
        </w:rPr>
        <w:t>ن تنفيذ هذه المنهجية الأمانة من تحسين رصد نفقات الموظفين الفعلية على مستوى المناصب أثناء التنفيذ.</w:t>
      </w:r>
    </w:p>
    <w:p w:rsidR="00CB768C" w:rsidRPr="00411EB2" w:rsidRDefault="00CB768C" w:rsidP="00CB768C">
      <w:pPr>
        <w:pStyle w:val="ARNumbered1"/>
        <w:numPr>
          <w:ilvl w:val="0"/>
          <w:numId w:val="0"/>
        </w:numPr>
        <w:rPr>
          <w:b/>
          <w:bCs/>
        </w:rPr>
      </w:pPr>
      <w:r w:rsidRPr="00411EB2">
        <w:rPr>
          <w:b/>
          <w:bCs/>
          <w:rtl/>
        </w:rPr>
        <w:t>افتراضات التخطيط</w:t>
      </w:r>
    </w:p>
    <w:p w:rsidR="006078A3" w:rsidRPr="00411EB2" w:rsidRDefault="007979CA" w:rsidP="00F174B2">
      <w:pPr>
        <w:pStyle w:val="ARNumbered1"/>
        <w:numPr>
          <w:ilvl w:val="0"/>
          <w:numId w:val="9"/>
        </w:numPr>
      </w:pPr>
      <w:r w:rsidRPr="00411EB2">
        <w:rPr>
          <w:rtl/>
        </w:rPr>
        <w:t>يأخذ</w:t>
      </w:r>
      <w:r w:rsidR="00907EC0" w:rsidRPr="00411EB2">
        <w:rPr>
          <w:rtl/>
        </w:rPr>
        <w:t xml:space="preserve"> حساب المرتبات للمناصب المشغولة في الثنائية 2016/17</w:t>
      </w:r>
      <w:r w:rsidRPr="00411EB2">
        <w:rPr>
          <w:rtl/>
        </w:rPr>
        <w:t xml:space="preserve"> في الاعتبار</w:t>
      </w:r>
      <w:r w:rsidR="00907EC0" w:rsidRPr="00411EB2">
        <w:rPr>
          <w:rtl/>
        </w:rPr>
        <w:t xml:space="preserve"> </w:t>
      </w:r>
      <w:r w:rsidRPr="00411EB2">
        <w:rPr>
          <w:rtl/>
        </w:rPr>
        <w:t>الترقية</w:t>
      </w:r>
      <w:r w:rsidR="00907EC0" w:rsidRPr="00411EB2">
        <w:rPr>
          <w:rtl/>
        </w:rPr>
        <w:t xml:space="preserve"> </w:t>
      </w:r>
      <w:r w:rsidR="00E32463" w:rsidRPr="00411EB2">
        <w:rPr>
          <w:rtl/>
        </w:rPr>
        <w:t xml:space="preserve">في الدرجات </w:t>
      </w:r>
      <w:r w:rsidR="00907EC0" w:rsidRPr="00411EB2">
        <w:rPr>
          <w:rtl/>
        </w:rPr>
        <w:t>(داخل</w:t>
      </w:r>
      <w:r w:rsidR="00E32463" w:rsidRPr="00411EB2">
        <w:rPr>
          <w:rtl/>
        </w:rPr>
        <w:t xml:space="preserve"> الرتبة</w:t>
      </w:r>
      <w:r w:rsidR="00907EC0" w:rsidRPr="00411EB2">
        <w:rPr>
          <w:rtl/>
        </w:rPr>
        <w:t>)</w:t>
      </w:r>
      <w:r w:rsidR="00E32463" w:rsidRPr="00411EB2">
        <w:rPr>
          <w:rtl/>
        </w:rPr>
        <w:t xml:space="preserve"> بحسب جدول المرتبات الذي </w:t>
      </w:r>
      <w:proofErr w:type="spellStart"/>
      <w:r w:rsidR="00E32463" w:rsidRPr="00411EB2">
        <w:rPr>
          <w:rtl/>
        </w:rPr>
        <w:t>تطبقة</w:t>
      </w:r>
      <w:proofErr w:type="spellEnd"/>
      <w:r w:rsidR="00E32463" w:rsidRPr="00411EB2">
        <w:rPr>
          <w:rtl/>
        </w:rPr>
        <w:t xml:space="preserve"> لجنة الخدمة المدنية الدولية في وقت حساب التكاليف، وبحسب </w:t>
      </w:r>
      <w:r w:rsidR="00390D53" w:rsidRPr="00411EB2">
        <w:rPr>
          <w:rtl/>
        </w:rPr>
        <w:t>نظام الموظفين ولائحته؛</w:t>
      </w:r>
    </w:p>
    <w:p w:rsidR="00E32463" w:rsidRPr="00411EB2" w:rsidRDefault="002C764D" w:rsidP="00F174B2">
      <w:pPr>
        <w:pStyle w:val="ARNumbered1"/>
        <w:numPr>
          <w:ilvl w:val="0"/>
          <w:numId w:val="9"/>
        </w:numPr>
      </w:pPr>
      <w:r w:rsidRPr="00411EB2">
        <w:rPr>
          <w:rtl/>
        </w:rPr>
        <w:t>ي</w:t>
      </w:r>
      <w:r w:rsidR="00390D53" w:rsidRPr="00411EB2">
        <w:rPr>
          <w:rtl/>
        </w:rPr>
        <w:t>طبق سعر الصرف ومضاعف تسوية مقر العمل في فبراير 2015، حسب الاقتضاء (لمرتبات موظفي الفئة المهنية وما فوقها)؛</w:t>
      </w:r>
    </w:p>
    <w:p w:rsidR="00390D53" w:rsidRPr="00411EB2" w:rsidRDefault="002C764D" w:rsidP="00F174B2">
      <w:pPr>
        <w:pStyle w:val="ARNumbered1"/>
        <w:numPr>
          <w:ilvl w:val="0"/>
          <w:numId w:val="9"/>
        </w:numPr>
      </w:pPr>
      <w:r w:rsidRPr="00411EB2">
        <w:rPr>
          <w:rtl/>
        </w:rPr>
        <w:t>ي</w:t>
      </w:r>
      <w:r w:rsidR="00390D53" w:rsidRPr="00411EB2">
        <w:rPr>
          <w:rtl/>
        </w:rPr>
        <w:t>طبق سعر صرف الدولار الأمريكية مقابل الفرنك السويسري بنسبة 1:1 لحساب الأجور الداخلة في حساب المعاش التقاعدي باستخدام جدول لجنة الخدمة المدنية الدولية للمرتبات المطبق في وقت حساب التكاليف؛</w:t>
      </w:r>
    </w:p>
    <w:p w:rsidR="00390D53" w:rsidRPr="00411EB2" w:rsidRDefault="00390D53" w:rsidP="006233A8">
      <w:pPr>
        <w:pStyle w:val="ARNumbered1"/>
        <w:numPr>
          <w:ilvl w:val="0"/>
          <w:numId w:val="9"/>
        </w:numPr>
      </w:pPr>
      <w:r w:rsidRPr="00411EB2">
        <w:rPr>
          <w:rtl/>
        </w:rPr>
        <w:t xml:space="preserve">تقدر الاستحقاقات والمزايا على مستوى المناصب بحسب أحدث معلومات عن </w:t>
      </w:r>
      <w:r w:rsidR="006233A8">
        <w:rPr>
          <w:rFonts w:hint="cs"/>
          <w:rtl/>
        </w:rPr>
        <w:t>مرتبات المناصب</w:t>
      </w:r>
      <w:r w:rsidR="006233A8">
        <w:rPr>
          <w:rtl/>
        </w:rPr>
        <w:t xml:space="preserve"> المشغولة. </w:t>
      </w:r>
      <w:r w:rsidR="006233A8">
        <w:rPr>
          <w:rFonts w:hint="cs"/>
          <w:rtl/>
        </w:rPr>
        <w:t>أما المناصب الشاغرة فحددت لها</w:t>
      </w:r>
      <w:r w:rsidR="006233A8">
        <w:rPr>
          <w:rtl/>
        </w:rPr>
        <w:t xml:space="preserve"> تكلفة متوسطة</w:t>
      </w:r>
      <w:r w:rsidRPr="00411EB2">
        <w:rPr>
          <w:rtl/>
        </w:rPr>
        <w:t>؛</w:t>
      </w:r>
    </w:p>
    <w:p w:rsidR="00390D53" w:rsidRPr="00411EB2" w:rsidRDefault="00390D53" w:rsidP="006233A8">
      <w:pPr>
        <w:pStyle w:val="ARNumbered1"/>
        <w:numPr>
          <w:ilvl w:val="0"/>
          <w:numId w:val="9"/>
        </w:numPr>
      </w:pPr>
      <w:r w:rsidRPr="00411EB2">
        <w:rPr>
          <w:rtl/>
          <w:lang w:bidi="ar-SA"/>
        </w:rPr>
        <w:t xml:space="preserve">خفضت المبالغ المخصصة لإجازات زيارة الوطن كي تأخذ في الحسبان </w:t>
      </w:r>
      <w:r w:rsidR="00384AF0" w:rsidRPr="00411EB2">
        <w:rPr>
          <w:rtl/>
          <w:lang w:bidi="ar-SA"/>
        </w:rPr>
        <w:t>وفورات الثنائية</w:t>
      </w:r>
      <w:r w:rsidRPr="00411EB2">
        <w:rPr>
          <w:rtl/>
          <w:lang w:bidi="ar-SA"/>
        </w:rPr>
        <w:t xml:space="preserve"> المقدرة بمبلغ 4 مليون فرنك سويسري تقريبا </w:t>
      </w:r>
      <w:r w:rsidR="006233A8">
        <w:rPr>
          <w:rFonts w:hint="cs"/>
          <w:rtl/>
          <w:lang w:bidi="ar-SA"/>
        </w:rPr>
        <w:t>نتيجة</w:t>
      </w:r>
      <w:r w:rsidRPr="00411EB2">
        <w:rPr>
          <w:rtl/>
          <w:lang w:bidi="ar-SA"/>
        </w:rPr>
        <w:t xml:space="preserve"> </w:t>
      </w:r>
      <w:r w:rsidR="006233A8">
        <w:rPr>
          <w:rFonts w:hint="cs"/>
          <w:rtl/>
          <w:lang w:bidi="ar-SA"/>
        </w:rPr>
        <w:t>ل</w:t>
      </w:r>
      <w:r w:rsidRPr="00411EB2">
        <w:rPr>
          <w:rtl/>
          <w:lang w:bidi="ar-SA"/>
        </w:rPr>
        <w:t xml:space="preserve">تطبيق السياسة الجديدة لإجازات </w:t>
      </w:r>
      <w:proofErr w:type="spellStart"/>
      <w:r w:rsidRPr="00411EB2">
        <w:rPr>
          <w:rtl/>
          <w:lang w:bidi="ar-SA"/>
        </w:rPr>
        <w:t>زياة</w:t>
      </w:r>
      <w:proofErr w:type="spellEnd"/>
      <w:r w:rsidRPr="00411EB2">
        <w:rPr>
          <w:rtl/>
          <w:lang w:bidi="ar-SA"/>
        </w:rPr>
        <w:t xml:space="preserve"> الوطن</w:t>
      </w:r>
      <w:r w:rsidR="00384AF0" w:rsidRPr="00411EB2">
        <w:rPr>
          <w:rtl/>
          <w:lang w:bidi="ar-SA"/>
        </w:rPr>
        <w:t>؛</w:t>
      </w:r>
    </w:p>
    <w:p w:rsidR="00384AF0" w:rsidRPr="00411EB2" w:rsidRDefault="00384AF0" w:rsidP="006233A8">
      <w:pPr>
        <w:pStyle w:val="ARNumbered1"/>
        <w:numPr>
          <w:ilvl w:val="0"/>
          <w:numId w:val="9"/>
        </w:numPr>
      </w:pPr>
      <w:r w:rsidRPr="00411EB2">
        <w:rPr>
          <w:rtl/>
          <w:lang w:bidi="ar-SA"/>
        </w:rPr>
        <w:t xml:space="preserve">ليس من </w:t>
      </w:r>
      <w:r w:rsidR="002C764D" w:rsidRPr="00411EB2">
        <w:rPr>
          <w:rtl/>
          <w:lang w:bidi="ar-SA"/>
        </w:rPr>
        <w:t>ال</w:t>
      </w:r>
      <w:r w:rsidRPr="00411EB2">
        <w:rPr>
          <w:rtl/>
          <w:lang w:bidi="ar-SA"/>
        </w:rPr>
        <w:t xml:space="preserve">مرتقب فتح مناصب جديدة في الثنائية 2016/17. وطبقت نسبة عامة للمناصب الشاغرة قدرها 3 بالمائة على حساب التكاليف العامة استنادا إلى افتراض أن تحسين الإنتاجية </w:t>
      </w:r>
      <w:proofErr w:type="spellStart"/>
      <w:r w:rsidRPr="00411EB2">
        <w:rPr>
          <w:rtl/>
          <w:lang w:bidi="ar-SA"/>
        </w:rPr>
        <w:t>والأتمتة</w:t>
      </w:r>
      <w:proofErr w:type="spellEnd"/>
      <w:r w:rsidRPr="00411EB2">
        <w:rPr>
          <w:rtl/>
          <w:lang w:bidi="ar-SA"/>
        </w:rPr>
        <w:t xml:space="preserve"> </w:t>
      </w:r>
      <w:r w:rsidR="006233A8">
        <w:rPr>
          <w:rFonts w:hint="cs"/>
          <w:rtl/>
          <w:lang w:bidi="ar-SA"/>
        </w:rPr>
        <w:t>سيؤديان</w:t>
      </w:r>
      <w:r w:rsidRPr="00411EB2">
        <w:rPr>
          <w:rtl/>
          <w:lang w:bidi="ar-SA"/>
        </w:rPr>
        <w:t xml:space="preserve"> إلى عدم تعيين موظفين في 20 وظيفة خلال الثنائية</w:t>
      </w:r>
      <w:r w:rsidR="006233A8">
        <w:rPr>
          <w:rFonts w:hint="cs"/>
          <w:rtl/>
          <w:lang w:bidi="ar-SA"/>
        </w:rPr>
        <w:t>، من</w:t>
      </w:r>
      <w:r w:rsidRPr="00411EB2">
        <w:rPr>
          <w:rtl/>
          <w:lang w:bidi="ar-SA"/>
        </w:rPr>
        <w:t xml:space="preserve"> دون أن يؤثر ذلك في تحقيق النتائج المرتقبة. وستدار التعيينات أيضا بحرص لضمان أن تظل 10 </w:t>
      </w:r>
      <w:proofErr w:type="spellStart"/>
      <w:r w:rsidRPr="00411EB2">
        <w:rPr>
          <w:rtl/>
          <w:lang w:bidi="ar-SA"/>
        </w:rPr>
        <w:t>منصاب</w:t>
      </w:r>
      <w:proofErr w:type="spellEnd"/>
      <w:r w:rsidRPr="00411EB2">
        <w:rPr>
          <w:rtl/>
          <w:lang w:bidi="ar-SA"/>
        </w:rPr>
        <w:t xml:space="preserve"> إضافية شاغرة في أية فترة زمنية</w:t>
      </w:r>
      <w:r w:rsidR="006233A8">
        <w:rPr>
          <w:rFonts w:hint="cs"/>
          <w:rtl/>
          <w:lang w:bidi="ar-SA"/>
        </w:rPr>
        <w:t xml:space="preserve"> معينة</w:t>
      </w:r>
      <w:r w:rsidRPr="00411EB2">
        <w:rPr>
          <w:rtl/>
          <w:lang w:bidi="ar-SA"/>
        </w:rPr>
        <w:t>؛</w:t>
      </w:r>
    </w:p>
    <w:p w:rsidR="00384AF0" w:rsidRPr="00411EB2" w:rsidRDefault="002642EF" w:rsidP="00F174B2">
      <w:pPr>
        <w:pStyle w:val="ARNumbered1"/>
        <w:numPr>
          <w:ilvl w:val="0"/>
          <w:numId w:val="9"/>
        </w:numPr>
      </w:pPr>
      <w:r w:rsidRPr="00411EB2">
        <w:rPr>
          <w:rtl/>
          <w:lang w:bidi="ar-SA"/>
        </w:rPr>
        <w:t xml:space="preserve">ظلت مخصصات </w:t>
      </w:r>
      <w:r w:rsidRPr="00411EB2">
        <w:rPr>
          <w:rtl/>
        </w:rPr>
        <w:t xml:space="preserve">التأمين الصحي بعد انتهاء الخدمة </w:t>
      </w:r>
      <w:proofErr w:type="spellStart"/>
      <w:r w:rsidRPr="00411EB2">
        <w:rPr>
          <w:rtl/>
        </w:rPr>
        <w:t>ثابة</w:t>
      </w:r>
      <w:proofErr w:type="spellEnd"/>
      <w:r w:rsidRPr="00411EB2">
        <w:rPr>
          <w:rtl/>
        </w:rPr>
        <w:t xml:space="preserve"> عند نسبة 6.0 بالمائة للمناصب الثابتة والمناصب المستمرة؛</w:t>
      </w:r>
    </w:p>
    <w:p w:rsidR="002642EF" w:rsidRPr="00411EB2" w:rsidRDefault="002642EF" w:rsidP="00F174B2">
      <w:pPr>
        <w:pStyle w:val="ARNumbered1"/>
        <w:numPr>
          <w:ilvl w:val="0"/>
          <w:numId w:val="9"/>
        </w:numPr>
      </w:pPr>
      <w:r w:rsidRPr="00411EB2">
        <w:rPr>
          <w:rtl/>
        </w:rPr>
        <w:t xml:space="preserve">تشمل التكاليف الأخرى للموظفين </w:t>
      </w:r>
      <w:r w:rsidR="006B76F4" w:rsidRPr="00411EB2">
        <w:rPr>
          <w:rtl/>
        </w:rPr>
        <w:t>مخصصات الثنائية المحسوبة في الميزانية للتأمين ضد حوادث العمل (900,000 فرنك سويسري) وصندوق المعاشات التقاعدية المغلق (700,000 فرنك سويسري) وتكاليف التقاضي (400,000 فرنك سويسري)، وبرنامج المكافآت والتقدير (120,000 فرنك سويسري) وقد اعتمد هذا البرنامج الأخير في سنة 2014؛</w:t>
      </w:r>
    </w:p>
    <w:p w:rsidR="006B76F4" w:rsidRPr="00411EB2" w:rsidRDefault="006B76F4" w:rsidP="00703B3A">
      <w:pPr>
        <w:pStyle w:val="ARNumbered1"/>
        <w:numPr>
          <w:ilvl w:val="0"/>
          <w:numId w:val="9"/>
        </w:numPr>
      </w:pPr>
      <w:r w:rsidRPr="00411EB2">
        <w:rPr>
          <w:rtl/>
        </w:rPr>
        <w:t xml:space="preserve">حسبت مخصصات إعادة التصنيف في الميزانية بمبلغ 1.5 مليون فرنك سويسري في </w:t>
      </w:r>
      <w:r w:rsidR="00703B3A">
        <w:rPr>
          <w:rFonts w:hint="cs"/>
          <w:rtl/>
        </w:rPr>
        <w:t>فئة</w:t>
      </w:r>
      <w:r w:rsidR="00631827" w:rsidRPr="00411EB2">
        <w:rPr>
          <w:rtl/>
        </w:rPr>
        <w:t xml:space="preserve"> </w:t>
      </w:r>
      <w:r w:rsidRPr="00411EB2">
        <w:rPr>
          <w:rtl/>
        </w:rPr>
        <w:t>"المبالغ غير المخصصة (الموظفون)" استنادا إلى تكاليف إعادة التصنيف الفعلية</w:t>
      </w:r>
      <w:r w:rsidR="004C479D" w:rsidRPr="00411EB2">
        <w:rPr>
          <w:rtl/>
        </w:rPr>
        <w:t xml:space="preserve"> في الثنائية 2014/15؛</w:t>
      </w:r>
    </w:p>
    <w:p w:rsidR="006B76F4" w:rsidRPr="00411EB2" w:rsidRDefault="006B76F4" w:rsidP="00703B3A">
      <w:pPr>
        <w:pStyle w:val="ARNumbered1"/>
        <w:numPr>
          <w:ilvl w:val="0"/>
          <w:numId w:val="9"/>
        </w:numPr>
      </w:pPr>
      <w:r w:rsidRPr="00411EB2">
        <w:rPr>
          <w:rtl/>
        </w:rPr>
        <w:t>ستشهد الثنائية 2014/15 استكمال تثبيت الموظفي</w:t>
      </w:r>
      <w:r w:rsidR="007D5930" w:rsidRPr="00411EB2">
        <w:rPr>
          <w:rtl/>
        </w:rPr>
        <w:t>ن المؤقتين العاملين لفترة طويل</w:t>
      </w:r>
      <w:r w:rsidR="007009F1" w:rsidRPr="00411EB2">
        <w:rPr>
          <w:rtl/>
        </w:rPr>
        <w:t xml:space="preserve"> والموظفين في الوظائف المستمرة</w:t>
      </w:r>
      <w:r w:rsidR="007009F1" w:rsidRPr="00411EB2">
        <w:rPr>
          <w:rtl/>
          <w:lang w:bidi="ar-SA"/>
        </w:rPr>
        <w:t xml:space="preserve">، ما سيضع أساسا متينا لتلبية احتياجات المنظمة من حيث الموظفين. وخلال الثنائية المقبلة سينصب التركيز على ضمان تلبية الطلب المتزايد </w:t>
      </w:r>
      <w:r w:rsidR="006233A8">
        <w:rPr>
          <w:rFonts w:hint="cs"/>
          <w:rtl/>
          <w:lang w:bidi="ar-SA"/>
        </w:rPr>
        <w:t>باستخدام</w:t>
      </w:r>
      <w:r w:rsidR="007009F1" w:rsidRPr="00411EB2">
        <w:rPr>
          <w:rtl/>
          <w:lang w:bidi="ar-SA"/>
        </w:rPr>
        <w:t xml:space="preserve"> نماذج أكثر ابتكارا واستدامة لحشد الموارد. وقد خصص مبلغ قدره 800,000 فرنك سويسري في </w:t>
      </w:r>
      <w:r w:rsidR="00703B3A">
        <w:rPr>
          <w:rFonts w:hint="cs"/>
          <w:rtl/>
        </w:rPr>
        <w:t>فئة</w:t>
      </w:r>
      <w:r w:rsidR="00631827" w:rsidRPr="00411EB2">
        <w:rPr>
          <w:rtl/>
        </w:rPr>
        <w:t xml:space="preserve"> </w:t>
      </w:r>
      <w:r w:rsidR="007009F1" w:rsidRPr="00411EB2">
        <w:rPr>
          <w:rtl/>
          <w:lang w:bidi="ar-SA"/>
        </w:rPr>
        <w:t xml:space="preserve">"المبالغ غير المخصصة (الموظفون)" لتثبيت من تبقى من الموظفين في الوظائف المستمرة، في إطار تثبيت 156 وظيفة وافقت عليها الدول الأعضاء من حيث المبدأ في سنة 2010 (الوثيقة المرجعية </w:t>
      </w:r>
      <w:r w:rsidR="007009F1" w:rsidRPr="00411EB2">
        <w:rPr>
          <w:lang w:bidi="ar-SA"/>
        </w:rPr>
        <w:t>WO/CC/63/5</w:t>
      </w:r>
      <w:r w:rsidR="007009F1" w:rsidRPr="00411EB2">
        <w:rPr>
          <w:rtl/>
          <w:lang w:bidi="ar-SA"/>
        </w:rPr>
        <w:t xml:space="preserve">). ولا </w:t>
      </w:r>
      <w:r w:rsidR="006233A8">
        <w:rPr>
          <w:rFonts w:hint="cs"/>
          <w:rtl/>
          <w:lang w:bidi="ar-SA"/>
        </w:rPr>
        <w:t>يزال</w:t>
      </w:r>
      <w:r w:rsidR="007009F1" w:rsidRPr="00411EB2">
        <w:rPr>
          <w:rtl/>
          <w:lang w:bidi="ar-SA"/>
        </w:rPr>
        <w:t xml:space="preserve"> ما مجموعه 41 منصبا لم </w:t>
      </w:r>
      <w:r w:rsidR="006233A8">
        <w:rPr>
          <w:rFonts w:hint="cs"/>
          <w:rtl/>
          <w:lang w:bidi="ar-SA"/>
        </w:rPr>
        <w:t>ي</w:t>
      </w:r>
      <w:r w:rsidR="007009F1" w:rsidRPr="00411EB2">
        <w:rPr>
          <w:rtl/>
          <w:lang w:bidi="ar-SA"/>
        </w:rPr>
        <w:t>ثبت بعد.</w:t>
      </w:r>
    </w:p>
    <w:p w:rsidR="00191A50" w:rsidRPr="00411EB2" w:rsidRDefault="00191A50" w:rsidP="00703B3A">
      <w:pPr>
        <w:pStyle w:val="ARNumbered1"/>
        <w:numPr>
          <w:ilvl w:val="0"/>
          <w:numId w:val="9"/>
        </w:numPr>
      </w:pPr>
      <w:r w:rsidRPr="00411EB2">
        <w:rPr>
          <w:rtl/>
          <w:lang w:bidi="ar-SA"/>
        </w:rPr>
        <w:t xml:space="preserve">سعيا إلى تمكين الأمانة من تحسين رصد مصروفات ساعات العمل الإضافية ومراقبتها، حسبت تكاليف ساعات العمل الإضافية المقدرة بمبلغ مخصص </w:t>
      </w:r>
      <w:r w:rsidR="00F432F8" w:rsidRPr="00411EB2">
        <w:rPr>
          <w:rtl/>
          <w:lang w:bidi="ar-SA"/>
        </w:rPr>
        <w:t>منفصل</w:t>
      </w:r>
      <w:r w:rsidRPr="00411EB2">
        <w:rPr>
          <w:rtl/>
          <w:lang w:bidi="ar-SA"/>
        </w:rPr>
        <w:t xml:space="preserve"> في </w:t>
      </w:r>
      <w:r w:rsidR="00703B3A">
        <w:rPr>
          <w:rFonts w:hint="cs"/>
          <w:rtl/>
        </w:rPr>
        <w:t>فئة</w:t>
      </w:r>
      <w:r w:rsidR="00631827" w:rsidRPr="00411EB2">
        <w:rPr>
          <w:rtl/>
        </w:rPr>
        <w:t xml:space="preserve"> </w:t>
      </w:r>
      <w:r w:rsidRPr="00411EB2">
        <w:rPr>
          <w:rtl/>
          <w:lang w:bidi="ar-SA"/>
        </w:rPr>
        <w:t>"المبالغ غير المخصصة (الموظفون)"</w:t>
      </w:r>
      <w:r w:rsidR="00F432F8" w:rsidRPr="00411EB2">
        <w:rPr>
          <w:rtl/>
          <w:lang w:bidi="ar-SA"/>
        </w:rPr>
        <w:t xml:space="preserve">. </w:t>
      </w:r>
      <w:r w:rsidR="00703B3A">
        <w:rPr>
          <w:rFonts w:hint="cs"/>
          <w:rtl/>
          <w:lang w:bidi="ar-SA"/>
        </w:rPr>
        <w:t>واستنادا إلى</w:t>
      </w:r>
      <w:r w:rsidR="00F432F8" w:rsidRPr="00411EB2">
        <w:rPr>
          <w:rtl/>
          <w:lang w:bidi="ar-SA"/>
        </w:rPr>
        <w:t xml:space="preserve"> أنماط الإنفاق السابقة، فإن المبلغ المخصص قدره 2 مليون فرنك س</w:t>
      </w:r>
      <w:r w:rsidR="006233A8" w:rsidRPr="00411EB2">
        <w:rPr>
          <w:rtl/>
          <w:lang w:bidi="ar-SA"/>
        </w:rPr>
        <w:t>و</w:t>
      </w:r>
      <w:r w:rsidR="00F432F8" w:rsidRPr="00411EB2">
        <w:rPr>
          <w:rtl/>
          <w:lang w:bidi="ar-SA"/>
        </w:rPr>
        <w:t>يسري. وستُرصد تكاليف س</w:t>
      </w:r>
      <w:r w:rsidR="006233A8">
        <w:rPr>
          <w:rFonts w:hint="cs"/>
          <w:rtl/>
          <w:lang w:bidi="ar-SA"/>
        </w:rPr>
        <w:t>ا</w:t>
      </w:r>
      <w:r w:rsidR="00F432F8" w:rsidRPr="00411EB2">
        <w:rPr>
          <w:rtl/>
          <w:lang w:bidi="ar-SA"/>
        </w:rPr>
        <w:t>عات العمل الإضافية عن كثب بال</w:t>
      </w:r>
      <w:r w:rsidR="006233A8">
        <w:rPr>
          <w:rFonts w:hint="cs"/>
          <w:rtl/>
          <w:lang w:bidi="ar-SA"/>
        </w:rPr>
        <w:t>ت</w:t>
      </w:r>
      <w:r w:rsidR="00F432F8" w:rsidRPr="00411EB2">
        <w:rPr>
          <w:rtl/>
          <w:lang w:bidi="ar-SA"/>
        </w:rPr>
        <w:t>نسيق مع البرنامج 23 (إدارة الموارد البشرية وتطوريها) ومجالات البرنامج المعنية.</w:t>
      </w:r>
    </w:p>
    <w:p w:rsidR="00907EC0" w:rsidRPr="00411EB2" w:rsidRDefault="006233A8" w:rsidP="006233A8">
      <w:pPr>
        <w:pStyle w:val="ARNumbered1"/>
        <w:ind w:left="0" w:firstLine="0"/>
      </w:pPr>
      <w:r>
        <w:rPr>
          <w:rFonts w:hint="cs"/>
          <w:rtl/>
        </w:rPr>
        <w:t>و</w:t>
      </w:r>
      <w:r w:rsidR="00F432F8" w:rsidRPr="00411EB2">
        <w:rPr>
          <w:rtl/>
        </w:rPr>
        <w:t xml:space="preserve">استنادا إلى افتراضات التخطيط الواردة أعلاه، تم احتواء مبلغ 9.6 مليون فرنك سويسري، أو نسبة 2.1 في المائة، من تكاليف الموظفين في </w:t>
      </w:r>
      <w:proofErr w:type="spellStart"/>
      <w:r w:rsidR="00F432F8" w:rsidRPr="00411EB2">
        <w:rPr>
          <w:rtl/>
        </w:rPr>
        <w:t>النثائية</w:t>
      </w:r>
      <w:proofErr w:type="spellEnd"/>
      <w:r w:rsidR="00F432F8" w:rsidRPr="00411EB2">
        <w:rPr>
          <w:rtl/>
        </w:rPr>
        <w:t xml:space="preserve"> 2016/17 مقارنة بالميزانية المعتمدة للثنائية 2014/15. ومقارنة بميزانية الثنائية 2014/15 بعد التحويلات، تبلغ الزيادة 10.3 مليون فرنك سويسري، أو نسبة 2.3 بالمائة. </w:t>
      </w:r>
      <w:r w:rsidR="00AF1BD5" w:rsidRPr="00411EB2">
        <w:rPr>
          <w:rtl/>
        </w:rPr>
        <w:t xml:space="preserve">وقد انخفضت حصة تكاليف الموظفين من إجمالي </w:t>
      </w:r>
      <w:r w:rsidR="00AF1BD5" w:rsidRPr="00411EB2">
        <w:rPr>
          <w:rtl/>
        </w:rPr>
        <w:lastRenderedPageBreak/>
        <w:t xml:space="preserve">الميزانية من نسبة 66.3 بالمائة في الثنائية 2014/15 إلى نسبة 64.6 بالمائة في الثنائية 2016/17، ويعود ذلك إلى اتباع استراتيجية واعية لاحتواء تكاليف الموظفين وحصة تكاليف الموظفين من إجمالي نفقات المنظمة، والانتقال إلى قوة عمل نبيهة وتعمل بسلاسة أكبر ويمكنها التكيف بسهولة مع احتياجات العمل. </w:t>
      </w:r>
    </w:p>
    <w:p w:rsidR="006078A3" w:rsidRPr="00411EB2" w:rsidRDefault="00AF1BD5" w:rsidP="00703B3A">
      <w:pPr>
        <w:pStyle w:val="ARNumbered1"/>
        <w:ind w:left="0" w:firstLine="0"/>
      </w:pPr>
      <w:r w:rsidRPr="00411EB2">
        <w:rPr>
          <w:rtl/>
        </w:rPr>
        <w:t xml:space="preserve">وتعزى الزيادة العامة في </w:t>
      </w:r>
      <w:r w:rsidR="00703B3A">
        <w:rPr>
          <w:rFonts w:hint="cs"/>
          <w:rtl/>
        </w:rPr>
        <w:t>فئة</w:t>
      </w:r>
      <w:r w:rsidR="00631827" w:rsidRPr="00411EB2">
        <w:rPr>
          <w:rtl/>
        </w:rPr>
        <w:t xml:space="preserve"> </w:t>
      </w:r>
      <w:r w:rsidRPr="00411EB2">
        <w:rPr>
          <w:rtl/>
        </w:rPr>
        <w:t>"الوظائف"</w:t>
      </w:r>
      <w:r w:rsidR="00F174B2" w:rsidRPr="00411EB2">
        <w:rPr>
          <w:rStyle w:val="FootnoteReference"/>
          <w:rFonts w:cs="Arabic Typesetting"/>
          <w:rtl/>
        </w:rPr>
        <w:footnoteReference w:id="13"/>
      </w:r>
      <w:r w:rsidRPr="00411EB2">
        <w:rPr>
          <w:rtl/>
        </w:rPr>
        <w:t xml:space="preserve"> في ميزانية الثنائية 2016/17 مقارنة بالميزانية المعتمدة للثنائية 2014/15 أساسا إلى الزيادات القانونية، كما أنها تبين استكمال التثبيت الذي يعوضه الانخفاض في </w:t>
      </w:r>
      <w:r w:rsidR="00703B3A">
        <w:rPr>
          <w:rFonts w:hint="cs"/>
          <w:rtl/>
        </w:rPr>
        <w:t>فئة</w:t>
      </w:r>
      <w:r w:rsidR="00631827" w:rsidRPr="00411EB2">
        <w:rPr>
          <w:rtl/>
        </w:rPr>
        <w:t xml:space="preserve"> </w:t>
      </w:r>
      <w:r w:rsidRPr="00411EB2">
        <w:rPr>
          <w:rtl/>
        </w:rPr>
        <w:t>"الموظفين المؤقتين".</w:t>
      </w:r>
      <w:r w:rsidRPr="00411EB2">
        <w:rPr>
          <w:rStyle w:val="FootnoteReference"/>
          <w:rFonts w:cs="Arabic Typesetting"/>
          <w:rtl/>
        </w:rPr>
        <w:footnoteReference w:id="14"/>
      </w:r>
    </w:p>
    <w:p w:rsidR="006078A3" w:rsidRPr="00411EB2" w:rsidRDefault="00F174B2" w:rsidP="00703B3A">
      <w:pPr>
        <w:pStyle w:val="ARNumbered1"/>
        <w:ind w:left="0" w:firstLine="0"/>
      </w:pPr>
      <w:r w:rsidRPr="00411EB2">
        <w:rPr>
          <w:rtl/>
        </w:rPr>
        <w:t xml:space="preserve">ويعزى الانخفاض الصافي في </w:t>
      </w:r>
      <w:r w:rsidR="00703B3A">
        <w:rPr>
          <w:rFonts w:hint="cs"/>
          <w:rtl/>
        </w:rPr>
        <w:t>فئة</w:t>
      </w:r>
      <w:r w:rsidR="00631827" w:rsidRPr="00411EB2">
        <w:rPr>
          <w:rtl/>
        </w:rPr>
        <w:t xml:space="preserve"> </w:t>
      </w:r>
      <w:r w:rsidR="00220957">
        <w:rPr>
          <w:rtl/>
        </w:rPr>
        <w:t>"</w:t>
      </w:r>
      <w:r w:rsidRPr="00411EB2">
        <w:rPr>
          <w:rtl/>
        </w:rPr>
        <w:t xml:space="preserve">تكاليف </w:t>
      </w:r>
      <w:r w:rsidR="00220957">
        <w:rPr>
          <w:rFonts w:hint="cs"/>
          <w:rtl/>
        </w:rPr>
        <w:t>الموظفين الأخرى</w:t>
      </w:r>
      <w:r w:rsidRPr="00411EB2">
        <w:rPr>
          <w:rtl/>
        </w:rPr>
        <w:t xml:space="preserve">" إلى </w:t>
      </w:r>
      <w:proofErr w:type="spellStart"/>
      <w:r w:rsidRPr="00411EB2">
        <w:rPr>
          <w:rtl/>
        </w:rPr>
        <w:t>الوفورات</w:t>
      </w:r>
      <w:proofErr w:type="spellEnd"/>
      <w:r w:rsidRPr="00411EB2">
        <w:rPr>
          <w:rtl/>
        </w:rPr>
        <w:t xml:space="preserve"> المقدرة بمبلغ 400,000 فرنك سويسري فيما يخص التأمين ضد حوادث العمل، الذي تعوضه جزئيا </w:t>
      </w:r>
      <w:r w:rsidR="00220957">
        <w:rPr>
          <w:rFonts w:hint="cs"/>
          <w:rtl/>
        </w:rPr>
        <w:t>زيادة قدرها</w:t>
      </w:r>
      <w:r w:rsidRPr="00411EB2">
        <w:rPr>
          <w:rtl/>
        </w:rPr>
        <w:t xml:space="preserve"> 50,000 فرنك سويسري </w:t>
      </w:r>
      <w:r w:rsidR="00220957">
        <w:rPr>
          <w:rFonts w:hint="cs"/>
          <w:rtl/>
        </w:rPr>
        <w:t xml:space="preserve">في </w:t>
      </w:r>
      <w:r w:rsidRPr="00411EB2">
        <w:rPr>
          <w:rtl/>
        </w:rPr>
        <w:t xml:space="preserve">صندوق المعاشات التقاعدية المغلق، </w:t>
      </w:r>
      <w:r w:rsidR="00220957">
        <w:rPr>
          <w:rFonts w:hint="cs"/>
          <w:rtl/>
        </w:rPr>
        <w:t>وزيادة قدرها</w:t>
      </w:r>
      <w:r w:rsidRPr="00411EB2">
        <w:rPr>
          <w:rtl/>
        </w:rPr>
        <w:t xml:space="preserve"> 120,000 فرنك سويسري تقريبا في برنامج الويبو للمكافآت والتقدير.</w:t>
      </w:r>
    </w:p>
    <w:p w:rsidR="00F174B2" w:rsidRPr="00411EB2" w:rsidRDefault="00F174B2" w:rsidP="00703B3A">
      <w:pPr>
        <w:pStyle w:val="ARNumbered1"/>
        <w:ind w:left="0" w:firstLine="0"/>
      </w:pPr>
      <w:r w:rsidRPr="00411EB2">
        <w:rPr>
          <w:rtl/>
        </w:rPr>
        <w:t xml:space="preserve">وتعزى الزيادة الصافية في </w:t>
      </w:r>
      <w:r w:rsidR="00703B3A">
        <w:rPr>
          <w:rFonts w:hint="cs"/>
          <w:rtl/>
        </w:rPr>
        <w:t>فئة</w:t>
      </w:r>
      <w:r w:rsidR="00631827" w:rsidRPr="00411EB2">
        <w:rPr>
          <w:rtl/>
        </w:rPr>
        <w:t xml:space="preserve"> </w:t>
      </w:r>
      <w:r w:rsidRPr="00411EB2">
        <w:rPr>
          <w:rtl/>
        </w:rPr>
        <w:t xml:space="preserve">"المبالغ غير المخصصة (الموظفون)" أساسا إلى تخصيص </w:t>
      </w:r>
      <w:r w:rsidR="00220957">
        <w:rPr>
          <w:rFonts w:hint="cs"/>
          <w:rtl/>
        </w:rPr>
        <w:t>مبلغ</w:t>
      </w:r>
      <w:r w:rsidR="00220957">
        <w:rPr>
          <w:rtl/>
        </w:rPr>
        <w:t xml:space="preserve"> لساعات العمل الإضافية قدره</w:t>
      </w:r>
      <w:r w:rsidRPr="00411EB2">
        <w:rPr>
          <w:rtl/>
        </w:rPr>
        <w:t xml:space="preserve"> 2</w:t>
      </w:r>
      <w:r w:rsidR="00220957">
        <w:rPr>
          <w:rFonts w:hint="cs"/>
          <w:rtl/>
        </w:rPr>
        <w:t> </w:t>
      </w:r>
      <w:r w:rsidRPr="00411EB2">
        <w:rPr>
          <w:rtl/>
        </w:rPr>
        <w:t xml:space="preserve">مليون فرنك سويسري، </w:t>
      </w:r>
      <w:r w:rsidR="00220957">
        <w:rPr>
          <w:rFonts w:hint="cs"/>
          <w:rtl/>
        </w:rPr>
        <w:t>وكان هذا المبلغ يحسب</w:t>
      </w:r>
      <w:r w:rsidRPr="00411EB2">
        <w:rPr>
          <w:rtl/>
        </w:rPr>
        <w:t xml:space="preserve"> من قبل في </w:t>
      </w:r>
      <w:r w:rsidR="00703B3A">
        <w:rPr>
          <w:rFonts w:hint="cs"/>
          <w:rtl/>
        </w:rPr>
        <w:t>فئة</w:t>
      </w:r>
      <w:r w:rsidR="00631827" w:rsidRPr="00411EB2">
        <w:rPr>
          <w:rtl/>
        </w:rPr>
        <w:t xml:space="preserve"> </w:t>
      </w:r>
      <w:r w:rsidR="00220957">
        <w:rPr>
          <w:rtl/>
        </w:rPr>
        <w:t>"الوظائف"، ويعوضه</w:t>
      </w:r>
      <w:r w:rsidRPr="00411EB2">
        <w:rPr>
          <w:rtl/>
        </w:rPr>
        <w:t xml:space="preserve"> جزئيا </w:t>
      </w:r>
      <w:proofErr w:type="spellStart"/>
      <w:r w:rsidRPr="00411EB2">
        <w:rPr>
          <w:rtl/>
        </w:rPr>
        <w:t>انخافض</w:t>
      </w:r>
      <w:proofErr w:type="spellEnd"/>
      <w:r w:rsidRPr="00411EB2">
        <w:rPr>
          <w:rtl/>
        </w:rPr>
        <w:t xml:space="preserve"> عام </w:t>
      </w:r>
      <w:r w:rsidR="00220957">
        <w:rPr>
          <w:rFonts w:hint="cs"/>
          <w:rtl/>
        </w:rPr>
        <w:t>قدره</w:t>
      </w:r>
      <w:r w:rsidRPr="00411EB2">
        <w:rPr>
          <w:rtl/>
        </w:rPr>
        <w:t xml:space="preserve"> 500,000 فرنك سويسري لإعادة التصنيف، </w:t>
      </w:r>
      <w:r w:rsidR="00220957">
        <w:rPr>
          <w:rFonts w:hint="cs"/>
          <w:rtl/>
        </w:rPr>
        <w:t>وانخفاض قدره</w:t>
      </w:r>
      <w:r w:rsidRPr="00411EB2">
        <w:rPr>
          <w:rtl/>
        </w:rPr>
        <w:t xml:space="preserve"> 500,000 فرنك سويسري تقريبا للتثبيت، مقارنة بالميزانية المعتمدة للثنائية 2014/15</w:t>
      </w:r>
      <w:r w:rsidRPr="00411EB2">
        <w:rPr>
          <w:rtl/>
          <w:lang w:bidi="ar-SA"/>
        </w:rPr>
        <w:t>.</w:t>
      </w:r>
    </w:p>
    <w:p w:rsidR="006078A3" w:rsidRPr="00411EB2" w:rsidRDefault="002F000F" w:rsidP="00384AF0">
      <w:pPr>
        <w:pStyle w:val="ARNumbered1"/>
        <w:keepNext/>
        <w:numPr>
          <w:ilvl w:val="0"/>
          <w:numId w:val="0"/>
        </w:numPr>
        <w:jc w:val="center"/>
        <w:rPr>
          <w:b/>
          <w:bCs/>
          <w:rtl/>
        </w:rPr>
      </w:pPr>
      <w:r w:rsidRPr="00411EB2">
        <w:rPr>
          <w:b/>
          <w:bCs/>
          <w:rtl/>
        </w:rPr>
        <w:t>الشكل 4. تطور بنية التكاليف من الثنائية 1990/91 إلى الثنائية 2016/17</w:t>
      </w:r>
    </w:p>
    <w:p w:rsidR="002F000F" w:rsidRPr="00411EB2" w:rsidRDefault="006F072A" w:rsidP="002F000F">
      <w:pPr>
        <w:pStyle w:val="ARNumbered1"/>
        <w:numPr>
          <w:ilvl w:val="0"/>
          <w:numId w:val="0"/>
        </w:numPr>
        <w:spacing w:line="240" w:lineRule="auto"/>
        <w:jc w:val="center"/>
        <w:rPr>
          <w:b/>
          <w:bCs/>
        </w:rPr>
      </w:pPr>
      <w:r>
        <w:rPr>
          <w:b/>
          <w:bCs/>
          <w:noProof/>
          <w:lang w:val="en-US" w:bidi="ar-SA"/>
        </w:rPr>
        <w:drawing>
          <wp:inline distT="0" distB="0" distL="0" distR="0" wp14:anchorId="305A951D" wp14:editId="1E174331">
            <wp:extent cx="6039293" cy="22861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51855" cy="2290900"/>
                    </a:xfrm>
                    <a:prstGeom prst="rect">
                      <a:avLst/>
                    </a:prstGeom>
                    <a:noFill/>
                  </pic:spPr>
                </pic:pic>
              </a:graphicData>
            </a:graphic>
          </wp:inline>
        </w:drawing>
      </w:r>
    </w:p>
    <w:p w:rsidR="006078A3" w:rsidRPr="00411EB2" w:rsidRDefault="002F000F" w:rsidP="00122DF2">
      <w:pPr>
        <w:pStyle w:val="ARNumbered1"/>
        <w:numPr>
          <w:ilvl w:val="0"/>
          <w:numId w:val="0"/>
        </w:numPr>
        <w:outlineLvl w:val="0"/>
        <w:rPr>
          <w:b/>
          <w:bCs/>
        </w:rPr>
      </w:pPr>
      <w:bookmarkStart w:id="9" w:name="_Toc420595495"/>
      <w:r w:rsidRPr="00411EB2">
        <w:rPr>
          <w:b/>
          <w:bCs/>
          <w:rtl/>
        </w:rPr>
        <w:t>موارد الأنشطة الإنمائية وأنشطة جدول أعمال التنمية</w:t>
      </w:r>
      <w:bookmarkEnd w:id="9"/>
    </w:p>
    <w:p w:rsidR="006078A3" w:rsidRPr="00411EB2" w:rsidRDefault="00384AF0" w:rsidP="00691714">
      <w:pPr>
        <w:pStyle w:val="ARNumbered1"/>
        <w:ind w:left="0" w:firstLine="0"/>
      </w:pPr>
      <w:r w:rsidRPr="00411EB2">
        <w:rPr>
          <w:rtl/>
        </w:rPr>
        <w:t xml:space="preserve">لا تزال التنمية </w:t>
      </w:r>
      <w:r w:rsidR="00452DD7" w:rsidRPr="00411EB2">
        <w:rPr>
          <w:rtl/>
        </w:rPr>
        <w:t xml:space="preserve">أولوية </w:t>
      </w:r>
      <w:r w:rsidRPr="00411EB2">
        <w:rPr>
          <w:rtl/>
        </w:rPr>
        <w:t>من الأولويات في الثنائية 2016/17، ما يتجلى في ثبات حصة التنمية عن</w:t>
      </w:r>
      <w:r w:rsidR="00452DD7" w:rsidRPr="00411EB2">
        <w:rPr>
          <w:rtl/>
        </w:rPr>
        <w:t>د</w:t>
      </w:r>
      <w:r w:rsidRPr="00411EB2">
        <w:rPr>
          <w:rtl/>
        </w:rPr>
        <w:t xml:space="preserve"> نسبة 21.</w:t>
      </w:r>
      <w:r w:rsidR="00EE0EF5">
        <w:rPr>
          <w:rFonts w:hint="cs"/>
          <w:rtl/>
        </w:rPr>
        <w:t>1</w:t>
      </w:r>
      <w:r w:rsidRPr="00411EB2">
        <w:rPr>
          <w:rtl/>
        </w:rPr>
        <w:t xml:space="preserve"> بالمائة </w:t>
      </w:r>
      <w:r w:rsidR="00452DD7" w:rsidRPr="00411EB2">
        <w:rPr>
          <w:rtl/>
        </w:rPr>
        <w:t>ل</w:t>
      </w:r>
      <w:r w:rsidRPr="00411EB2">
        <w:rPr>
          <w:rtl/>
        </w:rPr>
        <w:t xml:space="preserve">لثنائية المقبلة. </w:t>
      </w:r>
      <w:r w:rsidR="00452DD7" w:rsidRPr="00411EB2">
        <w:rPr>
          <w:rtl/>
        </w:rPr>
        <w:t>وقد زادت</w:t>
      </w:r>
      <w:r w:rsidRPr="00411EB2">
        <w:rPr>
          <w:rtl/>
        </w:rPr>
        <w:t xml:space="preserve"> نفقات التنمية </w:t>
      </w:r>
      <w:r w:rsidR="00452DD7" w:rsidRPr="00411EB2">
        <w:rPr>
          <w:rtl/>
        </w:rPr>
        <w:t>ل</w:t>
      </w:r>
      <w:r w:rsidRPr="00411EB2">
        <w:rPr>
          <w:rtl/>
        </w:rPr>
        <w:t xml:space="preserve">لثنائية 2016/17 </w:t>
      </w:r>
      <w:r w:rsidR="00452DD7" w:rsidRPr="00411EB2">
        <w:rPr>
          <w:rtl/>
        </w:rPr>
        <w:t>زيادة مطلقة ب</w:t>
      </w:r>
      <w:r w:rsidRPr="00411EB2">
        <w:rPr>
          <w:rtl/>
        </w:rPr>
        <w:t xml:space="preserve">مبلغ </w:t>
      </w:r>
      <w:r w:rsidR="00691714">
        <w:rPr>
          <w:rFonts w:hint="cs"/>
          <w:rtl/>
        </w:rPr>
        <w:t>5</w:t>
      </w:r>
      <w:r w:rsidRPr="00411EB2">
        <w:rPr>
          <w:rtl/>
        </w:rPr>
        <w:t>.</w:t>
      </w:r>
      <w:r w:rsidR="00691714">
        <w:rPr>
          <w:rFonts w:hint="cs"/>
          <w:rtl/>
        </w:rPr>
        <w:t>8</w:t>
      </w:r>
      <w:r w:rsidRPr="00411EB2">
        <w:rPr>
          <w:rtl/>
        </w:rPr>
        <w:t xml:space="preserve"> مليون فرنك سويسري، أو </w:t>
      </w:r>
      <w:r w:rsidR="00220957">
        <w:rPr>
          <w:rFonts w:hint="cs"/>
          <w:rtl/>
        </w:rPr>
        <w:t>ب</w:t>
      </w:r>
      <w:r w:rsidRPr="00411EB2">
        <w:rPr>
          <w:rtl/>
        </w:rPr>
        <w:t xml:space="preserve">نسبة </w:t>
      </w:r>
      <w:r w:rsidR="00691714">
        <w:rPr>
          <w:rFonts w:hint="cs"/>
          <w:rtl/>
        </w:rPr>
        <w:t>4</w:t>
      </w:r>
      <w:r w:rsidRPr="00411EB2">
        <w:rPr>
          <w:rtl/>
        </w:rPr>
        <w:t xml:space="preserve"> بالمائة، مقارنة بالميزانية المعتمدة للثنائية 2014/15. </w:t>
      </w:r>
      <w:r w:rsidR="00E1772E" w:rsidRPr="00411EB2">
        <w:rPr>
          <w:rtl/>
        </w:rPr>
        <w:t>ويحتوي الج</w:t>
      </w:r>
      <w:r w:rsidR="00452DD7" w:rsidRPr="00411EB2">
        <w:rPr>
          <w:rtl/>
        </w:rPr>
        <w:t>د</w:t>
      </w:r>
      <w:r w:rsidR="00E1772E" w:rsidRPr="00411EB2">
        <w:rPr>
          <w:rtl/>
        </w:rPr>
        <w:t xml:space="preserve">ول الوارد أدناه على تفاصيل نفقات التنمية </w:t>
      </w:r>
      <w:r w:rsidR="00452DD7" w:rsidRPr="00411EB2">
        <w:rPr>
          <w:rtl/>
        </w:rPr>
        <w:t>ل</w:t>
      </w:r>
      <w:r w:rsidR="00E1772E" w:rsidRPr="00411EB2">
        <w:rPr>
          <w:rtl/>
        </w:rPr>
        <w:t xml:space="preserve">لثنائية 2016/17 بحسب البرامج. </w:t>
      </w:r>
      <w:r w:rsidR="00220957">
        <w:rPr>
          <w:rtl/>
        </w:rPr>
        <w:t xml:space="preserve">ولا يعتبر الإنفاق </w:t>
      </w:r>
      <w:r w:rsidR="00220957" w:rsidRPr="00220957">
        <w:rPr>
          <w:i/>
          <w:iCs/>
          <w:rtl/>
        </w:rPr>
        <w:t>إنفاقا إنمائيا</w:t>
      </w:r>
      <w:r w:rsidR="00452DD7" w:rsidRPr="00411EB2">
        <w:rPr>
          <w:rtl/>
        </w:rPr>
        <w:t xml:space="preserve"> إلا إذا كان المستفيد منه بلداً نامياً ولم يكن الإنفاق المعادل متاحاً للبلدان المتقدمة.</w:t>
      </w:r>
      <w:r w:rsidR="00E1772E" w:rsidRPr="00411EB2">
        <w:rPr>
          <w:rtl/>
        </w:rPr>
        <w:t xml:space="preserve"> وتستبعد هذه المبالغ الإيرادات السابقة الناتجة عن تخفيضات الرسوم الممنوحة لمودعي الطلبات من البلدان النامية بموجب أنظمة التسجيل الدولية.</w:t>
      </w:r>
      <w:r w:rsidR="00452DD7" w:rsidRPr="002E2358">
        <w:rPr>
          <w:sz w:val="24"/>
          <w:szCs w:val="24"/>
          <w:vertAlign w:val="superscript"/>
          <w:rtl/>
        </w:rPr>
        <w:footnoteReference w:id="15"/>
      </w:r>
      <w:r w:rsidR="00E1772E" w:rsidRPr="00411EB2">
        <w:rPr>
          <w:rtl/>
        </w:rPr>
        <w:t xml:space="preserve"> وإن أدرجت هذه النفقات لكان الرقم الإجمالي </w:t>
      </w:r>
      <w:r w:rsidR="00E1772E" w:rsidRPr="00220957">
        <w:rPr>
          <w:i/>
          <w:iCs/>
          <w:rtl/>
        </w:rPr>
        <w:t>لنفقات التنمية</w:t>
      </w:r>
      <w:r w:rsidR="00E1772E" w:rsidRPr="00411EB2">
        <w:rPr>
          <w:rtl/>
        </w:rPr>
        <w:t xml:space="preserve"> أعلى من ذلك.</w:t>
      </w:r>
    </w:p>
    <w:p w:rsidR="002F000F" w:rsidRPr="00411EB2" w:rsidRDefault="002F000F" w:rsidP="00AA5889">
      <w:pPr>
        <w:pStyle w:val="ARNumbered1"/>
        <w:keepNext/>
        <w:numPr>
          <w:ilvl w:val="0"/>
          <w:numId w:val="0"/>
        </w:numPr>
        <w:spacing w:after="0"/>
        <w:ind w:left="720" w:hanging="360"/>
        <w:jc w:val="center"/>
        <w:rPr>
          <w:b/>
          <w:bCs/>
          <w:rtl/>
        </w:rPr>
      </w:pPr>
      <w:r w:rsidRPr="00411EB2">
        <w:rPr>
          <w:b/>
          <w:bCs/>
          <w:rtl/>
        </w:rPr>
        <w:lastRenderedPageBreak/>
        <w:t>الجدول 6 – نفقات التنمية في الثنائية 2016/17 بحسب البرنامج</w:t>
      </w:r>
    </w:p>
    <w:p w:rsidR="006078A3" w:rsidRPr="00AA5889" w:rsidRDefault="002F000F" w:rsidP="00AA5889">
      <w:pPr>
        <w:pStyle w:val="ARNumbered1"/>
        <w:keepNext/>
        <w:numPr>
          <w:ilvl w:val="0"/>
          <w:numId w:val="0"/>
        </w:numPr>
        <w:spacing w:after="0"/>
        <w:ind w:left="714" w:hanging="357"/>
        <w:jc w:val="center"/>
        <w:rPr>
          <w:i/>
          <w:iCs/>
          <w:sz w:val="30"/>
          <w:szCs w:val="30"/>
          <w:rtl/>
        </w:rPr>
      </w:pPr>
      <w:r w:rsidRPr="00AA5889">
        <w:rPr>
          <w:i/>
          <w:iCs/>
          <w:sz w:val="30"/>
          <w:szCs w:val="30"/>
          <w:rtl/>
        </w:rPr>
        <w:t>(بآلاف الفرنكات السويسرية)</w:t>
      </w:r>
    </w:p>
    <w:p w:rsidR="006F072A" w:rsidRPr="00411EB2" w:rsidRDefault="00AA5889" w:rsidP="00AA5889">
      <w:pPr>
        <w:pStyle w:val="ARNumbered1"/>
        <w:numPr>
          <w:ilvl w:val="0"/>
          <w:numId w:val="0"/>
        </w:numPr>
        <w:spacing w:line="240" w:lineRule="auto"/>
        <w:ind w:left="-2"/>
        <w:jc w:val="center"/>
        <w:rPr>
          <w:i/>
          <w:iCs/>
        </w:rPr>
      </w:pPr>
      <w:r w:rsidRPr="00AA5889">
        <w:rPr>
          <w:noProof/>
          <w:rtl/>
          <w:lang w:val="en-US" w:bidi="ar-SA"/>
        </w:rPr>
        <w:drawing>
          <wp:inline distT="0" distB="0" distL="0" distR="0" wp14:anchorId="7D79777A" wp14:editId="37E98ADE">
            <wp:extent cx="6197364" cy="3525079"/>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05166" cy="3529517"/>
                    </a:xfrm>
                    <a:prstGeom prst="rect">
                      <a:avLst/>
                    </a:prstGeom>
                    <a:noFill/>
                    <a:ln>
                      <a:noFill/>
                    </a:ln>
                  </pic:spPr>
                </pic:pic>
              </a:graphicData>
            </a:graphic>
          </wp:inline>
        </w:drawing>
      </w:r>
    </w:p>
    <w:p w:rsidR="006078A3" w:rsidRPr="00411EB2" w:rsidRDefault="00220957" w:rsidP="002F000F">
      <w:pPr>
        <w:pStyle w:val="ARNumbered1"/>
        <w:ind w:left="0" w:firstLine="0"/>
      </w:pPr>
      <w:r>
        <w:rPr>
          <w:rFonts w:hint="cs"/>
          <w:rtl/>
        </w:rPr>
        <w:t>و</w:t>
      </w:r>
      <w:r w:rsidR="002F000F" w:rsidRPr="00411EB2">
        <w:rPr>
          <w:rtl/>
        </w:rPr>
        <w:t>تتماشى المنهجية المطبقة لتقدير حصة التنمية في ميزانية الثنائية 2016/17 تماشيا تاما مع المنهجية المعتمدة في الثنائية 2014/15 وتتسق معها.</w:t>
      </w:r>
    </w:p>
    <w:p w:rsidR="006078A3" w:rsidRPr="00411EB2" w:rsidRDefault="00220957" w:rsidP="002F000F">
      <w:pPr>
        <w:pStyle w:val="ARNumbered1"/>
        <w:ind w:left="0" w:firstLine="0"/>
      </w:pPr>
      <w:r>
        <w:rPr>
          <w:rFonts w:hint="cs"/>
          <w:rtl/>
        </w:rPr>
        <w:t xml:space="preserve">وقد </w:t>
      </w:r>
      <w:r w:rsidR="002F000F" w:rsidRPr="00411EB2">
        <w:rPr>
          <w:rtl/>
        </w:rPr>
        <w:t>خصص مبلغ إجمالي قدره 2.5 مليون فرنك سويسري على وجه التحديد في ميزانية الثنائية 2016/17 لتنفيذ مشروعات جدول أعمال التنمية، رهنا بموافقة اللجنة المعنية بالتنمية والملكية الفكرية.</w:t>
      </w:r>
    </w:p>
    <w:p w:rsidR="006078A3" w:rsidRPr="00411EB2" w:rsidRDefault="002F000F" w:rsidP="00AA5889">
      <w:pPr>
        <w:pStyle w:val="ARNumbered1"/>
        <w:keepNext/>
        <w:numPr>
          <w:ilvl w:val="0"/>
          <w:numId w:val="0"/>
        </w:numPr>
        <w:spacing w:after="0"/>
        <w:jc w:val="center"/>
        <w:rPr>
          <w:b/>
          <w:bCs/>
          <w:rtl/>
        </w:rPr>
      </w:pPr>
      <w:r w:rsidRPr="00411EB2">
        <w:rPr>
          <w:b/>
          <w:bCs/>
          <w:rtl/>
        </w:rPr>
        <w:t>الجدول 7. مشروعات جدول أعمال التنمية في الثنائية 2016/17</w:t>
      </w:r>
    </w:p>
    <w:p w:rsidR="002F000F" w:rsidRPr="00AA5889" w:rsidRDefault="002F000F" w:rsidP="00AA5889">
      <w:pPr>
        <w:pStyle w:val="ARNumbered1"/>
        <w:keepNext/>
        <w:numPr>
          <w:ilvl w:val="0"/>
          <w:numId w:val="0"/>
        </w:numPr>
        <w:spacing w:after="0"/>
        <w:jc w:val="center"/>
        <w:rPr>
          <w:i/>
          <w:iCs/>
          <w:sz w:val="30"/>
          <w:szCs w:val="30"/>
          <w:rtl/>
        </w:rPr>
      </w:pPr>
      <w:r w:rsidRPr="00AA5889">
        <w:rPr>
          <w:i/>
          <w:iCs/>
          <w:sz w:val="30"/>
          <w:szCs w:val="30"/>
          <w:rtl/>
        </w:rPr>
        <w:t>(بآلاف الفرنكات السويسرية)</w:t>
      </w:r>
    </w:p>
    <w:p w:rsidR="002F000F" w:rsidRPr="00411EB2" w:rsidRDefault="00607D63" w:rsidP="002F000F">
      <w:pPr>
        <w:pStyle w:val="ARNumbered1"/>
        <w:numPr>
          <w:ilvl w:val="0"/>
          <w:numId w:val="0"/>
        </w:numPr>
        <w:spacing w:line="240" w:lineRule="auto"/>
        <w:jc w:val="center"/>
        <w:rPr>
          <w:i/>
          <w:iCs/>
        </w:rPr>
      </w:pPr>
      <w:r w:rsidRPr="00607D63">
        <w:rPr>
          <w:noProof/>
          <w:rtl/>
          <w:lang w:val="en-US" w:bidi="ar-SA"/>
        </w:rPr>
        <w:drawing>
          <wp:inline distT="0" distB="0" distL="0" distR="0" wp14:anchorId="158130C1" wp14:editId="1838283E">
            <wp:extent cx="5314121" cy="2657061"/>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16642" cy="2658321"/>
                    </a:xfrm>
                    <a:prstGeom prst="rect">
                      <a:avLst/>
                    </a:prstGeom>
                    <a:noFill/>
                    <a:ln>
                      <a:noFill/>
                    </a:ln>
                  </pic:spPr>
                </pic:pic>
              </a:graphicData>
            </a:graphic>
          </wp:inline>
        </w:drawing>
      </w:r>
    </w:p>
    <w:p w:rsidR="006078A3" w:rsidRPr="00AA5889" w:rsidRDefault="00607D63" w:rsidP="00AA5889">
      <w:pPr>
        <w:pStyle w:val="ARNumbered1"/>
        <w:numPr>
          <w:ilvl w:val="0"/>
          <w:numId w:val="0"/>
        </w:numPr>
        <w:spacing w:after="0" w:line="240" w:lineRule="exact"/>
        <w:rPr>
          <w:sz w:val="24"/>
          <w:szCs w:val="24"/>
          <w:rtl/>
        </w:rPr>
      </w:pPr>
      <w:r w:rsidRPr="00AA5889">
        <w:rPr>
          <w:sz w:val="24"/>
          <w:szCs w:val="24"/>
          <w:rtl/>
        </w:rPr>
        <w:t>*</w:t>
      </w:r>
      <w:r w:rsidRPr="00AA5889">
        <w:rPr>
          <w:sz w:val="24"/>
          <w:szCs w:val="24"/>
        </w:rPr>
        <w:tab/>
      </w:r>
      <w:r w:rsidR="002F000F" w:rsidRPr="00AA5889">
        <w:rPr>
          <w:sz w:val="24"/>
          <w:szCs w:val="24"/>
          <w:rtl/>
        </w:rPr>
        <w:t xml:space="preserve">رهنا بموافقة اللجنة المعنية بالتنمية والملكية الفكرية. </w:t>
      </w:r>
      <w:r w:rsidR="00695C6B" w:rsidRPr="00AA5889">
        <w:rPr>
          <w:sz w:val="24"/>
          <w:szCs w:val="24"/>
          <w:rtl/>
        </w:rPr>
        <w:t>وتبلغ التكلفة الإجمالية المقدرة للمشروع 540,000 فرنك سويسري. وتمتد فترة التنفيذ من سنة 2016 إلى سنة 2018.</w:t>
      </w:r>
    </w:p>
    <w:p w:rsidR="00695C6B" w:rsidRPr="00AA5889" w:rsidRDefault="00695C6B" w:rsidP="00AA5889">
      <w:pPr>
        <w:pStyle w:val="ARNumbered1"/>
        <w:numPr>
          <w:ilvl w:val="0"/>
          <w:numId w:val="0"/>
        </w:numPr>
        <w:spacing w:after="0" w:line="240" w:lineRule="exact"/>
        <w:rPr>
          <w:sz w:val="24"/>
          <w:szCs w:val="24"/>
          <w:rtl/>
        </w:rPr>
      </w:pPr>
      <w:r w:rsidRPr="00AA5889">
        <w:rPr>
          <w:sz w:val="24"/>
          <w:szCs w:val="24"/>
          <w:rtl/>
        </w:rPr>
        <w:t>**</w:t>
      </w:r>
      <w:r w:rsidRPr="00AA5889">
        <w:rPr>
          <w:sz w:val="24"/>
          <w:szCs w:val="24"/>
          <w:rtl/>
        </w:rPr>
        <w:tab/>
        <w:t>رهنا بموافقة اللجنة المعنية بالتنمية والملكية الفكرية. وتبلغ التكلفة الإجمالية المقدرة للمشروع 800,000 فرنك سويسري. وتمتد فترة التنفيذ من سنة 2016 إلى سنة 2018.</w:t>
      </w:r>
    </w:p>
    <w:p w:rsidR="006770E8" w:rsidRPr="00411EB2" w:rsidRDefault="00607D63" w:rsidP="00AA5889">
      <w:pPr>
        <w:pStyle w:val="ARNumbered1"/>
        <w:numPr>
          <w:ilvl w:val="0"/>
          <w:numId w:val="0"/>
        </w:numPr>
        <w:spacing w:after="0" w:line="240" w:lineRule="exact"/>
      </w:pPr>
      <w:r w:rsidRPr="00AA5889">
        <w:rPr>
          <w:sz w:val="24"/>
          <w:szCs w:val="24"/>
          <w:rtl/>
        </w:rPr>
        <w:t>***</w:t>
      </w:r>
      <w:r w:rsidRPr="00AA5889">
        <w:rPr>
          <w:sz w:val="24"/>
          <w:szCs w:val="24"/>
        </w:rPr>
        <w:tab/>
      </w:r>
      <w:r w:rsidR="00695C6B" w:rsidRPr="00AA5889">
        <w:rPr>
          <w:sz w:val="24"/>
          <w:szCs w:val="24"/>
          <w:rtl/>
        </w:rPr>
        <w:t>رهنا بموافقة اللجنة المعنية بالتنمية والملكية الفكرية.</w:t>
      </w:r>
    </w:p>
    <w:p w:rsidR="003669B3" w:rsidRPr="00411EB2" w:rsidRDefault="003669B3" w:rsidP="00FD2565">
      <w:pPr>
        <w:pStyle w:val="ARNormal"/>
        <w:rPr>
          <w:rtl/>
          <w:lang w:bidi="ar-EG"/>
        </w:rPr>
        <w:sectPr w:rsidR="003669B3" w:rsidRPr="00411EB2" w:rsidSect="00861CFF">
          <w:headerReference w:type="even" r:id="rId38"/>
          <w:headerReference w:type="default" r:id="rId39"/>
          <w:type w:val="continuous"/>
          <w:pgSz w:w="11906" w:h="16838" w:code="9"/>
          <w:pgMar w:top="1418" w:right="1418" w:bottom="1418" w:left="1134" w:header="510" w:footer="1021" w:gutter="0"/>
          <w:cols w:space="720"/>
          <w:bidi/>
          <w:rtlGutter/>
        </w:sectPr>
      </w:pPr>
    </w:p>
    <w:p w:rsidR="00AD3F71" w:rsidRPr="006755BC" w:rsidRDefault="006450EA" w:rsidP="00D26D0F">
      <w:pPr>
        <w:pStyle w:val="Heading1"/>
        <w:spacing w:before="0" w:after="480" w:line="360" w:lineRule="exact"/>
        <w:rPr>
          <w:rFonts w:ascii="Arabic Typesetting" w:hAnsi="Arabic Typesetting" w:cs="Arabic Typesetting"/>
          <w:i/>
          <w:caps/>
          <w:color w:val="auto"/>
          <w:sz w:val="42"/>
          <w:szCs w:val="42"/>
          <w:rtl/>
          <w:lang w:val="en-GB"/>
        </w:rPr>
      </w:pPr>
      <w:bookmarkStart w:id="10" w:name="_Toc364355354"/>
      <w:bookmarkStart w:id="11" w:name="_Toc420595496"/>
      <w:r w:rsidRPr="006755BC">
        <w:rPr>
          <w:rFonts w:ascii="Arabic Typesetting" w:hAnsi="Arabic Typesetting" w:cs="Arabic Typesetting" w:hint="cs"/>
          <w:i/>
          <w:caps/>
          <w:color w:val="auto"/>
          <w:sz w:val="42"/>
          <w:szCs w:val="42"/>
          <w:rtl/>
          <w:lang w:val="en-GB"/>
        </w:rPr>
        <w:lastRenderedPageBreak/>
        <w:t>ثانيا</w:t>
      </w:r>
      <w:r w:rsidR="00E14006" w:rsidRPr="006755BC">
        <w:rPr>
          <w:rFonts w:ascii="Arabic Typesetting" w:hAnsi="Arabic Typesetting" w:cs="Arabic Typesetting"/>
          <w:i/>
          <w:caps/>
          <w:color w:val="auto"/>
          <w:sz w:val="42"/>
          <w:szCs w:val="42"/>
          <w:rtl/>
          <w:lang w:val="en-GB"/>
        </w:rPr>
        <w:t>.</w:t>
      </w:r>
      <w:r w:rsidR="00E14006" w:rsidRPr="006755BC">
        <w:rPr>
          <w:rFonts w:ascii="Arabic Typesetting" w:hAnsi="Arabic Typesetting" w:cs="Arabic Typesetting"/>
          <w:i/>
          <w:caps/>
          <w:color w:val="auto"/>
          <w:sz w:val="42"/>
          <w:szCs w:val="42"/>
          <w:rtl/>
          <w:lang w:val="en-GB"/>
        </w:rPr>
        <w:tab/>
        <w:t>وصف البرامج حسب الأهداف الاستراتيجية</w:t>
      </w:r>
      <w:bookmarkEnd w:id="10"/>
      <w:bookmarkEnd w:id="11"/>
    </w:p>
    <w:p w:rsidR="006450EA" w:rsidRPr="008954A8" w:rsidRDefault="006450EA" w:rsidP="002C3C33">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12" w:name="_Toc358745205"/>
      <w:bookmarkStart w:id="13" w:name="_Toc364355355"/>
      <w:bookmarkStart w:id="14" w:name="_Toc420595497"/>
      <w:r w:rsidRPr="008954A8">
        <w:rPr>
          <w:rFonts w:ascii="Arabic Typesetting" w:hAnsi="Arabic Typesetting" w:cs="Arabic Typesetting" w:hint="cs"/>
          <w:i/>
          <w:iCs w:val="0"/>
          <w:sz w:val="42"/>
          <w:szCs w:val="42"/>
          <w:rtl/>
        </w:rPr>
        <w:t>الهدف الاستراتيجي الأول</w:t>
      </w:r>
      <w:bookmarkStart w:id="15" w:name="_Toc358745206"/>
      <w:bookmarkStart w:id="16" w:name="_Toc364355356"/>
      <w:bookmarkEnd w:id="12"/>
      <w:bookmarkEnd w:id="13"/>
      <w:r w:rsidRPr="006D4BD7">
        <w:rPr>
          <w:rFonts w:ascii="Arabic Typesetting" w:hAnsi="Arabic Typesetting" w:cs="Arabic Typesetting" w:hint="cs"/>
          <w:i/>
          <w:iCs w:val="0"/>
          <w:sz w:val="42"/>
          <w:szCs w:val="42"/>
          <w:rtl/>
        </w:rPr>
        <w:tab/>
      </w:r>
      <w:r w:rsidRPr="008954A8">
        <w:rPr>
          <w:rFonts w:ascii="Arabic Typesetting" w:hAnsi="Arabic Typesetting" w:cs="Arabic Typesetting" w:hint="cs"/>
          <w:i/>
          <w:iCs w:val="0"/>
          <w:sz w:val="42"/>
          <w:szCs w:val="42"/>
          <w:rtl/>
        </w:rPr>
        <w:t>تطور متوازن لوضع القواعد والمعايير الدولية بشأن الملكية الفكرية</w:t>
      </w:r>
      <w:bookmarkEnd w:id="14"/>
      <w:bookmarkEnd w:id="15"/>
      <w:bookmarkEnd w:id="16"/>
    </w:p>
    <w:p w:rsidR="006450EA" w:rsidRPr="008954A8" w:rsidRDefault="006450EA" w:rsidP="00862268">
      <w:pPr>
        <w:pStyle w:val="ARNormal"/>
        <w:rPr>
          <w:rtl/>
        </w:rPr>
      </w:pPr>
      <w:r w:rsidRPr="008954A8">
        <w:rPr>
          <w:rtl/>
        </w:rPr>
        <w:t>يرمي هذا الهدف الاستراتيجي إلى ضمان تطوير قانون الملكية الفكرية الدولي لمواكبة المحيط التكنولوجي والجغرافي الاقتصادي والاجتماعي والثقافي العالمي الذي يشهد تطورا سريعا، آخذا تنفيذ توصيات جدول أعمال التنمية بشأن وضع القواعد والمعايير في الحسبان. ولا بد من ضمان توازن التطوّر ليظل ال</w:t>
      </w:r>
      <w:r w:rsidRPr="008954A8">
        <w:rPr>
          <w:rFonts w:hint="cs"/>
          <w:rtl/>
        </w:rPr>
        <w:t>نظام</w:t>
      </w:r>
      <w:r w:rsidRPr="008954A8">
        <w:rPr>
          <w:rtl/>
        </w:rPr>
        <w:t xml:space="preserve"> الدولي للملكية الفكرية قادرا على الاستمرار في خدمة هدفه الأساسي</w:t>
      </w:r>
      <w:r w:rsidRPr="008954A8">
        <w:rPr>
          <w:rFonts w:hint="cs"/>
          <w:rtl/>
        </w:rPr>
        <w:t xml:space="preserve"> ألا</w:t>
      </w:r>
      <w:r w:rsidRPr="008954A8">
        <w:rPr>
          <w:rtl/>
        </w:rPr>
        <w:t xml:space="preserve"> وهو تشجيع الابتكار والإبداع، بما في ذلك الاستفادة من مواطن المرونة في اتفاقات الملكية الفكرية الدولية، ومراعاة احتياجات البلدان ومصالحها على اختلاف مراحل نموّها، وتحقيق التوازن السليم بين "1" حقوق المبدعين ومالكي الملكية الفكرية وحقوق المنتفعين والجمهور</w:t>
      </w:r>
      <w:r w:rsidRPr="008954A8">
        <w:rPr>
          <w:rFonts w:hint="cs"/>
          <w:rtl/>
        </w:rPr>
        <w:t>؛</w:t>
      </w:r>
      <w:r w:rsidRPr="008954A8">
        <w:rPr>
          <w:rtl/>
        </w:rPr>
        <w:t xml:space="preserve"> "2" وتشجيع الابتكار والإبداع وتعميم الفوائد الاجتماعية المستمدة من الابتكار والمصنفات الإبداعية.</w:t>
      </w:r>
    </w:p>
    <w:p w:rsidR="006450EA" w:rsidRPr="008954A8" w:rsidRDefault="006450EA" w:rsidP="00862268">
      <w:pPr>
        <w:pStyle w:val="ARNormal"/>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3969"/>
        <w:gridCol w:w="2235"/>
      </w:tblGrid>
      <w:tr w:rsidR="006450EA" w:rsidRPr="008954A8" w:rsidTr="002C3C33">
        <w:trPr>
          <w:tblHeader/>
        </w:trPr>
        <w:tc>
          <w:tcPr>
            <w:tcW w:w="3366" w:type="dxa"/>
            <w:tcBorders>
              <w:bottom w:val="single" w:sz="4" w:space="0" w:color="auto"/>
              <w:right w:val="nil"/>
            </w:tcBorders>
            <w:shd w:val="clear" w:color="auto" w:fill="C6D9F1"/>
          </w:tcPr>
          <w:p w:rsidR="006450EA" w:rsidRPr="008954A8" w:rsidRDefault="006450EA" w:rsidP="00862268">
            <w:pPr>
              <w:pStyle w:val="ARSGTableHeading"/>
              <w:spacing w:line="300" w:lineRule="exact"/>
              <w:rPr>
                <w:rtl/>
                <w:lang w:bidi="ar-SA"/>
              </w:rPr>
            </w:pPr>
            <w:r w:rsidRPr="008954A8">
              <w:rPr>
                <w:rtl/>
                <w:lang w:bidi="ar-SA"/>
              </w:rPr>
              <w:t>النتائج المرتقبة</w:t>
            </w:r>
          </w:p>
        </w:tc>
        <w:tc>
          <w:tcPr>
            <w:tcW w:w="3969" w:type="dxa"/>
            <w:tcBorders>
              <w:left w:val="nil"/>
              <w:bottom w:val="single" w:sz="4" w:space="0" w:color="auto"/>
              <w:right w:val="nil"/>
            </w:tcBorders>
            <w:shd w:val="clear" w:color="auto" w:fill="C6D9F1"/>
          </w:tcPr>
          <w:p w:rsidR="006450EA" w:rsidRPr="003C5925" w:rsidRDefault="006450EA" w:rsidP="00862268">
            <w:pPr>
              <w:pStyle w:val="ARSGTableHeading"/>
              <w:spacing w:line="300" w:lineRule="exact"/>
              <w:rPr>
                <w:rtl/>
                <w:lang w:bidi="ar-SA"/>
              </w:rPr>
            </w:pPr>
            <w:r w:rsidRPr="003C5925">
              <w:rPr>
                <w:rtl/>
                <w:lang w:bidi="ar-SA"/>
              </w:rPr>
              <w:t>مؤشرات الأداء</w:t>
            </w:r>
          </w:p>
        </w:tc>
        <w:tc>
          <w:tcPr>
            <w:tcW w:w="2235" w:type="dxa"/>
            <w:tcBorders>
              <w:left w:val="nil"/>
              <w:bottom w:val="single" w:sz="4" w:space="0" w:color="auto"/>
            </w:tcBorders>
            <w:shd w:val="clear" w:color="auto" w:fill="C6D9F1"/>
          </w:tcPr>
          <w:p w:rsidR="006450EA" w:rsidRPr="008954A8" w:rsidRDefault="006450EA" w:rsidP="00862268">
            <w:pPr>
              <w:pStyle w:val="ARSGTableHeading"/>
              <w:spacing w:line="300" w:lineRule="exact"/>
              <w:rPr>
                <w:rtl/>
                <w:lang w:bidi="ar-SA"/>
              </w:rPr>
            </w:pPr>
            <w:r w:rsidRPr="008954A8">
              <w:rPr>
                <w:rtl/>
                <w:lang w:bidi="ar-SA"/>
              </w:rPr>
              <w:t>البرامج المسؤولة</w:t>
            </w:r>
          </w:p>
        </w:tc>
      </w:tr>
      <w:tr w:rsidR="006450EA" w:rsidRPr="008954A8" w:rsidTr="00E6612D">
        <w:tc>
          <w:tcPr>
            <w:tcW w:w="3366" w:type="dxa"/>
            <w:tcBorders>
              <w:top w:val="single" w:sz="4" w:space="0" w:color="auto"/>
              <w:left w:val="single" w:sz="4" w:space="0" w:color="auto"/>
              <w:bottom w:val="nil"/>
              <w:right w:val="nil"/>
            </w:tcBorders>
            <w:shd w:val="clear" w:color="auto" w:fill="auto"/>
          </w:tcPr>
          <w:p w:rsidR="006450EA" w:rsidRPr="00AE1BA6" w:rsidRDefault="006450EA" w:rsidP="00604E45">
            <w:pPr>
              <w:pStyle w:val="ARSGTableText"/>
              <w:spacing w:line="300" w:lineRule="exact"/>
              <w:rPr>
                <w:rtl/>
              </w:rPr>
            </w:pPr>
            <w:r w:rsidRPr="00AE1BA6">
              <w:rPr>
                <w:rFonts w:hint="cs"/>
                <w:rtl/>
              </w:rPr>
              <w:t xml:space="preserve">ه 1.1. </w:t>
            </w:r>
            <w:r w:rsidRPr="00AE1BA6">
              <w:rPr>
                <w:rtl/>
              </w:rPr>
              <w:t>تعاون معزز بين الدول الأعضاء في وضع أطر معيارية دولية متوازنة في مجال الملكية الفكرية</w:t>
            </w:r>
          </w:p>
        </w:tc>
        <w:tc>
          <w:tcPr>
            <w:tcW w:w="3969" w:type="dxa"/>
            <w:tcBorders>
              <w:top w:val="single" w:sz="4" w:space="0" w:color="auto"/>
              <w:left w:val="nil"/>
              <w:bottom w:val="nil"/>
              <w:right w:val="nil"/>
            </w:tcBorders>
            <w:shd w:val="clear" w:color="auto" w:fill="auto"/>
          </w:tcPr>
          <w:p w:rsidR="006450EA" w:rsidRPr="003C5925" w:rsidRDefault="006450EA" w:rsidP="00862268">
            <w:pPr>
              <w:pStyle w:val="ARSGTableText"/>
              <w:spacing w:line="300" w:lineRule="exact"/>
              <w:rPr>
                <w:rtl/>
              </w:rPr>
            </w:pPr>
            <w:r w:rsidRPr="003C5925">
              <w:rPr>
                <w:rtl/>
                <w:lang w:bidi="ar-SA"/>
              </w:rPr>
              <w:t>التقدم المحرز في تنفيذ العمل المتفق عليه وفقا لجدول أعمال اللجنة الدائمة المعنية بقانون البراءات (اللجنة)</w:t>
            </w:r>
          </w:p>
        </w:tc>
        <w:tc>
          <w:tcPr>
            <w:tcW w:w="2235" w:type="dxa"/>
            <w:tcBorders>
              <w:top w:val="single" w:sz="4" w:space="0" w:color="auto"/>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1</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rPr>
            </w:pPr>
            <w:r w:rsidRPr="003C5925">
              <w:rPr>
                <w:rtl/>
              </w:rPr>
              <w:t>مستوى رضا المشاركين في حلقات عمل/</w:t>
            </w:r>
            <w:r>
              <w:rPr>
                <w:rFonts w:hint="cs"/>
                <w:rtl/>
              </w:rPr>
              <w:t xml:space="preserve"> </w:t>
            </w:r>
            <w:r w:rsidRPr="003C5925">
              <w:rPr>
                <w:rtl/>
              </w:rPr>
              <w:t>ندوات/ محددة الهدف والمعقودة بشأن قضايا محددة تتعلق بالبراءات</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1</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rPr>
            </w:pPr>
            <w:r w:rsidRPr="003C5925">
              <w:rPr>
                <w:rtl/>
              </w:rPr>
              <w:t>مستوى رضا المشاركين في برنامج مساعدة المخترعين</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lang w:bidi="ar-SA"/>
              </w:rPr>
            </w:pPr>
            <w:r w:rsidRPr="008954A8">
              <w:rPr>
                <w:rFonts w:hint="cs"/>
                <w:rtl/>
              </w:rPr>
              <w:t>البرنامج</w:t>
            </w:r>
            <w:r w:rsidRPr="008954A8">
              <w:rPr>
                <w:rFonts w:hint="cs"/>
                <w:rtl/>
                <w:lang w:bidi="ar-SA"/>
              </w:rPr>
              <w:t xml:space="preserve"> </w:t>
            </w:r>
            <w:r>
              <w:rPr>
                <w:rFonts w:hint="cs"/>
                <w:rtl/>
                <w:lang w:bidi="ar-SA"/>
              </w:rPr>
              <w:t>1</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D2798F">
            <w:pPr>
              <w:pStyle w:val="ARSGTableText"/>
              <w:spacing w:line="300" w:lineRule="exact"/>
              <w:rPr>
                <w:rtl/>
              </w:rPr>
            </w:pPr>
            <w:r w:rsidRPr="003C5925">
              <w:rPr>
                <w:rtl/>
              </w:rPr>
              <w:t>التقدم المحرز نحو الاتفاق على القضايا الراهنة المدرجة في جدول أعمال لجنة العلامات</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2</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rPr>
            </w:pPr>
            <w:r w:rsidRPr="003C5925">
              <w:rPr>
                <w:rtl/>
                <w:lang w:bidi="ar-SA"/>
              </w:rPr>
              <w:t>التقدم في تنفيذ العمل المُتَّفق عليه وفقاً لجدول أعمال اللجنة الدائمة المعنية بحق المؤلف والحقوق المجاورة</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3</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lang w:bidi="ar-SA"/>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rPr>
            </w:pPr>
            <w:r w:rsidRPr="003C5925">
              <w:rPr>
                <w:rtl/>
              </w:rPr>
              <w:t>التقدم نحو تنفيذ الأنشطة المعيارية في مجال الملكية الفكرية والموارد الوراثية والمعارف التقليدية وأشكال التعبير الثقافي التقليدي حسبما تتفق عليه الدول الأعضاء</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4</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lang w:bidi="ar-SA"/>
              </w:rPr>
            </w:pPr>
          </w:p>
        </w:tc>
        <w:tc>
          <w:tcPr>
            <w:tcW w:w="3969" w:type="dxa"/>
            <w:tcBorders>
              <w:top w:val="nil"/>
              <w:left w:val="nil"/>
              <w:bottom w:val="nil"/>
              <w:right w:val="nil"/>
            </w:tcBorders>
            <w:shd w:val="clear" w:color="auto" w:fill="auto"/>
          </w:tcPr>
          <w:p w:rsidR="006450EA" w:rsidRPr="003C5925" w:rsidRDefault="006450EA" w:rsidP="00D2798F">
            <w:pPr>
              <w:pStyle w:val="ARSGTableText"/>
              <w:spacing w:line="300" w:lineRule="exact"/>
              <w:rPr>
                <w:rtl/>
                <w:lang w:bidi="ar-SA"/>
              </w:rPr>
            </w:pPr>
            <w:r w:rsidRPr="003C5925">
              <w:rPr>
                <w:rtl/>
              </w:rPr>
              <w:t>عدد حالات التصديق/الانضمام إلى معاهدة سنغافورة</w:t>
            </w:r>
          </w:p>
        </w:tc>
        <w:tc>
          <w:tcPr>
            <w:tcW w:w="2235" w:type="dxa"/>
            <w:tcBorders>
              <w:top w:val="nil"/>
              <w:left w:val="nil"/>
              <w:bottom w:val="nil"/>
              <w:right w:val="single" w:sz="4" w:space="0" w:color="auto"/>
            </w:tcBorders>
            <w:shd w:val="clear" w:color="auto" w:fill="auto"/>
          </w:tcPr>
          <w:p w:rsidR="006450EA" w:rsidRDefault="006450EA" w:rsidP="002C3C33">
            <w:pPr>
              <w:pStyle w:val="ARSGTableText"/>
              <w:spacing w:line="300" w:lineRule="exact"/>
              <w:jc w:val="center"/>
              <w:rPr>
                <w:rtl/>
              </w:rPr>
            </w:pPr>
            <w:r w:rsidRPr="008954A8">
              <w:rPr>
                <w:rFonts w:hint="cs"/>
                <w:rtl/>
              </w:rPr>
              <w:t xml:space="preserve">البرنامج </w:t>
            </w:r>
            <w:r>
              <w:rPr>
                <w:rFonts w:hint="cs"/>
                <w:rtl/>
              </w:rPr>
              <w:t>2</w:t>
            </w:r>
          </w:p>
          <w:p w:rsidR="006450EA" w:rsidRPr="008954A8" w:rsidRDefault="006450EA" w:rsidP="002C3C33">
            <w:pPr>
              <w:pStyle w:val="ARSGTableText"/>
              <w:spacing w:line="300" w:lineRule="exact"/>
              <w:jc w:val="center"/>
              <w:rPr>
                <w:rtl/>
              </w:rPr>
            </w:pPr>
            <w:r>
              <w:rPr>
                <w:rFonts w:hint="cs"/>
                <w:rtl/>
              </w:rPr>
              <w:t>البرنامج 20</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r w:rsidRPr="008954A8">
              <w:rPr>
                <w:rFonts w:hint="cs"/>
                <w:rtl/>
              </w:rPr>
              <w:t xml:space="preserve">ه 2.1. </w:t>
            </w:r>
            <w:r w:rsidRPr="00AE1BA6">
              <w:rPr>
                <w:rtl/>
              </w:rPr>
              <w:t>أطر تشريعية وتنظيمية وسياسية مكيّفة ومتوازنة في مجال الملكية الفكرية</w:t>
            </w: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rPr>
            </w:pPr>
            <w:r w:rsidRPr="003C5925">
              <w:rPr>
                <w:rtl/>
              </w:rPr>
              <w:t>النسبة المئوية للجهات المتلقية التي وجدت المعلومات المقدمة بشأن المبادئ والممارسات القانونية لأنظمة البراءات ونماذج المنفعة والدوار المتكاملة، بما فيها مواطن المرونة، معلومات مفيدة</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1</w:t>
            </w:r>
          </w:p>
        </w:tc>
      </w:tr>
      <w:tr w:rsidR="006450EA" w:rsidRPr="008954A8" w:rsidTr="002C3C33">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pPr>
            <w:r w:rsidRPr="003C5925">
              <w:rPr>
                <w:rtl/>
              </w:rPr>
              <w:t>عدد الدول الأعضاء الراضية على مستوى جودة المشورة القانونية والنسبة المئوية لهذه الدول</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1</w:t>
            </w:r>
          </w:p>
        </w:tc>
      </w:tr>
      <w:tr w:rsidR="006450EA" w:rsidRPr="008954A8" w:rsidTr="00735B50">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lang w:bidi="ar-SA"/>
              </w:rPr>
            </w:pPr>
            <w:r w:rsidRPr="003C5925">
              <w:rPr>
                <w:rtl/>
              </w:rPr>
              <w:t>عدد الدول الأعضاء/المنظمات الإقليمية التي قدمت تعليقات إيجابية على المشورة التشريعية المقدمة في مجال العلامات التجارية والتصاميم الصناعية والبيانات الجغرافية، والنسبة المئوية لهذه الدول والمنظمات</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2</w:t>
            </w:r>
          </w:p>
        </w:tc>
      </w:tr>
      <w:tr w:rsidR="006450EA" w:rsidRPr="008954A8" w:rsidTr="00735B50">
        <w:tc>
          <w:tcPr>
            <w:tcW w:w="3366" w:type="dxa"/>
            <w:tcBorders>
              <w:top w:val="nil"/>
              <w:left w:val="single" w:sz="4" w:space="0" w:color="auto"/>
              <w:bottom w:val="single" w:sz="4" w:space="0" w:color="auto"/>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single" w:sz="4" w:space="0" w:color="auto"/>
              <w:right w:val="nil"/>
            </w:tcBorders>
            <w:shd w:val="clear" w:color="auto" w:fill="auto"/>
          </w:tcPr>
          <w:p w:rsidR="006450EA" w:rsidRPr="003C5925" w:rsidRDefault="006450EA" w:rsidP="00862268">
            <w:pPr>
              <w:pStyle w:val="ARSGTableText"/>
              <w:spacing w:line="300" w:lineRule="exact"/>
            </w:pPr>
            <w:r w:rsidRPr="003C5925">
              <w:rPr>
                <w:rtl/>
              </w:rPr>
              <w:t>عدد البلدان التي صدقت على معاهدة بيجين أو انضمت إليها</w:t>
            </w:r>
          </w:p>
        </w:tc>
        <w:tc>
          <w:tcPr>
            <w:tcW w:w="2235" w:type="dxa"/>
            <w:tcBorders>
              <w:top w:val="nil"/>
              <w:left w:val="nil"/>
              <w:bottom w:val="single" w:sz="4" w:space="0" w:color="auto"/>
              <w:right w:val="single" w:sz="4" w:space="0" w:color="auto"/>
            </w:tcBorders>
            <w:shd w:val="clear" w:color="auto" w:fill="auto"/>
          </w:tcPr>
          <w:p w:rsidR="006450EA" w:rsidRDefault="006450EA" w:rsidP="002C3C33">
            <w:pPr>
              <w:pStyle w:val="ARSGTableText"/>
              <w:spacing w:line="300" w:lineRule="exact"/>
              <w:jc w:val="center"/>
              <w:rPr>
                <w:rtl/>
              </w:rPr>
            </w:pPr>
            <w:r w:rsidRPr="008954A8">
              <w:rPr>
                <w:rFonts w:hint="cs"/>
                <w:rtl/>
              </w:rPr>
              <w:t xml:space="preserve">البرنامج </w:t>
            </w:r>
            <w:r>
              <w:rPr>
                <w:rFonts w:hint="cs"/>
                <w:rtl/>
              </w:rPr>
              <w:t>3</w:t>
            </w:r>
          </w:p>
          <w:p w:rsidR="006450EA" w:rsidRPr="008954A8" w:rsidRDefault="006450EA" w:rsidP="002C3C33">
            <w:pPr>
              <w:pStyle w:val="ARSGTableText"/>
              <w:spacing w:line="300" w:lineRule="exact"/>
              <w:jc w:val="center"/>
              <w:rPr>
                <w:rtl/>
              </w:rPr>
            </w:pPr>
            <w:proofErr w:type="spellStart"/>
            <w:r>
              <w:rPr>
                <w:rFonts w:hint="cs"/>
                <w:rtl/>
              </w:rPr>
              <w:t>الرنامج</w:t>
            </w:r>
            <w:proofErr w:type="spellEnd"/>
            <w:r>
              <w:rPr>
                <w:rFonts w:hint="cs"/>
                <w:rtl/>
              </w:rPr>
              <w:t xml:space="preserve"> 20</w:t>
            </w:r>
          </w:p>
        </w:tc>
      </w:tr>
      <w:tr w:rsidR="006450EA" w:rsidRPr="008954A8" w:rsidTr="00735B50">
        <w:tc>
          <w:tcPr>
            <w:tcW w:w="3366" w:type="dxa"/>
            <w:tcBorders>
              <w:top w:val="single" w:sz="4" w:space="0" w:color="auto"/>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single" w:sz="4" w:space="0" w:color="auto"/>
              <w:left w:val="nil"/>
              <w:bottom w:val="nil"/>
              <w:right w:val="nil"/>
            </w:tcBorders>
            <w:shd w:val="clear" w:color="auto" w:fill="auto"/>
          </w:tcPr>
          <w:p w:rsidR="006450EA" w:rsidRPr="003C5925" w:rsidRDefault="006450EA" w:rsidP="00862268">
            <w:pPr>
              <w:pStyle w:val="ARSGTableText"/>
              <w:spacing w:line="300" w:lineRule="exact"/>
            </w:pPr>
            <w:r w:rsidRPr="003C5925">
              <w:rPr>
                <w:rtl/>
              </w:rPr>
              <w:t>عدد البلدان التي صدقت على معاهدة مراكش أو انضمت إليها</w:t>
            </w:r>
          </w:p>
        </w:tc>
        <w:tc>
          <w:tcPr>
            <w:tcW w:w="2235" w:type="dxa"/>
            <w:tcBorders>
              <w:top w:val="single" w:sz="4" w:space="0" w:color="auto"/>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3</w:t>
            </w:r>
          </w:p>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20</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pPr>
            <w:r w:rsidRPr="003C5925">
              <w:rPr>
                <w:rtl/>
              </w:rPr>
              <w:t>عدد حالات التصديق على معاهدات حق المؤلف السارية، بما في ذلك معاهدة برن ومعاهدة روما والمعاهدات الخاصة بالإنترنت، أو حالات الانضمام إليها</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3</w:t>
            </w:r>
          </w:p>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20</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pPr>
            <w:r w:rsidRPr="003C5925">
              <w:rPr>
                <w:rtl/>
              </w:rPr>
              <w:t>النسبة المئوية للبلدان التي قدمت تعقيبات إيجابية على مشورة الويبو التشريعية</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3</w:t>
            </w:r>
          </w:p>
          <w:p w:rsidR="006450EA" w:rsidRPr="008954A8" w:rsidRDefault="006450EA" w:rsidP="002C3C33">
            <w:pPr>
              <w:pStyle w:val="ARSGTableText"/>
              <w:spacing w:line="300" w:lineRule="exact"/>
              <w:jc w:val="center"/>
              <w:rPr>
                <w:rtl/>
              </w:rPr>
            </w:pP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pPr>
            <w:r w:rsidRPr="003C5925">
              <w:rPr>
                <w:rtl/>
              </w:rPr>
              <w:t>عدد و/أو نسبة البلدان التي تقدم رأيا إيجابيا في المشورة التشريعية التي تقدمها الويبو</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9</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pPr>
            <w:r w:rsidRPr="003C5925">
              <w:rPr>
                <w:rtl/>
              </w:rPr>
              <w:t>عدد البلدان المنتقلة إلى نظام الاقتصاد الحر وبها قوانين ولوائح وطنية مُحدَّثة</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10</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lang w:bidi="ar-SA"/>
              </w:rPr>
            </w:pPr>
            <w:r w:rsidRPr="003C5925">
              <w:rPr>
                <w:rtl/>
              </w:rPr>
              <w:t>عدد التصديقات على المعاهدات التي تديرها الويبو</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10</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pPr>
            <w:r w:rsidRPr="003C5925">
              <w:rPr>
                <w:rtl/>
              </w:rPr>
              <w:t xml:space="preserve">عدد البلدان أو المنظمات الإقليمية التي اعتمدت أو عدَّلت أطراً ذات صلة من أجل الإنفاذ الفعال للملكية الفكرية في ضوء الجزء الثالث من اتفاق </w:t>
            </w:r>
            <w:proofErr w:type="spellStart"/>
            <w:r w:rsidRPr="003C5925">
              <w:rPr>
                <w:rtl/>
              </w:rPr>
              <w:t>تريبس</w:t>
            </w:r>
            <w:proofErr w:type="spellEnd"/>
            <w:r w:rsidR="00125640">
              <w:rPr>
                <w:rFonts w:hint="cs"/>
                <w:rtl/>
              </w:rPr>
              <w:t xml:space="preserve"> والتوصية 45 من توصيات جدول أعمال التنمية</w:t>
            </w:r>
            <w:r w:rsidRPr="003C5925">
              <w:rPr>
                <w:rtl/>
              </w:rPr>
              <w:t>، أو في طريقها إلى القيام بذلك، علاوةً على مساعدة الويبو</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17</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862268">
            <w:pPr>
              <w:pStyle w:val="ARSGTableText"/>
              <w:spacing w:line="300" w:lineRule="exact"/>
              <w:rPr>
                <w:rtl/>
              </w:rPr>
            </w:pP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rPr>
            </w:pPr>
            <w:r w:rsidRPr="003C5925">
              <w:rPr>
                <w:rtl/>
              </w:rPr>
              <w:t>عدد البلدان التي اعتمدت أو طبّقت أو اعتمدت وطبّقت استراتيجيةً وطنيةً بشأن إذكاء الاحترام للملكية الفكرية، أو في طريقها إلى القيام بذلك، بمساعدة الويبو</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Pr>
                <w:rFonts w:hint="cs"/>
                <w:rtl/>
              </w:rPr>
              <w:t>البرنامج 17</w:t>
            </w:r>
          </w:p>
        </w:tc>
      </w:tr>
      <w:tr w:rsidR="002D5889" w:rsidRPr="008954A8" w:rsidTr="00E6612D">
        <w:tc>
          <w:tcPr>
            <w:tcW w:w="3366" w:type="dxa"/>
            <w:tcBorders>
              <w:top w:val="nil"/>
              <w:left w:val="single" w:sz="4" w:space="0" w:color="auto"/>
              <w:bottom w:val="nil"/>
              <w:right w:val="nil"/>
            </w:tcBorders>
            <w:shd w:val="clear" w:color="auto" w:fill="auto"/>
          </w:tcPr>
          <w:p w:rsidR="002D5889" w:rsidRPr="008954A8" w:rsidRDefault="002D5889" w:rsidP="00862268">
            <w:pPr>
              <w:pStyle w:val="ARSGTableText"/>
              <w:spacing w:line="300" w:lineRule="exact"/>
              <w:rPr>
                <w:rtl/>
              </w:rPr>
            </w:pPr>
          </w:p>
        </w:tc>
        <w:tc>
          <w:tcPr>
            <w:tcW w:w="3969" w:type="dxa"/>
            <w:tcBorders>
              <w:top w:val="nil"/>
              <w:left w:val="nil"/>
              <w:bottom w:val="nil"/>
              <w:right w:val="nil"/>
            </w:tcBorders>
            <w:shd w:val="clear" w:color="auto" w:fill="auto"/>
          </w:tcPr>
          <w:p w:rsidR="002D5889" w:rsidRPr="003C5925" w:rsidRDefault="002D5889" w:rsidP="00862268">
            <w:pPr>
              <w:pStyle w:val="ARSGTableText"/>
              <w:spacing w:line="300" w:lineRule="exact"/>
              <w:rPr>
                <w:rtl/>
              </w:rPr>
            </w:pPr>
            <w:r w:rsidRPr="002D5889">
              <w:rPr>
                <w:rtl/>
              </w:rPr>
              <w:t>عدد البلدان التي تلتمس مساهمات خصوصية من الويبو بشأن الملكية الفكرية فيما يتعلق بالقضايا المتعلقة بسياسة المنافسة</w:t>
            </w:r>
          </w:p>
        </w:tc>
        <w:tc>
          <w:tcPr>
            <w:tcW w:w="2235" w:type="dxa"/>
            <w:tcBorders>
              <w:top w:val="nil"/>
              <w:left w:val="nil"/>
              <w:bottom w:val="nil"/>
              <w:right w:val="single" w:sz="4" w:space="0" w:color="auto"/>
            </w:tcBorders>
            <w:shd w:val="clear" w:color="auto" w:fill="auto"/>
          </w:tcPr>
          <w:p w:rsidR="002D5889" w:rsidRDefault="002D5889" w:rsidP="002C3C33">
            <w:pPr>
              <w:pStyle w:val="ARSGTableText"/>
              <w:spacing w:line="300" w:lineRule="exact"/>
              <w:jc w:val="center"/>
              <w:rPr>
                <w:rtl/>
              </w:rPr>
            </w:pPr>
            <w:r>
              <w:rPr>
                <w:rFonts w:hint="cs"/>
                <w:rtl/>
              </w:rPr>
              <w:t>البرنامج 18</w:t>
            </w:r>
          </w:p>
        </w:tc>
      </w:tr>
      <w:tr w:rsidR="002D5889" w:rsidRPr="008954A8" w:rsidTr="00E6612D">
        <w:tc>
          <w:tcPr>
            <w:tcW w:w="3366" w:type="dxa"/>
            <w:tcBorders>
              <w:top w:val="nil"/>
              <w:left w:val="single" w:sz="4" w:space="0" w:color="auto"/>
              <w:bottom w:val="nil"/>
              <w:right w:val="nil"/>
            </w:tcBorders>
            <w:shd w:val="clear" w:color="auto" w:fill="auto"/>
          </w:tcPr>
          <w:p w:rsidR="002D5889" w:rsidRPr="008954A8" w:rsidRDefault="002D5889" w:rsidP="00862268">
            <w:pPr>
              <w:pStyle w:val="ARSGTableText"/>
              <w:spacing w:line="300" w:lineRule="exact"/>
              <w:rPr>
                <w:rtl/>
              </w:rPr>
            </w:pPr>
          </w:p>
        </w:tc>
        <w:tc>
          <w:tcPr>
            <w:tcW w:w="3969" w:type="dxa"/>
            <w:tcBorders>
              <w:top w:val="nil"/>
              <w:left w:val="nil"/>
              <w:bottom w:val="nil"/>
              <w:right w:val="nil"/>
            </w:tcBorders>
            <w:shd w:val="clear" w:color="auto" w:fill="auto"/>
          </w:tcPr>
          <w:p w:rsidR="002D5889" w:rsidRPr="002D5889" w:rsidRDefault="002D5889" w:rsidP="00862268">
            <w:pPr>
              <w:pStyle w:val="ARSGTableText"/>
              <w:spacing w:line="300" w:lineRule="exact"/>
              <w:rPr>
                <w:rtl/>
              </w:rPr>
            </w:pPr>
            <w:r w:rsidRPr="002D5889">
              <w:rPr>
                <w:rtl/>
              </w:rPr>
              <w:t>عدد أصحاب المصالح (مكاتب الملكية الفكرية والسلطات المعنية بالمنافسة والمنظمات الحكومية الدولية والمنظمات غير الحكومية الوجيهة) الذين يخوضون حوارا مع الويبو، ومدى تنوعهم</w:t>
            </w:r>
          </w:p>
        </w:tc>
        <w:tc>
          <w:tcPr>
            <w:tcW w:w="2235" w:type="dxa"/>
            <w:tcBorders>
              <w:top w:val="nil"/>
              <w:left w:val="nil"/>
              <w:bottom w:val="nil"/>
              <w:right w:val="single" w:sz="4" w:space="0" w:color="auto"/>
            </w:tcBorders>
            <w:shd w:val="clear" w:color="auto" w:fill="auto"/>
          </w:tcPr>
          <w:p w:rsidR="002D5889" w:rsidRDefault="002D5889" w:rsidP="002C3C33">
            <w:pPr>
              <w:pStyle w:val="ARSGTableText"/>
              <w:spacing w:line="300" w:lineRule="exact"/>
              <w:jc w:val="center"/>
              <w:rPr>
                <w:rtl/>
              </w:rPr>
            </w:pPr>
            <w:r>
              <w:rPr>
                <w:rFonts w:hint="cs"/>
                <w:rtl/>
              </w:rPr>
              <w:t>البرنامج 18</w:t>
            </w:r>
          </w:p>
        </w:tc>
      </w:tr>
      <w:tr w:rsidR="006450EA" w:rsidRPr="008954A8" w:rsidTr="00E6612D">
        <w:tc>
          <w:tcPr>
            <w:tcW w:w="3366" w:type="dxa"/>
            <w:tcBorders>
              <w:top w:val="nil"/>
              <w:left w:val="single" w:sz="4" w:space="0" w:color="auto"/>
              <w:bottom w:val="nil"/>
              <w:right w:val="nil"/>
            </w:tcBorders>
            <w:shd w:val="clear" w:color="auto" w:fill="auto"/>
          </w:tcPr>
          <w:p w:rsidR="006450EA" w:rsidRPr="008954A8" w:rsidRDefault="006450EA" w:rsidP="0017014D">
            <w:pPr>
              <w:pStyle w:val="ARSGTableText"/>
              <w:spacing w:line="300" w:lineRule="exact"/>
              <w:rPr>
                <w:rtl/>
              </w:rPr>
            </w:pPr>
            <w:r w:rsidRPr="008954A8">
              <w:rPr>
                <w:rFonts w:hint="cs"/>
                <w:rtl/>
              </w:rPr>
              <w:t xml:space="preserve">ه 3.1. </w:t>
            </w:r>
            <w:r w:rsidR="0017014D" w:rsidRPr="0017014D">
              <w:rPr>
                <w:rtl/>
              </w:rPr>
              <w:t>حماية</w:t>
            </w:r>
            <w:r w:rsidR="0017014D" w:rsidRPr="0017014D">
              <w:t xml:space="preserve"> </w:t>
            </w:r>
            <w:r w:rsidR="0017014D" w:rsidRPr="0017014D">
              <w:rPr>
                <w:rtl/>
              </w:rPr>
              <w:t>متزايدة</w:t>
            </w:r>
            <w:r w:rsidR="0017014D" w:rsidRPr="0017014D">
              <w:t xml:space="preserve"> </w:t>
            </w:r>
            <w:r w:rsidR="0017014D" w:rsidRPr="0017014D">
              <w:rPr>
                <w:rtl/>
              </w:rPr>
              <w:t>لشعارات</w:t>
            </w:r>
            <w:r w:rsidR="0017014D" w:rsidRPr="0017014D">
              <w:t xml:space="preserve"> </w:t>
            </w:r>
            <w:r w:rsidR="0017014D" w:rsidRPr="0017014D">
              <w:rPr>
                <w:rtl/>
              </w:rPr>
              <w:t>الدول</w:t>
            </w:r>
            <w:r w:rsidR="0017014D" w:rsidRPr="0017014D">
              <w:t xml:space="preserve"> </w:t>
            </w:r>
            <w:r w:rsidR="0017014D" w:rsidRPr="0017014D">
              <w:rPr>
                <w:rtl/>
              </w:rPr>
              <w:t>وأسمائها</w:t>
            </w:r>
            <w:r w:rsidR="0017014D" w:rsidRPr="0017014D">
              <w:t xml:space="preserve"> </w:t>
            </w:r>
            <w:r w:rsidR="0017014D" w:rsidRPr="0017014D">
              <w:rPr>
                <w:rtl/>
              </w:rPr>
              <w:t>وشعارات</w:t>
            </w:r>
            <w:r w:rsidR="0017014D" w:rsidRPr="0017014D">
              <w:t xml:space="preserve"> </w:t>
            </w:r>
            <w:r w:rsidR="0017014D" w:rsidRPr="0017014D">
              <w:rPr>
                <w:rtl/>
              </w:rPr>
              <w:t>المنظمات</w:t>
            </w:r>
            <w:r w:rsidR="0017014D" w:rsidRPr="0017014D">
              <w:t xml:space="preserve"> </w:t>
            </w:r>
            <w:r w:rsidR="0017014D" w:rsidRPr="0017014D">
              <w:rPr>
                <w:rtl/>
              </w:rPr>
              <w:t>الحكومية</w:t>
            </w:r>
            <w:r w:rsidR="0017014D" w:rsidRPr="0017014D">
              <w:t xml:space="preserve"> </w:t>
            </w:r>
            <w:r w:rsidR="0017014D" w:rsidRPr="0017014D">
              <w:rPr>
                <w:rtl/>
              </w:rPr>
              <w:t>الدولية</w:t>
            </w:r>
          </w:p>
        </w:tc>
        <w:tc>
          <w:tcPr>
            <w:tcW w:w="3969" w:type="dxa"/>
            <w:tcBorders>
              <w:top w:val="nil"/>
              <w:left w:val="nil"/>
              <w:bottom w:val="nil"/>
              <w:right w:val="nil"/>
            </w:tcBorders>
            <w:shd w:val="clear" w:color="auto" w:fill="auto"/>
          </w:tcPr>
          <w:p w:rsidR="006450EA" w:rsidRPr="003C5925" w:rsidRDefault="006450EA" w:rsidP="00862268">
            <w:pPr>
              <w:pStyle w:val="ARSGTableText"/>
              <w:spacing w:line="300" w:lineRule="exact"/>
              <w:rPr>
                <w:rtl/>
                <w:lang w:bidi="ar-SA"/>
              </w:rPr>
            </w:pPr>
            <w:r w:rsidRPr="003C5925">
              <w:rPr>
                <w:rtl/>
              </w:rPr>
              <w:t>عدد الشعارات الواردة في قاعدة بيانات المادة 6 (ثالثا)</w:t>
            </w:r>
          </w:p>
        </w:tc>
        <w:tc>
          <w:tcPr>
            <w:tcW w:w="2235" w:type="dxa"/>
            <w:tcBorders>
              <w:top w:val="nil"/>
              <w:left w:val="nil"/>
              <w:bottom w:val="nil"/>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البرنامج 2</w:t>
            </w:r>
          </w:p>
        </w:tc>
      </w:tr>
      <w:tr w:rsidR="006450EA" w:rsidRPr="008954A8" w:rsidTr="00E6612D">
        <w:tc>
          <w:tcPr>
            <w:tcW w:w="3366" w:type="dxa"/>
            <w:tcBorders>
              <w:top w:val="nil"/>
              <w:left w:val="single" w:sz="4" w:space="0" w:color="auto"/>
              <w:bottom w:val="single" w:sz="4" w:space="0" w:color="auto"/>
              <w:right w:val="nil"/>
            </w:tcBorders>
            <w:shd w:val="clear" w:color="auto" w:fill="auto"/>
          </w:tcPr>
          <w:p w:rsidR="006450EA" w:rsidRPr="008954A8" w:rsidRDefault="006450EA" w:rsidP="0017014D">
            <w:pPr>
              <w:pStyle w:val="ARSGTableText"/>
              <w:spacing w:line="300" w:lineRule="exact"/>
              <w:rPr>
                <w:rtl/>
              </w:rPr>
            </w:pPr>
            <w:r>
              <w:rPr>
                <w:rFonts w:hint="cs"/>
                <w:rtl/>
              </w:rPr>
              <w:t xml:space="preserve">ه 4.1 </w:t>
            </w:r>
            <w:r w:rsidR="0017014D" w:rsidRPr="0017014D">
              <w:rPr>
                <w:rtl/>
              </w:rPr>
              <w:t>اهتمام</w:t>
            </w:r>
            <w:r w:rsidR="0017014D" w:rsidRPr="0017014D">
              <w:t xml:space="preserve"> </w:t>
            </w:r>
            <w:r w:rsidR="0017014D" w:rsidRPr="0017014D">
              <w:rPr>
                <w:rtl/>
              </w:rPr>
              <w:t>متزايد</w:t>
            </w:r>
            <w:r w:rsidR="0017014D" w:rsidRPr="0017014D">
              <w:t xml:space="preserve"> </w:t>
            </w:r>
            <w:proofErr w:type="spellStart"/>
            <w:r w:rsidR="0017014D" w:rsidRPr="0017014D">
              <w:rPr>
                <w:rtl/>
              </w:rPr>
              <w:t>بالويبو</w:t>
            </w:r>
            <w:proofErr w:type="spellEnd"/>
            <w:r w:rsidR="0017014D" w:rsidRPr="0017014D">
              <w:t xml:space="preserve"> </w:t>
            </w:r>
            <w:r w:rsidR="0017014D" w:rsidRPr="0017014D">
              <w:rPr>
                <w:rtl/>
              </w:rPr>
              <w:t>كمحفل</w:t>
            </w:r>
            <w:r w:rsidR="0017014D" w:rsidRPr="0017014D">
              <w:t xml:space="preserve"> </w:t>
            </w:r>
            <w:r w:rsidR="0017014D" w:rsidRPr="0017014D">
              <w:rPr>
                <w:rtl/>
              </w:rPr>
              <w:t>لتحليل</w:t>
            </w:r>
            <w:r w:rsidR="0017014D" w:rsidRPr="0017014D">
              <w:t xml:space="preserve"> </w:t>
            </w:r>
            <w:r w:rsidR="0017014D" w:rsidRPr="0017014D">
              <w:rPr>
                <w:rtl/>
              </w:rPr>
              <w:t>القضايا</w:t>
            </w:r>
            <w:r w:rsidR="0017014D" w:rsidRPr="0017014D">
              <w:t xml:space="preserve"> </w:t>
            </w:r>
            <w:r w:rsidR="0017014D" w:rsidRPr="0017014D">
              <w:rPr>
                <w:rtl/>
              </w:rPr>
              <w:t>فيما</w:t>
            </w:r>
            <w:r w:rsidR="0017014D" w:rsidRPr="0017014D">
              <w:t xml:space="preserve"> </w:t>
            </w:r>
            <w:r w:rsidR="0017014D" w:rsidRPr="0017014D">
              <w:rPr>
                <w:rtl/>
              </w:rPr>
              <w:t>يتعلق</w:t>
            </w:r>
            <w:r w:rsidR="0017014D" w:rsidRPr="0017014D">
              <w:t xml:space="preserve"> </w:t>
            </w:r>
            <w:r w:rsidR="0017014D" w:rsidRPr="0017014D">
              <w:rPr>
                <w:rtl/>
              </w:rPr>
              <w:t>بالحماية</w:t>
            </w:r>
            <w:r w:rsidR="0017014D" w:rsidRPr="0017014D">
              <w:t xml:space="preserve"> </w:t>
            </w:r>
            <w:r w:rsidR="0017014D" w:rsidRPr="0017014D">
              <w:rPr>
                <w:rtl/>
              </w:rPr>
              <w:t>الدولية</w:t>
            </w:r>
            <w:r w:rsidR="0017014D" w:rsidRPr="0017014D">
              <w:t xml:space="preserve"> </w:t>
            </w:r>
            <w:r w:rsidR="00351999">
              <w:rPr>
                <w:rtl/>
              </w:rPr>
              <w:t>ل</w:t>
            </w:r>
            <w:r w:rsidR="0017014D" w:rsidRPr="0017014D">
              <w:rPr>
                <w:rtl/>
              </w:rPr>
              <w:t>لبراءات ونماذج المنفعة وتصاميم (</w:t>
            </w:r>
            <w:proofErr w:type="spellStart"/>
            <w:r w:rsidR="0017014D" w:rsidRPr="0017014D">
              <w:rPr>
                <w:rtl/>
              </w:rPr>
              <w:t>طبوغرافيات</w:t>
            </w:r>
            <w:proofErr w:type="spellEnd"/>
            <w:r w:rsidR="0017014D" w:rsidRPr="0017014D">
              <w:rPr>
                <w:rtl/>
              </w:rPr>
              <w:t xml:space="preserve">) الدوائر المتكاملة </w:t>
            </w:r>
            <w:r w:rsidR="0017014D" w:rsidRPr="0017014D">
              <w:rPr>
                <w:rFonts w:hint="cs"/>
                <w:rtl/>
              </w:rPr>
              <w:t>وال</w:t>
            </w:r>
            <w:r w:rsidR="0017014D" w:rsidRPr="0017014D">
              <w:rPr>
                <w:rtl/>
              </w:rPr>
              <w:t>معلومات</w:t>
            </w:r>
            <w:r w:rsidR="0017014D" w:rsidRPr="0017014D">
              <w:t xml:space="preserve"> </w:t>
            </w:r>
            <w:r w:rsidR="0017014D" w:rsidRPr="0017014D">
              <w:rPr>
                <w:rtl/>
              </w:rPr>
              <w:t>السرية</w:t>
            </w:r>
          </w:p>
        </w:tc>
        <w:tc>
          <w:tcPr>
            <w:tcW w:w="3969" w:type="dxa"/>
            <w:tcBorders>
              <w:top w:val="nil"/>
              <w:left w:val="nil"/>
              <w:bottom w:val="single" w:sz="4" w:space="0" w:color="auto"/>
              <w:right w:val="nil"/>
            </w:tcBorders>
            <w:shd w:val="clear" w:color="auto" w:fill="auto"/>
          </w:tcPr>
          <w:p w:rsidR="006450EA" w:rsidRPr="003C5925" w:rsidRDefault="006450EA" w:rsidP="00862268">
            <w:pPr>
              <w:pStyle w:val="ARSGTableText"/>
              <w:spacing w:line="300" w:lineRule="exact"/>
              <w:rPr>
                <w:rtl/>
              </w:rPr>
            </w:pPr>
            <w:r w:rsidRPr="003C5925">
              <w:rPr>
                <w:rtl/>
              </w:rPr>
              <w:t xml:space="preserve">النسبة المئوية للجهات المتلقية التي وجدت المعلومات المقدمة بشأن المبادئ والممارسات القانونية لحماية </w:t>
            </w:r>
            <w:r w:rsidR="00351999">
              <w:rPr>
                <w:rFonts w:hint="cs"/>
                <w:rtl/>
              </w:rPr>
              <w:t>ال</w:t>
            </w:r>
            <w:r w:rsidR="00351999" w:rsidRPr="0017014D">
              <w:rPr>
                <w:rtl/>
              </w:rPr>
              <w:t>براءات ونماذج المنفعة وتصاميم (</w:t>
            </w:r>
            <w:proofErr w:type="spellStart"/>
            <w:r w:rsidR="00351999" w:rsidRPr="0017014D">
              <w:rPr>
                <w:rtl/>
              </w:rPr>
              <w:t>طبوغرافيات</w:t>
            </w:r>
            <w:proofErr w:type="spellEnd"/>
            <w:r w:rsidR="00351999" w:rsidRPr="0017014D">
              <w:rPr>
                <w:rtl/>
              </w:rPr>
              <w:t xml:space="preserve">) الدوائر المتكاملة </w:t>
            </w:r>
            <w:r w:rsidR="00351999">
              <w:rPr>
                <w:rFonts w:hint="cs"/>
                <w:rtl/>
              </w:rPr>
              <w:t>و</w:t>
            </w:r>
            <w:r w:rsidRPr="003C5925">
              <w:rPr>
                <w:rtl/>
              </w:rPr>
              <w:t>المعلومات السرية، معلومات مفيدة</w:t>
            </w:r>
          </w:p>
        </w:tc>
        <w:tc>
          <w:tcPr>
            <w:tcW w:w="2235" w:type="dxa"/>
            <w:tcBorders>
              <w:top w:val="nil"/>
              <w:left w:val="nil"/>
              <w:bottom w:val="single" w:sz="4" w:space="0" w:color="auto"/>
              <w:right w:val="single" w:sz="4" w:space="0" w:color="auto"/>
            </w:tcBorders>
            <w:shd w:val="clear" w:color="auto" w:fill="auto"/>
          </w:tcPr>
          <w:p w:rsidR="006450EA" w:rsidRPr="008954A8" w:rsidRDefault="006450EA" w:rsidP="002C3C33">
            <w:pPr>
              <w:pStyle w:val="ARSGTableText"/>
              <w:spacing w:line="300" w:lineRule="exact"/>
              <w:jc w:val="center"/>
              <w:rPr>
                <w:rtl/>
              </w:rPr>
            </w:pPr>
            <w:r w:rsidRPr="008954A8">
              <w:rPr>
                <w:rFonts w:hint="cs"/>
                <w:rtl/>
              </w:rPr>
              <w:t xml:space="preserve">البرنامج </w:t>
            </w:r>
            <w:r>
              <w:rPr>
                <w:rFonts w:hint="cs"/>
                <w:rtl/>
              </w:rPr>
              <w:t>1</w:t>
            </w:r>
          </w:p>
        </w:tc>
      </w:tr>
    </w:tbl>
    <w:p w:rsidR="006450EA" w:rsidRDefault="006450EA" w:rsidP="002C3C33">
      <w:pPr>
        <w:pStyle w:val="ARNormal"/>
        <w:rPr>
          <w:rtl/>
        </w:rPr>
      </w:pPr>
    </w:p>
    <w:p w:rsidR="006450EA" w:rsidRDefault="006450EA">
      <w:pPr>
        <w:bidi w:val="0"/>
        <w:rPr>
          <w:rFonts w:ascii="Arabic Typesetting" w:hAnsi="Arabic Typesetting" w:cs="Arabic Typesetting"/>
          <w:sz w:val="34"/>
          <w:szCs w:val="34"/>
          <w:rtl/>
          <w:lang w:val="fr-CH" w:bidi="ar-SA"/>
        </w:rPr>
      </w:pPr>
      <w:r>
        <w:rPr>
          <w:rtl/>
        </w:rPr>
        <w:br w:type="page"/>
      </w:r>
    </w:p>
    <w:p w:rsidR="005346E7" w:rsidRPr="008954A8" w:rsidRDefault="005346E7" w:rsidP="002C3C33">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17" w:name="_Toc364355357"/>
      <w:bookmarkStart w:id="18" w:name="_Toc420595498"/>
      <w:r w:rsidRPr="008954A8">
        <w:rPr>
          <w:rFonts w:ascii="Arabic Typesetting" w:hAnsi="Arabic Typesetting" w:cs="Arabic Typesetting"/>
          <w:bCs/>
          <w:iCs w:val="0"/>
          <w:noProof/>
          <w:snapToGrid/>
          <w:sz w:val="42"/>
          <w:szCs w:val="42"/>
          <w:rtl/>
          <w:lang w:bidi="ar-EG"/>
        </w:rPr>
        <w:lastRenderedPageBreak/>
        <w:t>البرنامج 1</w:t>
      </w:r>
      <w:r w:rsidRPr="008954A8">
        <w:rPr>
          <w:rFonts w:ascii="Arabic Typesetting" w:hAnsi="Arabic Typesetting" w:cs="Arabic Typesetting" w:hint="cs"/>
          <w:bCs/>
          <w:iCs w:val="0"/>
          <w:noProof/>
          <w:snapToGrid/>
          <w:sz w:val="42"/>
          <w:szCs w:val="42"/>
          <w:rtl/>
          <w:lang w:bidi="ar-EG"/>
        </w:rPr>
        <w:tab/>
      </w:r>
      <w:r w:rsidRPr="008954A8">
        <w:rPr>
          <w:rFonts w:ascii="Arabic Typesetting" w:hAnsi="Arabic Typesetting" w:cs="Arabic Typesetting"/>
          <w:bCs/>
          <w:iCs w:val="0"/>
          <w:noProof/>
          <w:snapToGrid/>
          <w:sz w:val="42"/>
          <w:szCs w:val="42"/>
          <w:rtl/>
          <w:lang w:bidi="ar-EG"/>
        </w:rPr>
        <w:t>قانون البراءات</w:t>
      </w:r>
      <w:bookmarkEnd w:id="17"/>
      <w:bookmarkEnd w:id="18"/>
    </w:p>
    <w:p w:rsidR="005346E7" w:rsidRPr="008954A8" w:rsidRDefault="005346E7" w:rsidP="002C3C33">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5346E7" w:rsidRPr="008954A8" w:rsidRDefault="005346E7" w:rsidP="00861CFF">
      <w:pPr>
        <w:pStyle w:val="ARNumbered1"/>
        <w:numPr>
          <w:ilvl w:val="0"/>
          <w:numId w:val="11"/>
        </w:numPr>
        <w:ind w:left="-2" w:firstLine="0"/>
        <w:jc w:val="left"/>
        <w:rPr>
          <w:rtl/>
        </w:rPr>
      </w:pPr>
      <w:r w:rsidRPr="008954A8">
        <w:rPr>
          <w:rtl/>
        </w:rPr>
        <w:t xml:space="preserve">يغطي البرنامج 1 قضايا تتعلق بالبراءات ونماذج المنفعة </w:t>
      </w:r>
      <w:r w:rsidRPr="007A4DA4">
        <w:rPr>
          <w:rtl/>
        </w:rPr>
        <w:t xml:space="preserve">وتصاميم </w:t>
      </w:r>
      <w:r>
        <w:rPr>
          <w:rFonts w:hint="cs"/>
          <w:rtl/>
        </w:rPr>
        <w:t>(</w:t>
      </w:r>
      <w:proofErr w:type="spellStart"/>
      <w:r>
        <w:rPr>
          <w:rFonts w:hint="cs"/>
          <w:rtl/>
        </w:rPr>
        <w:t>طبوغرافيات</w:t>
      </w:r>
      <w:proofErr w:type="spellEnd"/>
      <w:r>
        <w:rPr>
          <w:rFonts w:hint="cs"/>
          <w:rtl/>
        </w:rPr>
        <w:t xml:space="preserve">) </w:t>
      </w:r>
      <w:r w:rsidRPr="007A4DA4">
        <w:rPr>
          <w:rtl/>
        </w:rPr>
        <w:t>الدوائر المتكاملة</w:t>
      </w:r>
      <w:r>
        <w:rPr>
          <w:rFonts w:hint="cs"/>
          <w:rtl/>
        </w:rPr>
        <w:t xml:space="preserve"> </w:t>
      </w:r>
      <w:r w:rsidRPr="008954A8">
        <w:rPr>
          <w:rtl/>
        </w:rPr>
        <w:t>و</w:t>
      </w:r>
      <w:r>
        <w:rPr>
          <w:rFonts w:hint="cs"/>
          <w:rtl/>
        </w:rPr>
        <w:t xml:space="preserve">حماية </w:t>
      </w:r>
      <w:r w:rsidRPr="008954A8">
        <w:rPr>
          <w:rtl/>
        </w:rPr>
        <w:t>المعلومات</w:t>
      </w:r>
      <w:r>
        <w:rPr>
          <w:rFonts w:hint="cs"/>
          <w:rtl/>
        </w:rPr>
        <w:t xml:space="preserve"> التقنية/التجارية السرية (يشار إليها فيما بعد</w:t>
      </w:r>
      <w:r>
        <w:t xml:space="preserve"> </w:t>
      </w:r>
      <w:r>
        <w:rPr>
          <w:rFonts w:hint="cs"/>
          <w:rtl/>
        </w:rPr>
        <w:t>بعبارة "المعلومات السرية"). و</w:t>
      </w:r>
      <w:r w:rsidRPr="008954A8">
        <w:rPr>
          <w:rtl/>
        </w:rPr>
        <w:t xml:space="preserve">تشمل التحديات الرئيسية التي </w:t>
      </w:r>
      <w:r>
        <w:rPr>
          <w:rFonts w:hint="cs"/>
          <w:rtl/>
        </w:rPr>
        <w:t>يتناولها</w:t>
      </w:r>
      <w:r w:rsidRPr="008954A8">
        <w:rPr>
          <w:rtl/>
        </w:rPr>
        <w:t xml:space="preserve"> هذا البرنامج </w:t>
      </w:r>
      <w:r>
        <w:rPr>
          <w:rFonts w:hint="cs"/>
          <w:rtl/>
        </w:rPr>
        <w:t>تعزيز الحلول المتعددة الأطراف بما ي</w:t>
      </w:r>
      <w:r w:rsidRPr="008954A8">
        <w:rPr>
          <w:rtl/>
        </w:rPr>
        <w:t>ضمن</w:t>
      </w:r>
      <w:r>
        <w:rPr>
          <w:rFonts w:hint="cs"/>
          <w:rtl/>
        </w:rPr>
        <w:t xml:space="preserve"> أن ي</w:t>
      </w:r>
      <w:r w:rsidRPr="008954A8">
        <w:rPr>
          <w:rtl/>
        </w:rPr>
        <w:t xml:space="preserve">واكب تطوير قانون البراءات الدولي البيئة التكنولوجية والاقتصادية والاجتماعية </w:t>
      </w:r>
      <w:r>
        <w:rPr>
          <w:rFonts w:hint="cs"/>
          <w:rtl/>
        </w:rPr>
        <w:t>ال</w:t>
      </w:r>
      <w:r w:rsidRPr="008954A8">
        <w:rPr>
          <w:rtl/>
        </w:rPr>
        <w:t xml:space="preserve">سريعة التطور. وأهم التحديات المتوقعة في </w:t>
      </w:r>
      <w:r>
        <w:rPr>
          <w:rtl/>
        </w:rPr>
        <w:t xml:space="preserve">الثنائية </w:t>
      </w:r>
      <w:r>
        <w:rPr>
          <w:rFonts w:hint="cs"/>
          <w:rtl/>
        </w:rPr>
        <w:t>2016</w:t>
      </w:r>
      <w:r>
        <w:rPr>
          <w:rtl/>
        </w:rPr>
        <w:t>/</w:t>
      </w:r>
      <w:r>
        <w:rPr>
          <w:rFonts w:hint="cs"/>
          <w:rtl/>
        </w:rPr>
        <w:t>17 هي</w:t>
      </w:r>
      <w:r w:rsidRPr="008954A8">
        <w:rPr>
          <w:rtl/>
        </w:rPr>
        <w:t>:</w:t>
      </w:r>
    </w:p>
    <w:p w:rsidR="005346E7" w:rsidRDefault="005346E7" w:rsidP="00861CFF">
      <w:pPr>
        <w:pStyle w:val="ARNormal"/>
        <w:numPr>
          <w:ilvl w:val="0"/>
          <w:numId w:val="10"/>
        </w:numPr>
        <w:jc w:val="left"/>
      </w:pPr>
      <w:r w:rsidRPr="00D1316F">
        <w:rPr>
          <w:rFonts w:hint="cs"/>
          <w:rtl/>
        </w:rPr>
        <w:t xml:space="preserve">دور </w:t>
      </w:r>
      <w:r w:rsidRPr="00D1316F">
        <w:rPr>
          <w:rtl/>
        </w:rPr>
        <w:t xml:space="preserve">نظام البراءات </w:t>
      </w:r>
      <w:r w:rsidRPr="00D1316F">
        <w:rPr>
          <w:rFonts w:hint="cs"/>
          <w:rtl/>
        </w:rPr>
        <w:t>في</w:t>
      </w:r>
      <w:r w:rsidRPr="00D1316F">
        <w:rPr>
          <w:rtl/>
        </w:rPr>
        <w:t xml:space="preserve"> آليات الابتكار التي تزداد تعقدا وعولمة، والفهم المختلف </w:t>
      </w:r>
      <w:r>
        <w:rPr>
          <w:rFonts w:hint="cs"/>
          <w:rtl/>
        </w:rPr>
        <w:t>لذلك ا</w:t>
      </w:r>
      <w:r w:rsidRPr="00D1316F">
        <w:rPr>
          <w:rtl/>
        </w:rPr>
        <w:t>لدور، بما في ذلك المنافع التي يجلبها على المج</w:t>
      </w:r>
      <w:r>
        <w:rPr>
          <w:rtl/>
        </w:rPr>
        <w:t xml:space="preserve"> </w:t>
      </w:r>
      <w:r w:rsidRPr="00D1316F">
        <w:rPr>
          <w:rtl/>
        </w:rPr>
        <w:t>تمع بصفة عامة</w:t>
      </w:r>
      <w:r>
        <w:rPr>
          <w:rFonts w:hint="cs"/>
          <w:rtl/>
        </w:rPr>
        <w:t>؛</w:t>
      </w:r>
    </w:p>
    <w:p w:rsidR="005346E7" w:rsidRDefault="005346E7" w:rsidP="00861CFF">
      <w:pPr>
        <w:pStyle w:val="ARNormal"/>
        <w:numPr>
          <w:ilvl w:val="0"/>
          <w:numId w:val="10"/>
        </w:numPr>
        <w:jc w:val="left"/>
      </w:pPr>
      <w:r>
        <w:rPr>
          <w:rFonts w:hint="cs"/>
          <w:rtl/>
        </w:rPr>
        <w:t xml:space="preserve">والطلب المتزايد على المعلومات التجريبية التي تدعم واضعي السياسات في القيام بخيارات </w:t>
      </w:r>
      <w:r w:rsidRPr="00D1316F">
        <w:rPr>
          <w:rtl/>
        </w:rPr>
        <w:t xml:space="preserve">السياسة العامة </w:t>
      </w:r>
      <w:r>
        <w:rPr>
          <w:rFonts w:hint="cs"/>
          <w:rtl/>
        </w:rPr>
        <w:t>المتعلقة</w:t>
      </w:r>
      <w:r w:rsidRPr="00D1316F">
        <w:rPr>
          <w:rtl/>
        </w:rPr>
        <w:t xml:space="preserve"> بالنطاق والتطبيق المناسبين لنظام البراءات</w:t>
      </w:r>
      <w:r>
        <w:rPr>
          <w:rFonts w:hint="cs"/>
          <w:rtl/>
        </w:rPr>
        <w:t>؛</w:t>
      </w:r>
    </w:p>
    <w:p w:rsidR="005346E7" w:rsidRDefault="005346E7" w:rsidP="00861CFF">
      <w:pPr>
        <w:pStyle w:val="ARNormal"/>
        <w:numPr>
          <w:ilvl w:val="0"/>
          <w:numId w:val="10"/>
        </w:numPr>
        <w:jc w:val="left"/>
      </w:pPr>
      <w:r>
        <w:rPr>
          <w:rFonts w:hint="cs"/>
          <w:rtl/>
        </w:rPr>
        <w:t>و</w:t>
      </w:r>
      <w:r w:rsidRPr="008954A8">
        <w:rPr>
          <w:rtl/>
        </w:rPr>
        <w:t xml:space="preserve">معلومات </w:t>
      </w:r>
      <w:r>
        <w:rPr>
          <w:rFonts w:hint="cs"/>
          <w:rtl/>
        </w:rPr>
        <w:t>أكثر تحديدا</w:t>
      </w:r>
      <w:r w:rsidRPr="008954A8">
        <w:rPr>
          <w:rtl/>
        </w:rPr>
        <w:t xml:space="preserve"> عن دور وأثر نظام البراءات الدولي و</w:t>
      </w:r>
      <w:r>
        <w:rPr>
          <w:rFonts w:hint="cs"/>
          <w:rtl/>
        </w:rPr>
        <w:t xml:space="preserve">عن </w:t>
      </w:r>
      <w:r w:rsidRPr="008954A8">
        <w:rPr>
          <w:rtl/>
        </w:rPr>
        <w:t>تنفيذ</w:t>
      </w:r>
      <w:r>
        <w:rPr>
          <w:rFonts w:hint="cs"/>
          <w:rtl/>
        </w:rPr>
        <w:t>ه</w:t>
      </w:r>
      <w:r w:rsidRPr="008954A8">
        <w:rPr>
          <w:rtl/>
        </w:rPr>
        <w:t>، بما في ذلك مواطن المرونة، سواء في المحافل متعددة الأطراف أو من خلال تقديم المشورة التشريعية والسياساتية للدول الأعضاء؛</w:t>
      </w:r>
    </w:p>
    <w:p w:rsidR="005346E7" w:rsidRDefault="005346E7" w:rsidP="00861CFF">
      <w:pPr>
        <w:pStyle w:val="ARNormal"/>
        <w:numPr>
          <w:ilvl w:val="0"/>
          <w:numId w:val="10"/>
        </w:numPr>
        <w:jc w:val="left"/>
      </w:pPr>
      <w:r w:rsidRPr="008954A8">
        <w:rPr>
          <w:rFonts w:hint="cs"/>
          <w:rtl/>
        </w:rPr>
        <w:t>و</w:t>
      </w:r>
      <w:r w:rsidRPr="008954A8">
        <w:rPr>
          <w:rtl/>
        </w:rPr>
        <w:t xml:space="preserve">طلب </w:t>
      </w:r>
      <w:r>
        <w:rPr>
          <w:rFonts w:hint="cs"/>
          <w:rtl/>
        </w:rPr>
        <w:t>ا</w:t>
      </w:r>
      <w:r w:rsidRPr="008954A8">
        <w:rPr>
          <w:rtl/>
        </w:rPr>
        <w:t>لدول الأعضاء المتزايد على المساعدة التشريعية والسياساتية؛</w:t>
      </w:r>
    </w:p>
    <w:p w:rsidR="005346E7" w:rsidRDefault="005346E7" w:rsidP="00861CFF">
      <w:pPr>
        <w:pStyle w:val="ARNormal"/>
        <w:numPr>
          <w:ilvl w:val="0"/>
          <w:numId w:val="10"/>
        </w:numPr>
        <w:jc w:val="left"/>
      </w:pPr>
      <w:r>
        <w:rPr>
          <w:rFonts w:hint="cs"/>
          <w:rtl/>
        </w:rPr>
        <w:t>وفي سياق تزايد استخدام نظام البراءات، الحاجة إلى معالجة الفعالية والكفاءة والجودة فيما يخص عمل إدارة البراءات الذي يدعم أهداف نظام البراءات؛</w:t>
      </w:r>
    </w:p>
    <w:p w:rsidR="005346E7" w:rsidRDefault="005346E7" w:rsidP="00861CFF">
      <w:pPr>
        <w:pStyle w:val="ARNormal"/>
        <w:numPr>
          <w:ilvl w:val="0"/>
          <w:numId w:val="10"/>
        </w:numPr>
        <w:jc w:val="left"/>
      </w:pPr>
      <w:r w:rsidRPr="008954A8">
        <w:rPr>
          <w:rFonts w:hint="cs"/>
          <w:rtl/>
        </w:rPr>
        <w:t>ونقص القدرات اللازمة لإعداد طلبات البراءات وإيداعها ومتابعتها قضائيا؛</w:t>
      </w:r>
    </w:p>
    <w:p w:rsidR="005346E7" w:rsidRDefault="005346E7" w:rsidP="001D5912">
      <w:pPr>
        <w:pStyle w:val="ARNormal"/>
        <w:numPr>
          <w:ilvl w:val="0"/>
          <w:numId w:val="10"/>
        </w:numPr>
        <w:jc w:val="left"/>
      </w:pPr>
      <w:r>
        <w:rPr>
          <w:rFonts w:hint="cs"/>
          <w:rtl/>
        </w:rPr>
        <w:t xml:space="preserve">ونتيجة لتزايد آليات نقل التكنولوجيا تعقيدا، </w:t>
      </w:r>
      <w:r w:rsidRPr="008954A8">
        <w:rPr>
          <w:rtl/>
        </w:rPr>
        <w:t>الحاجة إلى معالجة قانون البراءات في سياق فئات الملكية الفكرية الأخرى وثيقة الصلة بالموضوع</w:t>
      </w:r>
      <w:r>
        <w:rPr>
          <w:rFonts w:hint="cs"/>
          <w:rtl/>
        </w:rPr>
        <w:t xml:space="preserve"> مثل حماية </w:t>
      </w:r>
      <w:r w:rsidR="001D5912">
        <w:rPr>
          <w:rFonts w:hint="cs"/>
          <w:rtl/>
          <w:lang w:bidi="ar-EG"/>
        </w:rPr>
        <w:t>ا</w:t>
      </w:r>
      <w:r w:rsidR="001D5912" w:rsidRPr="001D5912">
        <w:rPr>
          <w:rtl/>
          <w:lang w:bidi="ar-EG"/>
        </w:rPr>
        <w:t>لبراءات ونماذج المنفعة وتصاميم (</w:t>
      </w:r>
      <w:proofErr w:type="spellStart"/>
      <w:r w:rsidR="001D5912" w:rsidRPr="001D5912">
        <w:rPr>
          <w:rtl/>
          <w:lang w:bidi="ar-EG"/>
        </w:rPr>
        <w:t>طبوغرافيات</w:t>
      </w:r>
      <w:proofErr w:type="spellEnd"/>
      <w:r w:rsidR="001D5912" w:rsidRPr="001D5912">
        <w:rPr>
          <w:rtl/>
          <w:lang w:bidi="ar-EG"/>
        </w:rPr>
        <w:t xml:space="preserve">) الدوائر المتكاملة </w:t>
      </w:r>
      <w:r w:rsidR="001D5912">
        <w:rPr>
          <w:rFonts w:hint="cs"/>
          <w:rtl/>
          <w:lang w:bidi="ar-EG"/>
        </w:rPr>
        <w:t>و</w:t>
      </w:r>
      <w:r>
        <w:rPr>
          <w:rFonts w:hint="cs"/>
          <w:rtl/>
        </w:rPr>
        <w:t>المعلومات السرية؛</w:t>
      </w:r>
    </w:p>
    <w:p w:rsidR="005346E7" w:rsidRDefault="005346E7" w:rsidP="00861CFF">
      <w:pPr>
        <w:pStyle w:val="ARNormal"/>
        <w:numPr>
          <w:ilvl w:val="0"/>
          <w:numId w:val="10"/>
        </w:numPr>
        <w:jc w:val="left"/>
      </w:pPr>
      <w:r>
        <w:rPr>
          <w:rFonts w:hint="cs"/>
          <w:rtl/>
        </w:rPr>
        <w:t xml:space="preserve">ومواكبة التطورات التكنولوجية لفهم التدابير اللازمة، إن وجدت، لمعالجة التطورات على المستوى الدولي، مع مراعاة الاحتياجات المختلفة للبلدان التي بلغت مستويات مختلفة من التنمية </w:t>
      </w:r>
      <w:r w:rsidR="0009382D">
        <w:rPr>
          <w:rFonts w:hint="cs"/>
          <w:rtl/>
        </w:rPr>
        <w:t>بما يتماشى والتزاماتها الدولية.</w:t>
      </w:r>
    </w:p>
    <w:p w:rsidR="005346E7" w:rsidRPr="008954A8" w:rsidRDefault="005346E7" w:rsidP="002C3C33">
      <w:pPr>
        <w:pStyle w:val="ARNormal"/>
        <w:spacing w:line="360" w:lineRule="exact"/>
        <w:jc w:val="left"/>
        <w:rPr>
          <w:rtl/>
        </w:rPr>
      </w:pPr>
    </w:p>
    <w:p w:rsidR="005346E7" w:rsidRPr="008954A8" w:rsidRDefault="005346E7" w:rsidP="002C3C33">
      <w:pPr>
        <w:pStyle w:val="ARProgramHeading2"/>
        <w:spacing w:line="360" w:lineRule="exact"/>
        <w:jc w:val="left"/>
        <w:rPr>
          <w:rtl/>
          <w:lang w:val="fr-CH"/>
        </w:rPr>
      </w:pPr>
      <w:r w:rsidRPr="008954A8">
        <w:rPr>
          <w:rtl/>
        </w:rPr>
        <w:t>استراتيجيات</w:t>
      </w:r>
      <w:r w:rsidRPr="008954A8">
        <w:rPr>
          <w:rtl/>
          <w:lang w:val="fr-CH" w:bidi="ar-SA"/>
        </w:rPr>
        <w:t xml:space="preserve"> التنفيذ</w:t>
      </w:r>
    </w:p>
    <w:p w:rsidR="005346E7" w:rsidRPr="008954A8" w:rsidRDefault="005346E7" w:rsidP="00861CFF">
      <w:pPr>
        <w:pStyle w:val="ARNumbered1"/>
        <w:numPr>
          <w:ilvl w:val="0"/>
          <w:numId w:val="11"/>
        </w:numPr>
        <w:ind w:left="-2" w:firstLine="0"/>
        <w:jc w:val="left"/>
        <w:rPr>
          <w:rtl/>
        </w:rPr>
      </w:pPr>
      <w:r>
        <w:rPr>
          <w:rFonts w:hint="cs"/>
          <w:rtl/>
        </w:rPr>
        <w:t>توقف عمل اللجنة الدائمة المعنية بقانون البراءات (لجنة البراءات) بسبب انعدام اتفاق بين الدول الأعضاء. و</w:t>
      </w:r>
      <w:r w:rsidRPr="008954A8">
        <w:rPr>
          <w:rtl/>
        </w:rPr>
        <w:t>بما</w:t>
      </w:r>
      <w:r>
        <w:rPr>
          <w:rFonts w:hint="cs"/>
          <w:rtl/>
        </w:rPr>
        <w:t xml:space="preserve"> أن</w:t>
      </w:r>
      <w:r w:rsidRPr="008954A8">
        <w:rPr>
          <w:rtl/>
        </w:rPr>
        <w:t xml:space="preserve"> </w:t>
      </w:r>
      <w:r>
        <w:rPr>
          <w:rFonts w:hint="cs"/>
          <w:rtl/>
        </w:rPr>
        <w:t xml:space="preserve">هذه الأخيرة </w:t>
      </w:r>
      <w:r w:rsidRPr="008954A8">
        <w:rPr>
          <w:rtl/>
        </w:rPr>
        <w:t xml:space="preserve">هي التي تقود مسار وضع القواعد والمعايير، فسيركز البرنامج جهوده على تقديم معلومات موثوقة ودعم بيئة مواتية للالتزام والحوار بين الدول الأعضاء فيما يخص مجالات الاهتمام المشترك. </w:t>
      </w:r>
      <w:r>
        <w:rPr>
          <w:rFonts w:hint="cs"/>
          <w:rtl/>
        </w:rPr>
        <w:t xml:space="preserve">وستسعى الأمانة أيضا إلى مساعدة الدول الأعضاء على عقد اجتماعات أكثر فعالية بما يجعل نتائج لجنة البراءات أكثر توافقا مع المدخلات. </w:t>
      </w:r>
      <w:r w:rsidRPr="008954A8">
        <w:rPr>
          <w:rtl/>
        </w:rPr>
        <w:t xml:space="preserve">وسيواصل البرنامج تحسين قدرته على الاستجابة وفعاليته في تلبية طلبات المساعدة التشريعية والسياسية. وستؤخذ في الحسبان توصيات جدول أعمال التنمية المعنية في سياق أنشطة هذا البرنامج أثناء الثنائية. وعلى وجه الخصوص، </w:t>
      </w:r>
      <w:r>
        <w:rPr>
          <w:rFonts w:hint="cs"/>
          <w:rtl/>
        </w:rPr>
        <w:t xml:space="preserve">تتم مراعاة </w:t>
      </w:r>
      <w:r w:rsidRPr="008954A8">
        <w:rPr>
          <w:rtl/>
        </w:rPr>
        <w:t>التوصيات</w:t>
      </w:r>
      <w:r>
        <w:rPr>
          <w:rFonts w:hint="cs"/>
          <w:rtl/>
        </w:rPr>
        <w:t xml:space="preserve"> المعنية من توصيات جدول أعمال التنمية </w:t>
      </w:r>
      <w:r w:rsidRPr="008954A8">
        <w:rPr>
          <w:rtl/>
        </w:rPr>
        <w:t xml:space="preserve">مراعاة تامة </w:t>
      </w:r>
      <w:r>
        <w:rPr>
          <w:rFonts w:hint="cs"/>
          <w:rtl/>
        </w:rPr>
        <w:t>عند</w:t>
      </w:r>
      <w:r w:rsidRPr="008954A8">
        <w:rPr>
          <w:rtl/>
        </w:rPr>
        <w:t xml:space="preserve"> تقديم المعلومات المتعلقة بالبراءات والمشورة التشريعية، </w:t>
      </w:r>
      <w:r>
        <w:rPr>
          <w:rFonts w:hint="cs"/>
          <w:rtl/>
        </w:rPr>
        <w:t xml:space="preserve">مما </w:t>
      </w:r>
      <w:r w:rsidRPr="008954A8">
        <w:rPr>
          <w:rtl/>
        </w:rPr>
        <w:t>يدع</w:t>
      </w:r>
      <w:r>
        <w:rPr>
          <w:rFonts w:hint="cs"/>
          <w:rtl/>
        </w:rPr>
        <w:t>م</w:t>
      </w:r>
      <w:r w:rsidRPr="008954A8">
        <w:rPr>
          <w:rtl/>
        </w:rPr>
        <w:t xml:space="preserve"> هدفي جدول أعمال التنمية</w:t>
      </w:r>
      <w:r>
        <w:rPr>
          <w:rFonts w:hint="cs"/>
          <w:rtl/>
        </w:rPr>
        <w:t xml:space="preserve"> المتمثلين في </w:t>
      </w:r>
      <w:r w:rsidRPr="008954A8">
        <w:rPr>
          <w:rtl/>
        </w:rPr>
        <w:t xml:space="preserve">"الاعتماد على الأدلة في السياسة الدولية والوطنية وفي اتخاذ القرارات المتعلقة بالملكية الفكرية" و"وضع أطر تنظيمية وطنية ودولية للملكية الفكرية تشجع على الإبداع والابتكار وتعكس مستوى التنمية في مختلف الدول الأعضاء في الويبو". وبالإضافة إلى ذلك، سيأخذ البرنامج في الحسبان العمل المنجز في </w:t>
      </w:r>
      <w:r>
        <w:rPr>
          <w:rFonts w:hint="cs"/>
          <w:rtl/>
        </w:rPr>
        <w:t xml:space="preserve">إطار </w:t>
      </w:r>
      <w:r w:rsidRPr="008954A8">
        <w:rPr>
          <w:rtl/>
        </w:rPr>
        <w:t>مشروعات جدول أعمال التنمية المكتملة</w:t>
      </w:r>
      <w:r>
        <w:rPr>
          <w:rFonts w:hint="cs"/>
          <w:rtl/>
        </w:rPr>
        <w:t>، ولا سيما</w:t>
      </w:r>
      <w:r w:rsidRPr="008954A8">
        <w:rPr>
          <w:rtl/>
        </w:rPr>
        <w:t xml:space="preserve"> </w:t>
      </w:r>
      <w:r>
        <w:rPr>
          <w:rFonts w:hint="cs"/>
          <w:rtl/>
        </w:rPr>
        <w:t>ما يتعلق ب</w:t>
      </w:r>
      <w:r w:rsidRPr="008954A8">
        <w:rPr>
          <w:rtl/>
        </w:rPr>
        <w:t>الملكية الفكرية والملك العام والبراءات والملك العام.</w:t>
      </w:r>
    </w:p>
    <w:p w:rsidR="005346E7" w:rsidRPr="008954A8" w:rsidRDefault="005346E7" w:rsidP="00861CFF">
      <w:pPr>
        <w:pStyle w:val="ARNumbered1"/>
        <w:keepNext/>
        <w:numPr>
          <w:ilvl w:val="0"/>
          <w:numId w:val="11"/>
        </w:numPr>
        <w:ind w:left="-2" w:firstLine="0"/>
        <w:jc w:val="left"/>
        <w:rPr>
          <w:rtl/>
        </w:rPr>
      </w:pPr>
      <w:r>
        <w:rPr>
          <w:rFonts w:hint="cs"/>
          <w:rtl/>
        </w:rPr>
        <w:lastRenderedPageBreak/>
        <w:t>و</w:t>
      </w:r>
      <w:r w:rsidRPr="008954A8">
        <w:rPr>
          <w:rtl/>
        </w:rPr>
        <w:t>خلال الثنائية المقبلة، يتوقع البرنامج ما يلي على وجه التحديد:</w:t>
      </w:r>
    </w:p>
    <w:p w:rsidR="005346E7" w:rsidRPr="008954A8" w:rsidRDefault="005346E7" w:rsidP="00861CFF">
      <w:pPr>
        <w:pStyle w:val="ARNormal"/>
        <w:numPr>
          <w:ilvl w:val="0"/>
          <w:numId w:val="10"/>
        </w:numPr>
        <w:jc w:val="left"/>
      </w:pPr>
      <w:r w:rsidRPr="008954A8">
        <w:rPr>
          <w:rtl/>
        </w:rPr>
        <w:t xml:space="preserve">تنظيم </w:t>
      </w:r>
      <w:r>
        <w:rPr>
          <w:rFonts w:hint="cs"/>
          <w:rtl/>
        </w:rPr>
        <w:t>دورات</w:t>
      </w:r>
      <w:r w:rsidRPr="008954A8">
        <w:rPr>
          <w:rtl/>
        </w:rPr>
        <w:t xml:space="preserve"> للجنة البراءات؛</w:t>
      </w:r>
    </w:p>
    <w:p w:rsidR="005346E7" w:rsidRPr="008954A8" w:rsidRDefault="005346E7" w:rsidP="00861CFF">
      <w:pPr>
        <w:pStyle w:val="ARNormal"/>
        <w:numPr>
          <w:ilvl w:val="0"/>
          <w:numId w:val="10"/>
        </w:numPr>
        <w:jc w:val="left"/>
      </w:pPr>
      <w:r w:rsidRPr="008954A8">
        <w:rPr>
          <w:rFonts w:hint="cs"/>
          <w:rtl/>
        </w:rPr>
        <w:t>و</w:t>
      </w:r>
      <w:r w:rsidRPr="008954A8">
        <w:rPr>
          <w:rtl/>
        </w:rPr>
        <w:t>تنظيم اجتماعات إعلامية، حسب الطلب، لممثلي الدول الأعضاء، لتقديم معلومات عن القضايا المتعلقة بسياسة البراءات وقانونها وممارساتها</w:t>
      </w:r>
      <w:r w:rsidRPr="008954A8">
        <w:rPr>
          <w:rFonts w:hint="cs"/>
          <w:rtl/>
        </w:rPr>
        <w:t xml:space="preserve"> مع إيلاء الاعتبار اللازم للتوصيتين 15 و16 من جدول أعمال التنمية</w:t>
      </w:r>
      <w:r w:rsidRPr="008954A8">
        <w:rPr>
          <w:rtl/>
        </w:rPr>
        <w:t>؛</w:t>
      </w:r>
    </w:p>
    <w:p w:rsidR="005346E7" w:rsidRPr="008954A8" w:rsidRDefault="005346E7" w:rsidP="00861CFF">
      <w:pPr>
        <w:pStyle w:val="ARNormal"/>
        <w:numPr>
          <w:ilvl w:val="0"/>
          <w:numId w:val="10"/>
        </w:numPr>
        <w:jc w:val="left"/>
      </w:pPr>
      <w:r w:rsidRPr="008954A8">
        <w:rPr>
          <w:rFonts w:hint="cs"/>
          <w:rtl/>
        </w:rPr>
        <w:t>و</w:t>
      </w:r>
      <w:r w:rsidRPr="008954A8">
        <w:rPr>
          <w:rtl/>
        </w:rPr>
        <w:t>مواصلة تقديم المشورة التشريعية، حسب الطلب، للدول الأعضاء فيما يتعلق بالبراءات ونماذج المنفعة</w:t>
      </w:r>
      <w:r>
        <w:rPr>
          <w:rFonts w:hint="cs"/>
          <w:rtl/>
        </w:rPr>
        <w:t xml:space="preserve"> </w:t>
      </w:r>
      <w:r w:rsidRPr="00B3438F">
        <w:rPr>
          <w:rtl/>
        </w:rPr>
        <w:t>وتصاميم (طبوغرافيات) الدوائر المتكاملة وحماية المعلومات السرية</w:t>
      </w:r>
      <w:r>
        <w:rPr>
          <w:rFonts w:hint="cs"/>
          <w:rtl/>
        </w:rPr>
        <w:t xml:space="preserve"> </w:t>
      </w:r>
      <w:r w:rsidRPr="008954A8">
        <w:rPr>
          <w:rFonts w:hint="cs"/>
          <w:rtl/>
        </w:rPr>
        <w:t>بما يتماشى والتوصيات 17 و20 و22 من جدول أعمال التنمية</w:t>
      </w:r>
      <w:r w:rsidRPr="008954A8">
        <w:rPr>
          <w:rtl/>
        </w:rPr>
        <w:t>؛</w:t>
      </w:r>
    </w:p>
    <w:p w:rsidR="005346E7" w:rsidRPr="008954A8" w:rsidRDefault="005346E7" w:rsidP="00861CFF">
      <w:pPr>
        <w:pStyle w:val="ARNormal"/>
        <w:numPr>
          <w:ilvl w:val="0"/>
          <w:numId w:val="10"/>
        </w:numPr>
        <w:jc w:val="left"/>
      </w:pPr>
      <w:r w:rsidRPr="008954A8">
        <w:rPr>
          <w:rFonts w:hint="cs"/>
          <w:rtl/>
        </w:rPr>
        <w:t>و</w:t>
      </w:r>
      <w:r w:rsidRPr="008954A8">
        <w:rPr>
          <w:rtl/>
        </w:rPr>
        <w:t>مواصلة دعم الدول الأعضاء ومساعدتها فيما يتعلق باتفاقية باريس ومعاهدة بودابست ومعاهدة قانون البراءات؛</w:t>
      </w:r>
    </w:p>
    <w:p w:rsidR="005346E7" w:rsidRDefault="005346E7" w:rsidP="00861CFF">
      <w:pPr>
        <w:pStyle w:val="ARNormal"/>
        <w:numPr>
          <w:ilvl w:val="0"/>
          <w:numId w:val="10"/>
        </w:numPr>
        <w:jc w:val="left"/>
      </w:pPr>
      <w:r w:rsidRPr="008954A8">
        <w:rPr>
          <w:rFonts w:hint="cs"/>
          <w:rtl/>
        </w:rPr>
        <w:t>و</w:t>
      </w:r>
      <w:r w:rsidRPr="008954A8">
        <w:rPr>
          <w:rtl/>
        </w:rPr>
        <w:t>مواصلة مساعدة الدول الأعضاء</w:t>
      </w:r>
      <w:r>
        <w:rPr>
          <w:rFonts w:hint="cs"/>
          <w:rtl/>
        </w:rPr>
        <w:t xml:space="preserve"> بغية تعزيز قدرات تصميم أنظمة عملية في مجالات البراءات </w:t>
      </w:r>
      <w:r w:rsidRPr="008954A8">
        <w:rPr>
          <w:rtl/>
        </w:rPr>
        <w:t>ونماذج المنفعة</w:t>
      </w:r>
      <w:r>
        <w:rPr>
          <w:rFonts w:hint="cs"/>
          <w:rtl/>
        </w:rPr>
        <w:t xml:space="preserve"> </w:t>
      </w:r>
      <w:r w:rsidRPr="00B3438F">
        <w:rPr>
          <w:rtl/>
        </w:rPr>
        <w:t>وتصاميم (طبوغرافيات) الدوائر المتكاملة وحماية المعلومات السرية</w:t>
      </w:r>
      <w:r w:rsidRPr="008954A8">
        <w:rPr>
          <w:rtl/>
        </w:rPr>
        <w:t>؛</w:t>
      </w:r>
    </w:p>
    <w:p w:rsidR="005346E7" w:rsidRDefault="005346E7" w:rsidP="0009382D">
      <w:pPr>
        <w:pStyle w:val="ARNormal"/>
        <w:numPr>
          <w:ilvl w:val="0"/>
          <w:numId w:val="10"/>
        </w:numPr>
        <w:jc w:val="left"/>
      </w:pPr>
      <w:r>
        <w:rPr>
          <w:rFonts w:hint="cs"/>
          <w:rtl/>
        </w:rPr>
        <w:t xml:space="preserve">ومعالجة القضايا المتعلقة بحماية </w:t>
      </w:r>
      <w:r w:rsidR="0009382D">
        <w:rPr>
          <w:rFonts w:hint="cs"/>
          <w:rtl/>
          <w:lang w:bidi="ar-EG"/>
        </w:rPr>
        <w:t>ا</w:t>
      </w:r>
      <w:r w:rsidR="0009382D" w:rsidRPr="0009382D">
        <w:rPr>
          <w:rtl/>
          <w:lang w:bidi="ar-EG"/>
        </w:rPr>
        <w:t>لبراءات ونماذج المنفعة وتصاميم (</w:t>
      </w:r>
      <w:proofErr w:type="spellStart"/>
      <w:r w:rsidR="0009382D" w:rsidRPr="0009382D">
        <w:rPr>
          <w:rtl/>
          <w:lang w:bidi="ar-EG"/>
        </w:rPr>
        <w:t>طبوغرافيات</w:t>
      </w:r>
      <w:proofErr w:type="spellEnd"/>
      <w:r w:rsidR="0009382D" w:rsidRPr="0009382D">
        <w:rPr>
          <w:rtl/>
          <w:lang w:bidi="ar-EG"/>
        </w:rPr>
        <w:t xml:space="preserve">) الدوائر المتكاملة </w:t>
      </w:r>
      <w:r w:rsidR="0009382D">
        <w:rPr>
          <w:rFonts w:hint="cs"/>
          <w:rtl/>
          <w:lang w:bidi="ar-EG"/>
        </w:rPr>
        <w:t>و</w:t>
      </w:r>
      <w:r>
        <w:rPr>
          <w:rFonts w:hint="cs"/>
          <w:rtl/>
        </w:rPr>
        <w:t xml:space="preserve">المعلومات السرية في سياق </w:t>
      </w:r>
      <w:r w:rsidRPr="008954A8">
        <w:rPr>
          <w:rtl/>
        </w:rPr>
        <w:t>تشجيع الابتكار ونشر التكنولوجيا</w:t>
      </w:r>
      <w:r>
        <w:rPr>
          <w:rFonts w:hint="cs"/>
          <w:rtl/>
        </w:rPr>
        <w:t>؛</w:t>
      </w:r>
    </w:p>
    <w:p w:rsidR="005346E7" w:rsidRDefault="005346E7" w:rsidP="00EA5693">
      <w:pPr>
        <w:pStyle w:val="ARNormal"/>
        <w:numPr>
          <w:ilvl w:val="0"/>
          <w:numId w:val="10"/>
        </w:numPr>
        <w:jc w:val="left"/>
      </w:pPr>
      <w:r w:rsidRPr="008954A8">
        <w:rPr>
          <w:rFonts w:hint="cs"/>
          <w:rtl/>
        </w:rPr>
        <w:t>و</w:t>
      </w:r>
      <w:r w:rsidRPr="008954A8">
        <w:rPr>
          <w:rtl/>
        </w:rPr>
        <w:t>مواصلة دعم عمل</w:t>
      </w:r>
      <w:r>
        <w:rPr>
          <w:rFonts w:hint="cs"/>
          <w:rtl/>
        </w:rPr>
        <w:t xml:space="preserve"> البرنامج 9 (</w:t>
      </w:r>
      <w:r w:rsidR="00EA5693">
        <w:rPr>
          <w:rFonts w:hint="cs"/>
          <w:rtl/>
        </w:rPr>
        <w:t xml:space="preserve">أفريقيا </w:t>
      </w:r>
      <w:r w:rsidRPr="00B3438F">
        <w:rPr>
          <w:rtl/>
        </w:rPr>
        <w:t>و</w:t>
      </w:r>
      <w:r w:rsidR="00EA5693">
        <w:rPr>
          <w:rFonts w:hint="cs"/>
          <w:rtl/>
        </w:rPr>
        <w:t xml:space="preserve">البلدان </w:t>
      </w:r>
      <w:r w:rsidRPr="00B3438F">
        <w:rPr>
          <w:rtl/>
        </w:rPr>
        <w:t>العربية وبلدان آسيا والمحيط الهادئ وأمريكا اللاتينية والكاريبي والبلدان الأقل نمواً</w:t>
      </w:r>
      <w:r>
        <w:rPr>
          <w:rFonts w:hint="cs"/>
          <w:rtl/>
        </w:rPr>
        <w:t>)</w:t>
      </w:r>
      <w:r w:rsidRPr="008954A8">
        <w:rPr>
          <w:rtl/>
        </w:rPr>
        <w:t xml:space="preserve"> المتعلق بقضايا</w:t>
      </w:r>
      <w:r>
        <w:rPr>
          <w:rFonts w:hint="cs"/>
          <w:rtl/>
        </w:rPr>
        <w:t xml:space="preserve"> قانون البراءات</w:t>
      </w:r>
      <w:r w:rsidRPr="008954A8">
        <w:rPr>
          <w:rFonts w:hint="cs"/>
          <w:rtl/>
        </w:rPr>
        <w:t>، بما في ذلك توفير دراسات ذات صلة بالتوصيات 12 و13 و14 من جدول أعمال التنمية، كما طلبته اللجنة المعنية بالتنمية والملكية الفكرية</w:t>
      </w:r>
      <w:r w:rsidRPr="008954A8">
        <w:rPr>
          <w:rtl/>
        </w:rPr>
        <w:t>؛</w:t>
      </w:r>
    </w:p>
    <w:p w:rsidR="005346E7" w:rsidRDefault="005346E7" w:rsidP="00861CFF">
      <w:pPr>
        <w:pStyle w:val="ARNumbered1"/>
        <w:numPr>
          <w:ilvl w:val="0"/>
          <w:numId w:val="11"/>
        </w:numPr>
        <w:ind w:left="-2" w:firstLine="0"/>
        <w:jc w:val="left"/>
      </w:pPr>
      <w:r>
        <w:rPr>
          <w:rFonts w:hint="cs"/>
          <w:rtl/>
        </w:rPr>
        <w:t xml:space="preserve">ويتعاون البرنامج 1 في الأساس مع البرامج الأخرى كما هو مبيّن أدناه: </w:t>
      </w:r>
    </w:p>
    <w:p w:rsidR="005346E7" w:rsidRDefault="005346E7" w:rsidP="002C3C33">
      <w:pPr>
        <w:pStyle w:val="ARNormal"/>
        <w:ind w:left="-2"/>
        <w:jc w:val="left"/>
      </w:pPr>
      <w:r w:rsidRPr="00BA43A0">
        <w:rPr>
          <w:rFonts w:ascii="Arial" w:hAnsi="Arial" w:cs="Arial"/>
          <w:noProof/>
          <w:lang w:val="en-US"/>
        </w:rPr>
        <w:drawing>
          <wp:anchor distT="0" distB="0" distL="114300" distR="114300" simplePos="0" relativeHeight="251660288" behindDoc="1" locked="0" layoutInCell="1" allowOverlap="1" wp14:anchorId="3D6C9AFB" wp14:editId="0A825B77">
            <wp:simplePos x="0" y="0"/>
            <wp:positionH relativeFrom="column">
              <wp:posOffset>-208915</wp:posOffset>
            </wp:positionH>
            <wp:positionV relativeFrom="paragraph">
              <wp:posOffset>222250</wp:posOffset>
            </wp:positionV>
            <wp:extent cx="5943600" cy="2124710"/>
            <wp:effectExtent l="0" t="19050" r="0" b="85090"/>
            <wp:wrapTopAndBottom/>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p>
    <w:p w:rsidR="005346E7" w:rsidRPr="008954A8" w:rsidRDefault="005346E7" w:rsidP="002C3C33">
      <w:pPr>
        <w:pStyle w:val="ARProgramHeading2"/>
        <w:spacing w:line="360" w:lineRule="exact"/>
        <w:jc w:val="left"/>
        <w:rPr>
          <w:rtl/>
        </w:rPr>
      </w:pPr>
      <w:r w:rsidRPr="008954A8">
        <w:rPr>
          <w:rtl/>
        </w:rPr>
        <w:t xml:space="preserve">المخاطر الرئيسية واستراتيجيات </w:t>
      </w:r>
      <w:r>
        <w:rPr>
          <w:rFonts w:hint="cs"/>
          <w:rtl/>
        </w:rPr>
        <w:t>التخفيف منها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5346E7" w:rsidRPr="008954A8" w:rsidTr="002C3C33">
        <w:trPr>
          <w:tblHeader/>
        </w:trPr>
        <w:tc>
          <w:tcPr>
            <w:tcW w:w="4784" w:type="dxa"/>
            <w:shd w:val="clear" w:color="auto" w:fill="C6D9F1"/>
          </w:tcPr>
          <w:p w:rsidR="005346E7" w:rsidRPr="008954A8" w:rsidRDefault="005346E7" w:rsidP="002C3C33">
            <w:pPr>
              <w:pStyle w:val="ARProgramTableHeading"/>
              <w:spacing w:line="360" w:lineRule="exact"/>
              <w:rPr>
                <w:rtl/>
                <w:lang w:bidi="ar-SA"/>
              </w:rPr>
            </w:pPr>
            <w:r w:rsidRPr="008954A8">
              <w:rPr>
                <w:rtl/>
                <w:lang w:bidi="ar-SA"/>
              </w:rPr>
              <w:t>المخاطر</w:t>
            </w:r>
          </w:p>
        </w:tc>
        <w:tc>
          <w:tcPr>
            <w:tcW w:w="4786" w:type="dxa"/>
            <w:shd w:val="clear" w:color="auto" w:fill="C6D9F1"/>
          </w:tcPr>
          <w:p w:rsidR="005346E7" w:rsidRPr="00804DC5" w:rsidRDefault="005346E7" w:rsidP="002C3C33">
            <w:pPr>
              <w:pStyle w:val="ARProgramTableHeading"/>
              <w:spacing w:line="360" w:lineRule="exact"/>
              <w:rPr>
                <w:rtl/>
                <w:lang w:val="fr-CH" w:bidi="ar-SA"/>
              </w:rPr>
            </w:pPr>
            <w:r>
              <w:rPr>
                <w:rFonts w:hint="cs"/>
                <w:rtl/>
                <w:lang w:val="fr-CH" w:bidi="ar-SA"/>
              </w:rPr>
              <w:t>التخفيف منها</w:t>
            </w:r>
          </w:p>
        </w:tc>
      </w:tr>
      <w:tr w:rsidR="005346E7" w:rsidRPr="008954A8" w:rsidTr="002C3C33">
        <w:tc>
          <w:tcPr>
            <w:tcW w:w="4784" w:type="dxa"/>
          </w:tcPr>
          <w:p w:rsidR="005346E7" w:rsidRPr="008954A8" w:rsidRDefault="005346E7" w:rsidP="002C3C33">
            <w:pPr>
              <w:pStyle w:val="ARProgramTableText"/>
              <w:spacing w:line="300" w:lineRule="exact"/>
              <w:rPr>
                <w:rtl/>
                <w:lang w:val="fr-CH"/>
              </w:rPr>
            </w:pPr>
            <w:r w:rsidRPr="008954A8">
              <w:rPr>
                <w:rFonts w:hint="cs"/>
                <w:rtl/>
                <w:lang w:val="fr-CH"/>
              </w:rPr>
              <w:t xml:space="preserve">تراجع </w:t>
            </w:r>
            <w:r w:rsidRPr="008954A8">
              <w:rPr>
                <w:rtl/>
                <w:lang w:val="fr-CH"/>
              </w:rPr>
              <w:t>أهمية لجنة</w:t>
            </w:r>
            <w:r>
              <w:rPr>
                <w:rFonts w:hint="cs"/>
                <w:rtl/>
                <w:lang w:val="fr-CH"/>
              </w:rPr>
              <w:t xml:space="preserve"> البراءات</w:t>
            </w:r>
            <w:r w:rsidRPr="008954A8">
              <w:rPr>
                <w:rtl/>
                <w:lang w:val="fr-CH"/>
              </w:rPr>
              <w:t xml:space="preserve"> باعتبارها محفل</w:t>
            </w:r>
            <w:r w:rsidRPr="008954A8">
              <w:rPr>
                <w:rFonts w:hint="cs"/>
                <w:rtl/>
                <w:lang w:val="fr-CH"/>
              </w:rPr>
              <w:t>ا</w:t>
            </w:r>
            <w:r w:rsidRPr="008954A8">
              <w:rPr>
                <w:rtl/>
                <w:lang w:val="fr-CH"/>
              </w:rPr>
              <w:t xml:space="preserve"> متعدد الأطراف.</w:t>
            </w:r>
          </w:p>
        </w:tc>
        <w:tc>
          <w:tcPr>
            <w:tcW w:w="4786" w:type="dxa"/>
          </w:tcPr>
          <w:p w:rsidR="005346E7" w:rsidRPr="008954A8" w:rsidRDefault="005346E7" w:rsidP="00617A70">
            <w:pPr>
              <w:pStyle w:val="ARProgramTableText"/>
              <w:spacing w:line="300" w:lineRule="exact"/>
              <w:rPr>
                <w:rtl/>
              </w:rPr>
            </w:pPr>
            <w:r w:rsidRPr="008954A8">
              <w:rPr>
                <w:rtl/>
              </w:rPr>
              <w:t xml:space="preserve">تهيئة بيئة محايدة </w:t>
            </w:r>
            <w:r>
              <w:rPr>
                <w:rFonts w:hint="cs"/>
                <w:rtl/>
              </w:rPr>
              <w:t>ومهنية و</w:t>
            </w:r>
            <w:r w:rsidRPr="008954A8">
              <w:rPr>
                <w:rtl/>
              </w:rPr>
              <w:t>شاملة للحوار بين الدول الأعضاء.</w:t>
            </w:r>
          </w:p>
        </w:tc>
      </w:tr>
      <w:tr w:rsidR="00617A70" w:rsidRPr="008954A8" w:rsidTr="002C3C33">
        <w:tc>
          <w:tcPr>
            <w:tcW w:w="4784" w:type="dxa"/>
          </w:tcPr>
          <w:p w:rsidR="00617A70" w:rsidRPr="008954A8" w:rsidRDefault="00617A70" w:rsidP="002C3C33">
            <w:pPr>
              <w:pStyle w:val="ARProgramTableText"/>
              <w:spacing w:line="300" w:lineRule="exact"/>
              <w:rPr>
                <w:rtl/>
                <w:lang w:val="fr-CH"/>
              </w:rPr>
            </w:pPr>
          </w:p>
        </w:tc>
        <w:tc>
          <w:tcPr>
            <w:tcW w:w="4786" w:type="dxa"/>
          </w:tcPr>
          <w:p w:rsidR="00617A70" w:rsidRPr="008954A8" w:rsidRDefault="00617A70" w:rsidP="002C3C33">
            <w:pPr>
              <w:pStyle w:val="ARProgramTableText"/>
              <w:spacing w:line="300" w:lineRule="exact"/>
              <w:rPr>
                <w:rtl/>
              </w:rPr>
            </w:pPr>
            <w:r w:rsidRPr="008954A8">
              <w:rPr>
                <w:rtl/>
              </w:rPr>
              <w:t xml:space="preserve">إمداد الدول الأعضاء </w:t>
            </w:r>
            <w:r>
              <w:rPr>
                <w:rFonts w:hint="cs"/>
                <w:rtl/>
              </w:rPr>
              <w:t>ب</w:t>
            </w:r>
            <w:r w:rsidRPr="008954A8">
              <w:rPr>
                <w:rtl/>
              </w:rPr>
              <w:t xml:space="preserve">معلومات دقيقة </w:t>
            </w:r>
            <w:r>
              <w:rPr>
                <w:rFonts w:hint="cs"/>
                <w:rtl/>
              </w:rPr>
              <w:t>وأساسية</w:t>
            </w:r>
            <w:r w:rsidRPr="008954A8">
              <w:rPr>
                <w:rtl/>
              </w:rPr>
              <w:t xml:space="preserve"> في الوقت المناسب.</w:t>
            </w:r>
          </w:p>
        </w:tc>
      </w:tr>
    </w:tbl>
    <w:p w:rsidR="005346E7" w:rsidRPr="008954A8" w:rsidRDefault="005346E7" w:rsidP="002C3C33">
      <w:pPr>
        <w:pStyle w:val="ARNormal"/>
        <w:spacing w:line="360" w:lineRule="exact"/>
        <w:jc w:val="left"/>
        <w:rPr>
          <w:rtl/>
        </w:rPr>
      </w:pPr>
    </w:p>
    <w:p w:rsidR="005346E7" w:rsidRPr="008954A8" w:rsidRDefault="005346E7" w:rsidP="002C3C33">
      <w:pPr>
        <w:pStyle w:val="ARProgramHeading2"/>
        <w:spacing w:line="360" w:lineRule="exact"/>
        <w:jc w:val="left"/>
        <w:rPr>
          <w:rtl/>
        </w:rPr>
      </w:pPr>
      <w:r w:rsidRPr="00EA0E11">
        <w:rPr>
          <w:rtl/>
        </w:rPr>
        <w:lastRenderedPageBreak/>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99"/>
        <w:gridCol w:w="3402"/>
        <w:gridCol w:w="1701"/>
        <w:gridCol w:w="1668"/>
      </w:tblGrid>
      <w:tr w:rsidR="005346E7" w:rsidRPr="008954A8" w:rsidTr="00AA5889">
        <w:trPr>
          <w:tblHeader/>
        </w:trPr>
        <w:tc>
          <w:tcPr>
            <w:tcW w:w="2799" w:type="dxa"/>
            <w:tcBorders>
              <w:top w:val="single" w:sz="4" w:space="0" w:color="auto"/>
              <w:bottom w:val="single" w:sz="4" w:space="0" w:color="auto"/>
            </w:tcBorders>
            <w:shd w:val="clear" w:color="auto" w:fill="C6D9F1"/>
          </w:tcPr>
          <w:p w:rsidR="005346E7" w:rsidRPr="008954A8" w:rsidRDefault="005346E7" w:rsidP="002C3C33">
            <w:pPr>
              <w:pStyle w:val="ARProgramTableHeading"/>
              <w:keepNext/>
              <w:spacing w:line="300" w:lineRule="exact"/>
              <w:rPr>
                <w:rtl/>
                <w:lang w:bidi="ar-SA"/>
              </w:rPr>
            </w:pPr>
            <w:r w:rsidRPr="008954A8">
              <w:rPr>
                <w:rtl/>
                <w:lang w:bidi="ar-SA"/>
              </w:rPr>
              <w:t>النتائج المرتقبة</w:t>
            </w:r>
          </w:p>
        </w:tc>
        <w:tc>
          <w:tcPr>
            <w:tcW w:w="3402" w:type="dxa"/>
            <w:tcBorders>
              <w:top w:val="single" w:sz="4" w:space="0" w:color="auto"/>
              <w:bottom w:val="single" w:sz="4" w:space="0" w:color="auto"/>
            </w:tcBorders>
            <w:shd w:val="clear" w:color="auto" w:fill="C6D9F1"/>
          </w:tcPr>
          <w:p w:rsidR="005346E7" w:rsidRPr="008954A8" w:rsidRDefault="005346E7" w:rsidP="002C3C33">
            <w:pPr>
              <w:pStyle w:val="ARProgramTableHeading"/>
              <w:keepNext/>
              <w:spacing w:line="300" w:lineRule="exact"/>
              <w:rPr>
                <w:rtl/>
                <w:lang w:bidi="ar-SA"/>
              </w:rPr>
            </w:pPr>
            <w:r w:rsidRPr="008954A8">
              <w:rPr>
                <w:rtl/>
                <w:lang w:bidi="ar-SA"/>
              </w:rPr>
              <w:t>مؤشرات الأداء</w:t>
            </w:r>
          </w:p>
        </w:tc>
        <w:tc>
          <w:tcPr>
            <w:tcW w:w="1701" w:type="dxa"/>
            <w:tcBorders>
              <w:top w:val="single" w:sz="4" w:space="0" w:color="auto"/>
              <w:bottom w:val="single" w:sz="4" w:space="0" w:color="auto"/>
            </w:tcBorders>
            <w:shd w:val="clear" w:color="auto" w:fill="C6D9F1"/>
          </w:tcPr>
          <w:p w:rsidR="005346E7" w:rsidRPr="008954A8" w:rsidRDefault="005346E7" w:rsidP="002C3C33">
            <w:pPr>
              <w:pStyle w:val="ARProgramTableHeading"/>
              <w:keepNext/>
              <w:spacing w:line="300" w:lineRule="exact"/>
              <w:rPr>
                <w:rtl/>
                <w:lang w:bidi="ar-SA"/>
              </w:rPr>
            </w:pPr>
            <w:r w:rsidRPr="008954A8">
              <w:rPr>
                <w:rtl/>
                <w:lang w:bidi="ar-SA"/>
              </w:rPr>
              <w:t>أسس المقارنة</w:t>
            </w:r>
          </w:p>
        </w:tc>
        <w:tc>
          <w:tcPr>
            <w:tcW w:w="1668" w:type="dxa"/>
            <w:tcBorders>
              <w:top w:val="single" w:sz="4" w:space="0" w:color="auto"/>
              <w:bottom w:val="single" w:sz="4" w:space="0" w:color="auto"/>
            </w:tcBorders>
            <w:shd w:val="clear" w:color="auto" w:fill="C6D9F1"/>
          </w:tcPr>
          <w:p w:rsidR="005346E7" w:rsidRPr="008954A8" w:rsidRDefault="005346E7" w:rsidP="002C3C33">
            <w:pPr>
              <w:pStyle w:val="ARProgramTableHeading"/>
              <w:keepNext/>
              <w:spacing w:line="300" w:lineRule="exact"/>
              <w:rPr>
                <w:rtl/>
                <w:lang w:bidi="ar-SA"/>
              </w:rPr>
            </w:pPr>
            <w:r w:rsidRPr="008954A8">
              <w:rPr>
                <w:rtl/>
                <w:lang w:bidi="ar-SA"/>
              </w:rPr>
              <w:t>الأهداف</w:t>
            </w:r>
          </w:p>
        </w:tc>
      </w:tr>
      <w:tr w:rsidR="005346E7" w:rsidRPr="008954A8" w:rsidTr="00AA5889">
        <w:tc>
          <w:tcPr>
            <w:tcW w:w="2799" w:type="dxa"/>
            <w:tcBorders>
              <w:top w:val="single" w:sz="4" w:space="0" w:color="auto"/>
            </w:tcBorders>
          </w:tcPr>
          <w:p w:rsidR="005346E7" w:rsidRPr="008954A8" w:rsidRDefault="005346E7" w:rsidP="002C3C33">
            <w:pPr>
              <w:pStyle w:val="ARProgramTableText"/>
              <w:keepNext/>
              <w:spacing w:line="300" w:lineRule="exact"/>
              <w:rPr>
                <w:rtl/>
              </w:rPr>
            </w:pPr>
            <w:r w:rsidRPr="008954A8">
              <w:rPr>
                <w:rFonts w:hint="cs"/>
                <w:rtl/>
              </w:rPr>
              <w:t>ه 1.1</w:t>
            </w:r>
            <w:r w:rsidRPr="008954A8">
              <w:rPr>
                <w:rtl/>
                <w:lang w:bidi="ar-SA"/>
              </w:rPr>
              <w:t xml:space="preserve"> </w:t>
            </w:r>
            <w:r w:rsidRPr="000F48C6">
              <w:rPr>
                <w:rtl/>
                <w:lang w:bidi="ar-SA"/>
              </w:rPr>
              <w:t>تعاون معزز بين الدول الأعضاء في وضع أطر معيارية دولية متوازنة في مجال الملكية الفكرية</w:t>
            </w:r>
          </w:p>
        </w:tc>
        <w:tc>
          <w:tcPr>
            <w:tcW w:w="3402" w:type="dxa"/>
            <w:tcBorders>
              <w:top w:val="single" w:sz="4" w:space="0" w:color="auto"/>
            </w:tcBorders>
          </w:tcPr>
          <w:p w:rsidR="005346E7" w:rsidRPr="008954A8" w:rsidRDefault="005346E7" w:rsidP="002C3C33">
            <w:pPr>
              <w:pStyle w:val="ARProgramTableText"/>
              <w:keepNext/>
              <w:spacing w:line="300" w:lineRule="exact"/>
              <w:rPr>
                <w:rtl/>
              </w:rPr>
            </w:pPr>
            <w:r w:rsidRPr="008954A8">
              <w:rPr>
                <w:rtl/>
                <w:lang w:bidi="ar-SA"/>
              </w:rPr>
              <w:t xml:space="preserve">التقدم المحرز في تنفيذ </w:t>
            </w:r>
            <w:r>
              <w:rPr>
                <w:rFonts w:hint="cs"/>
                <w:rtl/>
                <w:lang w:bidi="ar-SA"/>
              </w:rPr>
              <w:t xml:space="preserve">العمل </w:t>
            </w:r>
            <w:r w:rsidRPr="008954A8">
              <w:rPr>
                <w:rtl/>
                <w:lang w:bidi="ar-SA"/>
              </w:rPr>
              <w:t xml:space="preserve">المتفق عليه </w:t>
            </w:r>
            <w:r>
              <w:rPr>
                <w:rFonts w:hint="cs"/>
                <w:rtl/>
                <w:lang w:bidi="ar-SA"/>
              </w:rPr>
              <w:t>وفقا لجدول أعمال ا</w:t>
            </w:r>
            <w:r w:rsidRPr="008954A8">
              <w:rPr>
                <w:rtl/>
                <w:lang w:bidi="ar-SA"/>
              </w:rPr>
              <w:t>للجنة الدائمة المعنية بقانون البراءات</w:t>
            </w:r>
            <w:r>
              <w:rPr>
                <w:rFonts w:hint="cs"/>
                <w:rtl/>
                <w:lang w:bidi="ar-SA"/>
              </w:rPr>
              <w:t xml:space="preserve"> (اللجنة)</w:t>
            </w:r>
          </w:p>
        </w:tc>
        <w:tc>
          <w:tcPr>
            <w:tcW w:w="1701" w:type="dxa"/>
            <w:tcBorders>
              <w:top w:val="single" w:sz="4" w:space="0" w:color="auto"/>
            </w:tcBorders>
          </w:tcPr>
          <w:p w:rsidR="005346E7" w:rsidRPr="008954A8" w:rsidRDefault="005346E7" w:rsidP="002C3C33">
            <w:pPr>
              <w:pStyle w:val="ARProgramTableText"/>
              <w:keepNext/>
              <w:spacing w:line="300" w:lineRule="exact"/>
              <w:rPr>
                <w:rtl/>
              </w:rPr>
            </w:pPr>
            <w:r>
              <w:rPr>
                <w:rFonts w:hint="cs"/>
                <w:rtl/>
              </w:rPr>
              <w:t>الوضع الحالي للعمل في اللجنة كما هو موثق في تقرير الدورة الحادية والعشرين للجنة</w:t>
            </w:r>
          </w:p>
        </w:tc>
        <w:tc>
          <w:tcPr>
            <w:tcW w:w="1668" w:type="dxa"/>
            <w:tcBorders>
              <w:top w:val="single" w:sz="4" w:space="0" w:color="auto"/>
            </w:tcBorders>
          </w:tcPr>
          <w:p w:rsidR="005346E7" w:rsidRPr="008954A8" w:rsidRDefault="005346E7" w:rsidP="002C3C33">
            <w:pPr>
              <w:pStyle w:val="ARProgramTableText"/>
              <w:keepNext/>
              <w:spacing w:line="300" w:lineRule="exact"/>
              <w:rPr>
                <w:rtl/>
                <w:lang w:bidi="ar-SA"/>
              </w:rPr>
            </w:pPr>
            <w:r>
              <w:rPr>
                <w:rFonts w:hint="cs"/>
                <w:rtl/>
                <w:lang w:bidi="ar-SA"/>
              </w:rPr>
              <w:t xml:space="preserve">نتائج </w:t>
            </w:r>
            <w:r w:rsidRPr="008954A8">
              <w:rPr>
                <w:rtl/>
                <w:lang w:bidi="ar-SA"/>
              </w:rPr>
              <w:t xml:space="preserve">اللجنة </w:t>
            </w:r>
            <w:r>
              <w:rPr>
                <w:rFonts w:hint="cs"/>
                <w:rtl/>
                <w:lang w:bidi="ar-SA"/>
              </w:rPr>
              <w:t>المتفق عليها</w:t>
            </w:r>
          </w:p>
        </w:tc>
      </w:tr>
      <w:tr w:rsidR="005346E7" w:rsidRPr="008954A8" w:rsidTr="00AA5889">
        <w:tc>
          <w:tcPr>
            <w:tcW w:w="2799" w:type="dxa"/>
          </w:tcPr>
          <w:p w:rsidR="005346E7" w:rsidRPr="008954A8" w:rsidRDefault="005346E7" w:rsidP="002C3C33">
            <w:pPr>
              <w:pStyle w:val="ARProgramTableText"/>
              <w:keepNext/>
              <w:spacing w:line="300" w:lineRule="exact"/>
              <w:rPr>
                <w:rtl/>
              </w:rPr>
            </w:pPr>
          </w:p>
        </w:tc>
        <w:tc>
          <w:tcPr>
            <w:tcW w:w="3402" w:type="dxa"/>
          </w:tcPr>
          <w:p w:rsidR="005346E7" w:rsidRPr="008954A8" w:rsidRDefault="005346E7" w:rsidP="002C3C33">
            <w:pPr>
              <w:pStyle w:val="ARProgramTableText"/>
              <w:keepNext/>
              <w:spacing w:line="300" w:lineRule="exact"/>
              <w:rPr>
                <w:rtl/>
              </w:rPr>
            </w:pPr>
            <w:r>
              <w:rPr>
                <w:rFonts w:hint="cs"/>
                <w:rtl/>
              </w:rPr>
              <w:t>مستوى رضا ا</w:t>
            </w:r>
            <w:r w:rsidRPr="008954A8">
              <w:rPr>
                <w:rtl/>
              </w:rPr>
              <w:t>لمشاركين في حلقات عمل/ندوات/</w:t>
            </w:r>
            <w:r>
              <w:rPr>
                <w:rFonts w:hint="cs"/>
                <w:rtl/>
              </w:rPr>
              <w:t xml:space="preserve"> محددة الهدف</w:t>
            </w:r>
            <w:r w:rsidRPr="008954A8">
              <w:rPr>
                <w:rtl/>
              </w:rPr>
              <w:t xml:space="preserve"> </w:t>
            </w:r>
            <w:r>
              <w:rPr>
                <w:rFonts w:hint="cs"/>
                <w:rtl/>
              </w:rPr>
              <w:t>والمعقودة بشأن</w:t>
            </w:r>
            <w:r w:rsidRPr="008954A8">
              <w:rPr>
                <w:rtl/>
              </w:rPr>
              <w:t xml:space="preserve"> قضايا محددة تتعلق بالبراءات</w:t>
            </w:r>
          </w:p>
        </w:tc>
        <w:tc>
          <w:tcPr>
            <w:tcW w:w="1701" w:type="dxa"/>
          </w:tcPr>
          <w:p w:rsidR="005346E7" w:rsidRPr="008954A8" w:rsidRDefault="005346E7" w:rsidP="002C3C33">
            <w:pPr>
              <w:pStyle w:val="ARProgramTableText"/>
              <w:keepNext/>
              <w:spacing w:line="300" w:lineRule="exact"/>
              <w:rPr>
                <w:rtl/>
              </w:rPr>
            </w:pPr>
            <w:r>
              <w:rPr>
                <w:rFonts w:hint="cs"/>
                <w:rtl/>
              </w:rPr>
              <w:t>92.75% - استقصاء</w:t>
            </w:r>
            <w:r w:rsidRPr="008954A8">
              <w:rPr>
                <w:rtl/>
              </w:rPr>
              <w:t xml:space="preserve"> </w:t>
            </w:r>
            <w:r>
              <w:rPr>
                <w:rFonts w:hint="cs"/>
                <w:rtl/>
              </w:rPr>
              <w:t>2014</w:t>
            </w:r>
          </w:p>
        </w:tc>
        <w:tc>
          <w:tcPr>
            <w:tcW w:w="1668" w:type="dxa"/>
          </w:tcPr>
          <w:p w:rsidR="005346E7" w:rsidRPr="008954A8" w:rsidRDefault="005346E7" w:rsidP="002C3C33">
            <w:pPr>
              <w:pStyle w:val="ARProgramTableText"/>
              <w:keepNext/>
              <w:spacing w:line="300" w:lineRule="exact"/>
              <w:rPr>
                <w:rtl/>
                <w:lang w:bidi="ar-SA"/>
              </w:rPr>
            </w:pPr>
            <w:r w:rsidRPr="008954A8">
              <w:rPr>
                <w:rtl/>
                <w:lang w:bidi="ar-SA"/>
              </w:rPr>
              <w:t>90%</w:t>
            </w:r>
          </w:p>
        </w:tc>
      </w:tr>
      <w:tr w:rsidR="005346E7" w:rsidRPr="008954A8" w:rsidTr="00AA5889">
        <w:tc>
          <w:tcPr>
            <w:tcW w:w="2799" w:type="dxa"/>
          </w:tcPr>
          <w:p w:rsidR="005346E7" w:rsidRPr="008954A8" w:rsidRDefault="005346E7" w:rsidP="002C3C33">
            <w:pPr>
              <w:pStyle w:val="ARProgramTableText"/>
              <w:keepNext/>
              <w:spacing w:line="300" w:lineRule="exact"/>
              <w:rPr>
                <w:rtl/>
              </w:rPr>
            </w:pPr>
          </w:p>
        </w:tc>
        <w:tc>
          <w:tcPr>
            <w:tcW w:w="3402" w:type="dxa"/>
          </w:tcPr>
          <w:p w:rsidR="005346E7" w:rsidRDefault="005346E7" w:rsidP="002C3C33">
            <w:pPr>
              <w:pStyle w:val="ARProgramTableText"/>
              <w:keepNext/>
              <w:spacing w:line="300" w:lineRule="exact"/>
              <w:rPr>
                <w:rtl/>
              </w:rPr>
            </w:pPr>
            <w:r>
              <w:rPr>
                <w:rFonts w:hint="cs"/>
                <w:rtl/>
              </w:rPr>
              <w:t>مستوى رضا ا</w:t>
            </w:r>
            <w:r w:rsidRPr="008954A8">
              <w:rPr>
                <w:rtl/>
              </w:rPr>
              <w:t xml:space="preserve">لمشاركين في </w:t>
            </w:r>
            <w:r>
              <w:rPr>
                <w:rFonts w:hint="cs"/>
                <w:rtl/>
              </w:rPr>
              <w:t>برنامج مساعدة المخترعين</w:t>
            </w:r>
          </w:p>
        </w:tc>
        <w:tc>
          <w:tcPr>
            <w:tcW w:w="1701" w:type="dxa"/>
          </w:tcPr>
          <w:p w:rsidR="005346E7" w:rsidRDefault="005346E7" w:rsidP="002C3C33">
            <w:pPr>
              <w:pStyle w:val="ARProgramTableText"/>
              <w:keepNext/>
              <w:spacing w:line="300" w:lineRule="exact"/>
              <w:rPr>
                <w:rtl/>
              </w:rPr>
            </w:pPr>
            <w:r>
              <w:rPr>
                <w:rFonts w:hint="cs"/>
                <w:rtl/>
              </w:rPr>
              <w:t>غير متاحة</w:t>
            </w:r>
          </w:p>
        </w:tc>
        <w:tc>
          <w:tcPr>
            <w:tcW w:w="1668" w:type="dxa"/>
          </w:tcPr>
          <w:p w:rsidR="005346E7" w:rsidRPr="008954A8" w:rsidRDefault="005346E7" w:rsidP="002C3C33">
            <w:pPr>
              <w:pStyle w:val="ARProgramTableText"/>
              <w:keepNext/>
              <w:spacing w:line="300" w:lineRule="exact"/>
              <w:rPr>
                <w:rtl/>
                <w:lang w:bidi="ar-SA"/>
              </w:rPr>
            </w:pPr>
            <w:r w:rsidRPr="008954A8">
              <w:rPr>
                <w:rtl/>
                <w:lang w:bidi="ar-SA"/>
              </w:rPr>
              <w:t>90%</w:t>
            </w:r>
          </w:p>
        </w:tc>
      </w:tr>
      <w:tr w:rsidR="005346E7" w:rsidRPr="008954A8" w:rsidTr="00AA5889">
        <w:tc>
          <w:tcPr>
            <w:tcW w:w="2799" w:type="dxa"/>
          </w:tcPr>
          <w:p w:rsidR="005346E7" w:rsidRPr="008954A8" w:rsidRDefault="005346E7" w:rsidP="002C3C33">
            <w:pPr>
              <w:pStyle w:val="ARProgramTableText"/>
              <w:spacing w:line="300" w:lineRule="exact"/>
              <w:rPr>
                <w:rtl/>
              </w:rPr>
            </w:pPr>
            <w:r w:rsidRPr="008954A8">
              <w:rPr>
                <w:rFonts w:hint="cs"/>
                <w:rtl/>
              </w:rPr>
              <w:t>ه 2.1</w:t>
            </w:r>
            <w:r w:rsidRPr="008954A8">
              <w:rPr>
                <w:rtl/>
              </w:rPr>
              <w:t xml:space="preserve"> </w:t>
            </w:r>
            <w:r w:rsidRPr="000F48C6">
              <w:rPr>
                <w:rtl/>
              </w:rPr>
              <w:t>أطر تشريعية وتنظيمية وسياسية مكيّفة ومتوازنة في مجال الملكية الفكرية</w:t>
            </w:r>
          </w:p>
        </w:tc>
        <w:tc>
          <w:tcPr>
            <w:tcW w:w="3402" w:type="dxa"/>
          </w:tcPr>
          <w:p w:rsidR="005346E7" w:rsidRPr="008954A8" w:rsidRDefault="005346E7" w:rsidP="002C3C33">
            <w:pPr>
              <w:pStyle w:val="ARProgramTableText"/>
              <w:spacing w:line="300" w:lineRule="exact"/>
              <w:rPr>
                <w:rtl/>
              </w:rPr>
            </w:pPr>
            <w:r w:rsidRPr="008954A8">
              <w:rPr>
                <w:rtl/>
              </w:rPr>
              <w:t xml:space="preserve">النسبة المئوية </w:t>
            </w:r>
            <w:r>
              <w:rPr>
                <w:rFonts w:hint="cs"/>
                <w:rtl/>
              </w:rPr>
              <w:t xml:space="preserve">للجهات المتلقية </w:t>
            </w:r>
            <w:r w:rsidRPr="008954A8">
              <w:rPr>
                <w:rtl/>
              </w:rPr>
              <w:t xml:space="preserve">التي وجدت المعلومات المقدمة بشأن المبادئ والممارسات القانونية </w:t>
            </w:r>
            <w:r>
              <w:rPr>
                <w:rFonts w:hint="cs"/>
                <w:rtl/>
              </w:rPr>
              <w:t>لأنظمة</w:t>
            </w:r>
            <w:r w:rsidRPr="008954A8">
              <w:rPr>
                <w:rtl/>
              </w:rPr>
              <w:t xml:space="preserve"> البراءات</w:t>
            </w:r>
            <w:r>
              <w:rPr>
                <w:rFonts w:hint="cs"/>
                <w:rtl/>
              </w:rPr>
              <w:t xml:space="preserve"> ونماذج المنفعة والدوار المتكاملة،</w:t>
            </w:r>
            <w:r w:rsidRPr="008954A8">
              <w:rPr>
                <w:rtl/>
              </w:rPr>
              <w:t xml:space="preserve"> بما فيها مواطن المرونة، معلومات مفيدة</w:t>
            </w:r>
          </w:p>
        </w:tc>
        <w:tc>
          <w:tcPr>
            <w:tcW w:w="1701" w:type="dxa"/>
          </w:tcPr>
          <w:p w:rsidR="005346E7" w:rsidRPr="008954A8" w:rsidRDefault="005346E7" w:rsidP="002C3C33">
            <w:pPr>
              <w:pStyle w:val="ARProgramTableText"/>
              <w:spacing w:line="300" w:lineRule="exact"/>
              <w:rPr>
                <w:rtl/>
              </w:rPr>
            </w:pPr>
            <w:r>
              <w:rPr>
                <w:rFonts w:hint="cs"/>
                <w:rtl/>
              </w:rPr>
              <w:t>7 بلدان/مشاركين (85.7% - استقصاء</w:t>
            </w:r>
            <w:r w:rsidRPr="008954A8">
              <w:rPr>
                <w:rtl/>
              </w:rPr>
              <w:t xml:space="preserve"> </w:t>
            </w:r>
            <w:r>
              <w:rPr>
                <w:rFonts w:hint="cs"/>
                <w:rtl/>
              </w:rPr>
              <w:t>2014)</w:t>
            </w:r>
          </w:p>
        </w:tc>
        <w:tc>
          <w:tcPr>
            <w:tcW w:w="1668" w:type="dxa"/>
          </w:tcPr>
          <w:p w:rsidR="005346E7" w:rsidRPr="008954A8" w:rsidRDefault="005346E7" w:rsidP="002C3C33">
            <w:pPr>
              <w:pStyle w:val="ARProgramTableText"/>
              <w:spacing w:line="300" w:lineRule="exact"/>
              <w:rPr>
                <w:rtl/>
                <w:lang w:bidi="ar-SA"/>
              </w:rPr>
            </w:pPr>
            <w:r w:rsidRPr="008954A8">
              <w:rPr>
                <w:rtl/>
                <w:lang w:bidi="ar-SA"/>
              </w:rPr>
              <w:t>90%</w:t>
            </w:r>
          </w:p>
        </w:tc>
      </w:tr>
      <w:tr w:rsidR="005346E7" w:rsidRPr="008954A8" w:rsidTr="00AA5889">
        <w:tc>
          <w:tcPr>
            <w:tcW w:w="2799" w:type="dxa"/>
          </w:tcPr>
          <w:p w:rsidR="005346E7" w:rsidRPr="008954A8" w:rsidRDefault="005346E7" w:rsidP="002C3C33">
            <w:pPr>
              <w:pStyle w:val="ARProgramTableText"/>
              <w:spacing w:line="300" w:lineRule="exact"/>
              <w:rPr>
                <w:rtl/>
              </w:rPr>
            </w:pPr>
          </w:p>
        </w:tc>
        <w:tc>
          <w:tcPr>
            <w:tcW w:w="3402" w:type="dxa"/>
          </w:tcPr>
          <w:p w:rsidR="005346E7" w:rsidRPr="008954A8" w:rsidRDefault="005346E7" w:rsidP="002C3C33">
            <w:pPr>
              <w:pStyle w:val="ARProgramTableText"/>
              <w:spacing w:line="300" w:lineRule="exact"/>
              <w:rPr>
                <w:rtl/>
              </w:rPr>
            </w:pPr>
            <w:r w:rsidRPr="00204F89">
              <w:rPr>
                <w:rtl/>
              </w:rPr>
              <w:t xml:space="preserve">عدد الدول الأعضاء </w:t>
            </w:r>
            <w:r>
              <w:rPr>
                <w:rFonts w:hint="cs"/>
                <w:rtl/>
              </w:rPr>
              <w:t xml:space="preserve">الراضية على </w:t>
            </w:r>
            <w:r w:rsidRPr="00204F89">
              <w:rPr>
                <w:rtl/>
              </w:rPr>
              <w:t>مستوى جودة المشورة القانونية</w:t>
            </w:r>
            <w:r>
              <w:rPr>
                <w:rFonts w:hint="cs"/>
                <w:rtl/>
              </w:rPr>
              <w:t xml:space="preserve"> </w:t>
            </w:r>
            <w:r w:rsidRPr="00204F89">
              <w:rPr>
                <w:rtl/>
              </w:rPr>
              <w:t>والنسبة المئوية لهذه الدول</w:t>
            </w:r>
          </w:p>
        </w:tc>
        <w:tc>
          <w:tcPr>
            <w:tcW w:w="1701" w:type="dxa"/>
          </w:tcPr>
          <w:p w:rsidR="005346E7" w:rsidRPr="008954A8" w:rsidRDefault="005346E7" w:rsidP="002C3C33">
            <w:pPr>
              <w:pStyle w:val="ARProgramTableText"/>
              <w:spacing w:line="300" w:lineRule="exact"/>
              <w:rPr>
                <w:rtl/>
              </w:rPr>
            </w:pPr>
            <w:r>
              <w:rPr>
                <w:rFonts w:hint="cs"/>
                <w:rtl/>
              </w:rPr>
              <w:t>8 دول أعضاء (90%) - استقصاء</w:t>
            </w:r>
            <w:r w:rsidRPr="008954A8">
              <w:rPr>
                <w:rtl/>
              </w:rPr>
              <w:t xml:space="preserve"> </w:t>
            </w:r>
            <w:r>
              <w:rPr>
                <w:rFonts w:hint="cs"/>
                <w:rtl/>
              </w:rPr>
              <w:t>2014)</w:t>
            </w:r>
          </w:p>
        </w:tc>
        <w:tc>
          <w:tcPr>
            <w:tcW w:w="1668" w:type="dxa"/>
          </w:tcPr>
          <w:p w:rsidR="005346E7" w:rsidRPr="008954A8" w:rsidRDefault="005346E7" w:rsidP="002C3C33">
            <w:pPr>
              <w:pStyle w:val="ARProgramTableText"/>
              <w:spacing w:line="300" w:lineRule="exact"/>
              <w:rPr>
                <w:rtl/>
                <w:lang w:bidi="ar-SA"/>
              </w:rPr>
            </w:pPr>
            <w:r w:rsidRPr="008954A8">
              <w:rPr>
                <w:rtl/>
                <w:lang w:bidi="ar-SA"/>
              </w:rPr>
              <w:t>90%</w:t>
            </w:r>
          </w:p>
        </w:tc>
      </w:tr>
      <w:tr w:rsidR="005346E7" w:rsidRPr="008954A8" w:rsidTr="00AA5889">
        <w:tc>
          <w:tcPr>
            <w:tcW w:w="2799" w:type="dxa"/>
          </w:tcPr>
          <w:p w:rsidR="005346E7" w:rsidRPr="008954A8" w:rsidRDefault="009800D4" w:rsidP="0017014D">
            <w:pPr>
              <w:pStyle w:val="ARProgramTableText"/>
              <w:spacing w:line="300" w:lineRule="exact"/>
              <w:rPr>
                <w:rtl/>
              </w:rPr>
            </w:pPr>
            <w:r>
              <w:rPr>
                <w:rtl/>
              </w:rPr>
              <w:t>ه</w:t>
            </w:r>
            <w:r w:rsidR="005346E7">
              <w:rPr>
                <w:rFonts w:hint="cs"/>
                <w:rtl/>
              </w:rPr>
              <w:t xml:space="preserve"> </w:t>
            </w:r>
            <w:r w:rsidR="005346E7" w:rsidRPr="00CF3586">
              <w:rPr>
                <w:rFonts w:hint="cs"/>
                <w:rtl/>
              </w:rPr>
              <w:t>4</w:t>
            </w:r>
            <w:r w:rsidR="005346E7" w:rsidRPr="00CF3586">
              <w:rPr>
                <w:rtl/>
              </w:rPr>
              <w:t>.1</w:t>
            </w:r>
            <w:r w:rsidR="005346E7" w:rsidRPr="00CF3586">
              <w:rPr>
                <w:rFonts w:hint="cs"/>
                <w:rtl/>
              </w:rPr>
              <w:t xml:space="preserve"> </w:t>
            </w:r>
            <w:r w:rsidR="0017014D" w:rsidRPr="0017014D">
              <w:rPr>
                <w:rtl/>
              </w:rPr>
              <w:t>اهتمام</w:t>
            </w:r>
            <w:r w:rsidR="0017014D" w:rsidRPr="0017014D">
              <w:t xml:space="preserve"> </w:t>
            </w:r>
            <w:r w:rsidR="0017014D" w:rsidRPr="0017014D">
              <w:rPr>
                <w:rtl/>
              </w:rPr>
              <w:t>متزايد</w:t>
            </w:r>
            <w:r w:rsidR="0017014D" w:rsidRPr="0017014D">
              <w:t xml:space="preserve"> </w:t>
            </w:r>
            <w:proofErr w:type="spellStart"/>
            <w:r w:rsidR="0017014D" w:rsidRPr="0017014D">
              <w:rPr>
                <w:rtl/>
              </w:rPr>
              <w:t>بالويبو</w:t>
            </w:r>
            <w:proofErr w:type="spellEnd"/>
            <w:r w:rsidR="0017014D" w:rsidRPr="0017014D">
              <w:t xml:space="preserve"> </w:t>
            </w:r>
            <w:r w:rsidR="0017014D" w:rsidRPr="0017014D">
              <w:rPr>
                <w:rtl/>
              </w:rPr>
              <w:t>كمحفل</w:t>
            </w:r>
            <w:r w:rsidR="0017014D" w:rsidRPr="0017014D">
              <w:t xml:space="preserve"> </w:t>
            </w:r>
            <w:r w:rsidR="0017014D" w:rsidRPr="0017014D">
              <w:rPr>
                <w:rtl/>
              </w:rPr>
              <w:t>لتحليل</w:t>
            </w:r>
            <w:r w:rsidR="0017014D" w:rsidRPr="0017014D">
              <w:t xml:space="preserve"> </w:t>
            </w:r>
            <w:r w:rsidR="0017014D" w:rsidRPr="0017014D">
              <w:rPr>
                <w:rtl/>
              </w:rPr>
              <w:t>القضايا</w:t>
            </w:r>
            <w:r w:rsidR="0017014D" w:rsidRPr="0017014D">
              <w:t xml:space="preserve"> </w:t>
            </w:r>
            <w:r w:rsidR="0017014D" w:rsidRPr="0017014D">
              <w:rPr>
                <w:rtl/>
              </w:rPr>
              <w:t>فيما</w:t>
            </w:r>
            <w:r w:rsidR="0017014D" w:rsidRPr="0017014D">
              <w:t xml:space="preserve"> </w:t>
            </w:r>
            <w:r w:rsidR="0017014D" w:rsidRPr="0017014D">
              <w:rPr>
                <w:rtl/>
              </w:rPr>
              <w:t>يتعلق</w:t>
            </w:r>
            <w:r w:rsidR="0017014D" w:rsidRPr="0017014D">
              <w:t xml:space="preserve"> </w:t>
            </w:r>
            <w:r w:rsidR="0017014D" w:rsidRPr="0017014D">
              <w:rPr>
                <w:rtl/>
              </w:rPr>
              <w:t>بالحماية</w:t>
            </w:r>
            <w:r w:rsidR="0017014D" w:rsidRPr="0017014D">
              <w:t xml:space="preserve"> </w:t>
            </w:r>
            <w:r w:rsidR="0017014D" w:rsidRPr="0017014D">
              <w:rPr>
                <w:rtl/>
              </w:rPr>
              <w:t>الدولية</w:t>
            </w:r>
            <w:r w:rsidR="0017014D" w:rsidRPr="0017014D">
              <w:t xml:space="preserve"> </w:t>
            </w:r>
            <w:r w:rsidR="00351999">
              <w:rPr>
                <w:rtl/>
              </w:rPr>
              <w:t>ل</w:t>
            </w:r>
            <w:r w:rsidR="0017014D" w:rsidRPr="0017014D">
              <w:rPr>
                <w:rtl/>
              </w:rPr>
              <w:t>لبراءات ونماذج المنفعة وتصاميم (</w:t>
            </w:r>
            <w:proofErr w:type="spellStart"/>
            <w:r w:rsidR="0017014D" w:rsidRPr="0017014D">
              <w:rPr>
                <w:rtl/>
              </w:rPr>
              <w:t>طبوغرافيات</w:t>
            </w:r>
            <w:proofErr w:type="spellEnd"/>
            <w:r w:rsidR="0017014D" w:rsidRPr="0017014D">
              <w:rPr>
                <w:rtl/>
              </w:rPr>
              <w:t xml:space="preserve">) الدوائر المتكاملة </w:t>
            </w:r>
            <w:r w:rsidR="0017014D" w:rsidRPr="0017014D">
              <w:rPr>
                <w:rFonts w:hint="cs"/>
                <w:rtl/>
              </w:rPr>
              <w:t>وال</w:t>
            </w:r>
            <w:r w:rsidR="0017014D" w:rsidRPr="0017014D">
              <w:rPr>
                <w:rtl/>
              </w:rPr>
              <w:t>معلومات</w:t>
            </w:r>
            <w:r w:rsidR="0017014D" w:rsidRPr="0017014D">
              <w:t xml:space="preserve"> </w:t>
            </w:r>
            <w:r w:rsidR="0017014D" w:rsidRPr="0017014D">
              <w:rPr>
                <w:rtl/>
              </w:rPr>
              <w:t>السرية</w:t>
            </w:r>
          </w:p>
        </w:tc>
        <w:tc>
          <w:tcPr>
            <w:tcW w:w="3402" w:type="dxa"/>
          </w:tcPr>
          <w:p w:rsidR="005346E7" w:rsidRPr="008954A8" w:rsidRDefault="005346E7" w:rsidP="007B5518">
            <w:pPr>
              <w:pStyle w:val="ARProgramTableText"/>
              <w:spacing w:line="300" w:lineRule="exact"/>
              <w:rPr>
                <w:rtl/>
              </w:rPr>
            </w:pPr>
            <w:r w:rsidRPr="008954A8">
              <w:rPr>
                <w:rtl/>
              </w:rPr>
              <w:t xml:space="preserve">النسبة المئوية </w:t>
            </w:r>
            <w:r>
              <w:rPr>
                <w:rFonts w:hint="cs"/>
                <w:rtl/>
              </w:rPr>
              <w:t xml:space="preserve">للجهات المتلقية </w:t>
            </w:r>
            <w:r w:rsidRPr="008954A8">
              <w:rPr>
                <w:rtl/>
              </w:rPr>
              <w:t xml:space="preserve">التي وجدت المعلومات المقدمة بشأن المبادئ والممارسات القانونية </w:t>
            </w:r>
            <w:r>
              <w:rPr>
                <w:rFonts w:hint="cs"/>
                <w:rtl/>
              </w:rPr>
              <w:t xml:space="preserve">لحماية </w:t>
            </w:r>
            <w:r w:rsidR="007B5518">
              <w:rPr>
                <w:rFonts w:hint="cs"/>
                <w:rtl/>
              </w:rPr>
              <w:t>ا</w:t>
            </w:r>
            <w:r w:rsidR="007B5518" w:rsidRPr="007B5518">
              <w:rPr>
                <w:rtl/>
              </w:rPr>
              <w:t>لبراءات ونماذج المنفعة وتصاميم (</w:t>
            </w:r>
            <w:proofErr w:type="spellStart"/>
            <w:r w:rsidR="007B5518" w:rsidRPr="007B5518">
              <w:rPr>
                <w:rtl/>
              </w:rPr>
              <w:t>طبوغرافيات</w:t>
            </w:r>
            <w:proofErr w:type="spellEnd"/>
            <w:r w:rsidR="007B5518" w:rsidRPr="007B5518">
              <w:rPr>
                <w:rtl/>
              </w:rPr>
              <w:t xml:space="preserve">) الدوائر المتكاملة </w:t>
            </w:r>
            <w:r w:rsidR="007B5518">
              <w:rPr>
                <w:rFonts w:hint="cs"/>
                <w:rtl/>
              </w:rPr>
              <w:t>و</w:t>
            </w:r>
            <w:r>
              <w:rPr>
                <w:rFonts w:hint="cs"/>
                <w:rtl/>
              </w:rPr>
              <w:t>المعلومات السرية</w:t>
            </w:r>
            <w:r w:rsidRPr="008954A8">
              <w:rPr>
                <w:rtl/>
              </w:rPr>
              <w:t>، معلومات مفيدة</w:t>
            </w:r>
          </w:p>
        </w:tc>
        <w:tc>
          <w:tcPr>
            <w:tcW w:w="1701" w:type="dxa"/>
          </w:tcPr>
          <w:p w:rsidR="005346E7" w:rsidRDefault="005346E7" w:rsidP="002C3C33">
            <w:pPr>
              <w:pStyle w:val="ARProgramTableText"/>
              <w:keepNext/>
              <w:spacing w:line="300" w:lineRule="exact"/>
              <w:rPr>
                <w:rtl/>
              </w:rPr>
            </w:pPr>
            <w:r>
              <w:rPr>
                <w:rFonts w:hint="cs"/>
                <w:rtl/>
              </w:rPr>
              <w:t>غير متاحة</w:t>
            </w:r>
          </w:p>
        </w:tc>
        <w:tc>
          <w:tcPr>
            <w:tcW w:w="1668" w:type="dxa"/>
          </w:tcPr>
          <w:p w:rsidR="005346E7" w:rsidRPr="008954A8" w:rsidRDefault="005346E7" w:rsidP="002C3C33">
            <w:pPr>
              <w:pStyle w:val="ARProgramTableText"/>
              <w:spacing w:line="300" w:lineRule="exact"/>
              <w:rPr>
                <w:rtl/>
                <w:lang w:bidi="ar-SA"/>
              </w:rPr>
            </w:pPr>
            <w:r w:rsidRPr="008954A8">
              <w:rPr>
                <w:rtl/>
                <w:lang w:bidi="ar-SA"/>
              </w:rPr>
              <w:t>90%</w:t>
            </w:r>
          </w:p>
        </w:tc>
      </w:tr>
    </w:tbl>
    <w:p w:rsidR="005346E7" w:rsidRDefault="005346E7" w:rsidP="002C3C33">
      <w:pPr>
        <w:pStyle w:val="ARProgramHeading2"/>
        <w:spacing w:line="360" w:lineRule="exact"/>
        <w:jc w:val="left"/>
        <w:rPr>
          <w:rtl/>
        </w:rPr>
      </w:pPr>
      <w:r>
        <w:rPr>
          <w:rFonts w:hint="cs"/>
          <w:rtl/>
        </w:rPr>
        <w:t>الموارد المخصصة للبرنامج 1</w:t>
      </w:r>
    </w:p>
    <w:p w:rsidR="005346E7" w:rsidRDefault="005346E7" w:rsidP="00261705">
      <w:pPr>
        <w:pStyle w:val="ARNumbered1"/>
        <w:numPr>
          <w:ilvl w:val="0"/>
          <w:numId w:val="11"/>
        </w:numPr>
        <w:ind w:left="-2" w:firstLine="0"/>
        <w:jc w:val="left"/>
      </w:pPr>
      <w:r>
        <w:rPr>
          <w:rFonts w:hint="cs"/>
          <w:rtl/>
        </w:rPr>
        <w:t>تعود الزيادة الطفيفة في إجمالي الموارد المخصصة للبرنامج 1 في الثنائية 2016/17 مقارنة بميزانية 2014/15 بعد التحويلات إلى ما يلي:"1" تحويل المسؤوليات المتعلقة بصياغة البراءات إلى البرنامج من البرنامج 30 (الشركات الصغيرة والمتوسطة ودعم المقاولة)، "2" والأنشطة الخاصة ب</w:t>
      </w:r>
      <w:r w:rsidRPr="00376644">
        <w:rPr>
          <w:rFonts w:hint="cs"/>
          <w:rtl/>
        </w:rPr>
        <w:t xml:space="preserve">معالجة القضايا المتعلقة بحماية </w:t>
      </w:r>
      <w:r w:rsidR="00261705">
        <w:rPr>
          <w:rFonts w:hint="cs"/>
          <w:rtl/>
        </w:rPr>
        <w:t>ا</w:t>
      </w:r>
      <w:r w:rsidR="00261705" w:rsidRPr="00261705">
        <w:rPr>
          <w:rtl/>
        </w:rPr>
        <w:t>لبراءات ونماذج المنفعة وتصاميم (</w:t>
      </w:r>
      <w:proofErr w:type="spellStart"/>
      <w:r w:rsidR="00261705" w:rsidRPr="00261705">
        <w:rPr>
          <w:rtl/>
        </w:rPr>
        <w:t>طبوغرافيات</w:t>
      </w:r>
      <w:proofErr w:type="spellEnd"/>
      <w:r w:rsidR="00261705" w:rsidRPr="00261705">
        <w:rPr>
          <w:rtl/>
        </w:rPr>
        <w:t xml:space="preserve">) الدوائر المتكاملة </w:t>
      </w:r>
      <w:r w:rsidR="00261705">
        <w:rPr>
          <w:rFonts w:hint="cs"/>
          <w:rtl/>
        </w:rPr>
        <w:t>و</w:t>
      </w:r>
      <w:r w:rsidRPr="00376644">
        <w:rPr>
          <w:rFonts w:hint="cs"/>
          <w:rtl/>
        </w:rPr>
        <w:t xml:space="preserve">المعلومات السرية في سياق </w:t>
      </w:r>
      <w:r w:rsidRPr="00376644">
        <w:rPr>
          <w:rtl/>
        </w:rPr>
        <w:t>تشجيع الابتكار ونشر التكنولوجيا</w:t>
      </w:r>
      <w:r>
        <w:rPr>
          <w:rFonts w:hint="cs"/>
          <w:rtl/>
        </w:rPr>
        <w:t>.</w:t>
      </w:r>
    </w:p>
    <w:p w:rsidR="005346E7" w:rsidRPr="002927FF" w:rsidRDefault="005346E7" w:rsidP="002C3C33">
      <w:pPr>
        <w:pStyle w:val="ARNormal"/>
        <w:keepNext/>
        <w:spacing w:after="0"/>
        <w:jc w:val="center"/>
        <w:rPr>
          <w:b/>
          <w:bCs/>
          <w:rtl/>
        </w:rPr>
      </w:pPr>
      <w:r w:rsidRPr="002927FF">
        <w:rPr>
          <w:b/>
          <w:bCs/>
          <w:rtl/>
        </w:rPr>
        <w:t xml:space="preserve">البرنامج </w:t>
      </w:r>
      <w:r>
        <w:rPr>
          <w:rFonts w:hint="cs"/>
          <w:b/>
          <w:bCs/>
          <w:rtl/>
        </w:rPr>
        <w:t>1</w:t>
      </w:r>
      <w:r w:rsidRPr="002927FF">
        <w:rPr>
          <w:b/>
          <w:bCs/>
          <w:rtl/>
        </w:rPr>
        <w:t>: الموارد بحسب كل نتيجة</w:t>
      </w:r>
    </w:p>
    <w:p w:rsidR="005346E7" w:rsidRDefault="005346E7" w:rsidP="002C3C33">
      <w:pPr>
        <w:pStyle w:val="ARNormal"/>
        <w:spacing w:after="0"/>
        <w:jc w:val="center"/>
        <w:rPr>
          <w:i/>
          <w:iCs/>
          <w:rtl/>
        </w:rPr>
      </w:pPr>
      <w:r w:rsidRPr="002927FF">
        <w:rPr>
          <w:i/>
          <w:iCs/>
          <w:rtl/>
        </w:rPr>
        <w:t>(بآلاف الفرنكات السويسرية)</w:t>
      </w:r>
    </w:p>
    <w:p w:rsidR="005346E7" w:rsidRDefault="002C01CF" w:rsidP="00AA5889">
      <w:pPr>
        <w:spacing w:after="240"/>
        <w:jc w:val="center"/>
        <w:rPr>
          <w:rFonts w:ascii="Arabic Typesetting" w:hAnsi="Arabic Typesetting" w:cs="Arabic Typesetting"/>
          <w:sz w:val="34"/>
          <w:szCs w:val="34"/>
          <w:rtl/>
        </w:rPr>
      </w:pPr>
      <w:r w:rsidRPr="002C01CF">
        <w:rPr>
          <w:noProof/>
          <w:szCs w:val="20"/>
          <w:rtl/>
          <w:lang w:bidi="ar-SA"/>
        </w:rPr>
        <w:drawing>
          <wp:inline distT="0" distB="0" distL="0" distR="0" wp14:anchorId="45FB9442" wp14:editId="5F739260">
            <wp:extent cx="5312449" cy="1802296"/>
            <wp:effectExtent l="0" t="0" r="254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2104" cy="1808964"/>
                    </a:xfrm>
                    <a:prstGeom prst="rect">
                      <a:avLst/>
                    </a:prstGeom>
                    <a:noFill/>
                    <a:ln>
                      <a:noFill/>
                    </a:ln>
                  </pic:spPr>
                </pic:pic>
              </a:graphicData>
            </a:graphic>
          </wp:inline>
        </w:drawing>
      </w:r>
      <w:r w:rsidR="005346E7">
        <w:rPr>
          <w:rFonts w:ascii="Arabic Typesetting" w:hAnsi="Arabic Typesetting" w:cs="Arabic Typesetting"/>
          <w:sz w:val="34"/>
          <w:szCs w:val="34"/>
          <w:rtl/>
        </w:rPr>
        <w:br w:type="page"/>
      </w:r>
    </w:p>
    <w:p w:rsidR="005346E7" w:rsidRPr="00E41DA4" w:rsidRDefault="005346E7" w:rsidP="002C3C33">
      <w:pPr>
        <w:pStyle w:val="ARNormal"/>
        <w:keepNext/>
        <w:spacing w:after="0"/>
        <w:jc w:val="center"/>
        <w:rPr>
          <w:b/>
          <w:bCs/>
          <w:rtl/>
        </w:rPr>
      </w:pPr>
      <w:r w:rsidRPr="00E41DA4">
        <w:rPr>
          <w:rFonts w:hint="cs"/>
          <w:b/>
          <w:bCs/>
          <w:rtl/>
        </w:rPr>
        <w:lastRenderedPageBreak/>
        <w:t xml:space="preserve">البرنامج </w:t>
      </w:r>
      <w:r>
        <w:rPr>
          <w:rFonts w:hint="cs"/>
          <w:b/>
          <w:bCs/>
          <w:rtl/>
        </w:rPr>
        <w:t>1</w:t>
      </w:r>
      <w:r w:rsidRPr="00E41DA4">
        <w:rPr>
          <w:rFonts w:hint="cs"/>
          <w:b/>
          <w:bCs/>
          <w:rtl/>
        </w:rPr>
        <w:t>: الموارد بحسب غرض الإنفاق</w:t>
      </w:r>
    </w:p>
    <w:p w:rsidR="005346E7" w:rsidRPr="00E41DA4" w:rsidRDefault="005346E7" w:rsidP="002C3C33">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5346E7" w:rsidRPr="00E41DA4" w:rsidRDefault="00617A70" w:rsidP="00617A70">
      <w:pPr>
        <w:autoSpaceDE w:val="0"/>
        <w:autoSpaceDN w:val="0"/>
        <w:adjustRightInd w:val="0"/>
        <w:spacing w:after="120"/>
        <w:jc w:val="center"/>
        <w:rPr>
          <w:rFonts w:ascii="Arabic Typesetting" w:hAnsi="Arabic Typesetting" w:cs="Arabic Typesetting"/>
          <w:sz w:val="34"/>
          <w:szCs w:val="34"/>
          <w:rtl/>
        </w:rPr>
      </w:pPr>
      <w:r w:rsidRPr="00617A70">
        <w:rPr>
          <w:noProof/>
          <w:szCs w:val="20"/>
          <w:rtl/>
          <w:lang w:bidi="ar-SA"/>
        </w:rPr>
        <w:drawing>
          <wp:inline distT="0" distB="0" distL="0" distR="0" wp14:anchorId="6FC34404" wp14:editId="311530CF">
            <wp:extent cx="5515610" cy="6371590"/>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5610" cy="6371590"/>
                    </a:xfrm>
                    <a:prstGeom prst="rect">
                      <a:avLst/>
                    </a:prstGeom>
                    <a:noFill/>
                    <a:ln>
                      <a:noFill/>
                    </a:ln>
                  </pic:spPr>
                </pic:pic>
              </a:graphicData>
            </a:graphic>
          </wp:inline>
        </w:drawing>
      </w:r>
    </w:p>
    <w:p w:rsidR="006450EA" w:rsidRDefault="006450EA" w:rsidP="002C3C33">
      <w:pPr>
        <w:pStyle w:val="ARNormal"/>
        <w:rPr>
          <w:rtl/>
          <w:lang w:bidi="ar-EG"/>
        </w:rPr>
      </w:pPr>
    </w:p>
    <w:p w:rsidR="00617A70" w:rsidRDefault="00617A70">
      <w:pPr>
        <w:bidi w:val="0"/>
        <w:rPr>
          <w:rFonts w:ascii="Arabic Typesetting" w:hAnsi="Arabic Typesetting" w:cs="Arabic Typesetting"/>
          <w:sz w:val="34"/>
          <w:szCs w:val="34"/>
          <w:rtl/>
          <w:lang w:val="fr-CH" w:bidi="ar-SA"/>
        </w:rPr>
      </w:pPr>
      <w:r>
        <w:rPr>
          <w:rtl/>
        </w:rPr>
        <w:br w:type="page"/>
      </w:r>
    </w:p>
    <w:p w:rsidR="00FF4BA8" w:rsidRPr="004E1A0D" w:rsidRDefault="00FF4BA8" w:rsidP="002C3C33">
      <w:pPr>
        <w:keepNext/>
        <w:tabs>
          <w:tab w:val="left" w:pos="1331"/>
        </w:tabs>
        <w:adjustRightInd w:val="0"/>
        <w:snapToGrid w:val="0"/>
        <w:spacing w:after="240" w:line="360" w:lineRule="exact"/>
        <w:outlineLvl w:val="2"/>
        <w:rPr>
          <w:rFonts w:ascii="Arabic Typesetting" w:hAnsi="Arabic Typesetting" w:cs="Arabic Typesetting"/>
          <w:b/>
          <w:bCs/>
          <w:caps/>
          <w:noProof/>
          <w:sz w:val="42"/>
          <w:szCs w:val="42"/>
          <w:rtl/>
        </w:rPr>
      </w:pPr>
      <w:bookmarkStart w:id="19" w:name="_Toc364355358"/>
      <w:bookmarkStart w:id="20" w:name="_Toc420595499"/>
      <w:r w:rsidRPr="004E1A0D">
        <w:rPr>
          <w:rFonts w:ascii="Arabic Typesetting" w:hAnsi="Arabic Typesetting" w:cs="Arabic Typesetting"/>
          <w:b/>
          <w:bCs/>
          <w:caps/>
          <w:noProof/>
          <w:sz w:val="42"/>
          <w:szCs w:val="42"/>
          <w:rtl/>
        </w:rPr>
        <w:lastRenderedPageBreak/>
        <w:t>البرنامج 2</w:t>
      </w:r>
      <w:r w:rsidRPr="004E1A0D">
        <w:rPr>
          <w:rFonts w:ascii="Arabic Typesetting" w:hAnsi="Arabic Typesetting" w:cs="Arabic Typesetting"/>
          <w:b/>
          <w:bCs/>
          <w:caps/>
          <w:noProof/>
          <w:sz w:val="42"/>
          <w:szCs w:val="42"/>
          <w:rtl/>
        </w:rPr>
        <w:tab/>
        <w:t>العلامات التجارية والتصاميم الصناعية والبيانات الجغرافية</w:t>
      </w:r>
      <w:bookmarkEnd w:id="19"/>
      <w:bookmarkEnd w:id="20"/>
    </w:p>
    <w:p w:rsidR="00FF4BA8" w:rsidRPr="004E1A0D" w:rsidRDefault="00FF4BA8" w:rsidP="002C3C33">
      <w:pPr>
        <w:keepNext/>
        <w:adjustRightInd w:val="0"/>
        <w:snapToGrid w:val="0"/>
        <w:spacing w:after="240" w:line="360" w:lineRule="exact"/>
        <w:jc w:val="both"/>
        <w:rPr>
          <w:rFonts w:ascii="Arabic Typesetting" w:hAnsi="Arabic Typesetting" w:cs="Arabic Typesetting"/>
          <w:noProof/>
          <w:sz w:val="38"/>
          <w:szCs w:val="38"/>
          <w:rtl/>
          <w:lang w:val="x-none" w:eastAsia="x-none"/>
        </w:rPr>
      </w:pPr>
      <w:r w:rsidRPr="004E1A0D">
        <w:rPr>
          <w:rFonts w:ascii="Arabic Typesetting" w:hAnsi="Arabic Typesetting" w:cs="Arabic Typesetting"/>
          <w:noProof/>
          <w:sz w:val="38"/>
          <w:szCs w:val="38"/>
          <w:rtl/>
          <w:lang w:val="x-none" w:eastAsia="x-none"/>
        </w:rPr>
        <w:t>سياق التخطيط</w:t>
      </w:r>
    </w:p>
    <w:p w:rsidR="00FF4BA8" w:rsidRPr="004E1A0D" w:rsidRDefault="00FF4BA8" w:rsidP="00861CFF">
      <w:pPr>
        <w:numPr>
          <w:ilvl w:val="0"/>
          <w:numId w:val="12"/>
        </w:numPr>
        <w:spacing w:after="120" w:line="340" w:lineRule="exact"/>
        <w:ind w:left="-2" w:firstLine="0"/>
        <w:rPr>
          <w:rFonts w:ascii="Arabic Typesetting" w:hAnsi="Arabic Typesetting" w:cs="Arabic Typesetting"/>
          <w:sz w:val="34"/>
          <w:szCs w:val="34"/>
          <w:rtl/>
          <w:lang w:val="fr-CH"/>
        </w:rPr>
      </w:pPr>
      <w:r w:rsidRPr="004E1A0D">
        <w:rPr>
          <w:rFonts w:ascii="Arabic Typesetting" w:hAnsi="Arabic Typesetting" w:cs="Arabic Typesetting"/>
          <w:sz w:val="34"/>
          <w:szCs w:val="34"/>
          <w:rtl/>
          <w:lang w:val="fr-CH"/>
        </w:rPr>
        <w:t xml:space="preserve">العلامات </w:t>
      </w:r>
      <w:r>
        <w:rPr>
          <w:rFonts w:ascii="Arabic Typesetting" w:hAnsi="Arabic Typesetting" w:cs="Arabic Typesetting" w:hint="cs"/>
          <w:sz w:val="34"/>
          <w:szCs w:val="34"/>
          <w:rtl/>
          <w:lang w:val="fr-CH" w:bidi="ar-SA"/>
        </w:rPr>
        <w:t>هي</w:t>
      </w:r>
      <w:r w:rsidRPr="004E1A0D">
        <w:rPr>
          <w:rFonts w:ascii="Arabic Typesetting" w:hAnsi="Arabic Typesetting" w:cs="Arabic Typesetting"/>
          <w:sz w:val="34"/>
          <w:szCs w:val="34"/>
          <w:rtl/>
          <w:lang w:val="fr-CH"/>
        </w:rPr>
        <w:t xml:space="preserve"> مصدر رئيسي للتفوق التنافسي. فهي تلعب دورا حاسما في التسويق التجاري للمنتجات الجديدة (بما فيها الخدمات)، وتقد</w:t>
      </w:r>
      <w:r>
        <w:rPr>
          <w:rFonts w:ascii="Arabic Typesetting" w:hAnsi="Arabic Typesetting" w:cs="Arabic Typesetting" w:hint="cs"/>
          <w:sz w:val="34"/>
          <w:szCs w:val="34"/>
          <w:rtl/>
          <w:lang w:val="fr-CH"/>
        </w:rPr>
        <w:t>ي</w:t>
      </w:r>
      <w:r w:rsidRPr="004E1A0D">
        <w:rPr>
          <w:rFonts w:ascii="Arabic Typesetting" w:hAnsi="Arabic Typesetting" w:cs="Arabic Typesetting"/>
          <w:sz w:val="34"/>
          <w:szCs w:val="34"/>
          <w:rtl/>
          <w:lang w:val="fr-CH"/>
        </w:rPr>
        <w:t xml:space="preserve">م معلومات عن المنتجات للزبائن في اقتصاد سريع الحركة. ويتزايد عدد الدراسات الاقتصادية التي </w:t>
      </w:r>
      <w:r>
        <w:rPr>
          <w:rFonts w:ascii="Arabic Typesetting" w:hAnsi="Arabic Typesetting" w:cs="Arabic Typesetting" w:hint="cs"/>
          <w:sz w:val="34"/>
          <w:szCs w:val="34"/>
          <w:rtl/>
          <w:lang w:val="fr-CH"/>
        </w:rPr>
        <w:t>تبرز</w:t>
      </w:r>
      <w:r w:rsidRPr="004E1A0D">
        <w:rPr>
          <w:rFonts w:ascii="Arabic Typesetting" w:hAnsi="Arabic Typesetting" w:cs="Arabic Typesetting"/>
          <w:sz w:val="34"/>
          <w:szCs w:val="34"/>
          <w:rtl/>
          <w:lang w:val="fr-CH"/>
        </w:rPr>
        <w:t xml:space="preserve"> دور العلامات في الابتكار وأهميتها الاقتصادية بصفة عامة. وبالمثل، فإن دور التصاميم في الاقتصاد العالمي يكتسب أهمية أكبر باستمرار، ووظيفة التصاميم كمصدر للابتكار والنمو الاقتصادي تتجلى للعيان شيئا فشيئا. وفي ظل هذه الأوضاع، يجب على صانعي السياسات أن يُخضعوا الإطار القانوني لحماية العلامات والتصاميم للفحص الدقيق باستمرار، بغية دعم الابتكار وأداء الأعمال، والتوصل إلى حلول مستنيرة لما يستجد من تحديات.</w:t>
      </w:r>
      <w:r>
        <w:rPr>
          <w:rFonts w:ascii="Arabic Typesetting" w:hAnsi="Arabic Typesetting" w:cs="Arabic Typesetting" w:hint="cs"/>
          <w:sz w:val="34"/>
          <w:szCs w:val="34"/>
          <w:rtl/>
          <w:lang w:val="fr-CH"/>
        </w:rPr>
        <w:t xml:space="preserve"> </w:t>
      </w:r>
      <w:r w:rsidRPr="004E1A0D">
        <w:rPr>
          <w:rFonts w:ascii="Arabic Typesetting" w:hAnsi="Arabic Typesetting" w:cs="Arabic Typesetting"/>
          <w:sz w:val="34"/>
          <w:szCs w:val="34"/>
          <w:rtl/>
          <w:lang w:val="fr-CH"/>
        </w:rPr>
        <w:t>وسوف يسعى البرنامج 2 إلى إنتاج مخرجات تتيح للويبو السير قدما نحو تطور متوازن للإطار الدولي للعلامات والتصاميم وتجعل من الممكن إنشاء بيئة قانونية تستجيب للاحتياجات والمتطلبات الخاصة لصناعات العلامات والتصاميم في الدول الأعضاء.</w:t>
      </w:r>
    </w:p>
    <w:p w:rsidR="00FF4BA8" w:rsidRPr="004E1A0D" w:rsidRDefault="00FF4BA8" w:rsidP="002C3C33">
      <w:pPr>
        <w:spacing w:after="120" w:line="340" w:lineRule="exact"/>
        <w:rPr>
          <w:rFonts w:ascii="Arabic Typesetting" w:hAnsi="Arabic Typesetting" w:cs="Arabic Typesetting"/>
          <w:sz w:val="34"/>
          <w:szCs w:val="34"/>
          <w:rtl/>
          <w:lang w:val="fr-CH" w:bidi="ar-SA"/>
        </w:rPr>
      </w:pPr>
    </w:p>
    <w:p w:rsidR="00FF4BA8" w:rsidRPr="00681536" w:rsidRDefault="00FF4BA8" w:rsidP="002C3C33">
      <w:pPr>
        <w:keepNext/>
        <w:adjustRightInd w:val="0"/>
        <w:snapToGrid w:val="0"/>
        <w:spacing w:after="240" w:line="360" w:lineRule="exact"/>
        <w:jc w:val="both"/>
        <w:rPr>
          <w:rFonts w:ascii="Arabic Typesetting" w:hAnsi="Arabic Typesetting" w:cs="Arabic Typesetting"/>
          <w:noProof/>
          <w:sz w:val="38"/>
          <w:szCs w:val="38"/>
          <w:rtl/>
          <w:lang w:val="x-none" w:eastAsia="x-none"/>
        </w:rPr>
      </w:pPr>
      <w:r w:rsidRPr="00681536">
        <w:rPr>
          <w:rFonts w:ascii="Arabic Typesetting" w:hAnsi="Arabic Typesetting" w:cs="Arabic Typesetting"/>
          <w:noProof/>
          <w:sz w:val="38"/>
          <w:szCs w:val="38"/>
          <w:rtl/>
          <w:lang w:val="x-none" w:eastAsia="x-none"/>
        </w:rPr>
        <w:t>استراتيجيات التنفيذ</w:t>
      </w:r>
    </w:p>
    <w:p w:rsidR="00FF4BA8" w:rsidRPr="004E1A0D" w:rsidRDefault="00FF4BA8" w:rsidP="00861CFF">
      <w:pPr>
        <w:numPr>
          <w:ilvl w:val="0"/>
          <w:numId w:val="12"/>
        </w:numPr>
        <w:spacing w:after="120" w:line="340" w:lineRule="exact"/>
        <w:ind w:left="-2" w:firstLine="0"/>
        <w:rPr>
          <w:rFonts w:ascii="Arabic Typesetting" w:hAnsi="Arabic Typesetting" w:cs="Arabic Typesetting"/>
          <w:sz w:val="34"/>
          <w:szCs w:val="34"/>
          <w:rtl/>
          <w:lang w:val="fr-CH"/>
        </w:rPr>
      </w:pPr>
      <w:r w:rsidRPr="004E1A0D">
        <w:rPr>
          <w:rFonts w:ascii="Arabic Typesetting" w:hAnsi="Arabic Typesetting" w:cs="Arabic Typesetting"/>
          <w:sz w:val="34"/>
          <w:szCs w:val="34"/>
          <w:rtl/>
          <w:lang w:val="fr-CH"/>
        </w:rPr>
        <w:t xml:space="preserve">يتمثل الهدف الرئيسي للبرنامج في إحراز تقدم نحو تطوير إطار قانوني دولي متوازن للعلامات والتصاميم بحيث يكون </w:t>
      </w:r>
      <w:proofErr w:type="spellStart"/>
      <w:r w:rsidRPr="004E1A0D">
        <w:rPr>
          <w:rFonts w:ascii="Arabic Typesetting" w:hAnsi="Arabic Typesetting" w:cs="Arabic Typesetting"/>
          <w:sz w:val="34"/>
          <w:szCs w:val="34"/>
          <w:rtl/>
          <w:lang w:val="fr-CH"/>
        </w:rPr>
        <w:t>مواتيا</w:t>
      </w:r>
      <w:proofErr w:type="spellEnd"/>
      <w:r w:rsidRPr="004E1A0D">
        <w:rPr>
          <w:rFonts w:ascii="Arabic Typesetting" w:hAnsi="Arabic Typesetting" w:cs="Arabic Typesetting"/>
          <w:sz w:val="34"/>
          <w:szCs w:val="34"/>
          <w:rtl/>
          <w:lang w:val="fr-CH"/>
        </w:rPr>
        <w:t xml:space="preserve"> للابتكار والنمو الاقتصادي. وفيما يتعلق بوضع إطار تنظيمي دولي لإجراءات تسجيل التصاميم الصناعية، أحرزت اللجنة الدائمة المعنية بقانون العلامات التجارية والتصاميم الصناعية والبيانات الجغرافية</w:t>
      </w:r>
      <w:r>
        <w:rPr>
          <w:rFonts w:ascii="Arabic Typesetting" w:hAnsi="Arabic Typesetting" w:cs="Arabic Typesetting" w:hint="cs"/>
          <w:sz w:val="34"/>
          <w:szCs w:val="34"/>
          <w:rtl/>
          <w:lang w:val="fr-CH"/>
        </w:rPr>
        <w:t xml:space="preserve"> (لجنة العلامات)</w:t>
      </w:r>
      <w:r w:rsidRPr="004E1A0D">
        <w:rPr>
          <w:rFonts w:ascii="Arabic Typesetting" w:hAnsi="Arabic Typesetting" w:cs="Arabic Typesetting"/>
          <w:sz w:val="34"/>
          <w:szCs w:val="34"/>
          <w:rtl/>
          <w:lang w:val="fr-CH"/>
        </w:rPr>
        <w:t xml:space="preserve"> تقدما كبيرا في إعداد مشروع معاهدة لقانون التصاميم، يرمي إلى تبسيط إجراءات تسجيل التصاميم. ورهنا بقرار من الجمعية العامة للويبو، </w:t>
      </w:r>
      <w:r>
        <w:rPr>
          <w:rFonts w:ascii="Arabic Typesetting" w:hAnsi="Arabic Typesetting" w:cs="Arabic Typesetting" w:hint="cs"/>
          <w:sz w:val="34"/>
          <w:szCs w:val="34"/>
          <w:rtl/>
          <w:lang w:val="fr-CH"/>
        </w:rPr>
        <w:t xml:space="preserve">قد </w:t>
      </w:r>
      <w:r w:rsidRPr="004E1A0D">
        <w:rPr>
          <w:rFonts w:ascii="Arabic Typesetting" w:hAnsi="Arabic Typesetting" w:cs="Arabic Typesetting"/>
          <w:sz w:val="34"/>
          <w:szCs w:val="34"/>
          <w:rtl/>
          <w:lang w:val="fr-CH"/>
        </w:rPr>
        <w:t xml:space="preserve">ينتج عن هذا العمل عقد مؤتمر دبلوماسي لاعتماد معاهدة لقانون التصاميم أثناء الثنائية. وبالإضافة إلى ذلك، </w:t>
      </w:r>
      <w:r w:rsidRPr="004E1A0D">
        <w:rPr>
          <w:rFonts w:ascii="Arabic Typesetting" w:hAnsi="Arabic Typesetting" w:cs="Arabic Typesetting" w:hint="cs"/>
          <w:sz w:val="34"/>
          <w:szCs w:val="34"/>
          <w:rtl/>
          <w:lang w:val="fr-CH" w:bidi="ar-SA"/>
        </w:rPr>
        <w:t xml:space="preserve">ستواصل </w:t>
      </w:r>
      <w:r w:rsidRPr="004E1A0D">
        <w:rPr>
          <w:rFonts w:ascii="Arabic Typesetting" w:hAnsi="Arabic Typesetting" w:cs="Arabic Typesetting"/>
          <w:sz w:val="34"/>
          <w:szCs w:val="34"/>
          <w:rtl/>
          <w:lang w:val="fr-CH"/>
        </w:rPr>
        <w:t>اللجنة الدائمة</w:t>
      </w:r>
      <w:r w:rsidRPr="004E1A0D">
        <w:rPr>
          <w:rFonts w:ascii="Arabic Typesetting" w:hAnsi="Arabic Typesetting" w:cs="Arabic Typesetting" w:hint="cs"/>
          <w:sz w:val="34"/>
          <w:szCs w:val="34"/>
          <w:rtl/>
          <w:lang w:val="fr-CH"/>
        </w:rPr>
        <w:t xml:space="preserve"> ترشيد عمل الدول الأعضاء المتعلق بمواضيع متفق عليها </w:t>
      </w:r>
      <w:r w:rsidRPr="004E1A0D">
        <w:rPr>
          <w:rFonts w:ascii="Arabic Typesetting" w:hAnsi="Arabic Typesetting" w:cs="Arabic Typesetting"/>
          <w:sz w:val="34"/>
          <w:szCs w:val="34"/>
          <w:rtl/>
          <w:lang w:val="fr-CH"/>
        </w:rPr>
        <w:t>في مجال العلامات التجارية والتصاميم الصناعية</w:t>
      </w:r>
      <w:r w:rsidRPr="004E1A0D">
        <w:rPr>
          <w:rFonts w:ascii="Arabic Typesetting" w:hAnsi="Arabic Typesetting" w:cs="Arabic Typesetting" w:hint="cs"/>
          <w:sz w:val="34"/>
          <w:szCs w:val="34"/>
          <w:rtl/>
          <w:lang w:val="fr-CH"/>
        </w:rPr>
        <w:t xml:space="preserve"> </w:t>
      </w:r>
      <w:r w:rsidRPr="004E1A0D">
        <w:rPr>
          <w:rFonts w:ascii="Arabic Typesetting" w:hAnsi="Arabic Typesetting" w:cs="Arabic Typesetting"/>
          <w:sz w:val="34"/>
          <w:szCs w:val="34"/>
          <w:rtl/>
          <w:lang w:val="fr-CH"/>
        </w:rPr>
        <w:t>والبيانات الجغرافية</w:t>
      </w:r>
      <w:r w:rsidRPr="004E1A0D">
        <w:rPr>
          <w:rFonts w:ascii="Arabic Typesetting" w:hAnsi="Arabic Typesetting" w:cs="Arabic Typesetting" w:hint="cs"/>
          <w:sz w:val="34"/>
          <w:szCs w:val="34"/>
          <w:rtl/>
          <w:lang w:val="fr-CH"/>
        </w:rPr>
        <w:t xml:space="preserve">. </w:t>
      </w:r>
      <w:r w:rsidRPr="004E1A0D">
        <w:rPr>
          <w:rFonts w:ascii="Arabic Typesetting" w:hAnsi="Arabic Typesetting" w:cs="Arabic Typesetting"/>
          <w:sz w:val="34"/>
          <w:szCs w:val="34"/>
          <w:rtl/>
          <w:lang w:val="fr-CH"/>
        </w:rPr>
        <w:t>وستواصل هذه اللجنة ملاحظة التطورات في نظام أسماء الحقول (بالتعاون مع البرنامج 7) وفي مجال الأسماء غير المسجلة الملكية للمواد الصيدلانية. وسوف يتم إيلاء العناية الكافية للفئة باء من توصيات جدول أعمال التنمية (التوصيات من 15 إلى 17 ومن 20 إلى 22) ضمانا لمراعاة المستويات المختلفة للتنمية لدى الدول الأعضاء في الويبو؛ ومواطن المرونة التي تهم البلدان النامية والبلدان الأقل نموا؛ وآراء كل الدول الأعضاء وغيرها من أصحاب المصالح؛ وأهداف التنمية المتفق عليها داخل منظومة الأمم المتحدة. وسوف تقدم الويبو أيضا الدعم القانوني والإداري الملائم للدول الأعضاء ولبعض المنظمات الحكومية الدولية من أجل حماية شعاراتها بمقتضى الم</w:t>
      </w:r>
      <w:r>
        <w:rPr>
          <w:rFonts w:ascii="Arabic Typesetting" w:hAnsi="Arabic Typesetting" w:cs="Arabic Typesetting"/>
          <w:sz w:val="34"/>
          <w:szCs w:val="34"/>
          <w:rtl/>
          <w:lang w:val="fr-CH"/>
        </w:rPr>
        <w:t xml:space="preserve">ادة 6 </w:t>
      </w:r>
      <w:r w:rsidRPr="0040020F">
        <w:rPr>
          <w:rFonts w:ascii="Arabic Typesetting" w:hAnsi="Arabic Typesetting" w:cs="Arabic Typesetting"/>
          <w:sz w:val="34"/>
          <w:szCs w:val="34"/>
          <w:rtl/>
          <w:lang w:val="fr-CH"/>
        </w:rPr>
        <w:t>(ثالثا)</w:t>
      </w:r>
      <w:r>
        <w:rPr>
          <w:rFonts w:ascii="Arabic Typesetting" w:hAnsi="Arabic Typesetting" w:cs="Arabic Typesetting"/>
          <w:sz w:val="34"/>
          <w:szCs w:val="34"/>
          <w:rtl/>
          <w:lang w:val="fr-CH"/>
        </w:rPr>
        <w:t xml:space="preserve"> من اتفاقية باريس.</w:t>
      </w:r>
    </w:p>
    <w:p w:rsidR="00FF4BA8" w:rsidRPr="004E1A0D" w:rsidRDefault="00FF4BA8" w:rsidP="00861CFF">
      <w:pPr>
        <w:numPr>
          <w:ilvl w:val="0"/>
          <w:numId w:val="12"/>
        </w:numPr>
        <w:spacing w:after="120" w:line="340" w:lineRule="exact"/>
        <w:ind w:left="-2" w:firstLine="0"/>
        <w:rPr>
          <w:rFonts w:ascii="Arabic Typesetting" w:hAnsi="Arabic Typesetting" w:cs="Arabic Typesetting"/>
          <w:sz w:val="34"/>
          <w:szCs w:val="34"/>
          <w:rtl/>
          <w:lang w:val="fr-CH"/>
        </w:rPr>
      </w:pPr>
      <w:r>
        <w:rPr>
          <w:rFonts w:ascii="Arabic Typesetting" w:hAnsi="Arabic Typesetting" w:cs="Arabic Typesetting" w:hint="cs"/>
          <w:sz w:val="34"/>
          <w:szCs w:val="34"/>
          <w:rtl/>
          <w:lang w:val="fr-CH"/>
        </w:rPr>
        <w:t xml:space="preserve">وسيشمل </w:t>
      </w:r>
      <w:r w:rsidRPr="004E1A0D">
        <w:rPr>
          <w:rFonts w:ascii="Arabic Typesetting" w:hAnsi="Arabic Typesetting" w:cs="Arabic Typesetting"/>
          <w:sz w:val="34"/>
          <w:szCs w:val="34"/>
          <w:rtl/>
          <w:lang w:val="fr-CH"/>
        </w:rPr>
        <w:t xml:space="preserve">تنفيذ البرنامج 2 </w:t>
      </w:r>
      <w:r>
        <w:rPr>
          <w:rFonts w:ascii="Arabic Typesetting" w:hAnsi="Arabic Typesetting" w:cs="Arabic Typesetting" w:hint="cs"/>
          <w:sz w:val="34"/>
          <w:szCs w:val="34"/>
          <w:rtl/>
          <w:lang w:val="fr-CH"/>
        </w:rPr>
        <w:t>تنظيم</w:t>
      </w:r>
      <w:r w:rsidRPr="004E1A0D">
        <w:rPr>
          <w:rFonts w:ascii="Arabic Typesetting" w:hAnsi="Arabic Typesetting" w:cs="Arabic Typesetting"/>
          <w:sz w:val="34"/>
          <w:szCs w:val="34"/>
          <w:rtl/>
          <w:lang w:val="fr-CH"/>
        </w:rPr>
        <w:t xml:space="preserve"> دورات </w:t>
      </w:r>
      <w:r>
        <w:rPr>
          <w:rFonts w:ascii="Arabic Typesetting" w:hAnsi="Arabic Typesetting" w:cs="Arabic Typesetting"/>
          <w:sz w:val="34"/>
          <w:szCs w:val="34"/>
          <w:rtl/>
          <w:lang w:val="fr-CH"/>
        </w:rPr>
        <w:t>لجنة العلامات</w:t>
      </w:r>
      <w:r>
        <w:rPr>
          <w:rFonts w:ascii="Arabic Typesetting" w:hAnsi="Arabic Typesetting" w:cs="Arabic Typesetting" w:hint="cs"/>
          <w:sz w:val="34"/>
          <w:szCs w:val="34"/>
          <w:rtl/>
          <w:lang w:val="fr-CH"/>
        </w:rPr>
        <w:t xml:space="preserve">. </w:t>
      </w:r>
      <w:r w:rsidRPr="004E1A0D">
        <w:rPr>
          <w:rFonts w:ascii="Arabic Typesetting" w:hAnsi="Arabic Typesetting" w:cs="Arabic Typesetting"/>
          <w:sz w:val="34"/>
          <w:szCs w:val="34"/>
          <w:rtl/>
          <w:lang w:val="fr-CH"/>
        </w:rPr>
        <w:t>وتماشيا مع التوصية</w:t>
      </w:r>
      <w:r w:rsidRPr="004E1A0D">
        <w:rPr>
          <w:rFonts w:ascii="Arabic Typesetting" w:hAnsi="Arabic Typesetting" w:cs="Arabic Typesetting" w:hint="cs"/>
          <w:sz w:val="34"/>
          <w:szCs w:val="34"/>
          <w:rtl/>
          <w:lang w:val="fr-CH"/>
        </w:rPr>
        <w:t> </w:t>
      </w:r>
      <w:r w:rsidRPr="004E1A0D">
        <w:rPr>
          <w:rFonts w:ascii="Arabic Typesetting" w:hAnsi="Arabic Typesetting" w:cs="Arabic Typesetting"/>
          <w:sz w:val="34"/>
          <w:szCs w:val="34"/>
          <w:rtl/>
          <w:lang w:val="fr-CH"/>
        </w:rPr>
        <w:t>15 من توصيات جدول أعمال التنمية، فإن دورات هذه اللجنة ستكون مفتوحة لكل الدول الأعضاء والمراقبين المعتمدين. وس</w:t>
      </w:r>
      <w:r>
        <w:rPr>
          <w:rFonts w:ascii="Arabic Typesetting" w:hAnsi="Arabic Typesetting" w:cs="Arabic Typesetting" w:hint="cs"/>
          <w:sz w:val="34"/>
          <w:szCs w:val="34"/>
          <w:rtl/>
          <w:lang w:val="fr-CH"/>
        </w:rPr>
        <w:t>تعد الأمانة وثائق العمل باللغات الرسمية الست للأمم المتحدة</w:t>
      </w:r>
      <w:r w:rsidRPr="004E1A0D">
        <w:rPr>
          <w:rFonts w:ascii="Arabic Typesetting" w:hAnsi="Arabic Typesetting" w:cs="Arabic Typesetting"/>
          <w:sz w:val="34"/>
          <w:szCs w:val="34"/>
          <w:rtl/>
          <w:lang w:val="fr-CH"/>
        </w:rPr>
        <w:t>.</w:t>
      </w:r>
    </w:p>
    <w:p w:rsidR="00FF4BA8" w:rsidRDefault="00FF4BA8" w:rsidP="00861CFF">
      <w:pPr>
        <w:numPr>
          <w:ilvl w:val="0"/>
          <w:numId w:val="12"/>
        </w:numPr>
        <w:spacing w:after="120" w:line="340" w:lineRule="exact"/>
        <w:ind w:left="-2" w:firstLine="0"/>
        <w:rPr>
          <w:rFonts w:ascii="Arabic Typesetting" w:hAnsi="Arabic Typesetting" w:cs="Arabic Typesetting"/>
          <w:sz w:val="34"/>
          <w:szCs w:val="34"/>
          <w:lang w:val="fr-CH"/>
        </w:rPr>
      </w:pPr>
      <w:r w:rsidRPr="004E1A0D">
        <w:rPr>
          <w:rFonts w:ascii="Arabic Typesetting" w:hAnsi="Arabic Typesetting" w:cs="Arabic Typesetting"/>
          <w:sz w:val="34"/>
          <w:szCs w:val="34"/>
          <w:rtl/>
          <w:lang w:val="fr-CH"/>
        </w:rPr>
        <w:t>ستظل الأمانة حريصة على كفاءة إدارة إجراءات الإبلاغ التي تنص عليها المادة 6 (ثالثا) من اتفاقية باريس وستواصل إصدار منشورات إلكترونية كل عامين تحتوي على كل العلامات التي يجب الإبلاغ عنها بمقتضى المادة 6 (ثالثا)(3).</w:t>
      </w:r>
    </w:p>
    <w:p w:rsidR="00FF4BA8" w:rsidRPr="004E1A0D" w:rsidRDefault="00FF4BA8" w:rsidP="00861CFF">
      <w:pPr>
        <w:numPr>
          <w:ilvl w:val="0"/>
          <w:numId w:val="12"/>
        </w:numPr>
        <w:spacing w:after="120" w:line="340" w:lineRule="exact"/>
        <w:ind w:left="-2" w:firstLine="0"/>
        <w:rPr>
          <w:rFonts w:ascii="Arabic Typesetting" w:hAnsi="Arabic Typesetting" w:cs="Arabic Typesetting"/>
          <w:sz w:val="34"/>
          <w:szCs w:val="34"/>
          <w:rtl/>
          <w:lang w:val="fr-CH"/>
        </w:rPr>
      </w:pPr>
      <w:r w:rsidRPr="004E1A0D">
        <w:rPr>
          <w:rFonts w:ascii="Arabic Typesetting" w:hAnsi="Arabic Typesetting" w:cs="Arabic Typesetting"/>
          <w:sz w:val="34"/>
          <w:szCs w:val="34"/>
          <w:rtl/>
          <w:lang w:val="fr-CH"/>
        </w:rPr>
        <w:t xml:space="preserve">وفيما يتعلق بالهدف الاستراتيجي الثالث – تسهيل الانتفاع بالملكية الفكرية في سبيل التنمية – سيقدم البرنامج 2 للدول الأعضاء مشورة تلائم كل بلد تلبيةً للأولويات المحددة في استراتيجيات الملكية الفكرية الوطنية. وسيتم تقديم المشورة القانونية بالتنسيق مع </w:t>
      </w:r>
      <w:r>
        <w:rPr>
          <w:rFonts w:ascii="Arabic Typesetting" w:hAnsi="Arabic Typesetting" w:cs="Arabic Typesetting" w:hint="cs"/>
          <w:sz w:val="34"/>
          <w:szCs w:val="34"/>
          <w:rtl/>
          <w:lang w:val="fr-CH"/>
        </w:rPr>
        <w:t>البرامج الأخرى كما هو مبين أدناه.</w:t>
      </w:r>
    </w:p>
    <w:p w:rsidR="00FF4BA8" w:rsidRDefault="00FF4BA8">
      <w:pPr>
        <w:bidi w:val="0"/>
        <w:rPr>
          <w:rFonts w:ascii="Arabic Typesetting" w:hAnsi="Arabic Typesetting" w:cs="Arabic Typesetting"/>
          <w:sz w:val="34"/>
          <w:szCs w:val="34"/>
          <w:rtl/>
          <w:lang w:val="fr-CH" w:bidi="ar-SA"/>
        </w:rPr>
      </w:pPr>
      <w:r>
        <w:rPr>
          <w:rFonts w:ascii="Arabic Typesetting" w:hAnsi="Arabic Typesetting" w:cs="Arabic Typesetting"/>
          <w:sz w:val="34"/>
          <w:szCs w:val="34"/>
          <w:rtl/>
          <w:lang w:val="fr-CH" w:bidi="ar-SA"/>
        </w:rPr>
        <w:br w:type="page"/>
      </w:r>
    </w:p>
    <w:p w:rsidR="00FF4BA8" w:rsidRDefault="00FF4BA8" w:rsidP="002C3C33">
      <w:pPr>
        <w:spacing w:after="120"/>
        <w:jc w:val="center"/>
        <w:rPr>
          <w:rFonts w:ascii="Arabic Typesetting" w:hAnsi="Arabic Typesetting" w:cs="Arabic Typesetting"/>
          <w:sz w:val="34"/>
          <w:szCs w:val="34"/>
          <w:rtl/>
          <w:lang w:val="fr-CH" w:bidi="ar-SA"/>
        </w:rPr>
      </w:pPr>
      <w:r>
        <w:rPr>
          <w:noProof/>
          <w:lang w:bidi="ar-SA"/>
        </w:rPr>
        <w:lastRenderedPageBreak/>
        <w:drawing>
          <wp:inline distT="0" distB="0" distL="0" distR="0" wp14:anchorId="14FE497F" wp14:editId="7A564DDF">
            <wp:extent cx="5753100" cy="14859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FF4BA8" w:rsidRPr="00681536" w:rsidRDefault="00FF4BA8" w:rsidP="002C3C33">
      <w:pPr>
        <w:keepNext/>
        <w:adjustRightInd w:val="0"/>
        <w:snapToGrid w:val="0"/>
        <w:spacing w:after="240" w:line="360" w:lineRule="exact"/>
        <w:jc w:val="both"/>
        <w:rPr>
          <w:rFonts w:ascii="Arabic Typesetting" w:hAnsi="Arabic Typesetting" w:cs="Arabic Typesetting"/>
          <w:noProof/>
          <w:sz w:val="38"/>
          <w:szCs w:val="38"/>
          <w:rtl/>
          <w:lang w:val="x-none" w:eastAsia="x-none"/>
        </w:rPr>
      </w:pPr>
      <w:r w:rsidRPr="00681536">
        <w:rPr>
          <w:rFonts w:ascii="Arabic Typesetting" w:hAnsi="Arabic Typesetting" w:cs="Arabic Typesetting"/>
          <w:noProof/>
          <w:sz w:val="38"/>
          <w:szCs w:val="38"/>
          <w:rtl/>
          <w:lang w:val="x-none" w:eastAsia="x-none"/>
        </w:rPr>
        <w:t xml:space="preserve">المخاطر الرئيسية واستراتيجيات </w:t>
      </w:r>
      <w:r w:rsidRPr="00681536">
        <w:rPr>
          <w:rFonts w:ascii="Arabic Typesetting" w:hAnsi="Arabic Typesetting" w:cs="Arabic Typesetting" w:hint="cs"/>
          <w:noProof/>
          <w:sz w:val="38"/>
          <w:szCs w:val="38"/>
          <w:rtl/>
          <w:lang w:val="x-none" w:eastAsia="x-none"/>
        </w:rPr>
        <w:t>التخفيف منها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FF4BA8" w:rsidRPr="004E1A0D" w:rsidTr="002C3C33">
        <w:trPr>
          <w:tblHeader/>
        </w:trPr>
        <w:tc>
          <w:tcPr>
            <w:tcW w:w="4784" w:type="dxa"/>
            <w:tcBorders>
              <w:top w:val="single" w:sz="4" w:space="0" w:color="auto"/>
              <w:bottom w:val="single" w:sz="4" w:space="0" w:color="auto"/>
            </w:tcBorders>
            <w:shd w:val="clear" w:color="auto" w:fill="C6D9F1"/>
          </w:tcPr>
          <w:p w:rsidR="00FF4BA8" w:rsidRPr="004E1A0D" w:rsidRDefault="00FF4BA8" w:rsidP="002C3C33">
            <w:pPr>
              <w:spacing w:before="60" w:after="60" w:line="300" w:lineRule="exact"/>
              <w:jc w:val="center"/>
              <w:rPr>
                <w:rFonts w:ascii="Arabic Typesetting" w:hAnsi="Arabic Typesetting" w:cs="Arabic Typesetting"/>
                <w:b/>
                <w:bCs/>
                <w:sz w:val="30"/>
                <w:szCs w:val="30"/>
                <w:rtl/>
                <w:lang w:bidi="ar-SA"/>
              </w:rPr>
            </w:pPr>
            <w:r w:rsidRPr="004E1A0D">
              <w:rPr>
                <w:rFonts w:ascii="Arabic Typesetting" w:hAnsi="Arabic Typesetting" w:cs="Arabic Typesetting"/>
                <w:b/>
                <w:bCs/>
                <w:sz w:val="30"/>
                <w:szCs w:val="30"/>
                <w:rtl/>
                <w:lang w:bidi="ar-SA"/>
              </w:rPr>
              <w:t xml:space="preserve">المخاطر </w:t>
            </w:r>
          </w:p>
        </w:tc>
        <w:tc>
          <w:tcPr>
            <w:tcW w:w="4786" w:type="dxa"/>
            <w:tcBorders>
              <w:top w:val="single" w:sz="4" w:space="0" w:color="auto"/>
              <w:bottom w:val="single" w:sz="4" w:space="0" w:color="auto"/>
            </w:tcBorders>
            <w:shd w:val="clear" w:color="auto" w:fill="C6D9F1"/>
          </w:tcPr>
          <w:p w:rsidR="00FF4BA8" w:rsidRPr="004E1A0D" w:rsidRDefault="00FF4BA8" w:rsidP="002C3C33">
            <w:pPr>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sz w:val="30"/>
                <w:szCs w:val="30"/>
                <w:rtl/>
              </w:rPr>
              <w:t>التخفيف منها</w:t>
            </w:r>
          </w:p>
        </w:tc>
      </w:tr>
      <w:tr w:rsidR="00FF4BA8" w:rsidRPr="004E1A0D" w:rsidTr="002C3C33">
        <w:tc>
          <w:tcPr>
            <w:tcW w:w="4784" w:type="dxa"/>
            <w:tcBorders>
              <w:top w:val="single" w:sz="4" w:space="0" w:color="auto"/>
            </w:tcBorders>
          </w:tcPr>
          <w:p w:rsidR="00FF4BA8" w:rsidRPr="004E1A0D" w:rsidRDefault="00FF4BA8" w:rsidP="002C3C33">
            <w:pPr>
              <w:spacing w:before="60" w:after="60" w:line="300" w:lineRule="exact"/>
              <w:rPr>
                <w:rFonts w:ascii="Arabic Typesetting" w:hAnsi="Arabic Typesetting" w:cs="Arabic Typesetting"/>
                <w:sz w:val="30"/>
                <w:szCs w:val="30"/>
                <w:rtl/>
                <w:lang w:val="fr-CH"/>
              </w:rPr>
            </w:pPr>
            <w:r w:rsidRPr="004E1A0D">
              <w:rPr>
                <w:rFonts w:ascii="Arabic Typesetting" w:hAnsi="Arabic Typesetting" w:cs="Arabic Typesetting"/>
                <w:sz w:val="30"/>
                <w:szCs w:val="30"/>
                <w:rtl/>
                <w:lang w:val="fr-CH"/>
              </w:rPr>
              <w:t xml:space="preserve">مازال التوصل إلى </w:t>
            </w:r>
            <w:r w:rsidRPr="004E1A0D">
              <w:rPr>
                <w:rFonts w:ascii="Arabic Typesetting" w:hAnsi="Arabic Typesetting" w:cs="Arabic Typesetting" w:hint="cs"/>
                <w:sz w:val="30"/>
                <w:szCs w:val="30"/>
                <w:rtl/>
                <w:lang w:val="fr-CH"/>
              </w:rPr>
              <w:t>اتفاقات</w:t>
            </w:r>
            <w:r w:rsidRPr="004E1A0D">
              <w:rPr>
                <w:rFonts w:ascii="Arabic Typesetting" w:hAnsi="Arabic Typesetting" w:cs="Arabic Typesetting"/>
                <w:sz w:val="30"/>
                <w:szCs w:val="30"/>
                <w:rtl/>
                <w:lang w:val="fr-CH"/>
              </w:rPr>
              <w:t xml:space="preserve"> على المستوى متعدد الأطراف يمثل تحديا، كما أن الانتهاء بنجاح من أنشطة وضع القواعد والمعايير في إطار البرنامج</w:t>
            </w:r>
            <w:r w:rsidRPr="004E1A0D">
              <w:rPr>
                <w:rFonts w:ascii="Arabic Typesetting" w:hAnsi="Arabic Typesetting" w:cs="Arabic Typesetting" w:hint="cs"/>
                <w:sz w:val="30"/>
                <w:szCs w:val="30"/>
                <w:rtl/>
                <w:lang w:val="fr-CH"/>
              </w:rPr>
              <w:t> </w:t>
            </w:r>
            <w:r w:rsidRPr="004E1A0D">
              <w:rPr>
                <w:rFonts w:ascii="Arabic Typesetting" w:hAnsi="Arabic Typesetting" w:cs="Arabic Typesetting"/>
                <w:sz w:val="30"/>
                <w:szCs w:val="30"/>
                <w:rtl/>
                <w:lang w:val="fr-CH"/>
              </w:rPr>
              <w:t>2 ستعتمد بدرجة كبيرة على التزام الدول الأعضاء بتحديد النتائج المتفق عليها فيما بينها.</w:t>
            </w:r>
          </w:p>
        </w:tc>
        <w:tc>
          <w:tcPr>
            <w:tcW w:w="4786" w:type="dxa"/>
            <w:tcBorders>
              <w:top w:val="single" w:sz="4" w:space="0" w:color="auto"/>
            </w:tcBorders>
          </w:tcPr>
          <w:p w:rsidR="00FF4BA8" w:rsidRPr="004E1A0D" w:rsidRDefault="00FF4BA8" w:rsidP="002C3C33">
            <w:pPr>
              <w:spacing w:before="60" w:after="60" w:line="300" w:lineRule="exact"/>
              <w:rPr>
                <w:rFonts w:ascii="Arabic Typesetting" w:hAnsi="Arabic Typesetting" w:cs="Arabic Typesetting"/>
                <w:sz w:val="30"/>
                <w:szCs w:val="30"/>
                <w:rtl/>
              </w:rPr>
            </w:pPr>
            <w:r w:rsidRPr="004E1A0D">
              <w:rPr>
                <w:rFonts w:ascii="Arabic Typesetting" w:hAnsi="Arabic Typesetting" w:cs="Arabic Typesetting"/>
                <w:sz w:val="30"/>
                <w:szCs w:val="30"/>
                <w:rtl/>
              </w:rPr>
              <w:t xml:space="preserve">تعتبر هذه مخاطرة متأصلة في كل نشاط لوضع القواعد والمعايير، وهي بطبيعتها يجب أن تؤخذ في الحسبان في البرنامج. ومع ذلك، فإن أنشطة البرنامج المتخصصة، ولاسيما دورات </w:t>
            </w:r>
            <w:r>
              <w:rPr>
                <w:rFonts w:ascii="Arabic Typesetting" w:hAnsi="Arabic Typesetting" w:cs="Arabic Typesetting"/>
                <w:sz w:val="30"/>
                <w:szCs w:val="30"/>
                <w:rtl/>
              </w:rPr>
              <w:t>لجنة العلامات</w:t>
            </w:r>
            <w:r w:rsidRPr="004E1A0D">
              <w:rPr>
                <w:rFonts w:ascii="Arabic Typesetting" w:hAnsi="Arabic Typesetting" w:cs="Arabic Typesetting"/>
                <w:sz w:val="30"/>
                <w:szCs w:val="30"/>
                <w:rtl/>
              </w:rPr>
              <w:t xml:space="preserve">، ستتيح إمكانية الانخراط باستمرار في الحوار وتبادل الآراء بغية تحديد المجالات المشتركة ذات الفهم المشترك </w:t>
            </w:r>
            <w:r>
              <w:rPr>
                <w:rFonts w:ascii="Arabic Typesetting" w:hAnsi="Arabic Typesetting" w:cs="Arabic Typesetting" w:hint="cs"/>
                <w:sz w:val="30"/>
                <w:szCs w:val="30"/>
                <w:rtl/>
              </w:rPr>
              <w:t>والنتائج</w:t>
            </w:r>
            <w:r w:rsidRPr="004E1A0D">
              <w:rPr>
                <w:rFonts w:ascii="Arabic Typesetting" w:hAnsi="Arabic Typesetting" w:cs="Arabic Typesetting"/>
                <w:sz w:val="30"/>
                <w:szCs w:val="30"/>
                <w:rtl/>
              </w:rPr>
              <w:t xml:space="preserve"> المحتملة المتفق عليها.</w:t>
            </w:r>
          </w:p>
        </w:tc>
      </w:tr>
    </w:tbl>
    <w:p w:rsidR="00FF4BA8" w:rsidRPr="004E1A0D" w:rsidRDefault="00FF4BA8" w:rsidP="002C3C33">
      <w:pPr>
        <w:spacing w:after="120" w:line="360" w:lineRule="exact"/>
        <w:rPr>
          <w:rFonts w:ascii="Arabic Typesetting" w:hAnsi="Arabic Typesetting" w:cs="Arabic Typesetting"/>
          <w:sz w:val="34"/>
          <w:szCs w:val="34"/>
          <w:rtl/>
          <w:lang w:val="fr-CH" w:bidi="ar-SA"/>
        </w:rPr>
      </w:pPr>
    </w:p>
    <w:p w:rsidR="00FF4BA8" w:rsidRPr="00681536" w:rsidRDefault="00FF4BA8" w:rsidP="002C3C33">
      <w:pPr>
        <w:keepNext/>
        <w:adjustRightInd w:val="0"/>
        <w:snapToGrid w:val="0"/>
        <w:spacing w:after="240" w:line="360" w:lineRule="exact"/>
        <w:jc w:val="both"/>
        <w:rPr>
          <w:rFonts w:ascii="Arabic Typesetting" w:hAnsi="Arabic Typesetting" w:cs="Arabic Typesetting"/>
          <w:noProof/>
          <w:sz w:val="38"/>
          <w:szCs w:val="38"/>
          <w:rtl/>
          <w:lang w:val="x-none" w:eastAsia="x-none"/>
        </w:rPr>
      </w:pPr>
      <w:r w:rsidRPr="00681536">
        <w:rPr>
          <w:rFonts w:ascii="Arabic Typesetting" w:hAnsi="Arabic Typesetting" w:cs="Arabic Typesetting"/>
          <w:noProof/>
          <w:sz w:val="38"/>
          <w:szCs w:val="38"/>
          <w:rtl/>
          <w:lang w:val="x-none" w:eastAsia="x-none"/>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2552"/>
        <w:gridCol w:w="1984"/>
        <w:gridCol w:w="2093"/>
      </w:tblGrid>
      <w:tr w:rsidR="00FF4BA8" w:rsidRPr="004E1A0D" w:rsidTr="002C3C33">
        <w:trPr>
          <w:tblHeader/>
        </w:trPr>
        <w:tc>
          <w:tcPr>
            <w:tcW w:w="2941" w:type="dxa"/>
            <w:tcBorders>
              <w:top w:val="single" w:sz="4" w:space="0" w:color="auto"/>
              <w:left w:val="single" w:sz="4" w:space="0" w:color="auto"/>
              <w:bottom w:val="single" w:sz="4" w:space="0" w:color="auto"/>
              <w:right w:val="nil"/>
            </w:tcBorders>
            <w:shd w:val="clear" w:color="auto" w:fill="C6D9F1"/>
          </w:tcPr>
          <w:p w:rsidR="00FF4BA8" w:rsidRPr="004E1A0D" w:rsidRDefault="00FF4BA8" w:rsidP="002C3C33">
            <w:pPr>
              <w:spacing w:before="60" w:line="300" w:lineRule="exact"/>
              <w:jc w:val="center"/>
              <w:rPr>
                <w:rFonts w:ascii="Arabic Typesetting" w:hAnsi="Arabic Typesetting" w:cs="Arabic Typesetting"/>
                <w:b/>
                <w:bCs/>
                <w:sz w:val="30"/>
                <w:szCs w:val="30"/>
                <w:rtl/>
                <w:lang w:bidi="ar-SA"/>
              </w:rPr>
            </w:pPr>
            <w:r w:rsidRPr="004E1A0D">
              <w:rPr>
                <w:rFonts w:ascii="Arabic Typesetting" w:hAnsi="Arabic Typesetting" w:cs="Arabic Typesetting"/>
                <w:b/>
                <w:bCs/>
                <w:sz w:val="30"/>
                <w:szCs w:val="30"/>
                <w:rtl/>
                <w:lang w:bidi="ar-SA"/>
              </w:rPr>
              <w:t>النتائج المرتقبة</w:t>
            </w:r>
          </w:p>
        </w:tc>
        <w:tc>
          <w:tcPr>
            <w:tcW w:w="2552" w:type="dxa"/>
            <w:tcBorders>
              <w:top w:val="single" w:sz="4" w:space="0" w:color="auto"/>
              <w:left w:val="nil"/>
              <w:bottom w:val="single" w:sz="4" w:space="0" w:color="auto"/>
              <w:right w:val="nil"/>
            </w:tcBorders>
            <w:shd w:val="clear" w:color="auto" w:fill="C6D9F1"/>
          </w:tcPr>
          <w:p w:rsidR="00FF4BA8" w:rsidRPr="004E1A0D" w:rsidRDefault="00FF4BA8" w:rsidP="002C3C33">
            <w:pPr>
              <w:spacing w:before="60" w:line="300" w:lineRule="exact"/>
              <w:jc w:val="center"/>
              <w:rPr>
                <w:rFonts w:ascii="Arabic Typesetting" w:hAnsi="Arabic Typesetting" w:cs="Arabic Typesetting"/>
                <w:b/>
                <w:bCs/>
                <w:sz w:val="30"/>
                <w:szCs w:val="30"/>
                <w:rtl/>
                <w:lang w:bidi="ar-SA"/>
              </w:rPr>
            </w:pPr>
            <w:r w:rsidRPr="004E1A0D">
              <w:rPr>
                <w:rFonts w:ascii="Arabic Typesetting" w:hAnsi="Arabic Typesetting" w:cs="Arabic Typesetting"/>
                <w:b/>
                <w:bCs/>
                <w:sz w:val="30"/>
                <w:szCs w:val="30"/>
                <w:rtl/>
                <w:lang w:bidi="ar-SA"/>
              </w:rPr>
              <w:t>مؤشرات الأداء</w:t>
            </w:r>
          </w:p>
        </w:tc>
        <w:tc>
          <w:tcPr>
            <w:tcW w:w="1984" w:type="dxa"/>
            <w:tcBorders>
              <w:top w:val="single" w:sz="4" w:space="0" w:color="auto"/>
              <w:left w:val="nil"/>
              <w:bottom w:val="single" w:sz="4" w:space="0" w:color="auto"/>
              <w:right w:val="nil"/>
            </w:tcBorders>
            <w:shd w:val="clear" w:color="auto" w:fill="C6D9F1"/>
          </w:tcPr>
          <w:p w:rsidR="00FF4BA8" w:rsidRPr="004E1A0D" w:rsidRDefault="00FF4BA8" w:rsidP="002C3C33">
            <w:pPr>
              <w:spacing w:before="60" w:line="300" w:lineRule="exact"/>
              <w:jc w:val="center"/>
              <w:rPr>
                <w:rFonts w:ascii="Arabic Typesetting" w:hAnsi="Arabic Typesetting" w:cs="Arabic Typesetting"/>
                <w:b/>
                <w:bCs/>
                <w:sz w:val="30"/>
                <w:szCs w:val="30"/>
                <w:rtl/>
                <w:lang w:bidi="ar-SA"/>
              </w:rPr>
            </w:pPr>
            <w:r w:rsidRPr="004E1A0D">
              <w:rPr>
                <w:rFonts w:ascii="Arabic Typesetting" w:hAnsi="Arabic Typesetting" w:cs="Arabic Typesetting"/>
                <w:b/>
                <w:bCs/>
                <w:sz w:val="30"/>
                <w:szCs w:val="30"/>
                <w:rtl/>
                <w:lang w:bidi="ar-SA"/>
              </w:rPr>
              <w:t>أسس المقارنة</w:t>
            </w:r>
          </w:p>
        </w:tc>
        <w:tc>
          <w:tcPr>
            <w:tcW w:w="2093" w:type="dxa"/>
            <w:tcBorders>
              <w:top w:val="single" w:sz="4" w:space="0" w:color="auto"/>
              <w:left w:val="nil"/>
              <w:bottom w:val="single" w:sz="4" w:space="0" w:color="auto"/>
              <w:right w:val="single" w:sz="4" w:space="0" w:color="auto"/>
            </w:tcBorders>
            <w:shd w:val="clear" w:color="auto" w:fill="C6D9F1"/>
          </w:tcPr>
          <w:p w:rsidR="00FF4BA8" w:rsidRPr="004E1A0D" w:rsidRDefault="00FF4BA8" w:rsidP="002C3C33">
            <w:pPr>
              <w:spacing w:before="60" w:line="300" w:lineRule="exact"/>
              <w:jc w:val="center"/>
              <w:rPr>
                <w:rFonts w:ascii="Arabic Typesetting" w:hAnsi="Arabic Typesetting" w:cs="Arabic Typesetting"/>
                <w:b/>
                <w:bCs/>
                <w:sz w:val="30"/>
                <w:szCs w:val="30"/>
                <w:rtl/>
                <w:lang w:bidi="ar-SA"/>
              </w:rPr>
            </w:pPr>
            <w:r w:rsidRPr="004E1A0D">
              <w:rPr>
                <w:rFonts w:ascii="Arabic Typesetting" w:hAnsi="Arabic Typesetting" w:cs="Arabic Typesetting"/>
                <w:b/>
                <w:bCs/>
                <w:sz w:val="30"/>
                <w:szCs w:val="30"/>
                <w:rtl/>
                <w:lang w:bidi="ar-SA"/>
              </w:rPr>
              <w:t>الأهداف</w:t>
            </w:r>
          </w:p>
        </w:tc>
      </w:tr>
      <w:tr w:rsidR="00FF4BA8" w:rsidRPr="004E1A0D" w:rsidTr="002C3C33">
        <w:tc>
          <w:tcPr>
            <w:tcW w:w="2941" w:type="dxa"/>
            <w:tcBorders>
              <w:top w:val="single" w:sz="4" w:space="0" w:color="auto"/>
              <w:left w:val="single" w:sz="4" w:space="0" w:color="auto"/>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sidRPr="004E1A0D">
              <w:rPr>
                <w:rFonts w:ascii="Arabic Typesetting" w:hAnsi="Arabic Typesetting" w:cs="Arabic Typesetting" w:hint="cs"/>
                <w:sz w:val="30"/>
                <w:szCs w:val="30"/>
                <w:rtl/>
              </w:rPr>
              <w:t>ه 1.1</w:t>
            </w:r>
            <w:r w:rsidRPr="004E1A0D">
              <w:rPr>
                <w:rFonts w:ascii="Arabic Typesetting" w:hAnsi="Arabic Typesetting" w:cs="Arabic Typesetting"/>
                <w:sz w:val="30"/>
                <w:szCs w:val="30"/>
                <w:rtl/>
                <w:lang w:bidi="ar-SA"/>
              </w:rPr>
              <w:t xml:space="preserve"> </w:t>
            </w:r>
            <w:r w:rsidRPr="00F86E17">
              <w:rPr>
                <w:rFonts w:ascii="Arabic Typesetting" w:hAnsi="Arabic Typesetting" w:cs="Arabic Typesetting"/>
                <w:sz w:val="30"/>
                <w:szCs w:val="30"/>
                <w:rtl/>
                <w:lang w:bidi="ar-SA"/>
              </w:rPr>
              <w:t>تعاون معزز بين الدول الأعضاء في وضع أطر معيارية دولية متوازنة في مجال الملكية الفكرية</w:t>
            </w:r>
          </w:p>
        </w:tc>
        <w:tc>
          <w:tcPr>
            <w:tcW w:w="2552" w:type="dxa"/>
            <w:tcBorders>
              <w:top w:val="single" w:sz="4" w:space="0" w:color="auto"/>
              <w:left w:val="nil"/>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sidRPr="004E1A0D">
              <w:rPr>
                <w:rFonts w:ascii="Arabic Typesetting" w:hAnsi="Arabic Typesetting" w:cs="Arabic Typesetting" w:hint="cs"/>
                <w:sz w:val="30"/>
                <w:szCs w:val="30"/>
                <w:rtl/>
              </w:rPr>
              <w:t xml:space="preserve">التقدم المحرز نحو الاتفاق على القضايا الراهنة المدرجة في جدول أعمال </w:t>
            </w:r>
            <w:r>
              <w:rPr>
                <w:rFonts w:ascii="Arabic Typesetting" w:hAnsi="Arabic Typesetting" w:cs="Arabic Typesetting" w:hint="cs"/>
                <w:sz w:val="30"/>
                <w:szCs w:val="30"/>
                <w:rtl/>
              </w:rPr>
              <w:t>لجنة العلامات</w:t>
            </w:r>
          </w:p>
        </w:tc>
        <w:tc>
          <w:tcPr>
            <w:tcW w:w="1984" w:type="dxa"/>
            <w:tcBorders>
              <w:top w:val="single" w:sz="4" w:space="0" w:color="auto"/>
              <w:left w:val="nil"/>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حالة التقدم في عمل لجنة العلامات في نهاية 2015 فيما يخص وثائق العمل المعنية</w:t>
            </w:r>
          </w:p>
        </w:tc>
        <w:tc>
          <w:tcPr>
            <w:tcW w:w="2093" w:type="dxa"/>
            <w:tcBorders>
              <w:top w:val="single" w:sz="4" w:space="0" w:color="auto"/>
              <w:left w:val="nil"/>
              <w:bottom w:val="nil"/>
              <w:right w:val="single" w:sz="4" w:space="0" w:color="auto"/>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نتائج اللجنة المتفق عليها</w:t>
            </w:r>
          </w:p>
        </w:tc>
      </w:tr>
      <w:tr w:rsidR="00FF4BA8" w:rsidRPr="004E1A0D" w:rsidTr="002C3C33">
        <w:tc>
          <w:tcPr>
            <w:tcW w:w="2941" w:type="dxa"/>
            <w:tcBorders>
              <w:top w:val="nil"/>
              <w:left w:val="single" w:sz="4" w:space="0" w:color="auto"/>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lang w:bidi="ar-SA"/>
              </w:rPr>
            </w:pPr>
          </w:p>
        </w:tc>
        <w:tc>
          <w:tcPr>
            <w:tcW w:w="2552" w:type="dxa"/>
            <w:tcBorders>
              <w:top w:val="nil"/>
              <w:left w:val="nil"/>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sidRPr="004E1A0D">
              <w:rPr>
                <w:rFonts w:ascii="Arabic Typesetting" w:hAnsi="Arabic Typesetting" w:cs="Arabic Typesetting"/>
                <w:sz w:val="30"/>
                <w:szCs w:val="30"/>
                <w:rtl/>
              </w:rPr>
              <w:t>عدد حالات التصديق/الانضمام إلى معاهدة سنغافورة</w:t>
            </w:r>
          </w:p>
        </w:tc>
        <w:tc>
          <w:tcPr>
            <w:tcW w:w="1984" w:type="dxa"/>
            <w:tcBorders>
              <w:top w:val="nil"/>
              <w:left w:val="nil"/>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سبعة أطراف متعاقدة جديدة في 2014: بيلاروس وبلجيكا و</w:t>
            </w:r>
            <w:r w:rsidRPr="008616E9">
              <w:rPr>
                <w:rFonts w:ascii="Arabic Typesetting" w:hAnsi="Arabic Typesetting" w:cs="Arabic Typesetting"/>
                <w:sz w:val="30"/>
                <w:szCs w:val="30"/>
                <w:rtl/>
              </w:rPr>
              <w:t xml:space="preserve">منظمة </w:t>
            </w:r>
            <w:proofErr w:type="spellStart"/>
            <w:r w:rsidRPr="008616E9">
              <w:rPr>
                <w:rFonts w:ascii="Arabic Typesetting" w:hAnsi="Arabic Typesetting" w:cs="Arabic Typesetting"/>
                <w:sz w:val="30"/>
                <w:szCs w:val="30"/>
                <w:rtl/>
              </w:rPr>
              <w:t>البنيلوكس</w:t>
            </w:r>
            <w:proofErr w:type="spellEnd"/>
            <w:r w:rsidRPr="008616E9">
              <w:rPr>
                <w:rFonts w:ascii="Arabic Typesetting" w:hAnsi="Arabic Typesetting" w:cs="Arabic Typesetting"/>
                <w:sz w:val="30"/>
                <w:szCs w:val="30"/>
                <w:rtl/>
              </w:rPr>
              <w:t xml:space="preserve"> للملكية الفكرية (</w:t>
            </w:r>
            <w:r w:rsidRPr="008616E9">
              <w:rPr>
                <w:rFonts w:ascii="Arabic Typesetting" w:hAnsi="Arabic Typesetting" w:cs="Arabic Typesetting"/>
                <w:sz w:val="30"/>
                <w:szCs w:val="30"/>
              </w:rPr>
              <w:t>BOIP</w:t>
            </w:r>
            <w:r w:rsidRPr="008616E9">
              <w:rPr>
                <w:rFonts w:ascii="Arabic Typesetting" w:hAnsi="Arabic Typesetting" w:cs="Arabic Typesetting"/>
                <w:sz w:val="30"/>
                <w:szCs w:val="30"/>
                <w:rtl/>
              </w:rPr>
              <w:t>)</w:t>
            </w:r>
            <w:r>
              <w:rPr>
                <w:rFonts w:ascii="Arabic Typesetting" w:hAnsi="Arabic Typesetting" w:cs="Arabic Typesetting" w:hint="cs"/>
                <w:sz w:val="30"/>
                <w:szCs w:val="30"/>
                <w:rtl/>
              </w:rPr>
              <w:t xml:space="preserve"> </w:t>
            </w:r>
            <w:r w:rsidRPr="008616E9">
              <w:rPr>
                <w:rFonts w:ascii="Arabic Typesetting" w:hAnsi="Arabic Typesetting" w:cs="Arabic Typesetting"/>
                <w:sz w:val="30"/>
                <w:szCs w:val="30"/>
                <w:rtl/>
              </w:rPr>
              <w:t>‏</w:t>
            </w:r>
            <w:r>
              <w:rPr>
                <w:rFonts w:ascii="Arabic Typesetting" w:hAnsi="Arabic Typesetting" w:cs="Arabic Typesetting" w:hint="cs"/>
                <w:sz w:val="30"/>
                <w:szCs w:val="30"/>
                <w:rtl/>
              </w:rPr>
              <w:t>و</w:t>
            </w:r>
            <w:r w:rsidRPr="008616E9">
              <w:rPr>
                <w:rFonts w:ascii="Arabic Typesetting" w:hAnsi="Arabic Typesetting" w:cs="Arabic Typesetting"/>
                <w:sz w:val="30"/>
                <w:szCs w:val="30"/>
                <w:rtl/>
              </w:rPr>
              <w:t>لكسمبرغ</w:t>
            </w:r>
            <w:r>
              <w:rPr>
                <w:rFonts w:ascii="Arabic Typesetting" w:hAnsi="Arabic Typesetting" w:cs="Arabic Typesetting" w:hint="cs"/>
                <w:sz w:val="30"/>
                <w:szCs w:val="30"/>
                <w:rtl/>
              </w:rPr>
              <w:t xml:space="preserve"> وهولندا وطاجكستان، ليصل العدد الإجمالي للأطراف المتعاقدة إلى 38 في نهاية 2014.</w:t>
            </w:r>
          </w:p>
        </w:tc>
        <w:tc>
          <w:tcPr>
            <w:tcW w:w="2093" w:type="dxa"/>
            <w:tcBorders>
              <w:top w:val="nil"/>
              <w:left w:val="nil"/>
              <w:bottom w:val="nil"/>
              <w:right w:val="single" w:sz="4" w:space="0" w:color="auto"/>
            </w:tcBorders>
          </w:tcPr>
          <w:p w:rsidR="00FF4BA8" w:rsidRPr="004E1A0D" w:rsidRDefault="00FF4BA8" w:rsidP="002C3C33">
            <w:pPr>
              <w:spacing w:before="60" w:line="300" w:lineRule="exact"/>
              <w:rPr>
                <w:rFonts w:ascii="Arabic Typesetting" w:hAnsi="Arabic Typesetting" w:cs="Arabic Typesetting"/>
                <w:sz w:val="30"/>
                <w:szCs w:val="30"/>
                <w:rtl/>
              </w:rPr>
            </w:pPr>
            <w:r w:rsidRPr="004E1A0D">
              <w:rPr>
                <w:rFonts w:ascii="Arabic Typesetting" w:hAnsi="Arabic Typesetting" w:cs="Arabic Typesetting"/>
                <w:sz w:val="30"/>
                <w:szCs w:val="30"/>
                <w:rtl/>
              </w:rPr>
              <w:t>ثماني حالات جديدة للتصديق/الانضمام</w:t>
            </w:r>
          </w:p>
        </w:tc>
      </w:tr>
      <w:tr w:rsidR="00FF4BA8" w:rsidRPr="004E1A0D" w:rsidTr="002C3C33">
        <w:tc>
          <w:tcPr>
            <w:tcW w:w="2941" w:type="dxa"/>
            <w:tcBorders>
              <w:top w:val="nil"/>
              <w:left w:val="single" w:sz="4" w:space="0" w:color="auto"/>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sidRPr="004E1A0D">
              <w:rPr>
                <w:rFonts w:ascii="Arabic Typesetting" w:hAnsi="Arabic Typesetting" w:cs="Arabic Typesetting" w:hint="cs"/>
                <w:sz w:val="30"/>
                <w:szCs w:val="30"/>
                <w:rtl/>
              </w:rPr>
              <w:t>ه 2.1</w:t>
            </w:r>
            <w:r w:rsidRPr="004E1A0D">
              <w:rPr>
                <w:rFonts w:ascii="Arabic Typesetting" w:hAnsi="Arabic Typesetting" w:cs="Arabic Typesetting"/>
                <w:sz w:val="30"/>
                <w:szCs w:val="30"/>
                <w:rtl/>
              </w:rPr>
              <w:t xml:space="preserve"> </w:t>
            </w:r>
            <w:r w:rsidRPr="00F86E17">
              <w:rPr>
                <w:rFonts w:ascii="Arabic Typesetting" w:hAnsi="Arabic Typesetting" w:cs="Arabic Typesetting"/>
                <w:sz w:val="30"/>
                <w:szCs w:val="30"/>
                <w:rtl/>
              </w:rPr>
              <w:t>أطر تشريعية وتنظيمية وسياسية مكيّفة ومتوازنة في مجال الملكية الفكرية</w:t>
            </w:r>
          </w:p>
        </w:tc>
        <w:tc>
          <w:tcPr>
            <w:tcW w:w="2552" w:type="dxa"/>
            <w:tcBorders>
              <w:top w:val="nil"/>
              <w:left w:val="nil"/>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sidRPr="004E1A0D">
              <w:rPr>
                <w:rFonts w:ascii="Arabic Typesetting" w:hAnsi="Arabic Typesetting" w:cs="Arabic Typesetting"/>
                <w:sz w:val="30"/>
                <w:szCs w:val="30"/>
                <w:rtl/>
              </w:rPr>
              <w:t>عدد الدول الأعضاء/المنظمات الإقليمية التي قدمت تعليقات إيجابية على المشورة التشريعية المقدمة في مجال العلامات التجارية والتصاميم الصناعية والبيانات الجغرافية، والنسبة المئوية لهذه الدول والمنظمات</w:t>
            </w:r>
          </w:p>
        </w:tc>
        <w:tc>
          <w:tcPr>
            <w:tcW w:w="1984" w:type="dxa"/>
            <w:tcBorders>
              <w:top w:val="nil"/>
              <w:left w:val="nil"/>
              <w:bottom w:val="nil"/>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2014: قدمت</w:t>
            </w:r>
            <w:r w:rsidRPr="004E1A0D">
              <w:rPr>
                <w:rFonts w:ascii="Arabic Typesetting" w:hAnsi="Arabic Typesetting" w:cs="Arabic Typesetting"/>
                <w:sz w:val="30"/>
                <w:szCs w:val="30"/>
                <w:rtl/>
              </w:rPr>
              <w:t xml:space="preserve"> </w:t>
            </w:r>
            <w:r>
              <w:rPr>
                <w:rFonts w:ascii="Arabic Typesetting" w:hAnsi="Arabic Typesetting" w:cs="Arabic Typesetting" w:hint="cs"/>
                <w:sz w:val="30"/>
                <w:szCs w:val="30"/>
                <w:rtl/>
              </w:rPr>
              <w:t>ال</w:t>
            </w:r>
            <w:r w:rsidRPr="004E1A0D">
              <w:rPr>
                <w:rFonts w:ascii="Arabic Typesetting" w:hAnsi="Arabic Typesetting" w:cs="Arabic Typesetting"/>
                <w:sz w:val="30"/>
                <w:szCs w:val="30"/>
                <w:rtl/>
              </w:rPr>
              <w:t>مشورة</w:t>
            </w:r>
            <w:r>
              <w:rPr>
                <w:rFonts w:ascii="Arabic Typesetting" w:hAnsi="Arabic Typesetting" w:cs="Arabic Typesetting" w:hint="cs"/>
                <w:sz w:val="30"/>
                <w:szCs w:val="30"/>
                <w:rtl/>
              </w:rPr>
              <w:t xml:space="preserve"> إلى 20 دولة عضوا/منظمات إقليمية. ووردت ردود أفعال من سبعة مستجوبين أعربوا كلهم (100%) عن رضاهم على المشورة المقدمة</w:t>
            </w:r>
          </w:p>
        </w:tc>
        <w:tc>
          <w:tcPr>
            <w:tcW w:w="2093" w:type="dxa"/>
            <w:tcBorders>
              <w:top w:val="nil"/>
              <w:left w:val="nil"/>
              <w:bottom w:val="nil"/>
              <w:right w:val="single" w:sz="4" w:space="0" w:color="auto"/>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إعراب </w:t>
            </w:r>
            <w:r w:rsidRPr="004E1A0D">
              <w:rPr>
                <w:rFonts w:ascii="Arabic Typesetting" w:hAnsi="Arabic Typesetting" w:cs="Arabic Typesetting" w:hint="cs"/>
                <w:sz w:val="30"/>
                <w:szCs w:val="30"/>
                <w:rtl/>
              </w:rPr>
              <w:t xml:space="preserve">90% </w:t>
            </w:r>
            <w:r>
              <w:rPr>
                <w:rFonts w:ascii="Arabic Typesetting" w:hAnsi="Arabic Typesetting" w:cs="Arabic Typesetting" w:hint="cs"/>
                <w:sz w:val="30"/>
                <w:szCs w:val="30"/>
                <w:rtl/>
              </w:rPr>
              <w:t>من المستجوبين</w:t>
            </w:r>
            <w:r w:rsidRPr="004E1A0D">
              <w:rPr>
                <w:rFonts w:ascii="Arabic Typesetting" w:hAnsi="Arabic Typesetting" w:cs="Arabic Typesetting" w:hint="cs"/>
                <w:sz w:val="30"/>
                <w:szCs w:val="30"/>
                <w:rtl/>
              </w:rPr>
              <w:t xml:space="preserve"> </w:t>
            </w:r>
            <w:r>
              <w:rPr>
                <w:rFonts w:ascii="Arabic Typesetting" w:hAnsi="Arabic Typesetting" w:cs="Arabic Typesetting" w:hint="cs"/>
                <w:sz w:val="30"/>
                <w:szCs w:val="30"/>
                <w:rtl/>
              </w:rPr>
              <w:t xml:space="preserve">عن </w:t>
            </w:r>
            <w:r w:rsidRPr="004E1A0D">
              <w:rPr>
                <w:rFonts w:ascii="Arabic Typesetting" w:hAnsi="Arabic Typesetting" w:cs="Arabic Typesetting" w:hint="cs"/>
                <w:sz w:val="30"/>
                <w:szCs w:val="30"/>
                <w:rtl/>
              </w:rPr>
              <w:t>رض</w:t>
            </w:r>
            <w:r>
              <w:rPr>
                <w:rFonts w:ascii="Arabic Typesetting" w:hAnsi="Arabic Typesetting" w:cs="Arabic Typesetting" w:hint="cs"/>
                <w:sz w:val="30"/>
                <w:szCs w:val="30"/>
                <w:rtl/>
              </w:rPr>
              <w:t>ا</w:t>
            </w:r>
            <w:r w:rsidRPr="004E1A0D">
              <w:rPr>
                <w:rFonts w:ascii="Arabic Typesetting" w:hAnsi="Arabic Typesetting" w:cs="Arabic Typesetting" w:hint="cs"/>
                <w:sz w:val="30"/>
                <w:szCs w:val="30"/>
                <w:rtl/>
              </w:rPr>
              <w:t>ه</w:t>
            </w:r>
            <w:r>
              <w:rPr>
                <w:rFonts w:ascii="Arabic Typesetting" w:hAnsi="Arabic Typesetting" w:cs="Arabic Typesetting" w:hint="cs"/>
                <w:sz w:val="30"/>
                <w:szCs w:val="30"/>
                <w:rtl/>
              </w:rPr>
              <w:t xml:space="preserve">م على </w:t>
            </w:r>
            <w:r w:rsidRPr="004E1A0D">
              <w:rPr>
                <w:rFonts w:ascii="Arabic Typesetting" w:hAnsi="Arabic Typesetting" w:cs="Arabic Typesetting" w:hint="cs"/>
                <w:sz w:val="30"/>
                <w:szCs w:val="30"/>
                <w:rtl/>
              </w:rPr>
              <w:t>المشورة المقدمة.</w:t>
            </w:r>
          </w:p>
        </w:tc>
      </w:tr>
      <w:tr w:rsidR="00FF4BA8" w:rsidRPr="004E1A0D" w:rsidTr="002C3C33">
        <w:tc>
          <w:tcPr>
            <w:tcW w:w="2941" w:type="dxa"/>
            <w:tcBorders>
              <w:top w:val="nil"/>
              <w:left w:val="single" w:sz="4" w:space="0" w:color="auto"/>
              <w:bottom w:val="single" w:sz="4" w:space="0" w:color="auto"/>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sidRPr="004E1A0D">
              <w:rPr>
                <w:rFonts w:ascii="Arabic Typesetting" w:hAnsi="Arabic Typesetting" w:cs="Arabic Typesetting" w:hint="cs"/>
                <w:sz w:val="30"/>
                <w:szCs w:val="30"/>
                <w:rtl/>
              </w:rPr>
              <w:t>ه 3.1</w:t>
            </w:r>
            <w:r w:rsidRPr="004E1A0D">
              <w:rPr>
                <w:rFonts w:ascii="Arabic Typesetting" w:hAnsi="Arabic Typesetting" w:cs="Arabic Typesetting"/>
                <w:sz w:val="30"/>
                <w:szCs w:val="30"/>
                <w:rtl/>
              </w:rPr>
              <w:t xml:space="preserve"> </w:t>
            </w:r>
            <w:r w:rsidRPr="00F86E17">
              <w:rPr>
                <w:rFonts w:ascii="Arabic Typesetting" w:hAnsi="Arabic Typesetting" w:cs="Arabic Typesetting"/>
                <w:sz w:val="30"/>
                <w:szCs w:val="30"/>
                <w:rtl/>
              </w:rPr>
              <w:t>حماية متزايدة لشعارات الدول وأسمائها وشعارات المنظمات الحكومية الدولية</w:t>
            </w:r>
          </w:p>
        </w:tc>
        <w:tc>
          <w:tcPr>
            <w:tcW w:w="2552" w:type="dxa"/>
            <w:tcBorders>
              <w:top w:val="nil"/>
              <w:left w:val="nil"/>
              <w:bottom w:val="single" w:sz="4" w:space="0" w:color="auto"/>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الشعارات الواردة في قاعدة بيانات</w:t>
            </w:r>
            <w:r w:rsidRPr="004E1A0D">
              <w:rPr>
                <w:rFonts w:ascii="Arabic Typesetting" w:hAnsi="Arabic Typesetting" w:cs="Arabic Typesetting"/>
                <w:sz w:val="30"/>
                <w:szCs w:val="30"/>
                <w:rtl/>
              </w:rPr>
              <w:t xml:space="preserve"> المادة 6 (ثالثا)</w:t>
            </w:r>
          </w:p>
        </w:tc>
        <w:tc>
          <w:tcPr>
            <w:tcW w:w="1984" w:type="dxa"/>
            <w:tcBorders>
              <w:top w:val="nil"/>
              <w:left w:val="nil"/>
              <w:bottom w:val="single" w:sz="4" w:space="0" w:color="auto"/>
              <w:right w:val="nil"/>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103 3 (في 15 أبريل 2015)</w:t>
            </w:r>
          </w:p>
        </w:tc>
        <w:tc>
          <w:tcPr>
            <w:tcW w:w="2093" w:type="dxa"/>
            <w:tcBorders>
              <w:top w:val="nil"/>
              <w:left w:val="nil"/>
              <w:bottom w:val="single" w:sz="4" w:space="0" w:color="auto"/>
              <w:right w:val="single" w:sz="4" w:space="0" w:color="auto"/>
            </w:tcBorders>
          </w:tcPr>
          <w:p w:rsidR="00FF4BA8" w:rsidRPr="004E1A0D" w:rsidRDefault="00FF4BA8" w:rsidP="002C3C33">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120</w:t>
            </w:r>
            <w:r w:rsidRPr="004E1A0D">
              <w:rPr>
                <w:rFonts w:ascii="Arabic Typesetting" w:hAnsi="Arabic Typesetting" w:cs="Arabic Typesetting"/>
                <w:sz w:val="30"/>
                <w:szCs w:val="30"/>
                <w:rtl/>
              </w:rPr>
              <w:t xml:space="preserve"> </w:t>
            </w:r>
            <w:r>
              <w:rPr>
                <w:rFonts w:ascii="Arabic Typesetting" w:hAnsi="Arabic Typesetting" w:cs="Arabic Typesetting" w:hint="cs"/>
                <w:sz w:val="30"/>
                <w:szCs w:val="30"/>
                <w:rtl/>
              </w:rPr>
              <w:t>شعارا جديدا</w:t>
            </w:r>
            <w:r w:rsidRPr="004E1A0D">
              <w:rPr>
                <w:rFonts w:ascii="Arabic Typesetting" w:hAnsi="Arabic Typesetting" w:cs="Arabic Typesetting"/>
                <w:sz w:val="30"/>
                <w:szCs w:val="30"/>
                <w:rtl/>
              </w:rPr>
              <w:t xml:space="preserve"> </w:t>
            </w:r>
            <w:r>
              <w:rPr>
                <w:rFonts w:ascii="Arabic Typesetting" w:hAnsi="Arabic Typesetting" w:cs="Arabic Typesetting" w:hint="cs"/>
                <w:sz w:val="30"/>
                <w:szCs w:val="30"/>
                <w:rtl/>
              </w:rPr>
              <w:t>منشورا في الثنائية</w:t>
            </w:r>
          </w:p>
        </w:tc>
      </w:tr>
    </w:tbl>
    <w:p w:rsidR="00FF4BA8" w:rsidRDefault="00FF4BA8" w:rsidP="002C3C33">
      <w:pPr>
        <w:keepNext/>
        <w:adjustRightInd w:val="0"/>
        <w:snapToGrid w:val="0"/>
        <w:spacing w:after="240" w:line="360" w:lineRule="exact"/>
        <w:jc w:val="both"/>
        <w:rPr>
          <w:rFonts w:ascii="Arabic Typesetting" w:hAnsi="Arabic Typesetting" w:cs="Arabic Typesetting"/>
          <w:noProof/>
          <w:sz w:val="38"/>
          <w:szCs w:val="38"/>
          <w:rtl/>
          <w:lang w:val="x-none" w:eastAsia="x-none"/>
        </w:rPr>
      </w:pPr>
      <w:r>
        <w:rPr>
          <w:rFonts w:ascii="Arabic Typesetting" w:hAnsi="Arabic Typesetting" w:cs="Arabic Typesetting" w:hint="cs"/>
          <w:noProof/>
          <w:sz w:val="38"/>
          <w:szCs w:val="38"/>
          <w:rtl/>
          <w:lang w:val="x-none" w:eastAsia="x-none"/>
        </w:rPr>
        <w:lastRenderedPageBreak/>
        <w:t>الموارد المخصصة للبرنامج 2</w:t>
      </w:r>
    </w:p>
    <w:p w:rsidR="00FF4BA8" w:rsidRDefault="00FF4BA8" w:rsidP="00861CFF">
      <w:pPr>
        <w:numPr>
          <w:ilvl w:val="0"/>
          <w:numId w:val="12"/>
        </w:numPr>
        <w:spacing w:after="120" w:line="340" w:lineRule="exact"/>
        <w:ind w:left="-2" w:firstLine="0"/>
        <w:rPr>
          <w:rFonts w:ascii="Arabic Typesetting" w:hAnsi="Arabic Typesetting" w:cs="Arabic Typesetting"/>
          <w:noProof/>
          <w:sz w:val="38"/>
          <w:szCs w:val="38"/>
          <w:rtl/>
          <w:lang w:eastAsia="x-none" w:bidi="ar-SA"/>
        </w:rPr>
      </w:pPr>
      <w:r w:rsidRPr="005F7A49">
        <w:rPr>
          <w:rFonts w:ascii="Arabic Typesetting" w:hAnsi="Arabic Typesetting" w:cs="Arabic Typesetting" w:hint="cs"/>
          <w:sz w:val="34"/>
          <w:szCs w:val="34"/>
          <w:rtl/>
          <w:lang w:val="fr-CH"/>
        </w:rPr>
        <w:t>يُلاحظ</w:t>
      </w:r>
      <w:r>
        <w:rPr>
          <w:rFonts w:ascii="Arabic Typesetting" w:hAnsi="Arabic Typesetting" w:cs="Arabic Typesetting" w:hint="cs"/>
          <w:noProof/>
          <w:sz w:val="38"/>
          <w:szCs w:val="38"/>
          <w:rtl/>
          <w:lang w:eastAsia="x-none" w:bidi="ar-SA"/>
        </w:rPr>
        <w:t xml:space="preserve"> انخفاض في إجمالي الموارد المخصصة للبرنامج 2 في الثنائية 2016/17 مقارنة بكل من الميزانية المعتمدة</w:t>
      </w:r>
      <w:r>
        <w:rPr>
          <w:rFonts w:ascii="Arabic Typesetting" w:hAnsi="Arabic Typesetting" w:cs="Arabic Typesetting" w:hint="eastAsia"/>
          <w:noProof/>
          <w:sz w:val="38"/>
          <w:szCs w:val="38"/>
          <w:rtl/>
          <w:lang w:eastAsia="x-none" w:bidi="ar-SA"/>
        </w:rPr>
        <w:t> </w:t>
      </w:r>
      <w:r>
        <w:rPr>
          <w:rFonts w:ascii="Arabic Typesetting" w:hAnsi="Arabic Typesetting" w:cs="Arabic Typesetting" w:hint="cs"/>
          <w:noProof/>
          <w:sz w:val="38"/>
          <w:szCs w:val="38"/>
          <w:rtl/>
          <w:lang w:eastAsia="x-none" w:bidi="ar-SA"/>
        </w:rPr>
        <w:t xml:space="preserve">2014/15 وميزانية 2014/15 بعد التحويلات. وذلك ناجم عن ما يلي: "1" الموارد المخصصة من الميزانية لتغطية ثلاث دورات على الأكثر للجنة </w:t>
      </w:r>
      <w:r w:rsidRPr="00B509FD">
        <w:rPr>
          <w:rFonts w:ascii="Arabic Typesetting" w:hAnsi="Arabic Typesetting" w:cs="Arabic Typesetting"/>
          <w:noProof/>
          <w:sz w:val="38"/>
          <w:szCs w:val="38"/>
          <w:rtl/>
          <w:lang w:eastAsia="x-none" w:bidi="ar-SA"/>
        </w:rPr>
        <w:t>الدائمة المعنية بقانون العلامات التجارية والتصاميم الصناعية والبيانات الجغرافية</w:t>
      </w:r>
      <w:r w:rsidRPr="00B509FD">
        <w:rPr>
          <w:rFonts w:ascii="Arabic Typesetting" w:hAnsi="Arabic Typesetting" w:cs="Arabic Typesetting" w:hint="cs"/>
          <w:noProof/>
          <w:sz w:val="38"/>
          <w:szCs w:val="38"/>
          <w:rtl/>
          <w:lang w:eastAsia="x-none" w:bidi="ar-SA"/>
        </w:rPr>
        <w:t xml:space="preserve"> </w:t>
      </w:r>
      <w:r>
        <w:rPr>
          <w:rFonts w:ascii="Arabic Typesetting" w:hAnsi="Arabic Typesetting" w:cs="Arabic Typesetting" w:hint="cs"/>
          <w:noProof/>
          <w:sz w:val="38"/>
          <w:szCs w:val="38"/>
          <w:rtl/>
          <w:lang w:eastAsia="x-none" w:bidi="ar-SA"/>
        </w:rPr>
        <w:t xml:space="preserve">في الثنائية 2016/17 مقابل أربع دورات في الثنائية 2014/15، "2" والموارد المخصصة من الميزانية لأغراض مؤتمر دبلموماسي محتمل في الثنائية 2016/17 والمرصودة الآن في باب "غير مخصص". وينعكس هذا في انخفاض الموارد ضمن النتيجة المرتقبة </w:t>
      </w:r>
      <w:r w:rsidRPr="00B509FD">
        <w:rPr>
          <w:rFonts w:ascii="Arabic Typesetting" w:hAnsi="Arabic Typesetting" w:cs="Arabic Typesetting" w:hint="cs"/>
          <w:noProof/>
          <w:sz w:val="38"/>
          <w:szCs w:val="38"/>
          <w:rtl/>
          <w:lang w:eastAsia="x-none" w:bidi="ar-SA"/>
        </w:rPr>
        <w:t>ه 1.1</w:t>
      </w:r>
      <w:r>
        <w:rPr>
          <w:rFonts w:ascii="Arabic Typesetting" w:hAnsi="Arabic Typesetting" w:cs="Arabic Typesetting" w:hint="cs"/>
          <w:noProof/>
          <w:sz w:val="38"/>
          <w:szCs w:val="38"/>
          <w:rtl/>
          <w:lang w:eastAsia="x-none" w:bidi="ar-SA"/>
        </w:rPr>
        <w:t>.</w:t>
      </w:r>
    </w:p>
    <w:p w:rsidR="00FF4BA8" w:rsidRDefault="00FF4BA8" w:rsidP="00861CFF">
      <w:pPr>
        <w:numPr>
          <w:ilvl w:val="0"/>
          <w:numId w:val="12"/>
        </w:numPr>
        <w:spacing w:after="120" w:line="340" w:lineRule="exact"/>
        <w:ind w:left="-2" w:firstLine="0"/>
        <w:rPr>
          <w:rFonts w:ascii="Arabic Typesetting" w:hAnsi="Arabic Typesetting" w:cs="Arabic Typesetting"/>
          <w:noProof/>
          <w:sz w:val="38"/>
          <w:szCs w:val="38"/>
          <w:lang w:eastAsia="x-none" w:bidi="ar-SA"/>
        </w:rPr>
      </w:pPr>
      <w:r>
        <w:rPr>
          <w:rFonts w:ascii="Arabic Typesetting" w:hAnsi="Arabic Typesetting" w:cs="Arabic Typesetting" w:hint="cs"/>
          <w:noProof/>
          <w:sz w:val="38"/>
          <w:szCs w:val="38"/>
          <w:rtl/>
          <w:lang w:eastAsia="x-none" w:bidi="ar-SA"/>
        </w:rPr>
        <w:t xml:space="preserve">والموارد المخصصة ضمن النتيجة المرتقبة </w:t>
      </w:r>
      <w:r w:rsidRPr="00B509FD">
        <w:rPr>
          <w:rFonts w:ascii="Arabic Typesetting" w:hAnsi="Arabic Typesetting" w:cs="Arabic Typesetting" w:hint="cs"/>
          <w:noProof/>
          <w:sz w:val="38"/>
          <w:szCs w:val="38"/>
          <w:rtl/>
          <w:lang w:eastAsia="x-none" w:bidi="ar-SA"/>
        </w:rPr>
        <w:t xml:space="preserve">ه </w:t>
      </w:r>
      <w:r>
        <w:rPr>
          <w:rFonts w:ascii="Arabic Typesetting" w:hAnsi="Arabic Typesetting" w:cs="Arabic Typesetting" w:hint="cs"/>
          <w:noProof/>
          <w:sz w:val="38"/>
          <w:szCs w:val="38"/>
          <w:rtl/>
          <w:lang w:eastAsia="x-none" w:bidi="ar-SA"/>
        </w:rPr>
        <w:t>4</w:t>
      </w:r>
      <w:r w:rsidRPr="00B509FD">
        <w:rPr>
          <w:rFonts w:ascii="Arabic Typesetting" w:hAnsi="Arabic Typesetting" w:cs="Arabic Typesetting" w:hint="cs"/>
          <w:noProof/>
          <w:sz w:val="38"/>
          <w:szCs w:val="38"/>
          <w:rtl/>
          <w:lang w:eastAsia="x-none" w:bidi="ar-SA"/>
        </w:rPr>
        <w:t>.</w:t>
      </w:r>
      <w:r>
        <w:rPr>
          <w:rFonts w:ascii="Arabic Typesetting" w:hAnsi="Arabic Typesetting" w:cs="Arabic Typesetting" w:hint="cs"/>
          <w:noProof/>
          <w:sz w:val="38"/>
          <w:szCs w:val="38"/>
          <w:rtl/>
          <w:lang w:eastAsia="x-none" w:bidi="ar-SA"/>
        </w:rPr>
        <w:t xml:space="preserve">3 في الميزانية المعتمدة 2014/15 تجسّد التوقع بأن </w:t>
      </w:r>
      <w:r w:rsidRPr="00B509FD">
        <w:rPr>
          <w:rFonts w:ascii="Arabic Typesetting" w:hAnsi="Arabic Typesetting" w:cs="Arabic Typesetting"/>
          <w:noProof/>
          <w:sz w:val="38"/>
          <w:szCs w:val="38"/>
          <w:rtl/>
          <w:lang w:eastAsia="x-none" w:bidi="ar-SA"/>
        </w:rPr>
        <w:t>مشروع جدول أعمال التنمية المعني بالملكية الفكرية وإنشاء التصاميم لتطوير الأعمال في البل</w:t>
      </w:r>
      <w:r>
        <w:rPr>
          <w:rFonts w:ascii="Arabic Typesetting" w:hAnsi="Arabic Typesetting" w:cs="Arabic Typesetting"/>
          <w:noProof/>
          <w:sz w:val="38"/>
          <w:szCs w:val="38"/>
          <w:rtl/>
          <w:lang w:eastAsia="x-none" w:bidi="ar-SA"/>
        </w:rPr>
        <w:t>دان النامية والبلدان الأقل نموا</w:t>
      </w:r>
      <w:r>
        <w:rPr>
          <w:rFonts w:ascii="Arabic Typesetting" w:hAnsi="Arabic Typesetting" w:cs="Arabic Typesetting" w:hint="cs"/>
          <w:noProof/>
          <w:sz w:val="38"/>
          <w:szCs w:val="38"/>
          <w:rtl/>
          <w:lang w:eastAsia="x-none" w:bidi="ar-SA"/>
        </w:rPr>
        <w:t xml:space="preserve"> سيُستكمل بحلول نهاية عام 2015. وبالتالي لم تُخصص أية موارد ضمن هذه النتيجة المرتقبة في الثنائية 2016/17.</w:t>
      </w:r>
    </w:p>
    <w:p w:rsidR="00FF4BA8" w:rsidRPr="006E5797" w:rsidRDefault="00FF4BA8" w:rsidP="002C3C33">
      <w:pPr>
        <w:pStyle w:val="ARNormal"/>
        <w:keepNext/>
        <w:spacing w:after="0"/>
        <w:jc w:val="center"/>
        <w:rPr>
          <w:b/>
          <w:bCs/>
          <w:rtl/>
        </w:rPr>
      </w:pPr>
      <w:r w:rsidRPr="006E5797">
        <w:rPr>
          <w:b/>
          <w:bCs/>
          <w:rtl/>
        </w:rPr>
        <w:t xml:space="preserve">البرنامج </w:t>
      </w:r>
      <w:r>
        <w:rPr>
          <w:rFonts w:hint="cs"/>
          <w:b/>
          <w:bCs/>
          <w:rtl/>
        </w:rPr>
        <w:t>2</w:t>
      </w:r>
      <w:r w:rsidRPr="006E5797">
        <w:rPr>
          <w:b/>
          <w:bCs/>
          <w:rtl/>
        </w:rPr>
        <w:t>: الموارد بحسب كل نتيجة</w:t>
      </w:r>
    </w:p>
    <w:p w:rsidR="00FF4BA8" w:rsidRPr="006E5797" w:rsidRDefault="00FF4BA8" w:rsidP="002C3C33">
      <w:pPr>
        <w:pStyle w:val="ARNormal"/>
        <w:spacing w:after="0"/>
        <w:jc w:val="center"/>
        <w:rPr>
          <w:i/>
          <w:iCs/>
          <w:rtl/>
        </w:rPr>
      </w:pPr>
      <w:r w:rsidRPr="006E5797">
        <w:rPr>
          <w:i/>
          <w:iCs/>
          <w:rtl/>
        </w:rPr>
        <w:t>(بآلاف الفرنكات السويسرية)</w:t>
      </w:r>
    </w:p>
    <w:p w:rsidR="00FF4BA8" w:rsidRDefault="002C01CF" w:rsidP="00FF4BA8">
      <w:pPr>
        <w:spacing w:after="120"/>
        <w:jc w:val="center"/>
        <w:rPr>
          <w:rFonts w:ascii="Arabic Typesetting" w:hAnsi="Arabic Typesetting" w:cs="Arabic Typesetting"/>
          <w:noProof/>
          <w:sz w:val="38"/>
          <w:szCs w:val="38"/>
          <w:rtl/>
          <w:lang w:eastAsia="x-none" w:bidi="ar-SA"/>
        </w:rPr>
      </w:pPr>
      <w:r w:rsidRPr="002C01CF">
        <w:rPr>
          <w:noProof/>
          <w:szCs w:val="20"/>
          <w:rtl/>
          <w:lang w:bidi="ar-SA"/>
        </w:rPr>
        <w:drawing>
          <wp:inline distT="0" distB="0" distL="0" distR="0" wp14:anchorId="5BF661D1" wp14:editId="161367DE">
            <wp:extent cx="5677535" cy="2702560"/>
            <wp:effectExtent l="0" t="0" r="0"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77535" cy="2702560"/>
                    </a:xfrm>
                    <a:prstGeom prst="rect">
                      <a:avLst/>
                    </a:prstGeom>
                    <a:noFill/>
                    <a:ln>
                      <a:noFill/>
                    </a:ln>
                  </pic:spPr>
                </pic:pic>
              </a:graphicData>
            </a:graphic>
          </wp:inline>
        </w:drawing>
      </w:r>
    </w:p>
    <w:p w:rsidR="00FF4BA8" w:rsidRDefault="00FF4BA8">
      <w:pPr>
        <w:bidi w:val="0"/>
        <w:rPr>
          <w:rFonts w:ascii="Arabic Typesetting" w:hAnsi="Arabic Typesetting" w:cs="Arabic Typesetting"/>
          <w:noProof/>
          <w:sz w:val="38"/>
          <w:szCs w:val="38"/>
          <w:rtl/>
          <w:lang w:eastAsia="x-none" w:bidi="ar-SA"/>
        </w:rPr>
      </w:pPr>
      <w:r>
        <w:rPr>
          <w:rFonts w:ascii="Arabic Typesetting" w:hAnsi="Arabic Typesetting" w:cs="Arabic Typesetting"/>
          <w:noProof/>
          <w:sz w:val="38"/>
          <w:szCs w:val="38"/>
          <w:rtl/>
          <w:lang w:eastAsia="x-none" w:bidi="ar-SA"/>
        </w:rPr>
        <w:br w:type="page"/>
      </w:r>
    </w:p>
    <w:p w:rsidR="00FF4BA8" w:rsidRPr="00E41DA4" w:rsidRDefault="00FF4BA8" w:rsidP="002C3C33">
      <w:pPr>
        <w:pStyle w:val="ARNormal"/>
        <w:keepNext/>
        <w:spacing w:after="0"/>
        <w:jc w:val="center"/>
        <w:rPr>
          <w:b/>
          <w:bCs/>
          <w:rtl/>
        </w:rPr>
      </w:pPr>
      <w:r w:rsidRPr="00E41DA4">
        <w:rPr>
          <w:rFonts w:hint="cs"/>
          <w:b/>
          <w:bCs/>
          <w:rtl/>
        </w:rPr>
        <w:lastRenderedPageBreak/>
        <w:t xml:space="preserve">البرنامج </w:t>
      </w:r>
      <w:r>
        <w:rPr>
          <w:rFonts w:hint="cs"/>
          <w:b/>
          <w:bCs/>
          <w:rtl/>
        </w:rPr>
        <w:t>2</w:t>
      </w:r>
      <w:r w:rsidRPr="00E41DA4">
        <w:rPr>
          <w:rFonts w:hint="cs"/>
          <w:b/>
          <w:bCs/>
          <w:rtl/>
        </w:rPr>
        <w:t>: الموارد بحسب غرض الإنفاق</w:t>
      </w:r>
    </w:p>
    <w:p w:rsidR="00FF4BA8" w:rsidRPr="00E41DA4" w:rsidRDefault="00FF4BA8" w:rsidP="002C3C33">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FF4BA8" w:rsidRPr="00E41DA4" w:rsidRDefault="00FF4BA8" w:rsidP="00FF4BA8">
      <w:pPr>
        <w:autoSpaceDE w:val="0"/>
        <w:autoSpaceDN w:val="0"/>
        <w:adjustRightInd w:val="0"/>
        <w:spacing w:after="120"/>
        <w:jc w:val="center"/>
        <w:rPr>
          <w:rFonts w:ascii="Arabic Typesetting" w:hAnsi="Arabic Typesetting" w:cs="Arabic Typesetting"/>
          <w:sz w:val="34"/>
          <w:szCs w:val="34"/>
          <w:rtl/>
        </w:rPr>
      </w:pPr>
      <w:r w:rsidRPr="00FF4BA8">
        <w:rPr>
          <w:noProof/>
          <w:szCs w:val="20"/>
          <w:rtl/>
          <w:lang w:bidi="ar-SA"/>
        </w:rPr>
        <w:drawing>
          <wp:inline distT="0" distB="0" distL="0" distR="0" wp14:anchorId="01847A6E" wp14:editId="52598C13">
            <wp:extent cx="5514975" cy="63722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14975" cy="6372225"/>
                    </a:xfrm>
                    <a:prstGeom prst="rect">
                      <a:avLst/>
                    </a:prstGeom>
                    <a:noFill/>
                    <a:ln>
                      <a:noFill/>
                    </a:ln>
                  </pic:spPr>
                </pic:pic>
              </a:graphicData>
            </a:graphic>
          </wp:inline>
        </w:drawing>
      </w:r>
    </w:p>
    <w:p w:rsidR="00FF4BA8" w:rsidRDefault="00FF4BA8">
      <w:pPr>
        <w:bidi w:val="0"/>
        <w:rPr>
          <w:rFonts w:ascii="Arabic Typesetting" w:hAnsi="Arabic Typesetting" w:cs="Arabic Typesetting"/>
          <w:sz w:val="34"/>
          <w:szCs w:val="34"/>
          <w:rtl/>
          <w:lang w:val="fr-CH"/>
        </w:rPr>
      </w:pPr>
      <w:r>
        <w:rPr>
          <w:rtl/>
        </w:rPr>
        <w:br w:type="page"/>
      </w:r>
    </w:p>
    <w:p w:rsidR="00FF4BA8" w:rsidRPr="008954A8" w:rsidRDefault="00FF4BA8" w:rsidP="002C3C33">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21" w:name="_Toc364355359"/>
      <w:bookmarkStart w:id="22" w:name="_Toc420595500"/>
      <w:r w:rsidRPr="008954A8">
        <w:rPr>
          <w:rFonts w:ascii="Arabic Typesetting" w:hAnsi="Arabic Typesetting" w:cs="Arabic Typesetting"/>
          <w:bCs/>
          <w:iCs w:val="0"/>
          <w:noProof/>
          <w:snapToGrid/>
          <w:sz w:val="42"/>
          <w:szCs w:val="42"/>
          <w:rtl/>
          <w:lang w:bidi="ar-EG"/>
        </w:rPr>
        <w:lastRenderedPageBreak/>
        <w:t>البرنامج 3</w:t>
      </w:r>
      <w:r w:rsidRPr="008954A8">
        <w:rPr>
          <w:rFonts w:ascii="Arabic Typesetting" w:hAnsi="Arabic Typesetting" w:cs="Arabic Typesetting"/>
          <w:bCs/>
          <w:iCs w:val="0"/>
          <w:noProof/>
          <w:snapToGrid/>
          <w:sz w:val="42"/>
          <w:szCs w:val="42"/>
          <w:rtl/>
          <w:lang w:bidi="ar-EG"/>
        </w:rPr>
        <w:tab/>
        <w:t>حق المؤلف والحقوق المجاورة</w:t>
      </w:r>
      <w:bookmarkEnd w:id="21"/>
      <w:bookmarkEnd w:id="22"/>
    </w:p>
    <w:p w:rsidR="00FF4BA8" w:rsidRPr="008954A8" w:rsidRDefault="00FF4BA8" w:rsidP="002C3C33">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FF4BA8" w:rsidRPr="008954A8" w:rsidRDefault="00FF4BA8" w:rsidP="00861CFF">
      <w:pPr>
        <w:pStyle w:val="ARNumbered1"/>
        <w:numPr>
          <w:ilvl w:val="0"/>
          <w:numId w:val="13"/>
        </w:numPr>
        <w:ind w:left="-6" w:firstLine="0"/>
        <w:jc w:val="left"/>
      </w:pPr>
      <w:r w:rsidRPr="008C75B0">
        <w:rPr>
          <w:rtl/>
        </w:rPr>
        <w:t>حدثت تغيرات جوهرية في البيئة العالمية لل</w:t>
      </w:r>
      <w:r>
        <w:rPr>
          <w:rFonts w:hint="cs"/>
          <w:rtl/>
        </w:rPr>
        <w:t>مصنفات</w:t>
      </w:r>
      <w:r w:rsidRPr="008C75B0">
        <w:rPr>
          <w:rtl/>
        </w:rPr>
        <w:t xml:space="preserve"> الإبداعية، </w:t>
      </w:r>
      <w:r>
        <w:rPr>
          <w:rFonts w:hint="cs"/>
          <w:rtl/>
        </w:rPr>
        <w:t xml:space="preserve">مما يسفر عن </w:t>
      </w:r>
      <w:r w:rsidRPr="008C75B0">
        <w:rPr>
          <w:rtl/>
        </w:rPr>
        <w:t xml:space="preserve">تحديات وفرص </w:t>
      </w:r>
      <w:r w:rsidRPr="008954A8">
        <w:rPr>
          <w:rtl/>
        </w:rPr>
        <w:t>ماثلة أمام الويبو</w:t>
      </w:r>
      <w:r w:rsidRPr="008C75B0">
        <w:rPr>
          <w:rtl/>
        </w:rPr>
        <w:t>. و</w:t>
      </w:r>
      <w:r>
        <w:rPr>
          <w:rFonts w:hint="cs"/>
          <w:rtl/>
        </w:rPr>
        <w:t xml:space="preserve">يتجلى هذا بأوضح صورة </w:t>
      </w:r>
      <w:r w:rsidRPr="008C75B0">
        <w:rPr>
          <w:rtl/>
        </w:rPr>
        <w:t>في مجال حق المؤلف والحقوق المجاورة</w:t>
      </w:r>
      <w:r>
        <w:rPr>
          <w:rFonts w:hint="cs"/>
          <w:rtl/>
        </w:rPr>
        <w:t>، الذي غيّرت فيه</w:t>
      </w:r>
      <w:r w:rsidRPr="008C75B0">
        <w:rPr>
          <w:rtl/>
        </w:rPr>
        <w:t xml:space="preserve"> التكنولوجيا الرقمية والإنترنت والتطبيقات النقالة </w:t>
      </w:r>
      <w:r>
        <w:rPr>
          <w:rFonts w:hint="cs"/>
          <w:rtl/>
        </w:rPr>
        <w:t xml:space="preserve">وجه </w:t>
      </w:r>
      <w:r w:rsidRPr="008C75B0">
        <w:rPr>
          <w:rtl/>
        </w:rPr>
        <w:t>الثقافة والصناعات الإبداعية تغي</w:t>
      </w:r>
      <w:r>
        <w:rPr>
          <w:rFonts w:hint="cs"/>
          <w:rtl/>
        </w:rPr>
        <w:t>ي</w:t>
      </w:r>
      <w:r w:rsidRPr="008C75B0">
        <w:rPr>
          <w:rtl/>
        </w:rPr>
        <w:t xml:space="preserve">راً </w:t>
      </w:r>
      <w:r>
        <w:rPr>
          <w:rFonts w:hint="cs"/>
          <w:rtl/>
        </w:rPr>
        <w:t>كبيراً</w:t>
      </w:r>
      <w:r w:rsidRPr="008C75B0">
        <w:rPr>
          <w:rtl/>
        </w:rPr>
        <w:t>.</w:t>
      </w:r>
    </w:p>
    <w:p w:rsidR="00FF4BA8" w:rsidRDefault="00FF4BA8" w:rsidP="002C3C33">
      <w:pPr>
        <w:pStyle w:val="ARNumbered1"/>
        <w:numPr>
          <w:ilvl w:val="0"/>
          <w:numId w:val="0"/>
        </w:numPr>
        <w:jc w:val="left"/>
      </w:pPr>
      <w:r>
        <w:rPr>
          <w:rFonts w:hint="cs"/>
          <w:rtl/>
        </w:rPr>
        <w:t xml:space="preserve">ولا تزال </w:t>
      </w:r>
      <w:r w:rsidRPr="008954A8">
        <w:rPr>
          <w:rtl/>
        </w:rPr>
        <w:t xml:space="preserve">القضايا والتحديات التالية </w:t>
      </w:r>
      <w:r>
        <w:rPr>
          <w:rFonts w:hint="cs"/>
          <w:rtl/>
        </w:rPr>
        <w:t xml:space="preserve">تتسم </w:t>
      </w:r>
      <w:r w:rsidRPr="008954A8">
        <w:rPr>
          <w:rtl/>
        </w:rPr>
        <w:t>بقدر من الأهمية في الثنائية المقبلة.</w:t>
      </w:r>
    </w:p>
    <w:p w:rsidR="00FF4BA8" w:rsidRDefault="00FF4BA8" w:rsidP="00861CFF">
      <w:pPr>
        <w:pStyle w:val="ARNumbered1"/>
        <w:numPr>
          <w:ilvl w:val="0"/>
          <w:numId w:val="13"/>
        </w:numPr>
        <w:ind w:left="-6" w:firstLine="0"/>
        <w:jc w:val="left"/>
      </w:pPr>
      <w:r>
        <w:rPr>
          <w:rFonts w:hint="cs"/>
          <w:rtl/>
        </w:rPr>
        <w:t xml:space="preserve">وفيما يخص العمل المتعلق بوضع القواعد والمعايير وبالسياسات، لا يزال يوجد عدد من القضايا المُعلَّقة التي يجب حلها بشأن </w:t>
      </w:r>
      <w:r w:rsidRPr="008027D4">
        <w:rPr>
          <w:rtl/>
        </w:rPr>
        <w:t xml:space="preserve">جدول الأعمال </w:t>
      </w:r>
      <w:r>
        <w:rPr>
          <w:rFonts w:hint="cs"/>
          <w:rtl/>
        </w:rPr>
        <w:t xml:space="preserve">الخاص بوضع القواعد والمعايير في مجال </w:t>
      </w:r>
      <w:r w:rsidRPr="008027D4">
        <w:rPr>
          <w:rFonts w:hint="cs"/>
          <w:rtl/>
        </w:rPr>
        <w:t>حق المؤلف</w:t>
      </w:r>
      <w:r w:rsidRPr="00E17959">
        <w:rPr>
          <w:rtl/>
        </w:rPr>
        <w:t xml:space="preserve">. </w:t>
      </w:r>
      <w:r>
        <w:rPr>
          <w:rFonts w:hint="cs"/>
          <w:rtl/>
        </w:rPr>
        <w:t>و</w:t>
      </w:r>
      <w:r w:rsidRPr="00E17959">
        <w:rPr>
          <w:rtl/>
        </w:rPr>
        <w:t xml:space="preserve">سوف </w:t>
      </w:r>
      <w:r>
        <w:rPr>
          <w:rFonts w:hint="cs"/>
          <w:rtl/>
        </w:rPr>
        <w:t xml:space="preserve">يلزم </w:t>
      </w:r>
      <w:r w:rsidRPr="00E17959">
        <w:rPr>
          <w:rtl/>
        </w:rPr>
        <w:t>أيضا</w:t>
      </w:r>
      <w:r>
        <w:rPr>
          <w:rFonts w:hint="cs"/>
          <w:rtl/>
        </w:rPr>
        <w:t>ً</w:t>
      </w:r>
      <w:r w:rsidRPr="00E17959">
        <w:rPr>
          <w:rtl/>
        </w:rPr>
        <w:t xml:space="preserve"> </w:t>
      </w:r>
      <w:r>
        <w:rPr>
          <w:rFonts w:hint="cs"/>
          <w:rtl/>
        </w:rPr>
        <w:t xml:space="preserve">تحديد </w:t>
      </w:r>
      <w:r w:rsidRPr="00E17959">
        <w:rPr>
          <w:rtl/>
        </w:rPr>
        <w:t>موضوعات جدول الأعمال المقبل للجنة الدائمة المعنية بحق المؤلف والحقوق المجاورة.</w:t>
      </w:r>
    </w:p>
    <w:p w:rsidR="00FF4BA8" w:rsidRDefault="00FF4BA8" w:rsidP="00861CFF">
      <w:pPr>
        <w:pStyle w:val="ARNumbered1"/>
        <w:numPr>
          <w:ilvl w:val="0"/>
          <w:numId w:val="13"/>
        </w:numPr>
        <w:ind w:left="-6" w:firstLine="0"/>
        <w:jc w:val="left"/>
      </w:pPr>
      <w:r>
        <w:rPr>
          <w:rFonts w:hint="cs"/>
          <w:rtl/>
        </w:rPr>
        <w:t>وإ</w:t>
      </w:r>
      <w:r w:rsidRPr="004B7C95">
        <w:rPr>
          <w:rtl/>
        </w:rPr>
        <w:t>ضافة</w:t>
      </w:r>
      <w:r>
        <w:rPr>
          <w:rFonts w:hint="cs"/>
          <w:rtl/>
        </w:rPr>
        <w:t>ً</w:t>
      </w:r>
      <w:r w:rsidRPr="004B7C95">
        <w:rPr>
          <w:rtl/>
        </w:rPr>
        <w:t xml:space="preserve"> إلى ذلك، </w:t>
      </w:r>
      <w:r>
        <w:rPr>
          <w:rFonts w:hint="cs"/>
          <w:rtl/>
        </w:rPr>
        <w:t xml:space="preserve">سوف يتمثل أحد التحديات الرئيسية </w:t>
      </w:r>
      <w:r w:rsidRPr="004B7C95">
        <w:rPr>
          <w:rtl/>
        </w:rPr>
        <w:t xml:space="preserve">للأمانة </w:t>
      </w:r>
      <w:r>
        <w:rPr>
          <w:rFonts w:hint="cs"/>
          <w:rtl/>
        </w:rPr>
        <w:t>في</w:t>
      </w:r>
      <w:r w:rsidRPr="004B7C95">
        <w:rPr>
          <w:rtl/>
        </w:rPr>
        <w:t xml:space="preserve"> </w:t>
      </w:r>
      <w:r>
        <w:rPr>
          <w:rFonts w:hint="cs"/>
          <w:rtl/>
        </w:rPr>
        <w:t>تلبية</w:t>
      </w:r>
      <w:r w:rsidRPr="004B7C95">
        <w:rPr>
          <w:rtl/>
        </w:rPr>
        <w:t xml:space="preserve"> </w:t>
      </w:r>
      <w:r>
        <w:rPr>
          <w:rFonts w:hint="cs"/>
          <w:rtl/>
        </w:rPr>
        <w:t>ال</w:t>
      </w:r>
      <w:r w:rsidRPr="004B7C95">
        <w:rPr>
          <w:rtl/>
        </w:rPr>
        <w:t>طلبات</w:t>
      </w:r>
      <w:r>
        <w:rPr>
          <w:rFonts w:hint="cs"/>
          <w:rtl/>
        </w:rPr>
        <w:t xml:space="preserve"> التي تتقدم بها</w:t>
      </w:r>
      <w:r w:rsidRPr="004B7C95">
        <w:rPr>
          <w:rtl/>
        </w:rPr>
        <w:t xml:space="preserve"> الدول الأعضاء للحصول على المشورة في جعل قوانينها الوطني</w:t>
      </w:r>
      <w:r w:rsidR="00E52B97">
        <w:rPr>
          <w:rtl/>
        </w:rPr>
        <w:t>ة متوافقة مع التزاماتها الدولية</w:t>
      </w:r>
      <w:r w:rsidR="00E52B97">
        <w:rPr>
          <w:rFonts w:hint="cs"/>
          <w:rtl/>
        </w:rPr>
        <w:t xml:space="preserve">، </w:t>
      </w:r>
      <w:r w:rsidR="00874677">
        <w:rPr>
          <w:rFonts w:hint="cs"/>
          <w:rtl/>
        </w:rPr>
        <w:t>مع مراعاة مواطن المرونة الموجودة في النظام المتعدد الأطراف.</w:t>
      </w:r>
    </w:p>
    <w:p w:rsidR="00FF4BA8" w:rsidRDefault="00FF4BA8" w:rsidP="00861CFF">
      <w:pPr>
        <w:pStyle w:val="ARNumbered1"/>
        <w:numPr>
          <w:ilvl w:val="0"/>
          <w:numId w:val="13"/>
        </w:numPr>
        <w:ind w:left="-6" w:firstLine="0"/>
        <w:jc w:val="left"/>
      </w:pPr>
      <w:r w:rsidRPr="004B7C95">
        <w:rPr>
          <w:rtl/>
        </w:rPr>
        <w:t xml:space="preserve">ولا تزال البلدان </w:t>
      </w:r>
      <w:r>
        <w:rPr>
          <w:rFonts w:hint="cs"/>
          <w:rtl/>
        </w:rPr>
        <w:t>النامية</w:t>
      </w:r>
      <w:r w:rsidRPr="004B7C95">
        <w:rPr>
          <w:rtl/>
        </w:rPr>
        <w:t xml:space="preserve"> و</w:t>
      </w:r>
      <w:r>
        <w:rPr>
          <w:rFonts w:hint="cs"/>
          <w:rtl/>
        </w:rPr>
        <w:t xml:space="preserve">البلدان </w:t>
      </w:r>
      <w:r w:rsidRPr="004B7C95">
        <w:rPr>
          <w:rtl/>
        </w:rPr>
        <w:t>الأقل نموا</w:t>
      </w:r>
      <w:r>
        <w:rPr>
          <w:rFonts w:hint="cs"/>
          <w:rtl/>
        </w:rPr>
        <w:t xml:space="preserve">ً تواجه تحديات في مواكبة </w:t>
      </w:r>
      <w:r w:rsidRPr="004B7C95">
        <w:rPr>
          <w:rtl/>
        </w:rPr>
        <w:t>التطورات التكنولوجية السريعة و</w:t>
      </w:r>
      <w:r>
        <w:rPr>
          <w:rFonts w:hint="cs"/>
          <w:rtl/>
        </w:rPr>
        <w:t>في ربط</w:t>
      </w:r>
      <w:r w:rsidRPr="004B7C95">
        <w:rPr>
          <w:rtl/>
        </w:rPr>
        <w:t xml:space="preserve"> هذه التكنولوجيات الجديدة </w:t>
      </w:r>
      <w:r>
        <w:rPr>
          <w:rFonts w:hint="cs"/>
          <w:rtl/>
        </w:rPr>
        <w:t>ب</w:t>
      </w:r>
      <w:r w:rsidRPr="004B7C95">
        <w:rPr>
          <w:rtl/>
        </w:rPr>
        <w:t xml:space="preserve">أنظمة حماية حق المؤلف. ولذا فمن الضروري للويبو </w:t>
      </w:r>
      <w:r>
        <w:rPr>
          <w:rFonts w:hint="cs"/>
          <w:rtl/>
        </w:rPr>
        <w:t>أن ت</w:t>
      </w:r>
      <w:r w:rsidRPr="004B7C95">
        <w:rPr>
          <w:rtl/>
        </w:rPr>
        <w:t>ضع برامج مساعدة</w:t>
      </w:r>
      <w:r>
        <w:rPr>
          <w:rFonts w:hint="cs"/>
          <w:rtl/>
        </w:rPr>
        <w:t xml:space="preserve"> تقنية </w:t>
      </w:r>
      <w:r w:rsidRPr="004B7C95">
        <w:rPr>
          <w:rtl/>
        </w:rPr>
        <w:t xml:space="preserve">مستدامة تساعد هذه البلدان </w:t>
      </w:r>
      <w:r>
        <w:rPr>
          <w:rFonts w:hint="cs"/>
          <w:rtl/>
        </w:rPr>
        <w:t xml:space="preserve">على </w:t>
      </w:r>
      <w:r w:rsidRPr="004B7C95">
        <w:rPr>
          <w:rtl/>
        </w:rPr>
        <w:t>مواجهة التحديات</w:t>
      </w:r>
      <w:r>
        <w:rPr>
          <w:rFonts w:hint="cs"/>
          <w:rtl/>
        </w:rPr>
        <w:t xml:space="preserve"> ذات الصلة</w:t>
      </w:r>
      <w:r w:rsidRPr="004B7C95">
        <w:rPr>
          <w:rtl/>
        </w:rPr>
        <w:t>.</w:t>
      </w:r>
    </w:p>
    <w:p w:rsidR="00FF4BA8" w:rsidRPr="008954A8" w:rsidRDefault="00FF4BA8" w:rsidP="00861CFF">
      <w:pPr>
        <w:pStyle w:val="ARNumbered1"/>
        <w:numPr>
          <w:ilvl w:val="0"/>
          <w:numId w:val="13"/>
        </w:numPr>
        <w:ind w:left="-6" w:firstLine="0"/>
        <w:jc w:val="left"/>
      </w:pPr>
      <w:r>
        <w:rPr>
          <w:rFonts w:hint="cs"/>
          <w:rtl/>
        </w:rPr>
        <w:t>و</w:t>
      </w:r>
      <w:r w:rsidRPr="000D4119">
        <w:rPr>
          <w:rtl/>
        </w:rPr>
        <w:t xml:space="preserve">في عالم سريع التغير </w:t>
      </w:r>
      <w:r>
        <w:rPr>
          <w:rFonts w:hint="cs"/>
          <w:rtl/>
        </w:rPr>
        <w:t xml:space="preserve">يزداد اعتماده </w:t>
      </w:r>
      <w:r w:rsidRPr="000D4119">
        <w:rPr>
          <w:rtl/>
        </w:rPr>
        <w:t>على التكنولوجيا</w:t>
      </w:r>
      <w:r>
        <w:rPr>
          <w:rFonts w:hint="cs"/>
          <w:rtl/>
        </w:rPr>
        <w:t>ت</w:t>
      </w:r>
      <w:r w:rsidRPr="000D4119">
        <w:rPr>
          <w:rtl/>
        </w:rPr>
        <w:t xml:space="preserve"> الرقمية</w:t>
      </w:r>
      <w:r>
        <w:rPr>
          <w:rFonts w:hint="cs"/>
          <w:rtl/>
        </w:rPr>
        <w:t xml:space="preserve"> يوماً بعد يوم</w:t>
      </w:r>
      <w:r w:rsidRPr="000D4119">
        <w:rPr>
          <w:rtl/>
        </w:rPr>
        <w:t xml:space="preserve">، </w:t>
      </w:r>
      <w:r>
        <w:rPr>
          <w:rFonts w:hint="cs"/>
          <w:rtl/>
        </w:rPr>
        <w:t xml:space="preserve">سيكون </w:t>
      </w:r>
      <w:r w:rsidRPr="000D4119">
        <w:rPr>
          <w:rtl/>
        </w:rPr>
        <w:t xml:space="preserve">تحدي البنية التحتية الأكبر هو ضمان </w:t>
      </w:r>
      <w:r>
        <w:rPr>
          <w:rFonts w:hint="cs"/>
          <w:rtl/>
        </w:rPr>
        <w:t>حصول</w:t>
      </w:r>
      <w:r w:rsidRPr="000D4119">
        <w:rPr>
          <w:rtl/>
        </w:rPr>
        <w:t xml:space="preserve"> أصحاب الحقوق </w:t>
      </w:r>
      <w:r>
        <w:rPr>
          <w:rFonts w:hint="cs"/>
          <w:rtl/>
        </w:rPr>
        <w:t xml:space="preserve">على </w:t>
      </w:r>
      <w:r w:rsidRPr="00E86795">
        <w:rPr>
          <w:rFonts w:hint="cs"/>
          <w:rtl/>
        </w:rPr>
        <w:t xml:space="preserve">مستحقاتهم كاملةً </w:t>
      </w:r>
      <w:r w:rsidRPr="00E86795">
        <w:rPr>
          <w:rtl/>
        </w:rPr>
        <w:t>و</w:t>
      </w:r>
      <w:r w:rsidRPr="00E86795">
        <w:rPr>
          <w:rFonts w:hint="cs"/>
          <w:rtl/>
        </w:rPr>
        <w:t xml:space="preserve">ضمان نفاذ المنتفعين بالحقوق إلى ما يختارونه من </w:t>
      </w:r>
      <w:r w:rsidRPr="00E86795">
        <w:rPr>
          <w:rtl/>
        </w:rPr>
        <w:t>محتوى</w:t>
      </w:r>
      <w:r w:rsidRPr="00E86795">
        <w:rPr>
          <w:rFonts w:hint="cs"/>
          <w:rtl/>
        </w:rPr>
        <w:t xml:space="preserve"> محمي ب</w:t>
      </w:r>
      <w:r w:rsidRPr="00E86795">
        <w:rPr>
          <w:rtl/>
        </w:rPr>
        <w:t>حق</w:t>
      </w:r>
      <w:r w:rsidRPr="00E86795">
        <w:rPr>
          <w:rFonts w:hint="cs"/>
          <w:rtl/>
        </w:rPr>
        <w:t xml:space="preserve"> المؤلف</w:t>
      </w:r>
      <w:r>
        <w:rPr>
          <w:rFonts w:hint="cs"/>
          <w:rtl/>
        </w:rPr>
        <w:t xml:space="preserve"> نفاذاً قانونياً سهلاً</w:t>
      </w:r>
      <w:r w:rsidRPr="000D4119">
        <w:rPr>
          <w:rtl/>
        </w:rPr>
        <w:t>.</w:t>
      </w:r>
    </w:p>
    <w:p w:rsidR="00FF4BA8" w:rsidRPr="008954A8" w:rsidRDefault="00FF4BA8" w:rsidP="002C3C33">
      <w:pPr>
        <w:pStyle w:val="ARProgramHeading2"/>
        <w:jc w:val="left"/>
        <w:rPr>
          <w:rtl/>
          <w:lang w:val="fr-CH" w:bidi="ar-SA"/>
        </w:rPr>
      </w:pPr>
      <w:r w:rsidRPr="008954A8">
        <w:rPr>
          <w:rtl/>
        </w:rPr>
        <w:t>استراتيجيات</w:t>
      </w:r>
      <w:r w:rsidRPr="008954A8">
        <w:rPr>
          <w:rtl/>
          <w:lang w:val="fr-CH" w:bidi="ar-SA"/>
        </w:rPr>
        <w:t xml:space="preserve"> التنفيذ</w:t>
      </w:r>
    </w:p>
    <w:p w:rsidR="00FF4BA8" w:rsidRPr="008954A8" w:rsidRDefault="00FF4BA8" w:rsidP="00861CFF">
      <w:pPr>
        <w:pStyle w:val="ARNumbered1"/>
        <w:numPr>
          <w:ilvl w:val="0"/>
          <w:numId w:val="13"/>
        </w:numPr>
        <w:ind w:left="-6" w:firstLine="0"/>
        <w:jc w:val="left"/>
        <w:rPr>
          <w:rtl/>
        </w:rPr>
      </w:pPr>
      <w:r w:rsidRPr="008954A8">
        <w:rPr>
          <w:rFonts w:hint="cs"/>
          <w:rtl/>
        </w:rPr>
        <w:t xml:space="preserve">في ظل هذه الأوضاع، سيركز البرنامج في الثنائية المقبلة على الأولويات التالية </w:t>
      </w:r>
      <w:r>
        <w:rPr>
          <w:rFonts w:hint="cs"/>
          <w:rtl/>
        </w:rPr>
        <w:t xml:space="preserve">التي </w:t>
      </w:r>
      <w:r w:rsidRPr="00845CF3">
        <w:rPr>
          <w:rFonts w:hint="cs"/>
          <w:rtl/>
        </w:rPr>
        <w:t xml:space="preserve">سوف </w:t>
      </w:r>
      <w:r>
        <w:rPr>
          <w:rFonts w:hint="cs"/>
          <w:rtl/>
        </w:rPr>
        <w:t>تُراعَى</w:t>
      </w:r>
      <w:r w:rsidRPr="00845CF3">
        <w:rPr>
          <w:rFonts w:hint="cs"/>
          <w:rtl/>
        </w:rPr>
        <w:t xml:space="preserve"> في تنفيذها </w:t>
      </w:r>
      <w:r w:rsidRPr="00845CF3">
        <w:rPr>
          <w:rtl/>
        </w:rPr>
        <w:t>حق المراعاة</w:t>
      </w:r>
      <w:r>
        <w:rPr>
          <w:rFonts w:hint="cs"/>
          <w:rtl/>
        </w:rPr>
        <w:t xml:space="preserve"> </w:t>
      </w:r>
      <w:r w:rsidRPr="00845CF3">
        <w:rPr>
          <w:rFonts w:hint="cs"/>
          <w:rtl/>
        </w:rPr>
        <w:t>التوصية 1 والتوصية 6 والتوصيات من 12 إلى 17 والتوصية 19 والتوصية 20 من توصيات جدول أعمال التنمية.</w:t>
      </w:r>
    </w:p>
    <w:p w:rsidR="00FF4BA8" w:rsidRPr="008954A8" w:rsidRDefault="00FF4BA8" w:rsidP="002C3C33">
      <w:pPr>
        <w:pStyle w:val="ARNormal"/>
        <w:keepNext/>
        <w:jc w:val="left"/>
        <w:rPr>
          <w:u w:val="single"/>
          <w:rtl/>
        </w:rPr>
      </w:pPr>
      <w:r w:rsidRPr="008954A8">
        <w:rPr>
          <w:rFonts w:hint="cs"/>
          <w:u w:val="single"/>
          <w:rtl/>
        </w:rPr>
        <w:t>العمل المتعلق بوضع القواعد والمعايير وبالسياسات</w:t>
      </w:r>
    </w:p>
    <w:p w:rsidR="00FF4BA8" w:rsidRDefault="00FF4BA8" w:rsidP="00861CFF">
      <w:pPr>
        <w:pStyle w:val="ARNumbered1"/>
        <w:numPr>
          <w:ilvl w:val="0"/>
          <w:numId w:val="13"/>
        </w:numPr>
        <w:ind w:left="-6" w:firstLine="0"/>
        <w:jc w:val="left"/>
      </w:pPr>
      <w:r w:rsidRPr="00A75C33">
        <w:rPr>
          <w:rtl/>
        </w:rPr>
        <w:t xml:space="preserve">سوف يُحدَّد موعد انعقاد اجتماعين للجنة الدائمة المعنية بحق المؤلف والحقوق المجاورة كل عام. </w:t>
      </w:r>
      <w:r>
        <w:rPr>
          <w:rFonts w:hint="cs"/>
          <w:rtl/>
        </w:rPr>
        <w:t>و</w:t>
      </w:r>
      <w:r w:rsidRPr="008954A8">
        <w:rPr>
          <w:rFonts w:hint="cs"/>
          <w:rtl/>
        </w:rPr>
        <w:t>سوف ي</w:t>
      </w:r>
      <w:r>
        <w:rPr>
          <w:rFonts w:hint="cs"/>
          <w:rtl/>
        </w:rPr>
        <w:t>ُ</w:t>
      </w:r>
      <w:r w:rsidRPr="008954A8">
        <w:rPr>
          <w:rFonts w:hint="cs"/>
          <w:rtl/>
        </w:rPr>
        <w:t>رك</w:t>
      </w:r>
      <w:r>
        <w:rPr>
          <w:rFonts w:hint="cs"/>
          <w:rtl/>
        </w:rPr>
        <w:t>ِّ</w:t>
      </w:r>
      <w:r w:rsidRPr="008954A8">
        <w:rPr>
          <w:rFonts w:hint="cs"/>
          <w:rtl/>
        </w:rPr>
        <w:t>ز</w:t>
      </w:r>
      <w:r>
        <w:rPr>
          <w:rFonts w:hint="cs"/>
          <w:rtl/>
        </w:rPr>
        <w:t xml:space="preserve">، في المقام الأول، </w:t>
      </w:r>
      <w:r w:rsidRPr="008954A8">
        <w:rPr>
          <w:rFonts w:hint="cs"/>
          <w:rtl/>
        </w:rPr>
        <w:t>التقدم</w:t>
      </w:r>
      <w:r>
        <w:rPr>
          <w:rFonts w:hint="cs"/>
          <w:rtl/>
        </w:rPr>
        <w:t>ُ</w:t>
      </w:r>
      <w:r w:rsidRPr="008954A8">
        <w:rPr>
          <w:rFonts w:hint="cs"/>
          <w:rtl/>
        </w:rPr>
        <w:t xml:space="preserve"> في جدول الأعمال </w:t>
      </w:r>
      <w:r>
        <w:rPr>
          <w:rFonts w:hint="cs"/>
          <w:rtl/>
        </w:rPr>
        <w:t>الخاص بوضع القواعد والمعايير</w:t>
      </w:r>
      <w:r w:rsidRPr="008954A8">
        <w:rPr>
          <w:rFonts w:hint="cs"/>
          <w:rtl/>
        </w:rPr>
        <w:t xml:space="preserve"> على تيسير </w:t>
      </w:r>
      <w:r>
        <w:rPr>
          <w:rFonts w:hint="cs"/>
          <w:rtl/>
        </w:rPr>
        <w:t>ال</w:t>
      </w:r>
      <w:r w:rsidRPr="008954A8">
        <w:rPr>
          <w:rFonts w:hint="cs"/>
          <w:rtl/>
        </w:rPr>
        <w:t>مفاوضات</w:t>
      </w:r>
      <w:r>
        <w:rPr>
          <w:rFonts w:hint="cs"/>
          <w:rtl/>
        </w:rPr>
        <w:t xml:space="preserve"> الموضوعية بشأن </w:t>
      </w:r>
      <w:r w:rsidRPr="0074193C">
        <w:rPr>
          <w:rtl/>
        </w:rPr>
        <w:t xml:space="preserve">بنود جدول أعمال </w:t>
      </w:r>
      <w:r>
        <w:rPr>
          <w:rFonts w:hint="cs"/>
          <w:rtl/>
        </w:rPr>
        <w:t>اللجنة الدائمة</w:t>
      </w:r>
      <w:r w:rsidRPr="008954A8">
        <w:rPr>
          <w:rFonts w:hint="cs"/>
          <w:rtl/>
        </w:rPr>
        <w:t>، و</w:t>
      </w:r>
      <w:r>
        <w:rPr>
          <w:rFonts w:hint="cs"/>
          <w:rtl/>
        </w:rPr>
        <w:t xml:space="preserve">على </w:t>
      </w:r>
      <w:r w:rsidRPr="008954A8">
        <w:rPr>
          <w:rFonts w:hint="cs"/>
          <w:rtl/>
        </w:rPr>
        <w:t>تلبية طلبات الدول الأعضاء فيما يتعلق بتنفيذ المعاهدات الجديدة</w:t>
      </w:r>
      <w:r>
        <w:rPr>
          <w:rFonts w:hint="cs"/>
          <w:rtl/>
        </w:rPr>
        <w:t xml:space="preserve"> والقائمة</w:t>
      </w:r>
      <w:r w:rsidRPr="008954A8">
        <w:rPr>
          <w:rFonts w:hint="cs"/>
          <w:rtl/>
        </w:rPr>
        <w:t xml:space="preserve">. وسوف يتصل عمل التسهيل بمعاهدة البثّ المقترحة </w:t>
      </w:r>
      <w:r>
        <w:rPr>
          <w:rFonts w:hint="cs"/>
          <w:rtl/>
        </w:rPr>
        <w:t>و</w:t>
      </w:r>
      <w:r w:rsidRPr="008954A8">
        <w:rPr>
          <w:rFonts w:hint="cs"/>
          <w:rtl/>
        </w:rPr>
        <w:t>التقييدات</w:t>
      </w:r>
      <w:r w:rsidRPr="008954A8">
        <w:rPr>
          <w:rFonts w:hint="cs"/>
          <w:rtl/>
          <w:lang w:val="en-US"/>
        </w:rPr>
        <w:t xml:space="preserve"> </w:t>
      </w:r>
      <w:r w:rsidRPr="008954A8">
        <w:rPr>
          <w:rFonts w:hint="cs"/>
          <w:rtl/>
        </w:rPr>
        <w:t xml:space="preserve">والاستثناءات </w:t>
      </w:r>
      <w:r w:rsidRPr="008954A8">
        <w:rPr>
          <w:rFonts w:hint="cs"/>
          <w:rtl/>
          <w:lang w:val="en-US"/>
        </w:rPr>
        <w:t>لفائدة المكتبات ودور المحفوظات و</w:t>
      </w:r>
      <w:r>
        <w:rPr>
          <w:rFonts w:hint="cs"/>
          <w:rtl/>
          <w:lang w:val="en-US"/>
        </w:rPr>
        <w:t>ال</w:t>
      </w:r>
      <w:r w:rsidRPr="008954A8">
        <w:rPr>
          <w:rFonts w:hint="cs"/>
          <w:rtl/>
          <w:lang w:val="en-US"/>
        </w:rPr>
        <w:t>مؤسسات التعلي</w:t>
      </w:r>
      <w:r>
        <w:rPr>
          <w:rFonts w:hint="cs"/>
          <w:rtl/>
          <w:lang w:val="en-US"/>
        </w:rPr>
        <w:t xml:space="preserve">مية والبحثية، </w:t>
      </w:r>
      <w:r w:rsidRPr="008954A8">
        <w:rPr>
          <w:rFonts w:hint="cs"/>
          <w:rtl/>
          <w:lang w:val="en-US"/>
        </w:rPr>
        <w:t>و</w:t>
      </w:r>
      <w:r>
        <w:rPr>
          <w:rFonts w:hint="cs"/>
          <w:rtl/>
          <w:lang w:val="en-US"/>
        </w:rPr>
        <w:t xml:space="preserve">كذلك </w:t>
      </w:r>
      <w:r w:rsidRPr="008954A8">
        <w:rPr>
          <w:rFonts w:hint="cs"/>
          <w:rtl/>
          <w:lang w:val="en-US"/>
        </w:rPr>
        <w:t xml:space="preserve">الأشخاص ذوي </w:t>
      </w:r>
      <w:r>
        <w:rPr>
          <w:rFonts w:hint="cs"/>
          <w:rtl/>
          <w:lang w:val="en-US"/>
        </w:rPr>
        <w:t>ال</w:t>
      </w:r>
      <w:r w:rsidRPr="008954A8">
        <w:rPr>
          <w:rFonts w:hint="cs"/>
          <w:rtl/>
          <w:lang w:val="en-US"/>
        </w:rPr>
        <w:t>إعاقات</w:t>
      </w:r>
      <w:r>
        <w:rPr>
          <w:rFonts w:hint="cs"/>
          <w:rtl/>
          <w:lang w:val="en-US"/>
        </w:rPr>
        <w:t xml:space="preserve"> (بخلاف </w:t>
      </w:r>
      <w:r w:rsidRPr="00684F34">
        <w:rPr>
          <w:rtl/>
          <w:lang w:val="en-US"/>
        </w:rPr>
        <w:t>الأشخاص العاجزين عن قراءة المطبوعات</w:t>
      </w:r>
      <w:r>
        <w:rPr>
          <w:rFonts w:hint="cs"/>
          <w:rtl/>
          <w:lang w:val="en-US"/>
        </w:rPr>
        <w:t>)</w:t>
      </w:r>
      <w:r w:rsidRPr="008954A8">
        <w:rPr>
          <w:rFonts w:hint="cs"/>
          <w:rtl/>
        </w:rPr>
        <w:t>.</w:t>
      </w:r>
    </w:p>
    <w:p w:rsidR="00FF4BA8" w:rsidRDefault="00FF4BA8" w:rsidP="00861CFF">
      <w:pPr>
        <w:pStyle w:val="ARNumbered1"/>
        <w:numPr>
          <w:ilvl w:val="0"/>
          <w:numId w:val="13"/>
        </w:numPr>
        <w:ind w:left="-6" w:firstLine="0"/>
        <w:jc w:val="left"/>
      </w:pPr>
      <w:r>
        <w:rPr>
          <w:rFonts w:hint="cs"/>
          <w:rtl/>
        </w:rPr>
        <w:t>و</w:t>
      </w:r>
      <w:r w:rsidRPr="009919A2">
        <w:rPr>
          <w:rtl/>
        </w:rPr>
        <w:t>المعاهدت</w:t>
      </w:r>
      <w:r>
        <w:rPr>
          <w:rFonts w:hint="cs"/>
          <w:rtl/>
        </w:rPr>
        <w:t>ان</w:t>
      </w:r>
      <w:r w:rsidRPr="009919A2">
        <w:rPr>
          <w:rtl/>
        </w:rPr>
        <w:t xml:space="preserve"> الجديد</w:t>
      </w:r>
      <w:r>
        <w:rPr>
          <w:rFonts w:hint="cs"/>
          <w:rtl/>
        </w:rPr>
        <w:t xml:space="preserve">تان </w:t>
      </w:r>
      <w:r w:rsidRPr="00704954">
        <w:rPr>
          <w:rFonts w:hint="cs"/>
          <w:rtl/>
        </w:rPr>
        <w:t>المزمع</w:t>
      </w:r>
      <w:r>
        <w:rPr>
          <w:rFonts w:hint="cs"/>
          <w:rtl/>
        </w:rPr>
        <w:t xml:space="preserve"> تنفيذهما </w:t>
      </w:r>
      <w:r w:rsidRPr="009919A2">
        <w:rPr>
          <w:rtl/>
        </w:rPr>
        <w:t>ه</w:t>
      </w:r>
      <w:r>
        <w:rPr>
          <w:rFonts w:hint="cs"/>
          <w:rtl/>
        </w:rPr>
        <w:t xml:space="preserve">ما </w:t>
      </w:r>
      <w:r w:rsidRPr="009919A2">
        <w:rPr>
          <w:rtl/>
        </w:rPr>
        <w:t>معاهدة بيجين بشأن الأداء السمعي البصري</w:t>
      </w:r>
      <w:r>
        <w:rPr>
          <w:rFonts w:hint="cs"/>
          <w:rtl/>
        </w:rPr>
        <w:t>،</w:t>
      </w:r>
      <w:r w:rsidRPr="009919A2">
        <w:rPr>
          <w:rtl/>
        </w:rPr>
        <w:t xml:space="preserve"> ومعاهدة مراكش لتيسير النفاذ إلى المصنفات المنشورة لفائدة الأشخاص المكفوفين أو معاقي البصر أو ذوي إعاقات أخرى في قراءة المطبوعات. وسيجر</w:t>
      </w:r>
      <w:r>
        <w:rPr>
          <w:rFonts w:hint="cs"/>
          <w:rtl/>
        </w:rPr>
        <w:t>ي</w:t>
      </w:r>
      <w:r w:rsidRPr="009919A2">
        <w:rPr>
          <w:rtl/>
        </w:rPr>
        <w:t xml:space="preserve"> العمل على تشجيع تنفيذ </w:t>
      </w:r>
      <w:r>
        <w:rPr>
          <w:rFonts w:hint="cs"/>
          <w:rtl/>
        </w:rPr>
        <w:t>معاهدتي بيجين و</w:t>
      </w:r>
      <w:r w:rsidRPr="009919A2">
        <w:rPr>
          <w:rtl/>
        </w:rPr>
        <w:t>مراكش، وذلك بالتنسيق مع ممثلي المستفيدين من المعاهدت</w:t>
      </w:r>
      <w:r>
        <w:rPr>
          <w:rFonts w:hint="cs"/>
          <w:rtl/>
        </w:rPr>
        <w:t>ين</w:t>
      </w:r>
      <w:r w:rsidRPr="009919A2">
        <w:rPr>
          <w:rtl/>
        </w:rPr>
        <w:t xml:space="preserve">، </w:t>
      </w:r>
      <w:r>
        <w:rPr>
          <w:rFonts w:hint="cs"/>
          <w:rtl/>
        </w:rPr>
        <w:t>و</w:t>
      </w:r>
      <w:r w:rsidRPr="009919A2">
        <w:rPr>
          <w:rtl/>
        </w:rPr>
        <w:t xml:space="preserve">الوسطاء </w:t>
      </w:r>
      <w:r>
        <w:rPr>
          <w:rFonts w:hint="cs"/>
          <w:rtl/>
        </w:rPr>
        <w:t xml:space="preserve">المشتركين في </w:t>
      </w:r>
      <w:r w:rsidRPr="009919A2">
        <w:rPr>
          <w:rtl/>
        </w:rPr>
        <w:t>التنفيذ، والدول الأعضاء.</w:t>
      </w:r>
    </w:p>
    <w:p w:rsidR="00FF4BA8" w:rsidRPr="008954A8" w:rsidRDefault="00FF4BA8" w:rsidP="00FF5014">
      <w:pPr>
        <w:pStyle w:val="ARNumbered1"/>
        <w:numPr>
          <w:ilvl w:val="0"/>
          <w:numId w:val="13"/>
        </w:numPr>
        <w:ind w:left="-6" w:firstLine="0"/>
        <w:jc w:val="left"/>
        <w:rPr>
          <w:rtl/>
        </w:rPr>
      </w:pPr>
      <w:r>
        <w:rPr>
          <w:rFonts w:hint="cs"/>
          <w:rtl/>
        </w:rPr>
        <w:t>وسوف يُجرى خلال هذه الثنائية</w:t>
      </w:r>
      <w:r w:rsidRPr="00000CA2">
        <w:rPr>
          <w:rtl/>
        </w:rPr>
        <w:t xml:space="preserve"> عدد</w:t>
      </w:r>
      <w:r>
        <w:rPr>
          <w:rFonts w:hint="cs"/>
          <w:rtl/>
        </w:rPr>
        <w:t>ٌ</w:t>
      </w:r>
      <w:r w:rsidRPr="00000CA2">
        <w:rPr>
          <w:rtl/>
        </w:rPr>
        <w:t xml:space="preserve"> من الدراسات</w:t>
      </w:r>
      <w:r>
        <w:rPr>
          <w:rFonts w:hint="cs"/>
          <w:rtl/>
        </w:rPr>
        <w:t xml:space="preserve"> التي طلبتها </w:t>
      </w:r>
      <w:r w:rsidRPr="00000CA2">
        <w:rPr>
          <w:rtl/>
        </w:rPr>
        <w:t>اللجنة الدائمة</w:t>
      </w:r>
      <w:r w:rsidR="00FF5014">
        <w:rPr>
          <w:rFonts w:hint="cs"/>
          <w:rtl/>
        </w:rPr>
        <w:t xml:space="preserve"> ومؤتمرات بشأن مسائل موضوعية</w:t>
      </w:r>
      <w:r w:rsidR="00FF5014">
        <w:rPr>
          <w:rtl/>
        </w:rPr>
        <w:t>.</w:t>
      </w:r>
    </w:p>
    <w:p w:rsidR="00FF4BA8" w:rsidRPr="008954A8" w:rsidRDefault="00FF4BA8" w:rsidP="002C3C33">
      <w:pPr>
        <w:pStyle w:val="ARNormal"/>
        <w:keepNext/>
        <w:jc w:val="left"/>
        <w:rPr>
          <w:u w:val="single"/>
          <w:rtl/>
        </w:rPr>
      </w:pPr>
      <w:r w:rsidRPr="008954A8">
        <w:rPr>
          <w:rFonts w:hint="cs"/>
          <w:u w:val="single"/>
          <w:rtl/>
        </w:rPr>
        <w:t>تقديم المساعدة التقنية إلى البلدان النامية والبلدان الأقل نموا</w:t>
      </w:r>
    </w:p>
    <w:p w:rsidR="00FF4BA8" w:rsidRPr="008954A8" w:rsidRDefault="00FF4BA8" w:rsidP="00861CFF">
      <w:pPr>
        <w:pStyle w:val="ARNumbered1"/>
        <w:numPr>
          <w:ilvl w:val="0"/>
          <w:numId w:val="13"/>
        </w:numPr>
        <w:ind w:left="-6" w:firstLine="0"/>
        <w:jc w:val="left"/>
      </w:pPr>
      <w:r w:rsidRPr="008954A8">
        <w:rPr>
          <w:rFonts w:hint="cs"/>
          <w:rtl/>
        </w:rPr>
        <w:t>س</w:t>
      </w:r>
      <w:r>
        <w:rPr>
          <w:rFonts w:hint="cs"/>
          <w:rtl/>
        </w:rPr>
        <w:t>وف تواصل ا</w:t>
      </w:r>
      <w:r w:rsidRPr="008954A8">
        <w:rPr>
          <w:rFonts w:hint="cs"/>
          <w:rtl/>
        </w:rPr>
        <w:t>لمساعدة التقنية المقدمة إلى البلدان النامية والبلدان الأقل نموا</w:t>
      </w:r>
      <w:r>
        <w:rPr>
          <w:rFonts w:hint="cs"/>
          <w:rtl/>
        </w:rPr>
        <w:t>ً</w:t>
      </w:r>
      <w:r w:rsidRPr="008954A8">
        <w:rPr>
          <w:rFonts w:hint="cs"/>
          <w:rtl/>
        </w:rPr>
        <w:t xml:space="preserve"> </w:t>
      </w:r>
      <w:r>
        <w:rPr>
          <w:rFonts w:hint="cs"/>
          <w:rtl/>
        </w:rPr>
        <w:t xml:space="preserve">التركيز </w:t>
      </w:r>
      <w:r w:rsidRPr="008954A8">
        <w:rPr>
          <w:rFonts w:hint="cs"/>
          <w:rtl/>
        </w:rPr>
        <w:t>على</w:t>
      </w:r>
      <w:r>
        <w:rPr>
          <w:rFonts w:hint="cs"/>
          <w:rtl/>
        </w:rPr>
        <w:t xml:space="preserve"> تكوين الكفاءات التقنية والمعرفية داخل المؤسسات، مثل مكاتب حق المؤلف الوطنية، وفي أوساط أصحاب المصالح لتسهيل الاستخدام الفعال لنظام حق المؤلف </w:t>
      </w:r>
      <w:r>
        <w:rPr>
          <w:rFonts w:hint="cs"/>
          <w:rtl/>
        </w:rPr>
        <w:lastRenderedPageBreak/>
        <w:t>من أجل التنمية الاجتماعية والثقافية والاقتصادية</w:t>
      </w:r>
      <w:r w:rsidRPr="008954A8">
        <w:rPr>
          <w:rFonts w:hint="cs"/>
          <w:rtl/>
        </w:rPr>
        <w:t xml:space="preserve">. </w:t>
      </w:r>
      <w:r>
        <w:rPr>
          <w:rFonts w:hint="cs"/>
          <w:rtl/>
        </w:rPr>
        <w:t>و</w:t>
      </w:r>
      <w:r w:rsidRPr="00191223">
        <w:rPr>
          <w:rtl/>
        </w:rPr>
        <w:t>تحقيقا</w:t>
      </w:r>
      <w:r>
        <w:rPr>
          <w:rFonts w:hint="cs"/>
          <w:rtl/>
        </w:rPr>
        <w:t>ً</w:t>
      </w:r>
      <w:r>
        <w:rPr>
          <w:rtl/>
        </w:rPr>
        <w:t xml:space="preserve"> لهذه الغاية،</w:t>
      </w:r>
      <w:r>
        <w:rPr>
          <w:rFonts w:hint="cs"/>
          <w:rtl/>
        </w:rPr>
        <w:t xml:space="preserve"> سوف يُعزَّز </w:t>
      </w:r>
      <w:r w:rsidRPr="00191223">
        <w:rPr>
          <w:rtl/>
        </w:rPr>
        <w:t>التنسيق الداخلي مع البرامج الأخرى التي تقدم مساعدة تقنية</w:t>
      </w:r>
      <w:r>
        <w:rPr>
          <w:rFonts w:hint="cs"/>
          <w:rtl/>
        </w:rPr>
        <w:t>،</w:t>
      </w:r>
      <w:r w:rsidRPr="00191223">
        <w:rPr>
          <w:rtl/>
        </w:rPr>
        <w:t xml:space="preserve"> وس</w:t>
      </w:r>
      <w:r>
        <w:rPr>
          <w:rFonts w:hint="cs"/>
          <w:rtl/>
        </w:rPr>
        <w:t xml:space="preserve">وف </w:t>
      </w:r>
      <w:r w:rsidRPr="00191223">
        <w:rPr>
          <w:rtl/>
        </w:rPr>
        <w:t>ت</w:t>
      </w:r>
      <w:r>
        <w:rPr>
          <w:rFonts w:hint="cs"/>
          <w:rtl/>
        </w:rPr>
        <w:t>ُ</w:t>
      </w:r>
      <w:r w:rsidRPr="00191223">
        <w:rPr>
          <w:rtl/>
        </w:rPr>
        <w:t>صم</w:t>
      </w:r>
      <w:r>
        <w:rPr>
          <w:rFonts w:hint="cs"/>
          <w:rtl/>
        </w:rPr>
        <w:t>َّ</w:t>
      </w:r>
      <w:r w:rsidRPr="00191223">
        <w:rPr>
          <w:rtl/>
        </w:rPr>
        <w:t>م</w:t>
      </w:r>
      <w:r>
        <w:rPr>
          <w:rFonts w:hint="cs"/>
          <w:rtl/>
        </w:rPr>
        <w:t xml:space="preserve"> وتُطور</w:t>
      </w:r>
      <w:r w:rsidRPr="00191223">
        <w:rPr>
          <w:rtl/>
        </w:rPr>
        <w:t xml:space="preserve"> </w:t>
      </w:r>
      <w:r>
        <w:rPr>
          <w:rFonts w:hint="cs"/>
          <w:rtl/>
        </w:rPr>
        <w:t xml:space="preserve">برامج و/أو </w:t>
      </w:r>
      <w:r w:rsidRPr="00191223">
        <w:rPr>
          <w:rtl/>
        </w:rPr>
        <w:t xml:space="preserve">أدوات </w:t>
      </w:r>
      <w:r>
        <w:rPr>
          <w:rFonts w:hint="cs"/>
          <w:rtl/>
        </w:rPr>
        <w:t xml:space="preserve">للتوعية وتكوين الكفاءات لفائدة </w:t>
      </w:r>
      <w:r w:rsidRPr="00191223">
        <w:rPr>
          <w:rtl/>
        </w:rPr>
        <w:t>مكاتب حق المؤلف الوطنية.</w:t>
      </w:r>
    </w:p>
    <w:p w:rsidR="00FF4BA8" w:rsidRPr="008954A8" w:rsidRDefault="00FF4BA8" w:rsidP="002C3C33">
      <w:pPr>
        <w:pStyle w:val="ARNormal"/>
        <w:jc w:val="left"/>
        <w:rPr>
          <w:u w:val="single"/>
          <w:rtl/>
        </w:rPr>
      </w:pPr>
      <w:r w:rsidRPr="008954A8">
        <w:rPr>
          <w:rFonts w:hint="cs"/>
          <w:u w:val="single"/>
          <w:rtl/>
        </w:rPr>
        <w:t>التقدم في تطوير البنية التحتية لحق المؤلف والحقوق المجاورة</w:t>
      </w:r>
    </w:p>
    <w:p w:rsidR="00FF4BA8" w:rsidRPr="008954A8" w:rsidRDefault="00FF4BA8" w:rsidP="00D60389">
      <w:pPr>
        <w:pStyle w:val="ARNumbered1"/>
        <w:numPr>
          <w:ilvl w:val="0"/>
          <w:numId w:val="13"/>
        </w:numPr>
        <w:ind w:left="-6" w:firstLine="0"/>
        <w:jc w:val="left"/>
      </w:pPr>
      <w:r w:rsidRPr="008954A8">
        <w:rPr>
          <w:rFonts w:hint="cs"/>
          <w:rtl/>
        </w:rPr>
        <w:t>سيركز العمل في مجال</w:t>
      </w:r>
      <w:r>
        <w:rPr>
          <w:rFonts w:hint="cs"/>
          <w:rtl/>
        </w:rPr>
        <w:t xml:space="preserve"> البنية التحتية لحق المؤلف والحقوق المجاورة</w:t>
      </w:r>
      <w:r w:rsidRPr="008954A8">
        <w:rPr>
          <w:rFonts w:hint="cs"/>
          <w:rtl/>
        </w:rPr>
        <w:t xml:space="preserve"> على</w:t>
      </w:r>
      <w:r>
        <w:rPr>
          <w:rFonts w:hint="cs"/>
          <w:rtl/>
        </w:rPr>
        <w:t xml:space="preserve"> </w:t>
      </w:r>
      <w:r w:rsidRPr="00B0061B">
        <w:rPr>
          <w:rFonts w:hint="cs"/>
          <w:rtl/>
        </w:rPr>
        <w:t>معيار "</w:t>
      </w:r>
      <w:r w:rsidRPr="00B0061B">
        <w:rPr>
          <w:rtl/>
          <w:lang w:val="en-US"/>
        </w:rPr>
        <w:t>التميز في الشفافية والمساءلة وحسن الإدارة</w:t>
      </w:r>
      <w:r w:rsidRPr="00B0061B">
        <w:rPr>
          <w:rFonts w:hint="cs"/>
          <w:rtl/>
        </w:rPr>
        <w:t>" (</w:t>
      </w:r>
      <w:r w:rsidRPr="00B0061B">
        <w:rPr>
          <w:lang w:val="en-US"/>
        </w:rPr>
        <w:t>TAG of Excellence</w:t>
      </w:r>
      <w:r w:rsidRPr="00B0061B">
        <w:rPr>
          <w:rFonts w:hint="cs"/>
          <w:rtl/>
        </w:rPr>
        <w:t>) الدولي لضمان الجودة في منظمات الإدارة الجماعية، إضافةً إلى برنامج تعليمي بشأن الشفافية والمساءلة والإدارة لمنظمات الإدارة الجماعية.</w:t>
      </w:r>
      <w:r w:rsidR="00D60389">
        <w:rPr>
          <w:rFonts w:hint="cs"/>
          <w:rtl/>
        </w:rPr>
        <w:t xml:space="preserve"> ومشروع </w:t>
      </w:r>
      <w:proofErr w:type="spellStart"/>
      <w:r w:rsidR="00D60389">
        <w:rPr>
          <w:rFonts w:hint="cs"/>
          <w:rtl/>
        </w:rPr>
        <w:t>تاغ</w:t>
      </w:r>
      <w:proofErr w:type="spellEnd"/>
      <w:r w:rsidR="00D60389">
        <w:rPr>
          <w:rFonts w:hint="cs"/>
          <w:rtl/>
        </w:rPr>
        <w:t xml:space="preserve"> مشروع شامل وسيشمل عملية تشاورية سابقة مع الدول الأعضاء في الويبو، والمكاتب الوطنية لحق المؤلف، وسائر أصحاب المصلحة الرئيسيين.</w:t>
      </w:r>
    </w:p>
    <w:p w:rsidR="00FF4BA8" w:rsidRDefault="00FF4BA8" w:rsidP="00861CFF">
      <w:pPr>
        <w:pStyle w:val="ARNumbered1"/>
        <w:numPr>
          <w:ilvl w:val="0"/>
          <w:numId w:val="13"/>
        </w:numPr>
        <w:ind w:left="-6" w:firstLine="0"/>
        <w:jc w:val="left"/>
      </w:pPr>
      <w:r w:rsidRPr="004D096B">
        <w:rPr>
          <w:rtl/>
        </w:rPr>
        <w:t>ولاستك</w:t>
      </w:r>
      <w:r>
        <w:rPr>
          <w:rtl/>
        </w:rPr>
        <w:t>مال الأنشطة الم</w:t>
      </w:r>
      <w:r>
        <w:rPr>
          <w:rFonts w:hint="cs"/>
          <w:rtl/>
        </w:rPr>
        <w:t>شار إليها أعلاه</w:t>
      </w:r>
      <w:r w:rsidRPr="004D096B">
        <w:rPr>
          <w:rtl/>
        </w:rPr>
        <w:t xml:space="preserve">، سوف تُصمَّم وتُطوَّر </w:t>
      </w:r>
      <w:r>
        <w:rPr>
          <w:rFonts w:hint="cs"/>
          <w:rtl/>
        </w:rPr>
        <w:t xml:space="preserve">في الوقت المحدد </w:t>
      </w:r>
      <w:r w:rsidRPr="004D096B">
        <w:rPr>
          <w:rtl/>
        </w:rPr>
        <w:t>بوابة إلكترونية جديدة لتقديم كثير من مشاريع الويبو الخاصة بالبنية التحتية لحق المؤلف عبر شبكة ال</w:t>
      </w:r>
      <w:r>
        <w:rPr>
          <w:rtl/>
        </w:rPr>
        <w:t>إنترنت وبالشراكة مع أطراف أخرى.</w:t>
      </w:r>
    </w:p>
    <w:p w:rsidR="00D97A93" w:rsidRPr="008954A8" w:rsidRDefault="00D97A93" w:rsidP="00D97A93">
      <w:pPr>
        <w:pStyle w:val="ARNumbered1"/>
        <w:numPr>
          <w:ilvl w:val="0"/>
          <w:numId w:val="13"/>
        </w:numPr>
        <w:ind w:left="-6" w:firstLine="0"/>
        <w:jc w:val="left"/>
      </w:pPr>
      <w:r>
        <w:rPr>
          <w:rFonts w:hint="cs"/>
          <w:rtl/>
        </w:rPr>
        <w:t>وسيتيح البرنامج 3 خبراته في مجال حق المؤلف ويسهم في إعداد دراسات بحثية بالتعاون الوثيق مع البرنامج 16.</w:t>
      </w:r>
    </w:p>
    <w:p w:rsidR="00FF4BA8" w:rsidRPr="00A33101" w:rsidRDefault="00FF4BA8" w:rsidP="00861CFF">
      <w:pPr>
        <w:pStyle w:val="ARNumbered1"/>
        <w:numPr>
          <w:ilvl w:val="0"/>
          <w:numId w:val="13"/>
        </w:numPr>
        <w:ind w:left="-6" w:firstLine="0"/>
        <w:jc w:val="left"/>
      </w:pPr>
      <w:r>
        <w:rPr>
          <w:rFonts w:hint="cs"/>
          <w:rtl/>
          <w:lang w:val="en-US"/>
        </w:rPr>
        <w:t>ويتعاون البرنامج 3 في الأساس مع البرامج الأخرى على النحو المبيّن أدناه:</w:t>
      </w:r>
    </w:p>
    <w:p w:rsidR="00FF4BA8" w:rsidRPr="000A3C94" w:rsidRDefault="00FF4BA8" w:rsidP="002C3C33">
      <w:pPr>
        <w:pStyle w:val="ARNumbered1"/>
        <w:numPr>
          <w:ilvl w:val="0"/>
          <w:numId w:val="0"/>
        </w:numPr>
        <w:ind w:left="-6"/>
        <w:jc w:val="left"/>
      </w:pPr>
    </w:p>
    <w:p w:rsidR="00FF4BA8" w:rsidRDefault="00D97A93" w:rsidP="002C3C33">
      <w:pPr>
        <w:pStyle w:val="ARNumbered1"/>
        <w:numPr>
          <w:ilvl w:val="0"/>
          <w:numId w:val="0"/>
        </w:numPr>
        <w:spacing w:line="240" w:lineRule="auto"/>
        <w:ind w:left="-6"/>
        <w:jc w:val="left"/>
        <w:rPr>
          <w:rtl/>
        </w:rPr>
      </w:pPr>
      <w:r>
        <w:rPr>
          <w:noProof/>
          <w:lang w:val="en-US" w:bidi="ar-SA"/>
        </w:rPr>
        <w:drawing>
          <wp:inline distT="0" distB="0" distL="0" distR="0" wp14:anchorId="505FA4FF" wp14:editId="0049A5C1">
            <wp:extent cx="5760085" cy="1531917"/>
            <wp:effectExtent l="57150" t="38100" r="0" b="125730"/>
            <wp:docPr id="67" name="Diagram 6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FF4BA8" w:rsidRPr="008954A8" w:rsidRDefault="00FF4BA8" w:rsidP="002C3C33">
      <w:pPr>
        <w:pStyle w:val="ARProgramHeading2"/>
        <w:jc w:val="left"/>
        <w:rPr>
          <w:rtl/>
        </w:rPr>
      </w:pPr>
      <w:r>
        <w:rPr>
          <w:rFonts w:hint="cs"/>
          <w:rtl/>
        </w:rPr>
        <w:t>المخاطر الرئيسية واستراتيجيات التخفيف منها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FF4BA8" w:rsidRPr="008954A8" w:rsidTr="002C3C33">
        <w:trPr>
          <w:tblHeader/>
        </w:trPr>
        <w:tc>
          <w:tcPr>
            <w:tcW w:w="4784" w:type="dxa"/>
            <w:tcBorders>
              <w:top w:val="single" w:sz="4" w:space="0" w:color="auto"/>
              <w:bottom w:val="single" w:sz="4" w:space="0" w:color="auto"/>
            </w:tcBorders>
            <w:shd w:val="clear" w:color="auto" w:fill="C6D9F1"/>
          </w:tcPr>
          <w:p w:rsidR="00FF4BA8" w:rsidRPr="008954A8" w:rsidRDefault="00FF4BA8" w:rsidP="002C3C33">
            <w:pPr>
              <w:pStyle w:val="ARProgramTableHeading"/>
              <w:spacing w:line="300" w:lineRule="exact"/>
              <w:rPr>
                <w:rtl/>
                <w:lang w:bidi="ar-SA"/>
              </w:rPr>
            </w:pPr>
            <w:r>
              <w:rPr>
                <w:rtl/>
                <w:lang w:bidi="ar-SA"/>
              </w:rPr>
              <w:t>المخاطر</w:t>
            </w:r>
          </w:p>
        </w:tc>
        <w:tc>
          <w:tcPr>
            <w:tcW w:w="4786" w:type="dxa"/>
            <w:tcBorders>
              <w:top w:val="single" w:sz="4" w:space="0" w:color="auto"/>
              <w:bottom w:val="single" w:sz="4" w:space="0" w:color="auto"/>
            </w:tcBorders>
            <w:shd w:val="clear" w:color="auto" w:fill="C6D9F1"/>
          </w:tcPr>
          <w:p w:rsidR="00FF4BA8" w:rsidRPr="008954A8" w:rsidRDefault="00FF4BA8" w:rsidP="002C3C33">
            <w:pPr>
              <w:pStyle w:val="ARProgramTableHeading"/>
              <w:spacing w:line="300" w:lineRule="exact"/>
              <w:rPr>
                <w:rtl/>
              </w:rPr>
            </w:pPr>
            <w:r>
              <w:rPr>
                <w:rtl/>
              </w:rPr>
              <w:t>التخفيف منها</w:t>
            </w:r>
          </w:p>
        </w:tc>
      </w:tr>
      <w:tr w:rsidR="00FF4BA8" w:rsidRPr="008954A8" w:rsidTr="002C3C33">
        <w:tc>
          <w:tcPr>
            <w:tcW w:w="4784" w:type="dxa"/>
            <w:tcBorders>
              <w:top w:val="single" w:sz="4" w:space="0" w:color="auto"/>
            </w:tcBorders>
          </w:tcPr>
          <w:p w:rsidR="00FF4BA8" w:rsidRPr="008954A8" w:rsidRDefault="00FF4BA8" w:rsidP="002C3C33">
            <w:pPr>
              <w:pStyle w:val="ARProgramTableText"/>
              <w:spacing w:line="300" w:lineRule="exact"/>
              <w:rPr>
                <w:rtl/>
                <w:lang w:val="fr-CH"/>
              </w:rPr>
            </w:pPr>
            <w:r w:rsidRPr="008954A8">
              <w:rPr>
                <w:rFonts w:hint="cs"/>
                <w:rtl/>
                <w:lang w:val="fr-CH"/>
              </w:rPr>
              <w:t>يمثل عجز نظام حق المؤلف عن التكيف مع التغير</w:t>
            </w:r>
            <w:r>
              <w:rPr>
                <w:rFonts w:hint="cs"/>
                <w:rtl/>
                <w:lang w:val="fr-CH"/>
              </w:rPr>
              <w:t xml:space="preserve"> التكنولوجي السريع </w:t>
            </w:r>
            <w:r w:rsidRPr="008954A8">
              <w:rPr>
                <w:rFonts w:hint="cs"/>
                <w:rtl/>
                <w:lang w:val="fr-CH"/>
              </w:rPr>
              <w:t>تهديدا</w:t>
            </w:r>
            <w:r>
              <w:rPr>
                <w:rFonts w:hint="cs"/>
                <w:rtl/>
                <w:lang w:val="fr-CH"/>
              </w:rPr>
              <w:t>ً</w:t>
            </w:r>
            <w:r w:rsidRPr="008954A8">
              <w:rPr>
                <w:rFonts w:hint="cs"/>
                <w:rtl/>
                <w:lang w:val="fr-CH"/>
              </w:rPr>
              <w:t xml:space="preserve"> بالتقليل من أهمية نظام حق المؤلف.</w:t>
            </w:r>
          </w:p>
        </w:tc>
        <w:tc>
          <w:tcPr>
            <w:tcW w:w="4786" w:type="dxa"/>
            <w:tcBorders>
              <w:top w:val="single" w:sz="4" w:space="0" w:color="auto"/>
            </w:tcBorders>
          </w:tcPr>
          <w:p w:rsidR="00FF4BA8" w:rsidRPr="008954A8" w:rsidRDefault="00FF4BA8" w:rsidP="002C3C33">
            <w:pPr>
              <w:pStyle w:val="ARProgramTableText"/>
              <w:spacing w:line="300" w:lineRule="exact"/>
              <w:rPr>
                <w:rtl/>
              </w:rPr>
            </w:pPr>
            <w:r w:rsidRPr="008954A8">
              <w:rPr>
                <w:rFonts w:hint="cs"/>
                <w:rtl/>
              </w:rPr>
              <w:t>مواصلة الأنشطة والمبادرات الرامية إلى إذكاء الوعي لإظهار أهمية حق المؤلف.</w:t>
            </w:r>
          </w:p>
        </w:tc>
      </w:tr>
    </w:tbl>
    <w:p w:rsidR="00FF4BA8" w:rsidRPr="000D31D1" w:rsidRDefault="00FF4BA8" w:rsidP="002C3C33">
      <w:pPr>
        <w:pStyle w:val="ARNormal"/>
        <w:spacing w:line="360" w:lineRule="exact"/>
        <w:jc w:val="left"/>
        <w:rPr>
          <w:rtl/>
        </w:rPr>
      </w:pPr>
    </w:p>
    <w:p w:rsidR="00FF4BA8" w:rsidRPr="008954A8" w:rsidRDefault="00FF4BA8" w:rsidP="002C3C33">
      <w:pPr>
        <w:pStyle w:val="ARProgramHeading2"/>
        <w:jc w:val="left"/>
        <w:rPr>
          <w:rtl/>
        </w:rPr>
      </w:pPr>
      <w:r w:rsidRPr="008954A8">
        <w:rPr>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0"/>
        <w:gridCol w:w="2551"/>
        <w:gridCol w:w="2551"/>
        <w:gridCol w:w="1668"/>
      </w:tblGrid>
      <w:tr w:rsidR="00FF4BA8" w:rsidRPr="008954A8" w:rsidTr="00ED49E9">
        <w:trPr>
          <w:tblHeader/>
        </w:trPr>
        <w:tc>
          <w:tcPr>
            <w:tcW w:w="2800" w:type="dxa"/>
            <w:tcBorders>
              <w:top w:val="single" w:sz="4" w:space="0" w:color="auto"/>
              <w:bottom w:val="single" w:sz="4" w:space="0" w:color="auto"/>
            </w:tcBorders>
            <w:shd w:val="clear" w:color="auto" w:fill="C6D9F1"/>
          </w:tcPr>
          <w:p w:rsidR="00FF4BA8" w:rsidRPr="008954A8" w:rsidRDefault="00FF4BA8" w:rsidP="00ED49E9">
            <w:pPr>
              <w:pStyle w:val="ARProgramTableHeading"/>
              <w:spacing w:before="0" w:after="0" w:line="300" w:lineRule="exact"/>
              <w:rPr>
                <w:rtl/>
              </w:rPr>
            </w:pPr>
            <w:r w:rsidRPr="008954A8">
              <w:rPr>
                <w:rtl/>
                <w:lang w:bidi="ar-SA"/>
              </w:rPr>
              <w:t>النتائج المرتقبة</w:t>
            </w:r>
          </w:p>
        </w:tc>
        <w:tc>
          <w:tcPr>
            <w:tcW w:w="2551" w:type="dxa"/>
            <w:tcBorders>
              <w:top w:val="single" w:sz="4" w:space="0" w:color="auto"/>
              <w:bottom w:val="single" w:sz="4" w:space="0" w:color="auto"/>
            </w:tcBorders>
            <w:shd w:val="clear" w:color="auto" w:fill="C6D9F1"/>
          </w:tcPr>
          <w:p w:rsidR="00FF4BA8" w:rsidRPr="008954A8" w:rsidRDefault="00FF4BA8" w:rsidP="00ED49E9">
            <w:pPr>
              <w:pStyle w:val="ARProgramTableHeading"/>
              <w:spacing w:before="0" w:after="0" w:line="300" w:lineRule="exact"/>
              <w:rPr>
                <w:rtl/>
                <w:lang w:bidi="ar-SA"/>
              </w:rPr>
            </w:pPr>
            <w:r w:rsidRPr="008954A8">
              <w:rPr>
                <w:rtl/>
                <w:lang w:bidi="ar-SA"/>
              </w:rPr>
              <w:t>مؤشرات الأداء</w:t>
            </w:r>
          </w:p>
        </w:tc>
        <w:tc>
          <w:tcPr>
            <w:tcW w:w="2551" w:type="dxa"/>
            <w:tcBorders>
              <w:top w:val="single" w:sz="4" w:space="0" w:color="auto"/>
              <w:bottom w:val="single" w:sz="4" w:space="0" w:color="auto"/>
            </w:tcBorders>
            <w:shd w:val="clear" w:color="auto" w:fill="C6D9F1"/>
          </w:tcPr>
          <w:p w:rsidR="00FF4BA8" w:rsidRPr="008954A8" w:rsidRDefault="00FF4BA8" w:rsidP="00ED49E9">
            <w:pPr>
              <w:pStyle w:val="ARProgramTableHeading"/>
              <w:spacing w:before="0" w:after="0" w:line="300" w:lineRule="exact"/>
              <w:rPr>
                <w:rtl/>
                <w:lang w:bidi="ar-SA"/>
              </w:rPr>
            </w:pPr>
            <w:r w:rsidRPr="008954A8">
              <w:rPr>
                <w:rtl/>
                <w:lang w:bidi="ar-SA"/>
              </w:rPr>
              <w:t>أسس المقارنة</w:t>
            </w:r>
          </w:p>
        </w:tc>
        <w:tc>
          <w:tcPr>
            <w:tcW w:w="1668" w:type="dxa"/>
            <w:tcBorders>
              <w:top w:val="single" w:sz="4" w:space="0" w:color="auto"/>
              <w:bottom w:val="single" w:sz="4" w:space="0" w:color="auto"/>
            </w:tcBorders>
            <w:shd w:val="clear" w:color="auto" w:fill="C6D9F1"/>
          </w:tcPr>
          <w:p w:rsidR="00FF4BA8" w:rsidRPr="008954A8" w:rsidRDefault="00FF4BA8" w:rsidP="00ED49E9">
            <w:pPr>
              <w:pStyle w:val="ARProgramTableHeading"/>
              <w:spacing w:before="0" w:after="0" w:line="300" w:lineRule="exact"/>
              <w:rPr>
                <w:rtl/>
                <w:lang w:bidi="ar-SA"/>
              </w:rPr>
            </w:pPr>
            <w:r w:rsidRPr="008954A8">
              <w:rPr>
                <w:rtl/>
                <w:lang w:bidi="ar-SA"/>
              </w:rPr>
              <w:t>الأهداف</w:t>
            </w:r>
          </w:p>
        </w:tc>
      </w:tr>
      <w:tr w:rsidR="00FF4BA8" w:rsidRPr="008954A8" w:rsidTr="00ED49E9">
        <w:tc>
          <w:tcPr>
            <w:tcW w:w="2800" w:type="dxa"/>
            <w:tcBorders>
              <w:top w:val="single" w:sz="4" w:space="0" w:color="auto"/>
            </w:tcBorders>
          </w:tcPr>
          <w:p w:rsidR="00FF4BA8" w:rsidRPr="008954A8" w:rsidRDefault="009800D4" w:rsidP="00ED49E9">
            <w:pPr>
              <w:pStyle w:val="ARProgramTableText"/>
              <w:spacing w:before="0" w:after="0" w:line="300" w:lineRule="exact"/>
              <w:rPr>
                <w:rtl/>
                <w:lang w:bidi="ar-SA"/>
              </w:rPr>
            </w:pPr>
            <w:r>
              <w:rPr>
                <w:rtl/>
              </w:rPr>
              <w:t>ه</w:t>
            </w:r>
            <w:r w:rsidR="00FF4BA8" w:rsidRPr="003839FF">
              <w:rPr>
                <w:rtl/>
              </w:rPr>
              <w:t>1.1 تعاون معزز بين الدول الأعضاء في وضع أطر معيارية دولية متوازنة في مجال الملكية الفكرية</w:t>
            </w:r>
          </w:p>
        </w:tc>
        <w:tc>
          <w:tcPr>
            <w:tcW w:w="2551" w:type="dxa"/>
            <w:tcBorders>
              <w:top w:val="single" w:sz="4" w:space="0" w:color="auto"/>
            </w:tcBorders>
          </w:tcPr>
          <w:p w:rsidR="00FF4BA8" w:rsidRPr="008954A8" w:rsidRDefault="00FF4BA8" w:rsidP="00ED49E9">
            <w:pPr>
              <w:pStyle w:val="ARProgramTableText"/>
              <w:spacing w:before="0" w:after="0" w:line="300" w:lineRule="exact"/>
              <w:rPr>
                <w:rtl/>
                <w:lang w:bidi="ar-SA"/>
              </w:rPr>
            </w:pPr>
            <w:r w:rsidRPr="008954A8">
              <w:rPr>
                <w:rFonts w:hint="cs"/>
                <w:rtl/>
                <w:lang w:bidi="ar-SA"/>
              </w:rPr>
              <w:t xml:space="preserve">التقدم </w:t>
            </w:r>
            <w:r>
              <w:rPr>
                <w:rFonts w:hint="cs"/>
                <w:rtl/>
                <w:lang w:bidi="ar-SA"/>
              </w:rPr>
              <w:t>في تنفيذ العمل المُتَّفق عليه وفقاً ل</w:t>
            </w:r>
            <w:r w:rsidRPr="008954A8">
              <w:rPr>
                <w:rFonts w:hint="cs"/>
                <w:rtl/>
                <w:lang w:bidi="ar-SA"/>
              </w:rPr>
              <w:t>جدول أعمال اللجنة الدائمة المعنية بحق المؤلف والحقوق المجاورة</w:t>
            </w:r>
          </w:p>
        </w:tc>
        <w:tc>
          <w:tcPr>
            <w:tcW w:w="2551" w:type="dxa"/>
            <w:tcBorders>
              <w:top w:val="single" w:sz="4" w:space="0" w:color="auto"/>
            </w:tcBorders>
          </w:tcPr>
          <w:p w:rsidR="00FF4BA8" w:rsidRPr="008954A8" w:rsidRDefault="00FF4BA8" w:rsidP="00ED49E9">
            <w:pPr>
              <w:pStyle w:val="ARProgramTableText"/>
              <w:spacing w:before="0" w:after="0" w:line="300" w:lineRule="exact"/>
              <w:rPr>
                <w:rtl/>
              </w:rPr>
            </w:pPr>
            <w:r w:rsidRPr="00E87F45">
              <w:rPr>
                <w:rtl/>
              </w:rPr>
              <w:t>لم تتوصل اللجنة الدائمة والجمعية العامة للويبو لعام 2014 إلى اتفاق بشأن اتخاذ خطوات من أجل عقد مؤتمر دبلوماسي لمعاهدة بشأن حماية هيئات البث (تقرير أداء البرنامج لعام 2014)</w:t>
            </w:r>
          </w:p>
        </w:tc>
        <w:tc>
          <w:tcPr>
            <w:tcW w:w="1668" w:type="dxa"/>
            <w:tcBorders>
              <w:top w:val="single" w:sz="4" w:space="0" w:color="auto"/>
            </w:tcBorders>
          </w:tcPr>
          <w:p w:rsidR="00FF4BA8" w:rsidRPr="008954A8" w:rsidRDefault="00FF4BA8" w:rsidP="00ED49E9">
            <w:pPr>
              <w:pStyle w:val="ARProgramTableText"/>
              <w:spacing w:before="0" w:after="0" w:line="300" w:lineRule="exact"/>
              <w:rPr>
                <w:rtl/>
              </w:rPr>
            </w:pPr>
            <w:r w:rsidRPr="00E87F45">
              <w:rPr>
                <w:rtl/>
              </w:rPr>
              <w:t>النتائج المتفق عليها للجنة الدائمة</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r w:rsidRPr="008954A8">
              <w:rPr>
                <w:rFonts w:hint="cs"/>
                <w:rtl/>
              </w:rPr>
              <w:t>ه 2.1</w:t>
            </w:r>
            <w:r w:rsidRPr="008954A8">
              <w:rPr>
                <w:rtl/>
              </w:rPr>
              <w:t xml:space="preserve"> </w:t>
            </w:r>
            <w:r w:rsidRPr="0039365C">
              <w:rPr>
                <w:rtl/>
              </w:rPr>
              <w:t>أطر تشريعية وتنظيمية وسياسية مكيّفة ومتوازنة في مجال الملكية الفكرية</w:t>
            </w:r>
          </w:p>
        </w:tc>
        <w:tc>
          <w:tcPr>
            <w:tcW w:w="2551" w:type="dxa"/>
          </w:tcPr>
          <w:p w:rsidR="00FF4BA8" w:rsidRPr="008954A8" w:rsidRDefault="00FF4BA8" w:rsidP="00ED49E9">
            <w:pPr>
              <w:pStyle w:val="ARProgramTableText"/>
              <w:spacing w:before="0" w:after="0" w:line="300" w:lineRule="exact"/>
              <w:rPr>
                <w:rtl/>
                <w:lang w:bidi="ar-SA"/>
              </w:rPr>
            </w:pPr>
            <w:r w:rsidRPr="008954A8">
              <w:rPr>
                <w:rFonts w:hint="cs"/>
                <w:rtl/>
                <w:lang w:bidi="ar-SA"/>
              </w:rPr>
              <w:t>عدد البلدان التي صدقت على معاهدة بيجين</w:t>
            </w:r>
            <w:r>
              <w:rPr>
                <w:rFonts w:hint="cs"/>
                <w:rtl/>
                <w:lang w:bidi="ar-SA"/>
              </w:rPr>
              <w:t xml:space="preserve"> أو انضمت إليها</w:t>
            </w:r>
          </w:p>
        </w:tc>
        <w:tc>
          <w:tcPr>
            <w:tcW w:w="2551" w:type="dxa"/>
          </w:tcPr>
          <w:p w:rsidR="00FF4BA8" w:rsidRPr="008954A8" w:rsidRDefault="00FF4BA8" w:rsidP="00ED49E9">
            <w:pPr>
              <w:pStyle w:val="ARProgramTableText"/>
              <w:spacing w:before="0" w:after="0" w:line="300" w:lineRule="exact"/>
              <w:rPr>
                <w:rtl/>
                <w:lang w:bidi="ar-SA"/>
              </w:rPr>
            </w:pPr>
            <w:r>
              <w:rPr>
                <w:rFonts w:hint="cs"/>
                <w:rtl/>
                <w:lang w:bidi="ar-SA"/>
              </w:rPr>
              <w:t>6 (نهاية 2014)</w:t>
            </w:r>
          </w:p>
        </w:tc>
        <w:tc>
          <w:tcPr>
            <w:tcW w:w="1668" w:type="dxa"/>
          </w:tcPr>
          <w:p w:rsidR="00FF4BA8" w:rsidRPr="008954A8" w:rsidRDefault="00FF4BA8" w:rsidP="00ED49E9">
            <w:pPr>
              <w:pStyle w:val="ARProgramTableText"/>
              <w:spacing w:before="0" w:after="0" w:line="300" w:lineRule="exact"/>
              <w:rPr>
                <w:rtl/>
              </w:rPr>
            </w:pPr>
            <w:r w:rsidRPr="008954A8">
              <w:rPr>
                <w:rFonts w:hint="cs"/>
                <w:rtl/>
                <w:lang w:bidi="ar-SA"/>
              </w:rPr>
              <w:t>30 بلدا</w:t>
            </w:r>
            <w:r>
              <w:rPr>
                <w:rFonts w:hint="cs"/>
                <w:rtl/>
                <w:lang w:bidi="ar-SA"/>
              </w:rPr>
              <w:t>ً</w:t>
            </w:r>
          </w:p>
        </w:tc>
      </w:tr>
      <w:tr w:rsidR="00FF4BA8" w:rsidRPr="008954A8" w:rsidTr="00ED49E9">
        <w:tc>
          <w:tcPr>
            <w:tcW w:w="2800" w:type="dxa"/>
          </w:tcPr>
          <w:p w:rsidR="00FF4BA8" w:rsidRPr="008954A8" w:rsidRDefault="00FF4BA8" w:rsidP="00ED49E9">
            <w:pPr>
              <w:pStyle w:val="ARProgramTableText"/>
              <w:spacing w:before="0" w:after="0" w:line="300" w:lineRule="exact"/>
              <w:rPr>
                <w:rtl/>
                <w:lang w:bidi="ar-SA"/>
              </w:rPr>
            </w:pPr>
          </w:p>
        </w:tc>
        <w:tc>
          <w:tcPr>
            <w:tcW w:w="2551" w:type="dxa"/>
          </w:tcPr>
          <w:p w:rsidR="00FF4BA8" w:rsidRPr="008954A8" w:rsidRDefault="00FF4BA8" w:rsidP="00ED49E9">
            <w:pPr>
              <w:pStyle w:val="ARProgramTableText"/>
              <w:spacing w:before="0" w:after="0" w:line="300" w:lineRule="exact"/>
              <w:rPr>
                <w:rtl/>
              </w:rPr>
            </w:pPr>
            <w:r w:rsidRPr="00EE3FD8">
              <w:rPr>
                <w:rtl/>
              </w:rPr>
              <w:t>عدد البلدان التي صدقت على معاهدة مراكش أو انضمت إليها</w:t>
            </w:r>
          </w:p>
        </w:tc>
        <w:tc>
          <w:tcPr>
            <w:tcW w:w="2551" w:type="dxa"/>
          </w:tcPr>
          <w:p w:rsidR="00FF4BA8" w:rsidRPr="008954A8" w:rsidRDefault="00FF4BA8" w:rsidP="00ED49E9">
            <w:pPr>
              <w:pStyle w:val="ARProgramTableText"/>
              <w:spacing w:before="0" w:after="0" w:line="300" w:lineRule="exact"/>
              <w:rPr>
                <w:rtl/>
              </w:rPr>
            </w:pPr>
            <w:r>
              <w:rPr>
                <w:rFonts w:hint="cs"/>
                <w:rtl/>
              </w:rPr>
              <w:t>5 (نهاية 2014)</w:t>
            </w:r>
          </w:p>
        </w:tc>
        <w:tc>
          <w:tcPr>
            <w:tcW w:w="1668" w:type="dxa"/>
          </w:tcPr>
          <w:p w:rsidR="00FF4BA8" w:rsidRPr="008954A8" w:rsidRDefault="00FF4BA8" w:rsidP="00ED49E9">
            <w:pPr>
              <w:pStyle w:val="ARProgramTableText"/>
              <w:spacing w:before="0" w:after="0" w:line="300" w:lineRule="exact"/>
              <w:rPr>
                <w:rtl/>
              </w:rPr>
            </w:pPr>
            <w:r>
              <w:rPr>
                <w:rFonts w:hint="cs"/>
                <w:rtl/>
              </w:rPr>
              <w:t>20</w:t>
            </w:r>
            <w:r w:rsidRPr="008954A8">
              <w:rPr>
                <w:rFonts w:hint="cs"/>
                <w:rtl/>
              </w:rPr>
              <w:t xml:space="preserve"> بلدا</w:t>
            </w:r>
            <w:r>
              <w:rPr>
                <w:rFonts w:hint="cs"/>
                <w:rtl/>
              </w:rPr>
              <w:t>ً</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8954A8" w:rsidRDefault="00FF4BA8" w:rsidP="00ED49E9">
            <w:pPr>
              <w:pStyle w:val="ARProgramTableText"/>
              <w:spacing w:before="0" w:after="0" w:line="300" w:lineRule="exact"/>
              <w:rPr>
                <w:rtl/>
              </w:rPr>
            </w:pPr>
            <w:r w:rsidRPr="008954A8">
              <w:rPr>
                <w:rFonts w:hint="cs"/>
                <w:rtl/>
              </w:rPr>
              <w:t xml:space="preserve">عدد حالات التصديق على </w:t>
            </w:r>
            <w:r>
              <w:rPr>
                <w:rFonts w:hint="cs"/>
                <w:rtl/>
              </w:rPr>
              <w:t>معاهدات حق المؤلف السارية، بما في ذلك معاهدة برن ومعاهدة روما وال</w:t>
            </w:r>
            <w:r w:rsidRPr="008954A8">
              <w:rPr>
                <w:rFonts w:hint="cs"/>
                <w:rtl/>
              </w:rPr>
              <w:t>معاهدات الخاصة بالإنترنت</w:t>
            </w:r>
            <w:r>
              <w:rPr>
                <w:rFonts w:hint="cs"/>
                <w:rtl/>
              </w:rPr>
              <w:t>، أو حالات الانضمام إليها</w:t>
            </w:r>
          </w:p>
        </w:tc>
        <w:tc>
          <w:tcPr>
            <w:tcW w:w="2551" w:type="dxa"/>
          </w:tcPr>
          <w:p w:rsidR="00FF4BA8" w:rsidRPr="008954A8" w:rsidRDefault="00FF4BA8" w:rsidP="00ED49E9">
            <w:pPr>
              <w:pStyle w:val="ARProgramTableText"/>
              <w:spacing w:before="0" w:after="0" w:line="300" w:lineRule="exact"/>
              <w:rPr>
                <w:rtl/>
              </w:rPr>
            </w:pPr>
            <w:r>
              <w:rPr>
                <w:rFonts w:hint="cs"/>
                <w:rtl/>
              </w:rPr>
              <w:t>غير متاحة (مؤشر مراجع)</w:t>
            </w:r>
          </w:p>
        </w:tc>
        <w:tc>
          <w:tcPr>
            <w:tcW w:w="1668" w:type="dxa"/>
          </w:tcPr>
          <w:p w:rsidR="00FF4BA8" w:rsidRPr="008954A8" w:rsidRDefault="00FF4BA8" w:rsidP="00ED49E9">
            <w:pPr>
              <w:pStyle w:val="ARProgramTableText"/>
              <w:spacing w:before="0" w:after="0" w:line="300" w:lineRule="exact"/>
              <w:rPr>
                <w:rtl/>
              </w:rPr>
            </w:pPr>
            <w:r>
              <w:rPr>
                <w:rFonts w:hint="cs"/>
                <w:rtl/>
              </w:rPr>
              <w:t>10</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8954A8" w:rsidRDefault="00FF4BA8" w:rsidP="00ED49E9">
            <w:pPr>
              <w:pStyle w:val="ARProgramTableText"/>
              <w:spacing w:before="0" w:after="0" w:line="300" w:lineRule="exact"/>
              <w:rPr>
                <w:rtl/>
              </w:rPr>
            </w:pPr>
            <w:r w:rsidRPr="00777BA2">
              <w:rPr>
                <w:rtl/>
              </w:rPr>
              <w:t>النسبة المئوية للبلدان التي قدمت تعقيبات إيجابية على مشورة الويبو التشريعية</w:t>
            </w:r>
          </w:p>
        </w:tc>
        <w:tc>
          <w:tcPr>
            <w:tcW w:w="2551" w:type="dxa"/>
          </w:tcPr>
          <w:p w:rsidR="00FF4BA8" w:rsidRPr="008954A8" w:rsidRDefault="00FF4BA8" w:rsidP="00ED49E9">
            <w:pPr>
              <w:pStyle w:val="ARProgramTableText"/>
              <w:spacing w:before="0" w:after="0" w:line="300" w:lineRule="exact"/>
              <w:rPr>
                <w:rtl/>
              </w:rPr>
            </w:pPr>
            <w:r w:rsidRPr="00B73E0D">
              <w:rPr>
                <w:rtl/>
              </w:rPr>
              <w:t>غير متاحة في 2014 (سوف تجرى دراسة استقصائية ثنائية الحول في عام 2015)</w:t>
            </w:r>
          </w:p>
        </w:tc>
        <w:tc>
          <w:tcPr>
            <w:tcW w:w="1668" w:type="dxa"/>
          </w:tcPr>
          <w:p w:rsidR="00FF4BA8" w:rsidRPr="008954A8" w:rsidRDefault="00FF4BA8" w:rsidP="00ED49E9">
            <w:pPr>
              <w:pStyle w:val="ARProgramTableText"/>
              <w:spacing w:before="0" w:after="0" w:line="300" w:lineRule="exact"/>
              <w:rPr>
                <w:rtl/>
              </w:rPr>
            </w:pPr>
            <w:r>
              <w:rPr>
                <w:rFonts w:hint="cs"/>
                <w:rtl/>
              </w:rPr>
              <w:t>70% من المجيبين راضون عن المشورة المُقدَّمة</w:t>
            </w:r>
          </w:p>
        </w:tc>
      </w:tr>
      <w:tr w:rsidR="00D60389" w:rsidRPr="008954A8" w:rsidTr="00ED49E9">
        <w:trPr>
          <w:trHeight w:val="871"/>
        </w:trPr>
        <w:tc>
          <w:tcPr>
            <w:tcW w:w="2800" w:type="dxa"/>
            <w:vMerge w:val="restart"/>
          </w:tcPr>
          <w:p w:rsidR="00D60389" w:rsidRPr="008954A8" w:rsidRDefault="00D60389" w:rsidP="00ED49E9">
            <w:pPr>
              <w:pStyle w:val="ARProgramTableText"/>
              <w:spacing w:before="0" w:after="0" w:line="300" w:lineRule="exact"/>
              <w:rPr>
                <w:rtl/>
              </w:rPr>
            </w:pPr>
            <w:r w:rsidRPr="008954A8">
              <w:rPr>
                <w:rFonts w:hint="cs"/>
                <w:rtl/>
              </w:rPr>
              <w:t xml:space="preserve">ه 2.3 </w:t>
            </w:r>
            <w:r w:rsidRPr="003902B7">
              <w:rPr>
                <w:rtl/>
              </w:rPr>
              <w:t>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2551" w:type="dxa"/>
          </w:tcPr>
          <w:p w:rsidR="00D60389" w:rsidRPr="008954A8" w:rsidRDefault="00D60389" w:rsidP="00ED49E9">
            <w:pPr>
              <w:pStyle w:val="ARProgramTableText"/>
              <w:spacing w:before="0" w:after="0" w:line="300" w:lineRule="exact"/>
              <w:rPr>
                <w:rtl/>
              </w:rPr>
            </w:pPr>
            <w:r>
              <w:rPr>
                <w:rFonts w:hint="cs"/>
                <w:rtl/>
              </w:rPr>
              <w:t xml:space="preserve">عدد المكاتب الوطنية لحق المؤلف المشاركة بفعالية في مسار </w:t>
            </w:r>
            <w:proofErr w:type="spellStart"/>
            <w:r>
              <w:rPr>
                <w:rFonts w:hint="cs"/>
                <w:rtl/>
              </w:rPr>
              <w:t>تاغ</w:t>
            </w:r>
            <w:proofErr w:type="spellEnd"/>
            <w:r>
              <w:rPr>
                <w:rFonts w:hint="cs"/>
                <w:rtl/>
              </w:rPr>
              <w:t xml:space="preserve"> التشاوري</w:t>
            </w:r>
          </w:p>
        </w:tc>
        <w:tc>
          <w:tcPr>
            <w:tcW w:w="2551" w:type="dxa"/>
          </w:tcPr>
          <w:p w:rsidR="00D60389" w:rsidRPr="008954A8" w:rsidRDefault="00D60389" w:rsidP="00ED49E9">
            <w:pPr>
              <w:pStyle w:val="ARProgramTableText"/>
              <w:spacing w:before="0" w:after="0" w:line="300" w:lineRule="exact"/>
              <w:rPr>
                <w:rtl/>
              </w:rPr>
            </w:pPr>
            <w:r>
              <w:rPr>
                <w:rFonts w:hint="cs"/>
                <w:rtl/>
              </w:rPr>
              <w:t>غير متاحة</w:t>
            </w:r>
          </w:p>
        </w:tc>
        <w:tc>
          <w:tcPr>
            <w:tcW w:w="1668" w:type="dxa"/>
          </w:tcPr>
          <w:p w:rsidR="00D60389" w:rsidRPr="008954A8" w:rsidRDefault="00D60389" w:rsidP="00ED49E9">
            <w:pPr>
              <w:pStyle w:val="ARProgramTableText"/>
              <w:spacing w:before="0" w:after="0" w:line="300" w:lineRule="exact"/>
              <w:rPr>
                <w:rtl/>
              </w:rPr>
            </w:pPr>
            <w:r>
              <w:rPr>
                <w:rFonts w:hint="cs"/>
                <w:rtl/>
              </w:rPr>
              <w:t>25 مكاتب وطنية لحق المؤلف</w:t>
            </w:r>
          </w:p>
        </w:tc>
      </w:tr>
      <w:tr w:rsidR="00D60389" w:rsidRPr="008954A8" w:rsidTr="00ED49E9">
        <w:trPr>
          <w:trHeight w:val="870"/>
        </w:trPr>
        <w:tc>
          <w:tcPr>
            <w:tcW w:w="2800" w:type="dxa"/>
            <w:vMerge/>
          </w:tcPr>
          <w:p w:rsidR="00D60389" w:rsidRPr="008954A8" w:rsidRDefault="00D60389" w:rsidP="00ED49E9">
            <w:pPr>
              <w:pStyle w:val="ARProgramTableText"/>
              <w:spacing w:before="0" w:after="0" w:line="300" w:lineRule="exact"/>
              <w:rPr>
                <w:rtl/>
              </w:rPr>
            </w:pPr>
          </w:p>
        </w:tc>
        <w:tc>
          <w:tcPr>
            <w:tcW w:w="2551" w:type="dxa"/>
          </w:tcPr>
          <w:p w:rsidR="00D60389" w:rsidRPr="008954A8" w:rsidRDefault="00D60389" w:rsidP="00ED49E9">
            <w:pPr>
              <w:pStyle w:val="ARProgramTableText"/>
              <w:spacing w:before="0" w:after="0" w:line="300" w:lineRule="exact"/>
              <w:rPr>
                <w:rtl/>
              </w:rPr>
            </w:pPr>
            <w:r w:rsidRPr="008954A8">
              <w:rPr>
                <w:rFonts w:hint="cs"/>
                <w:rtl/>
              </w:rPr>
              <w:t xml:space="preserve">عدد منظمات الإدارة الجماعية </w:t>
            </w:r>
            <w:r>
              <w:rPr>
                <w:rFonts w:hint="cs"/>
                <w:rtl/>
              </w:rPr>
              <w:t>المتقدمة للحصول على اعتماد</w:t>
            </w:r>
            <w:r w:rsidRPr="008954A8">
              <w:rPr>
                <w:rFonts w:hint="cs"/>
                <w:rtl/>
              </w:rPr>
              <w:t xml:space="preserve"> </w:t>
            </w:r>
            <w:r>
              <w:rPr>
                <w:rFonts w:hint="cs"/>
                <w:rtl/>
              </w:rPr>
              <w:t>ا</w:t>
            </w:r>
            <w:r w:rsidRPr="008954A8">
              <w:rPr>
                <w:rFonts w:hint="cs"/>
                <w:rtl/>
              </w:rPr>
              <w:t>لشفافية والمساءلة و</w:t>
            </w:r>
            <w:r>
              <w:rPr>
                <w:rFonts w:hint="cs"/>
                <w:rtl/>
              </w:rPr>
              <w:t>حسن الإدارة (</w:t>
            </w:r>
            <w:r>
              <w:t>TAG</w:t>
            </w:r>
            <w:r>
              <w:rPr>
                <w:rFonts w:hint="cs"/>
                <w:rtl/>
              </w:rPr>
              <w:t>)</w:t>
            </w:r>
          </w:p>
        </w:tc>
        <w:tc>
          <w:tcPr>
            <w:tcW w:w="2551" w:type="dxa"/>
          </w:tcPr>
          <w:p w:rsidR="00D60389" w:rsidRDefault="00D60389" w:rsidP="00ED49E9">
            <w:pPr>
              <w:pStyle w:val="ARProgramTableText"/>
              <w:spacing w:before="0" w:after="0" w:line="300" w:lineRule="exact"/>
              <w:rPr>
                <w:rtl/>
              </w:rPr>
            </w:pPr>
            <w:r>
              <w:rPr>
                <w:rFonts w:hint="cs"/>
                <w:rtl/>
              </w:rPr>
              <w:t>صفر (نهاية 2014)</w:t>
            </w:r>
          </w:p>
        </w:tc>
        <w:tc>
          <w:tcPr>
            <w:tcW w:w="1668" w:type="dxa"/>
          </w:tcPr>
          <w:p w:rsidR="00D60389" w:rsidRDefault="00D60389" w:rsidP="00ED49E9">
            <w:pPr>
              <w:pStyle w:val="ARProgramTableText"/>
              <w:spacing w:before="0" w:after="0" w:line="300" w:lineRule="exact"/>
              <w:rPr>
                <w:rtl/>
              </w:rPr>
            </w:pPr>
            <w:r>
              <w:rPr>
                <w:rFonts w:hint="cs"/>
                <w:rtl/>
              </w:rPr>
              <w:t>0 (2016)</w:t>
            </w:r>
            <w:r>
              <w:rPr>
                <w:rtl/>
              </w:rPr>
              <w:br/>
            </w:r>
            <w:r>
              <w:rPr>
                <w:rFonts w:hint="cs"/>
                <w:rtl/>
              </w:rPr>
              <w:t>2</w:t>
            </w:r>
            <w:r w:rsidRPr="008954A8">
              <w:rPr>
                <w:rFonts w:hint="cs"/>
                <w:rtl/>
              </w:rPr>
              <w:t xml:space="preserve"> منظمات </w:t>
            </w:r>
            <w:r>
              <w:rPr>
                <w:rFonts w:hint="cs"/>
                <w:rtl/>
              </w:rPr>
              <w:t>متقدمة للحصول على الاعتماد (2017)</w:t>
            </w:r>
            <w:r>
              <w:rPr>
                <w:rStyle w:val="FootnoteReference"/>
                <w:rtl/>
              </w:rPr>
              <w:footnoteReference w:id="16"/>
            </w:r>
          </w:p>
        </w:tc>
      </w:tr>
      <w:tr w:rsidR="00FF4BA8" w:rsidRPr="008954A8" w:rsidTr="00ED49E9">
        <w:tc>
          <w:tcPr>
            <w:tcW w:w="2800" w:type="dxa"/>
          </w:tcPr>
          <w:p w:rsidR="00FF4BA8" w:rsidRPr="000D287A" w:rsidRDefault="00FF4BA8" w:rsidP="00ED49E9">
            <w:pPr>
              <w:pStyle w:val="ARProgramTableText"/>
              <w:spacing w:before="0" w:after="0" w:line="300" w:lineRule="exact"/>
              <w:rPr>
                <w:rtl/>
              </w:rPr>
            </w:pPr>
          </w:p>
        </w:tc>
        <w:tc>
          <w:tcPr>
            <w:tcW w:w="2551" w:type="dxa"/>
          </w:tcPr>
          <w:p w:rsidR="00FF4BA8" w:rsidRPr="008954A8" w:rsidRDefault="00FF4BA8" w:rsidP="00ED49E9">
            <w:pPr>
              <w:pStyle w:val="ARProgramTableText"/>
              <w:spacing w:before="0" w:after="0" w:line="300" w:lineRule="exact"/>
              <w:rPr>
                <w:rtl/>
              </w:rPr>
            </w:pPr>
            <w:r w:rsidRPr="008954A8">
              <w:rPr>
                <w:rFonts w:hint="cs"/>
                <w:rtl/>
              </w:rPr>
              <w:t xml:space="preserve">النسبة المئوية </w:t>
            </w:r>
            <w:r>
              <w:rPr>
                <w:rFonts w:hint="cs"/>
                <w:rtl/>
              </w:rPr>
              <w:t>للمشاركين الذين يقدمون تقارير إيجابية عن برامج تكوين كفاءات الإدارة الجماعية</w:t>
            </w:r>
          </w:p>
        </w:tc>
        <w:tc>
          <w:tcPr>
            <w:tcW w:w="2551" w:type="dxa"/>
          </w:tcPr>
          <w:p w:rsidR="00FF4BA8" w:rsidRPr="008954A8" w:rsidRDefault="00FF4BA8" w:rsidP="00ED49E9">
            <w:pPr>
              <w:pStyle w:val="ARProgramTableText"/>
              <w:spacing w:before="0" w:after="0" w:line="300" w:lineRule="exact"/>
              <w:rPr>
                <w:rtl/>
              </w:rPr>
            </w:pPr>
            <w:r>
              <w:rPr>
                <w:rFonts w:hint="cs"/>
                <w:rtl/>
              </w:rPr>
              <w:t>صفر (نهاية 2041)</w:t>
            </w:r>
          </w:p>
        </w:tc>
        <w:tc>
          <w:tcPr>
            <w:tcW w:w="1668" w:type="dxa"/>
          </w:tcPr>
          <w:p w:rsidR="00FF4BA8" w:rsidRPr="008954A8" w:rsidRDefault="00FF4BA8" w:rsidP="00ED49E9">
            <w:pPr>
              <w:pStyle w:val="ARProgramTableText"/>
              <w:spacing w:before="0" w:after="0" w:line="300" w:lineRule="exact"/>
              <w:rPr>
                <w:rtl/>
              </w:rPr>
            </w:pPr>
            <w:r>
              <w:rPr>
                <w:rFonts w:hint="cs"/>
                <w:rtl/>
              </w:rPr>
              <w:t>70% من المشاركين الذين شملهم الاستقصاء راضون أو راضون بشدة</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8954A8" w:rsidRDefault="00FF4BA8" w:rsidP="00ED49E9">
            <w:pPr>
              <w:pStyle w:val="ARProgramTableText"/>
              <w:spacing w:before="0" w:after="0" w:line="300" w:lineRule="exact"/>
              <w:rPr>
                <w:rtl/>
              </w:rPr>
            </w:pPr>
            <w:r>
              <w:rPr>
                <w:rFonts w:hint="cs"/>
                <w:rtl/>
              </w:rPr>
              <w:t>عدد زيارات البوابة الإلكترونية الخاصة بالبنية التحتية لحق المؤلف</w:t>
            </w:r>
          </w:p>
        </w:tc>
        <w:tc>
          <w:tcPr>
            <w:tcW w:w="2551" w:type="dxa"/>
          </w:tcPr>
          <w:p w:rsidR="00FF4BA8" w:rsidRPr="008954A8" w:rsidRDefault="00FF4BA8" w:rsidP="00ED49E9">
            <w:pPr>
              <w:pStyle w:val="ARProgramTableText"/>
              <w:spacing w:before="0" w:after="0" w:line="300" w:lineRule="exact"/>
              <w:rPr>
                <w:rtl/>
              </w:rPr>
            </w:pPr>
            <w:r>
              <w:rPr>
                <w:rFonts w:hint="cs"/>
                <w:rtl/>
              </w:rPr>
              <w:t>صفر (نهاية 2014)</w:t>
            </w:r>
          </w:p>
        </w:tc>
        <w:tc>
          <w:tcPr>
            <w:tcW w:w="1668" w:type="dxa"/>
          </w:tcPr>
          <w:p w:rsidR="00FF4BA8" w:rsidRPr="008954A8" w:rsidRDefault="00FF4BA8" w:rsidP="00ED49E9">
            <w:pPr>
              <w:pStyle w:val="ARProgramTableText"/>
              <w:spacing w:before="0" w:after="0" w:line="300" w:lineRule="exact"/>
              <w:rPr>
                <w:rtl/>
              </w:rPr>
            </w:pPr>
            <w:r>
              <w:rPr>
                <w:rFonts w:hint="cs"/>
                <w:rtl/>
              </w:rPr>
              <w:t>500 زيارة للبوابة الإلكترونية</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8954A8" w:rsidRDefault="00FF4BA8" w:rsidP="00ED49E9">
            <w:pPr>
              <w:pStyle w:val="ARProgramTableText"/>
              <w:spacing w:before="0" w:after="0" w:line="300" w:lineRule="exact"/>
              <w:rPr>
                <w:rtl/>
              </w:rPr>
            </w:pPr>
            <w:r w:rsidRPr="00442263">
              <w:rPr>
                <w:rtl/>
              </w:rPr>
              <w:t xml:space="preserve">عدد الناشرين الموقعين على ميثاق نشر </w:t>
            </w:r>
            <w:r>
              <w:rPr>
                <w:rFonts w:hint="cs"/>
                <w:rtl/>
              </w:rPr>
              <w:t>المطبوعات ال</w:t>
            </w:r>
            <w:r w:rsidRPr="00442263">
              <w:rPr>
                <w:rtl/>
              </w:rPr>
              <w:t>م</w:t>
            </w:r>
            <w:r>
              <w:rPr>
                <w:rFonts w:hint="cs"/>
                <w:rtl/>
              </w:rPr>
              <w:t>ُ</w:t>
            </w:r>
            <w:r w:rsidRPr="00442263">
              <w:rPr>
                <w:rtl/>
              </w:rPr>
              <w:t>يس</w:t>
            </w:r>
            <w:r>
              <w:rPr>
                <w:rFonts w:hint="cs"/>
                <w:rtl/>
              </w:rPr>
              <w:t>َّ</w:t>
            </w:r>
            <w:r w:rsidRPr="00442263">
              <w:rPr>
                <w:rtl/>
              </w:rPr>
              <w:t>رة الخاص باتحاد الكتب المُيسَّرة ("الميثاق")</w:t>
            </w:r>
          </w:p>
        </w:tc>
        <w:tc>
          <w:tcPr>
            <w:tcW w:w="2551" w:type="dxa"/>
          </w:tcPr>
          <w:p w:rsidR="00FF4BA8" w:rsidRPr="008954A8" w:rsidRDefault="00FF4BA8" w:rsidP="00ED49E9">
            <w:pPr>
              <w:pStyle w:val="ARProgramTableText"/>
              <w:spacing w:before="0" w:after="0" w:line="300" w:lineRule="exact"/>
              <w:rPr>
                <w:rtl/>
              </w:rPr>
            </w:pPr>
            <w:r>
              <w:rPr>
                <w:rFonts w:hint="cs"/>
                <w:rtl/>
              </w:rPr>
              <w:t xml:space="preserve">توقيع 9 ناشرين على ميثاق اتحاد الكتب المُيسَّرة </w:t>
            </w:r>
          </w:p>
        </w:tc>
        <w:tc>
          <w:tcPr>
            <w:tcW w:w="1668" w:type="dxa"/>
          </w:tcPr>
          <w:p w:rsidR="00FF4BA8" w:rsidRPr="008954A8" w:rsidRDefault="00FF4BA8" w:rsidP="00ED49E9">
            <w:pPr>
              <w:pStyle w:val="ARProgramTableText"/>
              <w:spacing w:before="0" w:after="0" w:line="300" w:lineRule="exact"/>
              <w:rPr>
                <w:rtl/>
              </w:rPr>
            </w:pPr>
            <w:r>
              <w:rPr>
                <w:rFonts w:hint="cs"/>
                <w:rtl/>
              </w:rPr>
              <w:t>توقيع 15 ناشراً (عدد تراكمي)</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442263" w:rsidRDefault="00FF4BA8" w:rsidP="00ED49E9">
            <w:pPr>
              <w:pStyle w:val="ARProgramTableText"/>
              <w:spacing w:before="0" w:after="0" w:line="300" w:lineRule="exact"/>
              <w:rPr>
                <w:rtl/>
              </w:rPr>
            </w:pPr>
            <w:r w:rsidRPr="00D17EAF">
              <w:rPr>
                <w:rtl/>
              </w:rPr>
              <w:t xml:space="preserve">عدد الكتب المنشورة في أنساق مُيسَّرة المُعارة </w:t>
            </w:r>
            <w:r>
              <w:rPr>
                <w:rFonts w:hint="cs"/>
                <w:rtl/>
              </w:rPr>
              <w:t>ل</w:t>
            </w:r>
            <w:r w:rsidRPr="00D17EAF">
              <w:rPr>
                <w:rtl/>
              </w:rPr>
              <w:t>أشخاص عاجزين عن قراءة المطبوعات</w:t>
            </w:r>
          </w:p>
        </w:tc>
        <w:tc>
          <w:tcPr>
            <w:tcW w:w="2551" w:type="dxa"/>
          </w:tcPr>
          <w:p w:rsidR="00FF4BA8" w:rsidRDefault="00FF4BA8" w:rsidP="00ED49E9">
            <w:pPr>
              <w:pStyle w:val="ARProgramTableText"/>
              <w:spacing w:before="0" w:after="0" w:line="300" w:lineRule="exact"/>
              <w:rPr>
                <w:rtl/>
              </w:rPr>
            </w:pPr>
            <w:r w:rsidRPr="000816DA">
              <w:rPr>
                <w:rtl/>
              </w:rPr>
              <w:t>000 16</w:t>
            </w:r>
            <w:r>
              <w:rPr>
                <w:rFonts w:hint="cs"/>
                <w:rtl/>
              </w:rPr>
              <w:t xml:space="preserve"> إعارة لأشخاص عاجزين عن قراءة المطبوعات </w:t>
            </w:r>
          </w:p>
        </w:tc>
        <w:tc>
          <w:tcPr>
            <w:tcW w:w="1668" w:type="dxa"/>
          </w:tcPr>
          <w:p w:rsidR="00FF4BA8" w:rsidRDefault="00FF4BA8" w:rsidP="00ED49E9">
            <w:pPr>
              <w:pStyle w:val="ARProgramTableText"/>
              <w:spacing w:before="0" w:after="0" w:line="300" w:lineRule="exact"/>
              <w:rPr>
                <w:rtl/>
              </w:rPr>
            </w:pPr>
            <w:r w:rsidRPr="000816DA">
              <w:rPr>
                <w:rtl/>
              </w:rPr>
              <w:t>000 20</w:t>
            </w:r>
            <w:r>
              <w:rPr>
                <w:rFonts w:hint="cs"/>
                <w:rtl/>
              </w:rPr>
              <w:t xml:space="preserve"> إعارة (عدد تراكمي)</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442263" w:rsidRDefault="00FF4BA8" w:rsidP="00ED49E9">
            <w:pPr>
              <w:pStyle w:val="ARProgramTableText"/>
              <w:spacing w:before="0" w:after="0" w:line="300" w:lineRule="exact"/>
              <w:rPr>
                <w:rtl/>
              </w:rPr>
            </w:pPr>
            <w:r w:rsidRPr="00A116B2">
              <w:rPr>
                <w:rtl/>
              </w:rPr>
              <w:t xml:space="preserve">النسبة المئوية لتقييم المشاركين الإيجابي </w:t>
            </w:r>
            <w:r>
              <w:rPr>
                <w:rFonts w:hint="cs"/>
                <w:rtl/>
              </w:rPr>
              <w:t>لجدوى</w:t>
            </w:r>
            <w:r w:rsidRPr="00A116B2">
              <w:rPr>
                <w:rtl/>
              </w:rPr>
              <w:t xml:space="preserve"> الاجتماعات وحلقات العمل الخاصة بتكوين كفاءات حق المؤلف والحقوق المجاورة</w:t>
            </w:r>
          </w:p>
        </w:tc>
        <w:tc>
          <w:tcPr>
            <w:tcW w:w="2551" w:type="dxa"/>
          </w:tcPr>
          <w:p w:rsidR="00FF4BA8" w:rsidRDefault="00FF4BA8" w:rsidP="00ED49E9">
            <w:pPr>
              <w:pStyle w:val="ARProgramTableText"/>
              <w:spacing w:before="0" w:after="0" w:line="300" w:lineRule="exact"/>
              <w:rPr>
                <w:rtl/>
              </w:rPr>
            </w:pPr>
            <w:r>
              <w:rPr>
                <w:rFonts w:hint="cs"/>
                <w:rtl/>
              </w:rPr>
              <w:t>70%</w:t>
            </w:r>
          </w:p>
        </w:tc>
        <w:tc>
          <w:tcPr>
            <w:tcW w:w="1668" w:type="dxa"/>
          </w:tcPr>
          <w:p w:rsidR="00FF4BA8" w:rsidRDefault="00FF4BA8" w:rsidP="00ED49E9">
            <w:pPr>
              <w:pStyle w:val="ARProgramTableText"/>
              <w:spacing w:before="0" w:after="0" w:line="300" w:lineRule="exact"/>
              <w:rPr>
                <w:rtl/>
              </w:rPr>
            </w:pPr>
            <w:r>
              <w:rPr>
                <w:rFonts w:hint="cs"/>
                <w:rtl/>
              </w:rPr>
              <w:t>70% من المشاركين يوافقون أو يوافقون بشدة</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442263" w:rsidRDefault="00FF4BA8" w:rsidP="00ED49E9">
            <w:pPr>
              <w:pStyle w:val="ARProgramTableText"/>
              <w:spacing w:before="0" w:after="0" w:line="300" w:lineRule="exact"/>
              <w:rPr>
                <w:rtl/>
              </w:rPr>
            </w:pPr>
            <w:r w:rsidRPr="009D343E">
              <w:rPr>
                <w:rtl/>
              </w:rPr>
              <w:t>النسبة المئوية للمشاركين في حلقات عمل تكوين الكفاءات المتعلقة بحق المؤلف الذين أبلغوا عن الانتفاع العملي بالمعارف بعد تسعة أشهر من حلقة العمل</w:t>
            </w:r>
          </w:p>
        </w:tc>
        <w:tc>
          <w:tcPr>
            <w:tcW w:w="2551" w:type="dxa"/>
          </w:tcPr>
          <w:p w:rsidR="00FF4BA8" w:rsidRDefault="00FF4BA8" w:rsidP="00ED49E9">
            <w:pPr>
              <w:pStyle w:val="ARProgramTableText"/>
              <w:spacing w:before="0" w:after="0" w:line="300" w:lineRule="exact"/>
              <w:rPr>
                <w:rtl/>
              </w:rPr>
            </w:pPr>
            <w:r>
              <w:rPr>
                <w:rFonts w:hint="cs"/>
                <w:rtl/>
              </w:rPr>
              <w:t>70% تقريباً</w:t>
            </w:r>
          </w:p>
        </w:tc>
        <w:tc>
          <w:tcPr>
            <w:tcW w:w="1668" w:type="dxa"/>
          </w:tcPr>
          <w:p w:rsidR="00FF4BA8" w:rsidRDefault="00FF4BA8" w:rsidP="00ED49E9">
            <w:pPr>
              <w:pStyle w:val="ARProgramTableText"/>
              <w:spacing w:before="0" w:after="0" w:line="300" w:lineRule="exact"/>
              <w:rPr>
                <w:rtl/>
              </w:rPr>
            </w:pPr>
            <w:r>
              <w:rPr>
                <w:rFonts w:hint="cs"/>
                <w:rtl/>
              </w:rPr>
              <w:t>80% من المشاركين تقريباً</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9D343E" w:rsidRDefault="00FF4BA8" w:rsidP="00ED49E9">
            <w:pPr>
              <w:pStyle w:val="ARProgramTableText"/>
              <w:spacing w:before="0" w:after="0" w:line="300" w:lineRule="exact"/>
              <w:rPr>
                <w:rtl/>
              </w:rPr>
            </w:pPr>
            <w:r>
              <w:rPr>
                <w:rtl/>
              </w:rPr>
              <w:t>النسبة المئوية لل</w:t>
            </w:r>
            <w:r>
              <w:rPr>
                <w:rFonts w:hint="cs"/>
                <w:rtl/>
              </w:rPr>
              <w:t>مشاركين</w:t>
            </w:r>
            <w:r w:rsidRPr="00B84653">
              <w:rPr>
                <w:rtl/>
              </w:rPr>
              <w:t xml:space="preserve"> الذي</w:t>
            </w:r>
            <w:r>
              <w:rPr>
                <w:rFonts w:hint="cs"/>
                <w:rtl/>
              </w:rPr>
              <w:t>ن</w:t>
            </w:r>
            <w:r w:rsidRPr="00B84653">
              <w:rPr>
                <w:rtl/>
              </w:rPr>
              <w:t xml:space="preserve"> يتمتعون بمعارف ومهارات مُحسَّنة في تنفيذ برامج تكوين الكفاءات في بلدانهم أو مناطقهم</w:t>
            </w:r>
          </w:p>
        </w:tc>
        <w:tc>
          <w:tcPr>
            <w:tcW w:w="2551" w:type="dxa"/>
          </w:tcPr>
          <w:p w:rsidR="00FF4BA8" w:rsidRDefault="00FF4BA8" w:rsidP="00ED49E9">
            <w:pPr>
              <w:pStyle w:val="ARProgramTableText"/>
              <w:spacing w:before="0" w:after="0" w:line="300" w:lineRule="exact"/>
              <w:rPr>
                <w:rtl/>
              </w:rPr>
            </w:pPr>
            <w:r>
              <w:rPr>
                <w:rFonts w:hint="cs"/>
                <w:rtl/>
              </w:rPr>
              <w:t>غير متاحة (مؤشر جديد)</w:t>
            </w:r>
          </w:p>
        </w:tc>
        <w:tc>
          <w:tcPr>
            <w:tcW w:w="1668" w:type="dxa"/>
          </w:tcPr>
          <w:p w:rsidR="00FF4BA8" w:rsidRDefault="00FF4BA8" w:rsidP="00ED49E9">
            <w:pPr>
              <w:pStyle w:val="ARProgramTableText"/>
              <w:spacing w:before="0" w:after="0" w:line="300" w:lineRule="exact"/>
              <w:rPr>
                <w:rtl/>
              </w:rPr>
            </w:pPr>
            <w:r>
              <w:rPr>
                <w:rFonts w:hint="cs"/>
                <w:rtl/>
              </w:rPr>
              <w:t>70% من المشاركين الذين تلقوا التدريب</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r w:rsidRPr="008954A8">
              <w:rPr>
                <w:rFonts w:hint="cs"/>
                <w:rtl/>
              </w:rPr>
              <w:t xml:space="preserve">ه 2.4 </w:t>
            </w:r>
            <w:r w:rsidRPr="00AC349D">
              <w:rPr>
                <w:rtl/>
              </w:rPr>
              <w:t xml:space="preserve">نفاذ محسّن إلى المعلومات المتعلقة بالملكية الفكرية واستخدامها من قبل مؤسسات الملكية الفكرية والجمهور </w:t>
            </w:r>
            <w:r w:rsidRPr="00AC349D">
              <w:rPr>
                <w:rtl/>
              </w:rPr>
              <w:lastRenderedPageBreak/>
              <w:t>لتشجيع الابتكار والإبداع</w:t>
            </w:r>
          </w:p>
        </w:tc>
        <w:tc>
          <w:tcPr>
            <w:tcW w:w="2551" w:type="dxa"/>
          </w:tcPr>
          <w:p w:rsidR="00FF4BA8" w:rsidRPr="008954A8" w:rsidRDefault="00FF4BA8" w:rsidP="00ED49E9">
            <w:pPr>
              <w:pStyle w:val="ARProgramTableText"/>
              <w:spacing w:before="0" w:after="0" w:line="300" w:lineRule="exact"/>
              <w:rPr>
                <w:rtl/>
              </w:rPr>
            </w:pPr>
            <w:r w:rsidRPr="008954A8">
              <w:rPr>
                <w:rFonts w:hint="cs"/>
                <w:rtl/>
              </w:rPr>
              <w:lastRenderedPageBreak/>
              <w:t xml:space="preserve">عدد </w:t>
            </w:r>
            <w:r>
              <w:rPr>
                <w:rFonts w:hint="cs"/>
                <w:rtl/>
              </w:rPr>
              <w:t>الأعضاء المؤسسين لاتحاد الكتب المُيسَّرة</w:t>
            </w:r>
          </w:p>
        </w:tc>
        <w:tc>
          <w:tcPr>
            <w:tcW w:w="2551" w:type="dxa"/>
          </w:tcPr>
          <w:p w:rsidR="00FF4BA8" w:rsidRPr="008954A8" w:rsidRDefault="00FF4BA8" w:rsidP="00ED49E9">
            <w:pPr>
              <w:pStyle w:val="ARProgramTableText"/>
              <w:spacing w:before="0" w:after="0" w:line="300" w:lineRule="exact"/>
              <w:rPr>
                <w:rtl/>
              </w:rPr>
            </w:pPr>
            <w:r>
              <w:rPr>
                <w:rFonts w:hint="cs"/>
                <w:rtl/>
              </w:rPr>
              <w:t>10 أعضاء مؤسسين لاتحاد الكتب المُيسَّرة</w:t>
            </w:r>
          </w:p>
        </w:tc>
        <w:tc>
          <w:tcPr>
            <w:tcW w:w="1668" w:type="dxa"/>
          </w:tcPr>
          <w:p w:rsidR="00FF4BA8" w:rsidRPr="008954A8" w:rsidRDefault="00FF4BA8" w:rsidP="00ED49E9">
            <w:pPr>
              <w:pStyle w:val="ARProgramTableText"/>
              <w:spacing w:before="0" w:after="0" w:line="300" w:lineRule="exact"/>
              <w:rPr>
                <w:rtl/>
              </w:rPr>
            </w:pPr>
            <w:r>
              <w:rPr>
                <w:rFonts w:hint="cs"/>
                <w:rtl/>
              </w:rPr>
              <w:t xml:space="preserve">تسجيل 15 عضواً مؤسساً لاتحاد الكتب المُيسَّرة </w:t>
            </w:r>
          </w:p>
        </w:tc>
      </w:tr>
      <w:tr w:rsidR="00FF4BA8" w:rsidRPr="008954A8" w:rsidTr="00ED49E9">
        <w:tc>
          <w:tcPr>
            <w:tcW w:w="2800" w:type="dxa"/>
          </w:tcPr>
          <w:p w:rsidR="00FF4BA8" w:rsidRPr="00FE6D9B" w:rsidRDefault="00FF4BA8" w:rsidP="00ED49E9">
            <w:pPr>
              <w:pStyle w:val="ARProgramTableText"/>
              <w:spacing w:before="0" w:after="0" w:line="300" w:lineRule="exact"/>
              <w:rPr>
                <w:rtl/>
              </w:rPr>
            </w:pPr>
          </w:p>
        </w:tc>
        <w:tc>
          <w:tcPr>
            <w:tcW w:w="2551" w:type="dxa"/>
          </w:tcPr>
          <w:p w:rsidR="00FF4BA8" w:rsidRPr="008954A8" w:rsidRDefault="00FF4BA8" w:rsidP="00ED49E9">
            <w:pPr>
              <w:pStyle w:val="ARProgramTableText"/>
              <w:spacing w:before="0" w:after="0" w:line="300" w:lineRule="exact"/>
              <w:rPr>
                <w:rtl/>
              </w:rPr>
            </w:pPr>
            <w:r>
              <w:rPr>
                <w:rFonts w:hint="cs"/>
                <w:rtl/>
              </w:rPr>
              <w:t>عدد المانحين</w:t>
            </w:r>
          </w:p>
        </w:tc>
        <w:tc>
          <w:tcPr>
            <w:tcW w:w="2551" w:type="dxa"/>
          </w:tcPr>
          <w:p w:rsidR="00FF4BA8" w:rsidRPr="008954A8" w:rsidRDefault="00FF4BA8" w:rsidP="00ED49E9">
            <w:pPr>
              <w:pStyle w:val="ARProgramTableText"/>
              <w:spacing w:before="0" w:after="0" w:line="300" w:lineRule="exact"/>
              <w:rPr>
                <w:rtl/>
                <w:lang w:bidi="ar-SA"/>
              </w:rPr>
            </w:pPr>
            <w:r>
              <w:rPr>
                <w:rFonts w:hint="cs"/>
                <w:rtl/>
                <w:lang w:bidi="ar-SA"/>
              </w:rPr>
              <w:t>تبرع مانحين اثنين بأموال</w:t>
            </w:r>
          </w:p>
        </w:tc>
        <w:tc>
          <w:tcPr>
            <w:tcW w:w="1668" w:type="dxa"/>
          </w:tcPr>
          <w:p w:rsidR="00FF4BA8" w:rsidRPr="008954A8" w:rsidRDefault="00FF4BA8" w:rsidP="00ED49E9">
            <w:pPr>
              <w:pStyle w:val="ARProgramTableText"/>
              <w:spacing w:before="0" w:after="0" w:line="300" w:lineRule="exact"/>
              <w:rPr>
                <w:rtl/>
              </w:rPr>
            </w:pPr>
            <w:r>
              <w:rPr>
                <w:rFonts w:hint="cs"/>
                <w:rtl/>
              </w:rPr>
              <w:t>تبرع أربعة مانحين بأموال (العدد التراكمي)</w:t>
            </w:r>
          </w:p>
        </w:tc>
      </w:tr>
      <w:tr w:rsidR="00FF4BA8" w:rsidRPr="008954A8" w:rsidTr="00ED49E9">
        <w:tc>
          <w:tcPr>
            <w:tcW w:w="2800" w:type="dxa"/>
          </w:tcPr>
          <w:p w:rsidR="00FF4BA8" w:rsidRPr="008954A8" w:rsidRDefault="00FF4BA8" w:rsidP="00ED49E9">
            <w:pPr>
              <w:pStyle w:val="ARProgramTableText"/>
              <w:spacing w:before="0" w:after="0" w:line="300" w:lineRule="exact"/>
              <w:rPr>
                <w:rtl/>
              </w:rPr>
            </w:pPr>
          </w:p>
        </w:tc>
        <w:tc>
          <w:tcPr>
            <w:tcW w:w="2551" w:type="dxa"/>
          </w:tcPr>
          <w:p w:rsidR="00FF4BA8" w:rsidRPr="008954A8" w:rsidRDefault="00FF4BA8" w:rsidP="00ED49E9">
            <w:pPr>
              <w:pStyle w:val="ARProgramTableText"/>
              <w:spacing w:before="0" w:after="0" w:line="300" w:lineRule="exact"/>
              <w:rPr>
                <w:rtl/>
              </w:rPr>
            </w:pPr>
            <w:r w:rsidRPr="008954A8">
              <w:rPr>
                <w:rFonts w:hint="cs"/>
                <w:rtl/>
              </w:rPr>
              <w:t>عدد الصكوك القانونية والمبادئ التوجيهية و</w:t>
            </w:r>
            <w:r>
              <w:rPr>
                <w:rFonts w:hint="cs"/>
                <w:rtl/>
              </w:rPr>
              <w:t>بيانات ال</w:t>
            </w:r>
            <w:r w:rsidRPr="008954A8">
              <w:rPr>
                <w:rFonts w:hint="cs"/>
                <w:rtl/>
              </w:rPr>
              <w:t>مبادئ بخلاف</w:t>
            </w:r>
            <w:r>
              <w:rPr>
                <w:rtl/>
              </w:rPr>
              <w:t xml:space="preserve"> </w:t>
            </w:r>
            <w:r w:rsidRPr="00960A76">
              <w:rPr>
                <w:rtl/>
              </w:rPr>
              <w:t>الصكوك الملزمة بمشاركة أصحاب المص</w:t>
            </w:r>
            <w:r>
              <w:rPr>
                <w:rFonts w:hint="cs"/>
                <w:rtl/>
              </w:rPr>
              <w:t>ا</w:t>
            </w:r>
            <w:r w:rsidRPr="00960A76">
              <w:rPr>
                <w:rtl/>
              </w:rPr>
              <w:t>لح المعنيين في مجالات مثل معاهدات حق</w:t>
            </w:r>
            <w:r>
              <w:rPr>
                <w:rFonts w:hint="cs"/>
                <w:rtl/>
              </w:rPr>
              <w:t xml:space="preserve"> المؤلف الجديدة</w:t>
            </w:r>
            <w:r w:rsidRPr="00960A76">
              <w:rPr>
                <w:rtl/>
              </w:rPr>
              <w:t xml:space="preserve"> </w:t>
            </w:r>
            <w:r>
              <w:rPr>
                <w:rFonts w:hint="cs"/>
                <w:rtl/>
              </w:rPr>
              <w:t xml:space="preserve">وحق المؤلف </w:t>
            </w:r>
            <w:r w:rsidRPr="00960A76">
              <w:rPr>
                <w:rtl/>
              </w:rPr>
              <w:t>في البيئة الرقمية</w:t>
            </w:r>
          </w:p>
        </w:tc>
        <w:tc>
          <w:tcPr>
            <w:tcW w:w="2551" w:type="dxa"/>
          </w:tcPr>
          <w:p w:rsidR="00FF4BA8" w:rsidRPr="008954A8" w:rsidRDefault="00FF4BA8" w:rsidP="00ED49E9">
            <w:pPr>
              <w:pStyle w:val="ARProgramTableText"/>
              <w:spacing w:before="0" w:after="0" w:line="300" w:lineRule="exact"/>
              <w:rPr>
                <w:rtl/>
              </w:rPr>
            </w:pPr>
            <w:r>
              <w:rPr>
                <w:rFonts w:hint="cs"/>
                <w:rtl/>
              </w:rPr>
              <w:t xml:space="preserve">واحد </w:t>
            </w:r>
            <w:r w:rsidRPr="008954A8">
              <w:rPr>
                <w:rFonts w:hint="cs"/>
                <w:rtl/>
              </w:rPr>
              <w:t>(</w:t>
            </w:r>
            <w:r>
              <w:rPr>
                <w:rFonts w:hint="cs"/>
                <w:rtl/>
              </w:rPr>
              <w:t>مبادئ توجيهية للملكية الفكرية والرياضة</w:t>
            </w:r>
            <w:r w:rsidRPr="008954A8">
              <w:rPr>
                <w:rFonts w:hint="cs"/>
                <w:rtl/>
              </w:rPr>
              <w:t>)</w:t>
            </w:r>
          </w:p>
        </w:tc>
        <w:tc>
          <w:tcPr>
            <w:tcW w:w="1668" w:type="dxa"/>
          </w:tcPr>
          <w:p w:rsidR="00FF4BA8" w:rsidRPr="008954A8" w:rsidRDefault="00FF4BA8" w:rsidP="00ED49E9">
            <w:pPr>
              <w:pStyle w:val="ARProgramTableText"/>
              <w:spacing w:before="0" w:after="0" w:line="300" w:lineRule="exact"/>
              <w:rPr>
                <w:rtl/>
              </w:rPr>
            </w:pPr>
            <w:r w:rsidRPr="008954A8">
              <w:rPr>
                <w:rFonts w:hint="cs"/>
                <w:rtl/>
              </w:rPr>
              <w:t>واحد</w:t>
            </w:r>
          </w:p>
        </w:tc>
      </w:tr>
    </w:tbl>
    <w:p w:rsidR="00FF4BA8" w:rsidRPr="008954A8" w:rsidRDefault="00FF4BA8" w:rsidP="002C3C33">
      <w:pPr>
        <w:pStyle w:val="ARNormal"/>
        <w:spacing w:line="360" w:lineRule="exact"/>
        <w:jc w:val="left"/>
        <w:rPr>
          <w:rtl/>
        </w:rPr>
      </w:pPr>
    </w:p>
    <w:p w:rsidR="00FF4BA8" w:rsidRPr="008954A8" w:rsidRDefault="00FF4BA8" w:rsidP="002C3C33">
      <w:pPr>
        <w:pStyle w:val="ARProgramHeading2"/>
        <w:jc w:val="left"/>
        <w:rPr>
          <w:rtl/>
        </w:rPr>
      </w:pPr>
      <w:r>
        <w:rPr>
          <w:rFonts w:hint="cs"/>
          <w:rtl/>
        </w:rPr>
        <w:t>ال</w:t>
      </w:r>
      <w:r w:rsidRPr="008954A8">
        <w:rPr>
          <w:rtl/>
        </w:rPr>
        <w:t xml:space="preserve">موارد </w:t>
      </w:r>
      <w:r>
        <w:rPr>
          <w:rFonts w:hint="cs"/>
          <w:rtl/>
        </w:rPr>
        <w:t>المخصصة ل</w:t>
      </w:r>
      <w:r w:rsidRPr="008954A8">
        <w:rPr>
          <w:rtl/>
        </w:rPr>
        <w:t xml:space="preserve">لبرنامج </w:t>
      </w:r>
      <w:r w:rsidRPr="008954A8">
        <w:rPr>
          <w:rFonts w:hint="cs"/>
          <w:rtl/>
        </w:rPr>
        <w:t>3</w:t>
      </w:r>
    </w:p>
    <w:p w:rsidR="00FF4BA8" w:rsidRPr="008954A8" w:rsidRDefault="00FF4BA8" w:rsidP="0036027F">
      <w:pPr>
        <w:pStyle w:val="ARNumbered1"/>
        <w:numPr>
          <w:ilvl w:val="0"/>
          <w:numId w:val="13"/>
        </w:numPr>
        <w:ind w:left="-6" w:firstLine="0"/>
        <w:jc w:val="left"/>
        <w:rPr>
          <w:lang w:val="en-US"/>
        </w:rPr>
      </w:pPr>
      <w:r>
        <w:rPr>
          <w:rFonts w:hint="cs"/>
          <w:rtl/>
          <w:lang w:val="en-US"/>
        </w:rPr>
        <w:t xml:space="preserve">يظل إجمالي الموارد المخصصة للبرنامج 3 في المستوى ذاته الذي كان عليه في الثنائية 2014/15. ويُلاحظ انخفاض طفيف في موارد الموظفين نتيجة تحويل المسؤوليات الخاصة بشبكة الويبو لحق المؤلف إلى البرنامج 15 (الحلول التجارية لمكاتب الملكية الفكرية) وذلك الانخفاض تعوضّه زيادة صافية في الموارد خلاف موارد الموظفين تعكس، من جهة: أ) نقل المسؤوليات الخاصة بدراسات اقتصاديات حق المؤلف إلى البرنامج 16 (الاقتصاد والإحصاء) ومن جهة أخرى: ب) زيادة التركيز على </w:t>
      </w:r>
      <w:r>
        <w:rPr>
          <w:rFonts w:hint="cs"/>
          <w:rtl/>
        </w:rPr>
        <w:t xml:space="preserve">المعيار </w:t>
      </w:r>
      <w:r w:rsidRPr="00B0061B">
        <w:rPr>
          <w:rFonts w:hint="cs"/>
          <w:rtl/>
        </w:rPr>
        <w:t xml:space="preserve">الدولي لضمان الجودة في </w:t>
      </w:r>
      <w:r>
        <w:rPr>
          <w:rFonts w:hint="cs"/>
          <w:rtl/>
        </w:rPr>
        <w:t>منظمات الإدارة الجماعية؛ والبوابة ال</w:t>
      </w:r>
      <w:r w:rsidRPr="008316AE">
        <w:rPr>
          <w:rFonts w:hint="cs"/>
          <w:rtl/>
        </w:rPr>
        <w:t xml:space="preserve">إلكترونية </w:t>
      </w:r>
      <w:r>
        <w:rPr>
          <w:rFonts w:hint="cs"/>
          <w:rtl/>
        </w:rPr>
        <w:t xml:space="preserve">الجديدة بشأن </w:t>
      </w:r>
      <w:r w:rsidRPr="008316AE">
        <w:rPr>
          <w:rFonts w:hint="cs"/>
          <w:rtl/>
        </w:rPr>
        <w:t>البنية التحتية لحق المؤلف</w:t>
      </w:r>
      <w:r>
        <w:rPr>
          <w:rFonts w:hint="cs"/>
          <w:rtl/>
        </w:rPr>
        <w:t xml:space="preserve">؛ واتحاد الكتب الميسّرة. والتغييرات مُبلورة في تباين الموارد المرصودة لأغراض النتائج </w:t>
      </w:r>
      <w:r w:rsidRPr="00453EA2">
        <w:rPr>
          <w:rFonts w:hint="cs"/>
          <w:rtl/>
        </w:rPr>
        <w:t xml:space="preserve">ه </w:t>
      </w:r>
      <w:r w:rsidR="0036027F">
        <w:rPr>
          <w:rFonts w:hint="cs"/>
          <w:rtl/>
        </w:rPr>
        <w:t>4</w:t>
      </w:r>
      <w:r w:rsidRPr="00453EA2">
        <w:rPr>
          <w:rFonts w:hint="cs"/>
          <w:rtl/>
        </w:rPr>
        <w:t>.4</w:t>
      </w:r>
      <w:r>
        <w:rPr>
          <w:rFonts w:hint="cs"/>
          <w:rtl/>
        </w:rPr>
        <w:t xml:space="preserve"> و</w:t>
      </w:r>
      <w:r w:rsidRPr="00453EA2">
        <w:rPr>
          <w:rFonts w:hint="cs"/>
          <w:rtl/>
        </w:rPr>
        <w:t xml:space="preserve"> </w:t>
      </w:r>
      <w:r w:rsidRPr="008954A8">
        <w:rPr>
          <w:rFonts w:hint="cs"/>
          <w:rtl/>
        </w:rPr>
        <w:t>ه 2.</w:t>
      </w:r>
      <w:r>
        <w:rPr>
          <w:rFonts w:hint="cs"/>
          <w:rtl/>
        </w:rPr>
        <w:t>5 و</w:t>
      </w:r>
      <w:r w:rsidRPr="00453EA2">
        <w:rPr>
          <w:rFonts w:hint="cs"/>
          <w:rtl/>
        </w:rPr>
        <w:t xml:space="preserve"> </w:t>
      </w:r>
      <w:r w:rsidRPr="008954A8">
        <w:rPr>
          <w:rFonts w:hint="cs"/>
          <w:rtl/>
        </w:rPr>
        <w:t>ه 2.</w:t>
      </w:r>
      <w:r>
        <w:rPr>
          <w:rFonts w:hint="cs"/>
          <w:rtl/>
        </w:rPr>
        <w:t>3 بين الثنائيتين.</w:t>
      </w:r>
    </w:p>
    <w:p w:rsidR="00FF4BA8" w:rsidRPr="008954A8" w:rsidRDefault="00FF4BA8" w:rsidP="002C3C33">
      <w:pPr>
        <w:pStyle w:val="ARNormal"/>
        <w:keepNext/>
        <w:spacing w:after="0"/>
        <w:ind w:left="720"/>
        <w:jc w:val="center"/>
        <w:rPr>
          <w:b/>
          <w:bCs/>
          <w:rtl/>
        </w:rPr>
      </w:pPr>
      <w:r w:rsidRPr="008954A8">
        <w:rPr>
          <w:rFonts w:hint="cs"/>
          <w:b/>
          <w:bCs/>
          <w:rtl/>
        </w:rPr>
        <w:t>البرنامج 3: الموارد بحسب كل نتيجة</w:t>
      </w:r>
    </w:p>
    <w:p w:rsidR="00FF4BA8" w:rsidRPr="008954A8" w:rsidRDefault="00FF4BA8" w:rsidP="002C3C33">
      <w:pPr>
        <w:pStyle w:val="ARNumbered1"/>
        <w:keepNext/>
        <w:numPr>
          <w:ilvl w:val="0"/>
          <w:numId w:val="0"/>
        </w:numPr>
        <w:ind w:left="720"/>
        <w:jc w:val="center"/>
        <w:rPr>
          <w:rtl/>
          <w:lang w:val="en-US"/>
        </w:rPr>
      </w:pPr>
      <w:r w:rsidRPr="008954A8">
        <w:rPr>
          <w:rFonts w:hint="cs"/>
          <w:i/>
          <w:iCs/>
          <w:rtl/>
        </w:rPr>
        <w:t>(بآلاف الفرنكات السويسرية)</w:t>
      </w:r>
    </w:p>
    <w:p w:rsidR="00FF4BA8" w:rsidRDefault="00FF4BA8" w:rsidP="002C3C33">
      <w:pPr>
        <w:pStyle w:val="ARNormal"/>
        <w:spacing w:line="240" w:lineRule="auto"/>
        <w:jc w:val="left"/>
        <w:rPr>
          <w:rtl/>
        </w:rPr>
      </w:pPr>
      <w:r w:rsidRPr="00FF4BA8">
        <w:rPr>
          <w:noProof/>
          <w:rtl/>
          <w:lang w:val="en-US"/>
        </w:rPr>
        <w:drawing>
          <wp:inline distT="0" distB="0" distL="0" distR="0" wp14:anchorId="24688BCC" wp14:editId="59C7CACE">
            <wp:extent cx="5676900" cy="411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76900" cy="4114800"/>
                    </a:xfrm>
                    <a:prstGeom prst="rect">
                      <a:avLst/>
                    </a:prstGeom>
                    <a:noFill/>
                    <a:ln>
                      <a:noFill/>
                    </a:ln>
                  </pic:spPr>
                </pic:pic>
              </a:graphicData>
            </a:graphic>
          </wp:inline>
        </w:drawing>
      </w:r>
    </w:p>
    <w:p w:rsidR="00FF4BA8" w:rsidRPr="008954A8" w:rsidRDefault="00FF4BA8" w:rsidP="002C3C33">
      <w:pPr>
        <w:pStyle w:val="ARNormal"/>
        <w:keepNext/>
        <w:spacing w:after="0"/>
        <w:jc w:val="center"/>
        <w:rPr>
          <w:b/>
          <w:bCs/>
          <w:rtl/>
        </w:rPr>
      </w:pPr>
      <w:r w:rsidRPr="008954A8">
        <w:rPr>
          <w:rFonts w:hint="cs"/>
          <w:b/>
          <w:bCs/>
          <w:rtl/>
        </w:rPr>
        <w:lastRenderedPageBreak/>
        <w:t>البرنامج 3: الموارد بحسب غرض الإنفاق</w:t>
      </w:r>
    </w:p>
    <w:p w:rsidR="00FF4BA8" w:rsidRPr="008954A8" w:rsidRDefault="00FF4BA8" w:rsidP="00AA5889">
      <w:pPr>
        <w:pStyle w:val="ARNormal"/>
        <w:keepNext/>
        <w:spacing w:after="0" w:line="240" w:lineRule="auto"/>
        <w:jc w:val="center"/>
        <w:rPr>
          <w:i/>
          <w:iCs/>
          <w:rtl/>
        </w:rPr>
      </w:pPr>
      <w:r w:rsidRPr="008954A8">
        <w:rPr>
          <w:rFonts w:hint="cs"/>
          <w:i/>
          <w:iCs/>
          <w:rtl/>
        </w:rPr>
        <w:t>(بآلاف الفرنكات السويسرية)</w:t>
      </w:r>
    </w:p>
    <w:p w:rsidR="00FF4BA8" w:rsidRDefault="00FF4BA8" w:rsidP="002C3C33">
      <w:pPr>
        <w:pStyle w:val="ARNormal"/>
        <w:spacing w:line="240" w:lineRule="auto"/>
        <w:jc w:val="center"/>
        <w:rPr>
          <w:rtl/>
        </w:rPr>
      </w:pPr>
      <w:r w:rsidRPr="00FF4BA8">
        <w:rPr>
          <w:noProof/>
          <w:rtl/>
          <w:lang w:val="en-US"/>
        </w:rPr>
        <w:drawing>
          <wp:inline distT="0" distB="0" distL="0" distR="0" wp14:anchorId="60BC23D1" wp14:editId="2CB6E0BE">
            <wp:extent cx="5049079" cy="590573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58026" cy="5916198"/>
                    </a:xfrm>
                    <a:prstGeom prst="rect">
                      <a:avLst/>
                    </a:prstGeom>
                    <a:noFill/>
                    <a:ln>
                      <a:noFill/>
                    </a:ln>
                  </pic:spPr>
                </pic:pic>
              </a:graphicData>
            </a:graphic>
          </wp:inline>
        </w:drawing>
      </w:r>
    </w:p>
    <w:p w:rsidR="00FF4BA8" w:rsidRPr="00293863" w:rsidRDefault="00FF4BA8" w:rsidP="002C3C33">
      <w:pPr>
        <w:pStyle w:val="ARNormal"/>
        <w:keepNext/>
        <w:spacing w:after="0"/>
        <w:jc w:val="center"/>
        <w:rPr>
          <w:b/>
          <w:bCs/>
          <w:rtl/>
        </w:rPr>
      </w:pPr>
      <w:r w:rsidRPr="00487D33">
        <w:rPr>
          <w:rFonts w:hint="cs"/>
          <w:b/>
          <w:bCs/>
          <w:rtl/>
        </w:rPr>
        <w:t xml:space="preserve">الموارد </w:t>
      </w:r>
      <w:proofErr w:type="spellStart"/>
      <w:r w:rsidRPr="00487D33">
        <w:rPr>
          <w:rFonts w:hint="cs"/>
          <w:b/>
          <w:bCs/>
          <w:rtl/>
        </w:rPr>
        <w:t>الاستئمانية</w:t>
      </w:r>
      <w:proofErr w:type="spellEnd"/>
      <w:r w:rsidRPr="00487D33">
        <w:rPr>
          <w:rFonts w:hint="cs"/>
          <w:b/>
          <w:bCs/>
          <w:rtl/>
        </w:rPr>
        <w:t xml:space="preserve"> المحتمل توافرها لأغراض البرامج في</w:t>
      </w:r>
      <w:r w:rsidRPr="00487D33">
        <w:rPr>
          <w:b/>
          <w:bCs/>
          <w:rtl/>
        </w:rPr>
        <w:t xml:space="preserve"> </w:t>
      </w:r>
      <w:r>
        <w:rPr>
          <w:rFonts w:hint="cs"/>
          <w:b/>
          <w:bCs/>
          <w:rtl/>
        </w:rPr>
        <w:t>2016</w:t>
      </w:r>
      <w:r w:rsidRPr="00487D33">
        <w:rPr>
          <w:b/>
          <w:bCs/>
          <w:rtl/>
        </w:rPr>
        <w:t>/</w:t>
      </w:r>
      <w:r>
        <w:rPr>
          <w:rFonts w:hint="cs"/>
          <w:b/>
          <w:bCs/>
          <w:rtl/>
        </w:rPr>
        <w:t>17 (بحسب البرنامج)</w:t>
      </w:r>
      <w:r w:rsidRPr="00487D33">
        <w:rPr>
          <w:rFonts w:hint="cs"/>
          <w:b/>
          <w:bCs/>
          <w:vertAlign w:val="superscript"/>
          <w:rtl/>
        </w:rPr>
        <w:t>1</w:t>
      </w:r>
    </w:p>
    <w:p w:rsidR="00FF4BA8" w:rsidRPr="00487D33" w:rsidRDefault="00FF4BA8" w:rsidP="002C3C33">
      <w:pPr>
        <w:pStyle w:val="ARNormal"/>
        <w:spacing w:after="0"/>
        <w:ind w:left="720"/>
        <w:jc w:val="center"/>
        <w:rPr>
          <w:i/>
          <w:iCs/>
          <w:rtl/>
        </w:rPr>
      </w:pPr>
      <w:r w:rsidRPr="00487D33">
        <w:rPr>
          <w:i/>
          <w:iCs/>
          <w:rtl/>
        </w:rPr>
        <w:t>(بآلاف الفرنكات السويسرية)</w:t>
      </w:r>
    </w:p>
    <w:p w:rsidR="00FF4BA8" w:rsidRPr="008954A8" w:rsidRDefault="00FF4BA8" w:rsidP="00FF4BA8">
      <w:pPr>
        <w:pStyle w:val="ARNormal"/>
        <w:spacing w:line="240" w:lineRule="auto"/>
        <w:jc w:val="center"/>
        <w:rPr>
          <w:sz w:val="30"/>
          <w:szCs w:val="30"/>
          <w:rtl/>
        </w:rPr>
      </w:pPr>
      <w:r w:rsidRPr="00FF4BA8">
        <w:rPr>
          <w:noProof/>
          <w:rtl/>
          <w:lang w:val="en-US"/>
        </w:rPr>
        <w:drawing>
          <wp:inline distT="0" distB="0" distL="0" distR="0" wp14:anchorId="7ED8AE5D" wp14:editId="59A621B7">
            <wp:extent cx="5476875" cy="108887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75985" cy="1088697"/>
                    </a:xfrm>
                    <a:prstGeom prst="rect">
                      <a:avLst/>
                    </a:prstGeom>
                    <a:noFill/>
                    <a:ln>
                      <a:noFill/>
                    </a:ln>
                  </pic:spPr>
                </pic:pic>
              </a:graphicData>
            </a:graphic>
          </wp:inline>
        </w:drawing>
      </w:r>
    </w:p>
    <w:p w:rsidR="00FF4BA8" w:rsidRPr="004B2C22" w:rsidRDefault="00FF4BA8" w:rsidP="00FF4BA8">
      <w:pPr>
        <w:adjustRightInd w:val="0"/>
        <w:snapToGrid w:val="0"/>
        <w:spacing w:line="240" w:lineRule="exact"/>
        <w:ind w:left="423"/>
        <w:jc w:val="both"/>
        <w:rPr>
          <w:rFonts w:ascii="Arabic Typesetting" w:hAnsi="Arabic Typesetting" w:cs="Arabic Typesetting"/>
          <w:i/>
          <w:iCs/>
          <w:sz w:val="24"/>
          <w:rtl/>
        </w:rPr>
      </w:pPr>
      <w:r w:rsidRPr="00487D33">
        <w:rPr>
          <w:rFonts w:ascii="Arabic Typesetting" w:hAnsi="Arabic Typesetting" w:cs="Arabic Typesetting" w:hint="cs"/>
          <w:i/>
          <w:iCs/>
          <w:sz w:val="24"/>
          <w:vertAlign w:val="superscript"/>
          <w:rtl/>
        </w:rPr>
        <w:t>1</w:t>
      </w:r>
      <w:r w:rsidRPr="00487D33">
        <w:rPr>
          <w:rFonts w:ascii="Arabic Typesetting" w:hAnsi="Arabic Typesetting" w:cs="Arabic Typesetting" w:hint="cs"/>
          <w:i/>
          <w:iCs/>
          <w:sz w:val="24"/>
          <w:rtl/>
        </w:rPr>
        <w:t xml:space="preserve"> </w:t>
      </w:r>
      <w:r w:rsidRPr="004B2C22">
        <w:rPr>
          <w:rFonts w:ascii="Arabic Typesetting" w:hAnsi="Arabic Typesetting" w:cs="Arabic Typesetting"/>
          <w:i/>
          <w:iCs/>
          <w:sz w:val="24"/>
          <w:rtl/>
        </w:rPr>
        <w:t>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4B2C22">
        <w:rPr>
          <w:rFonts w:ascii="Arabic Typesetting" w:hAnsi="Arabic Typesetting" w:cs="Arabic Typesetting"/>
          <w:i/>
          <w:iCs/>
          <w:sz w:val="24"/>
        </w:rPr>
        <w:t>.</w:t>
      </w:r>
    </w:p>
    <w:p w:rsidR="00FF4BA8" w:rsidRDefault="00FF4BA8" w:rsidP="00FF4BA8">
      <w:pPr>
        <w:adjustRightInd w:val="0"/>
        <w:snapToGrid w:val="0"/>
        <w:spacing w:line="240" w:lineRule="exact"/>
        <w:ind w:left="423"/>
        <w:jc w:val="both"/>
        <w:rPr>
          <w:rFonts w:ascii="Arabic Typesetting" w:hAnsi="Arabic Typesetting" w:cs="Arabic Typesetting"/>
          <w:i/>
          <w:iCs/>
          <w:sz w:val="24"/>
          <w:rtl/>
        </w:rPr>
      </w:pPr>
      <w:r w:rsidRPr="00487D33">
        <w:rPr>
          <w:rFonts w:ascii="Arabic Typesetting" w:hAnsi="Arabic Typesetting" w:cs="Arabic Typesetting" w:hint="cs"/>
          <w:i/>
          <w:iCs/>
          <w:sz w:val="24"/>
          <w:vertAlign w:val="superscript"/>
          <w:rtl/>
        </w:rPr>
        <w:t>2</w:t>
      </w:r>
      <w:r w:rsidRPr="00487D33">
        <w:rPr>
          <w:rFonts w:ascii="Arabic Typesetting" w:hAnsi="Arabic Typesetting" w:cs="Arabic Typesetting" w:hint="cs"/>
          <w:i/>
          <w:iCs/>
          <w:sz w:val="24"/>
          <w:rtl/>
        </w:rPr>
        <w:t xml:space="preserve"> </w:t>
      </w:r>
      <w:r w:rsidRPr="00487D33">
        <w:rPr>
          <w:rFonts w:ascii="Arabic Typesetting" w:hAnsi="Arabic Typesetting" w:cs="Arabic Typesetting"/>
          <w:i/>
          <w:iCs/>
          <w:sz w:val="24"/>
          <w:rtl/>
        </w:rPr>
        <w:t xml:space="preserve">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87D33">
        <w:rPr>
          <w:rFonts w:ascii="Arabic Typesetting" w:hAnsi="Arabic Typesetting" w:cs="Arabic Typesetting"/>
          <w:i/>
          <w:iCs/>
          <w:sz w:val="24"/>
          <w:rtl/>
        </w:rPr>
        <w:t>الاستئماني</w:t>
      </w:r>
      <w:proofErr w:type="spellEnd"/>
      <w:r w:rsidRPr="00487D33">
        <w:rPr>
          <w:rFonts w:ascii="Arabic Typesetting" w:hAnsi="Arabic Typesetting" w:cs="Arabic Typesetting"/>
          <w:i/>
          <w:iCs/>
          <w:sz w:val="24"/>
          <w:rtl/>
        </w:rPr>
        <w:t xml:space="preserve"> التزاما من هذا القبيل</w:t>
      </w:r>
      <w:r w:rsidRPr="00487D33">
        <w:rPr>
          <w:rFonts w:ascii="Arabic Typesetting" w:hAnsi="Arabic Typesetting" w:cs="Arabic Typesetting"/>
          <w:i/>
          <w:iCs/>
          <w:sz w:val="24"/>
        </w:rPr>
        <w:t>.</w:t>
      </w:r>
    </w:p>
    <w:p w:rsidR="009C009F" w:rsidRDefault="00FF4BA8" w:rsidP="00AA5889">
      <w:pPr>
        <w:adjustRightInd w:val="0"/>
        <w:snapToGrid w:val="0"/>
        <w:spacing w:line="240" w:lineRule="exact"/>
        <w:ind w:left="423"/>
        <w:jc w:val="both"/>
        <w:rPr>
          <w:rFonts w:ascii="Arabic Typesetting" w:hAnsi="Arabic Typesetting" w:cs="Arabic Typesetting"/>
          <w:sz w:val="34"/>
          <w:szCs w:val="34"/>
          <w:rtl/>
          <w:lang w:val="fr-CH" w:bidi="ar-SA"/>
        </w:rPr>
      </w:pPr>
      <w:r w:rsidRPr="00487D33">
        <w:rPr>
          <w:rFonts w:ascii="Arabic Typesetting" w:hAnsi="Arabic Typesetting" w:cs="Arabic Typesetting" w:hint="cs"/>
          <w:i/>
          <w:iCs/>
          <w:sz w:val="24"/>
          <w:vertAlign w:val="superscript"/>
          <w:rtl/>
        </w:rPr>
        <w:t>3</w:t>
      </w:r>
      <w:r w:rsidRPr="00487D33">
        <w:rPr>
          <w:rFonts w:ascii="Arabic Typesetting" w:hAnsi="Arabic Typesetting" w:cs="Arabic Typesetting" w:hint="cs"/>
          <w:i/>
          <w:iCs/>
          <w:sz w:val="24"/>
          <w:rtl/>
        </w:rPr>
        <w:t xml:space="preserve"> </w:t>
      </w:r>
      <w:r w:rsidRPr="000E3ED9">
        <w:rPr>
          <w:rFonts w:ascii="Arabic Typesetting" w:hAnsi="Arabic Typesetting" w:cs="Arabic Typesetting"/>
          <w:i/>
          <w:iCs/>
          <w:sz w:val="24"/>
          <w:rtl/>
        </w:rPr>
        <w:t>تتفاوت المساهمات السنوية وقد لوحظت بعض التقلبات من سنة إلى أخرى.</w:t>
      </w:r>
      <w:r w:rsidR="009C009F">
        <w:rPr>
          <w:rtl/>
        </w:rPr>
        <w:br w:type="page"/>
      </w:r>
    </w:p>
    <w:p w:rsidR="009C009F" w:rsidRPr="008954A8" w:rsidRDefault="009C009F" w:rsidP="002C3C33">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23" w:name="_Toc364355360"/>
      <w:bookmarkStart w:id="24" w:name="_Toc420595501"/>
      <w:r w:rsidRPr="008954A8">
        <w:rPr>
          <w:rFonts w:ascii="Arabic Typesetting" w:hAnsi="Arabic Typesetting" w:cs="Arabic Typesetting"/>
          <w:bCs/>
          <w:iCs w:val="0"/>
          <w:noProof/>
          <w:snapToGrid/>
          <w:sz w:val="42"/>
          <w:szCs w:val="42"/>
          <w:rtl/>
          <w:lang w:bidi="ar-EG"/>
        </w:rPr>
        <w:lastRenderedPageBreak/>
        <w:t xml:space="preserve">البرنامج </w:t>
      </w:r>
      <w:r w:rsidRPr="008954A8">
        <w:rPr>
          <w:rFonts w:ascii="Arabic Typesetting" w:hAnsi="Arabic Typesetting" w:cs="Arabic Typesetting" w:hint="cs"/>
          <w:bCs/>
          <w:iCs w:val="0"/>
          <w:noProof/>
          <w:snapToGrid/>
          <w:sz w:val="42"/>
          <w:szCs w:val="42"/>
          <w:rtl/>
          <w:lang w:bidi="ar-EG"/>
        </w:rPr>
        <w:t>4</w:t>
      </w:r>
      <w:r w:rsidRPr="008954A8">
        <w:rPr>
          <w:rFonts w:ascii="Arabic Typesetting" w:hAnsi="Arabic Typesetting" w:cs="Arabic Typesetting"/>
          <w:bCs/>
          <w:iCs w:val="0"/>
          <w:noProof/>
          <w:snapToGrid/>
          <w:sz w:val="42"/>
          <w:szCs w:val="42"/>
          <w:rtl/>
          <w:lang w:bidi="ar-EG"/>
        </w:rPr>
        <w:tab/>
      </w:r>
      <w:r w:rsidRPr="008954A8">
        <w:rPr>
          <w:rFonts w:ascii="Arabic Typesetting" w:hAnsi="Arabic Typesetting" w:cs="Arabic Typesetting" w:hint="cs"/>
          <w:bCs/>
          <w:iCs w:val="0"/>
          <w:noProof/>
          <w:snapToGrid/>
          <w:sz w:val="42"/>
          <w:szCs w:val="42"/>
          <w:rtl/>
          <w:lang w:bidi="ar-EG"/>
        </w:rPr>
        <w:t>المعارف التقليدية وأشكال التعبير الثقافي التقليدي والموارد الوراثية</w:t>
      </w:r>
      <w:bookmarkEnd w:id="23"/>
      <w:bookmarkEnd w:id="24"/>
    </w:p>
    <w:p w:rsidR="009C009F" w:rsidRPr="008954A8" w:rsidRDefault="009C009F" w:rsidP="002C3C33">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9C009F" w:rsidRDefault="009C009F" w:rsidP="00861CFF">
      <w:pPr>
        <w:pStyle w:val="ARNumbered1"/>
        <w:numPr>
          <w:ilvl w:val="0"/>
          <w:numId w:val="15"/>
        </w:numPr>
        <w:ind w:left="0" w:firstLine="0"/>
        <w:jc w:val="left"/>
      </w:pPr>
      <w:r w:rsidRPr="008954A8">
        <w:rPr>
          <w:rFonts w:hint="cs"/>
          <w:rtl/>
        </w:rPr>
        <w:t xml:space="preserve">يرمي هذا البرنامج إلى تحقيق انتفاع أكثر فعالية </w:t>
      </w:r>
      <w:r>
        <w:rPr>
          <w:rFonts w:hint="cs"/>
          <w:rtl/>
        </w:rPr>
        <w:t>بمبادئ الملكية الفكرية وأنظمتها وأدواتها</w:t>
      </w:r>
      <w:r w:rsidRPr="008954A8">
        <w:rPr>
          <w:rFonts w:hint="cs"/>
          <w:rtl/>
        </w:rPr>
        <w:t xml:space="preserve"> الحالية والناشئة</w:t>
      </w:r>
      <w:r>
        <w:rPr>
          <w:rFonts w:hint="cs"/>
          <w:rtl/>
        </w:rPr>
        <w:t xml:space="preserve"> </w:t>
      </w:r>
      <w:r w:rsidRPr="008954A8">
        <w:rPr>
          <w:rFonts w:hint="cs"/>
          <w:rtl/>
        </w:rPr>
        <w:t xml:space="preserve">من أجل حماية </w:t>
      </w:r>
      <w:r>
        <w:rPr>
          <w:rFonts w:hint="cs"/>
          <w:rtl/>
        </w:rPr>
        <w:t>ا</w:t>
      </w:r>
      <w:r w:rsidRPr="008954A8">
        <w:rPr>
          <w:rFonts w:hint="cs"/>
          <w:rtl/>
        </w:rPr>
        <w:t xml:space="preserve">لمعارف التقليدية وأشكال التعبير الثقافي التقليدي </w:t>
      </w:r>
      <w:r>
        <w:rPr>
          <w:rFonts w:hint="cs"/>
          <w:rtl/>
        </w:rPr>
        <w:t>من</w:t>
      </w:r>
      <w:r w:rsidRPr="008954A8">
        <w:rPr>
          <w:rFonts w:hint="cs"/>
          <w:rtl/>
        </w:rPr>
        <w:t xml:space="preserve"> التملك غير المشروع</w:t>
      </w:r>
      <w:r>
        <w:rPr>
          <w:rFonts w:hint="cs"/>
          <w:rtl/>
        </w:rPr>
        <w:t xml:space="preserve"> وسوء الاستخدام</w:t>
      </w:r>
      <w:r w:rsidRPr="008954A8">
        <w:rPr>
          <w:rFonts w:hint="cs"/>
          <w:rtl/>
        </w:rPr>
        <w:t>، و</w:t>
      </w:r>
      <w:r>
        <w:rPr>
          <w:rFonts w:hint="cs"/>
          <w:rtl/>
        </w:rPr>
        <w:t>معالجة قضايا الملكية الفكرية المرتبطة ب</w:t>
      </w:r>
      <w:r w:rsidRPr="008954A8">
        <w:rPr>
          <w:rFonts w:hint="cs"/>
          <w:rtl/>
        </w:rPr>
        <w:t xml:space="preserve">الموارد الوراثية، </w:t>
      </w:r>
      <w:r>
        <w:rPr>
          <w:rFonts w:hint="cs"/>
          <w:rtl/>
        </w:rPr>
        <w:t xml:space="preserve">بما فيها تلك التي تنشأ أثناء </w:t>
      </w:r>
      <w:r w:rsidRPr="008954A8">
        <w:rPr>
          <w:rFonts w:hint="cs"/>
          <w:rtl/>
        </w:rPr>
        <w:t>النفاذ إلى الموارد الوراثية والتقاس</w:t>
      </w:r>
      <w:r>
        <w:rPr>
          <w:rFonts w:hint="cs"/>
          <w:rtl/>
        </w:rPr>
        <w:t>م العادل للمنافع المستمدة منها.</w:t>
      </w:r>
    </w:p>
    <w:p w:rsidR="009C009F" w:rsidRDefault="009C009F" w:rsidP="00861CFF">
      <w:pPr>
        <w:pStyle w:val="ARNumbered1"/>
        <w:numPr>
          <w:ilvl w:val="0"/>
          <w:numId w:val="15"/>
        </w:numPr>
        <w:ind w:left="0" w:firstLine="0"/>
        <w:jc w:val="left"/>
      </w:pPr>
      <w:r>
        <w:rPr>
          <w:rFonts w:hint="cs"/>
          <w:rtl/>
        </w:rPr>
        <w:t xml:space="preserve">وفي هذا السياق، ييسّر البرنامج 4 اجتماعات الدول الأعضاء بشأن أنشطة وضع معايير الملكية الفكرية </w:t>
      </w:r>
      <w:r w:rsidRPr="008954A8">
        <w:rPr>
          <w:rFonts w:hint="cs"/>
          <w:rtl/>
        </w:rPr>
        <w:t>والمعارف التقليدية وأشكال التعبير الثقافي التقليدي والموارد الوراثية.</w:t>
      </w:r>
      <w:r>
        <w:rPr>
          <w:rFonts w:hint="cs"/>
          <w:rtl/>
        </w:rPr>
        <w:t xml:space="preserve"> </w:t>
      </w:r>
      <w:r w:rsidRPr="008954A8">
        <w:rPr>
          <w:rFonts w:hint="cs"/>
          <w:rtl/>
        </w:rPr>
        <w:t>وتجري المفاوضات الدولية</w:t>
      </w:r>
      <w:r>
        <w:rPr>
          <w:rFonts w:hint="cs"/>
          <w:rtl/>
        </w:rPr>
        <w:t xml:space="preserve"> بشأن نص (أو أكثر) صك قانوني دولي (أو أكتر) يضمن حماية فعلية للمعارف التقليدية </w:t>
      </w:r>
      <w:r w:rsidRPr="008954A8">
        <w:rPr>
          <w:rFonts w:hint="cs"/>
          <w:rtl/>
        </w:rPr>
        <w:t xml:space="preserve">وأشكال التعبير الثقافي التقليدي والموارد الوراثية في إطار </w:t>
      </w:r>
      <w:r w:rsidRPr="008954A8">
        <w:rPr>
          <w:rtl/>
        </w:rPr>
        <w:t>اللجنة الحكومية الدولية المعنية بالملكية الفكرية والموارد الوراثية والمعارف التقليدية والفولكلور</w:t>
      </w:r>
      <w:r w:rsidRPr="008954A8">
        <w:rPr>
          <w:rFonts w:hint="cs"/>
          <w:rtl/>
        </w:rPr>
        <w:t>. و</w:t>
      </w:r>
      <w:r>
        <w:rPr>
          <w:rFonts w:hint="cs"/>
          <w:rtl/>
        </w:rPr>
        <w:t>ستدعى الجمعية العامة إلى اتخاذ قرار بشأن تجديد ولاية ومهام اللجنة.</w:t>
      </w:r>
    </w:p>
    <w:p w:rsidR="009C009F" w:rsidRDefault="009C009F" w:rsidP="00861CFF">
      <w:pPr>
        <w:pStyle w:val="ARNumbered1"/>
        <w:numPr>
          <w:ilvl w:val="0"/>
          <w:numId w:val="15"/>
        </w:numPr>
        <w:ind w:left="0" w:firstLine="0"/>
        <w:jc w:val="left"/>
      </w:pPr>
      <w:r>
        <w:rPr>
          <w:rFonts w:hint="cs"/>
          <w:rtl/>
        </w:rPr>
        <w:t>وسيتواصل تقديم مساعدة عملية في شكل حمالات متخصصة لإذكاء الوعي وتكوين الكفاءات والتدريب والمساعدة القانونية والتقنية لفائدة الدول الأعضاء والمنظمات الإقليمي</w:t>
      </w:r>
      <w:r>
        <w:rPr>
          <w:rFonts w:hint="eastAsia"/>
          <w:rtl/>
        </w:rPr>
        <w:t>ة</w:t>
      </w:r>
      <w:r>
        <w:rPr>
          <w:rFonts w:hint="cs"/>
          <w:rtl/>
        </w:rPr>
        <w:t xml:space="preserve"> والشعوب الأصلية والجماعات المحلية وأصحاب المصلحة الآخرين. ويتيح البرنامج مجموعة واسعة من الأدوات العملية والدورات التدريبية والمنشورات والمصادر الإعلامية الأخرى.</w:t>
      </w:r>
    </w:p>
    <w:p w:rsidR="009C009F" w:rsidRDefault="009C009F" w:rsidP="00861CFF">
      <w:pPr>
        <w:pStyle w:val="ARNumbered1"/>
        <w:numPr>
          <w:ilvl w:val="0"/>
          <w:numId w:val="15"/>
        </w:numPr>
        <w:ind w:left="0" w:firstLine="0"/>
        <w:jc w:val="left"/>
      </w:pPr>
      <w:r>
        <w:rPr>
          <w:rFonts w:hint="cs"/>
          <w:rtl/>
        </w:rPr>
        <w:t>والركنان المعياري والعملي للبرنامج مترابطان ويكمل بعضهما البعض.</w:t>
      </w:r>
    </w:p>
    <w:p w:rsidR="009C009F" w:rsidRPr="00F10358" w:rsidRDefault="009C009F" w:rsidP="002C3C33">
      <w:pPr>
        <w:pStyle w:val="ARNormal"/>
        <w:jc w:val="left"/>
        <w:rPr>
          <w:rtl/>
        </w:rPr>
      </w:pPr>
    </w:p>
    <w:p w:rsidR="009C009F" w:rsidRPr="007645BB" w:rsidRDefault="009C009F" w:rsidP="002C3C33">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7645BB">
        <w:rPr>
          <w:rFonts w:ascii="Arabic Typesetting" w:hAnsi="Arabic Typesetting" w:cs="Arabic Typesetting"/>
          <w:noProof/>
          <w:snapToGrid/>
          <w:sz w:val="38"/>
          <w:szCs w:val="38"/>
          <w:rtl/>
          <w:lang w:val="x-none" w:eastAsia="x-none" w:bidi="ar-EG"/>
        </w:rPr>
        <w:t>استراتيجيات التنفيذ</w:t>
      </w:r>
    </w:p>
    <w:p w:rsidR="009C009F" w:rsidRDefault="009C009F" w:rsidP="00861CFF">
      <w:pPr>
        <w:pStyle w:val="ARNumbered1"/>
        <w:numPr>
          <w:ilvl w:val="0"/>
          <w:numId w:val="15"/>
        </w:numPr>
        <w:ind w:left="0" w:firstLine="0"/>
        <w:jc w:val="left"/>
      </w:pPr>
      <w:r w:rsidRPr="008954A8">
        <w:rPr>
          <w:rtl/>
        </w:rPr>
        <w:t xml:space="preserve">في هذا المسار الذي توجهه الدول الأعضاء، يعتمد التقدم نحو </w:t>
      </w:r>
      <w:r>
        <w:rPr>
          <w:rFonts w:hint="cs"/>
          <w:rtl/>
        </w:rPr>
        <w:t xml:space="preserve">تحقيق </w:t>
      </w:r>
      <w:r w:rsidRPr="008954A8">
        <w:rPr>
          <w:rtl/>
        </w:rPr>
        <w:t xml:space="preserve">نتائج دولية بقدر كبير على </w:t>
      </w:r>
      <w:r>
        <w:rPr>
          <w:rFonts w:hint="cs"/>
          <w:rtl/>
        </w:rPr>
        <w:t xml:space="preserve">قرارات الدول الأعضاء. </w:t>
      </w:r>
      <w:r w:rsidRPr="008954A8">
        <w:rPr>
          <w:rFonts w:hint="cs"/>
          <w:rtl/>
        </w:rPr>
        <w:t>و</w:t>
      </w:r>
      <w:r>
        <w:rPr>
          <w:rFonts w:hint="cs"/>
          <w:rtl/>
        </w:rPr>
        <w:t xml:space="preserve">عليه، ينبغي أن </w:t>
      </w:r>
      <w:r w:rsidRPr="008954A8">
        <w:rPr>
          <w:rFonts w:hint="cs"/>
          <w:rtl/>
        </w:rPr>
        <w:t xml:space="preserve">تشمل نتائج البرنامج، في المقام الأول، إرساء بيئة مواتية لإجراء </w:t>
      </w:r>
      <w:r>
        <w:rPr>
          <w:rFonts w:hint="cs"/>
          <w:rtl/>
        </w:rPr>
        <w:t xml:space="preserve">أنشطة معيارية </w:t>
      </w:r>
      <w:r w:rsidRPr="008954A8">
        <w:rPr>
          <w:rFonts w:hint="cs"/>
          <w:rtl/>
        </w:rPr>
        <w:t xml:space="preserve">مركزة </w:t>
      </w:r>
      <w:r>
        <w:rPr>
          <w:rFonts w:hint="cs"/>
          <w:rtl/>
        </w:rPr>
        <w:t xml:space="preserve">حسبما تقرره الجمعية العامة، مما قد يؤدي </w:t>
      </w:r>
      <w:r w:rsidRPr="008954A8">
        <w:rPr>
          <w:rFonts w:hint="cs"/>
          <w:rtl/>
        </w:rPr>
        <w:t>إلى فهم مشترك وتوافق في الآراء</w:t>
      </w:r>
      <w:r>
        <w:rPr>
          <w:rFonts w:hint="cs"/>
          <w:rtl/>
        </w:rPr>
        <w:t>،</w:t>
      </w:r>
      <w:r w:rsidRPr="008954A8">
        <w:rPr>
          <w:rFonts w:hint="cs"/>
          <w:rtl/>
        </w:rPr>
        <w:t xml:space="preserve"> </w:t>
      </w:r>
      <w:r>
        <w:rPr>
          <w:rFonts w:hint="cs"/>
          <w:rtl/>
        </w:rPr>
        <w:t>ومن ثمة قرارات الدول الأعضاء.</w:t>
      </w:r>
    </w:p>
    <w:p w:rsidR="009C009F" w:rsidRDefault="009C009F" w:rsidP="00861CFF">
      <w:pPr>
        <w:pStyle w:val="ARNumbered1"/>
        <w:numPr>
          <w:ilvl w:val="0"/>
          <w:numId w:val="15"/>
        </w:numPr>
        <w:ind w:left="0" w:firstLine="0"/>
        <w:jc w:val="left"/>
      </w:pPr>
      <w:r w:rsidRPr="008954A8">
        <w:rPr>
          <w:rFonts w:hint="cs"/>
          <w:rtl/>
        </w:rPr>
        <w:t xml:space="preserve">وتتعلق النتيجة الثانية </w:t>
      </w:r>
      <w:r>
        <w:rPr>
          <w:rFonts w:hint="cs"/>
          <w:rtl/>
        </w:rPr>
        <w:t xml:space="preserve">بتحقيق </w:t>
      </w:r>
      <w:r w:rsidRPr="008954A8">
        <w:rPr>
          <w:rFonts w:hint="cs"/>
          <w:rtl/>
        </w:rPr>
        <w:t>وعي أكبر في صفوف الدول والشعوب الأصلية والمجتمعات المحلية</w:t>
      </w:r>
      <w:r>
        <w:rPr>
          <w:rFonts w:hint="cs"/>
          <w:rtl/>
        </w:rPr>
        <w:t xml:space="preserve"> (بما في ذلك النساء)</w:t>
      </w:r>
      <w:r w:rsidRPr="008954A8">
        <w:rPr>
          <w:rFonts w:hint="cs"/>
          <w:rtl/>
        </w:rPr>
        <w:t xml:space="preserve"> وغيرها من أصحاب المصلح</w:t>
      </w:r>
      <w:r>
        <w:rPr>
          <w:rFonts w:hint="cs"/>
          <w:rtl/>
        </w:rPr>
        <w:t>ة</w:t>
      </w:r>
      <w:r w:rsidRPr="008954A8">
        <w:rPr>
          <w:rFonts w:hint="cs"/>
          <w:rtl/>
        </w:rPr>
        <w:t xml:space="preserve"> بأن العلاقة بين الملكية الفكرية والمعارف التقليدية وأشكال التعبير الثقافي التقليدي والموارد الوراثية هي علاقة تلعب دورا مكملا في استراتيجيات التنمية الوطنية وسياسات الابتكار والسياسات الثقافية</w:t>
      </w:r>
      <w:r>
        <w:rPr>
          <w:rFonts w:hint="cs"/>
          <w:rtl/>
        </w:rPr>
        <w:t xml:space="preserve"> والسياسات الأخرى،</w:t>
      </w:r>
      <w:r w:rsidRPr="008954A8">
        <w:rPr>
          <w:rFonts w:hint="cs"/>
          <w:rtl/>
        </w:rPr>
        <w:t xml:space="preserve"> و</w:t>
      </w:r>
      <w:r>
        <w:rPr>
          <w:rFonts w:hint="cs"/>
          <w:rtl/>
        </w:rPr>
        <w:t xml:space="preserve">تلعب دورا مكملا، </w:t>
      </w:r>
      <w:r w:rsidRPr="008954A8">
        <w:rPr>
          <w:rFonts w:hint="cs"/>
          <w:rtl/>
        </w:rPr>
        <w:t>بتحديد أكبر، في زيادة القدرة</w:t>
      </w:r>
      <w:r>
        <w:rPr>
          <w:rFonts w:hint="cs"/>
          <w:rtl/>
        </w:rPr>
        <w:t>، تماشيا مع جدول أعمال التنمية،</w:t>
      </w:r>
      <w:r w:rsidRPr="008954A8">
        <w:rPr>
          <w:rFonts w:hint="cs"/>
          <w:rtl/>
        </w:rPr>
        <w:t xml:space="preserve"> على استخدام مبادئ الملكية الفكرية وأنظمتها</w:t>
      </w:r>
      <w:r>
        <w:rPr>
          <w:rFonts w:hint="cs"/>
          <w:rtl/>
        </w:rPr>
        <w:t xml:space="preserve"> وأدواتها</w:t>
      </w:r>
      <w:r w:rsidRPr="008954A8">
        <w:rPr>
          <w:rFonts w:hint="cs"/>
          <w:rtl/>
        </w:rPr>
        <w:t xml:space="preserve"> من أجل حماية فعالة للمعارف التقليدية وأشكال التعبير الثقافي التقليدي ومن أجل إدارة العلاقة بين الملكية الفكرية والموارد الوراثية </w:t>
      </w:r>
      <w:r>
        <w:rPr>
          <w:rFonts w:hint="cs"/>
          <w:rtl/>
        </w:rPr>
        <w:t>لأغراض التنمية الاقتصادية والاجتماعية والثقافية</w:t>
      </w:r>
      <w:r w:rsidRPr="008954A8">
        <w:rPr>
          <w:rFonts w:hint="cs"/>
          <w:rtl/>
        </w:rPr>
        <w:t>.</w:t>
      </w:r>
    </w:p>
    <w:p w:rsidR="009C009F" w:rsidRPr="008954A8" w:rsidRDefault="009C009F" w:rsidP="00861CFF">
      <w:pPr>
        <w:pStyle w:val="ARNumbered1"/>
        <w:numPr>
          <w:ilvl w:val="0"/>
          <w:numId w:val="15"/>
        </w:numPr>
        <w:ind w:left="0" w:firstLine="0"/>
        <w:jc w:val="left"/>
        <w:rPr>
          <w:rtl/>
        </w:rPr>
      </w:pPr>
      <w:r w:rsidRPr="008954A8">
        <w:rPr>
          <w:rFonts w:hint="cs"/>
          <w:rtl/>
        </w:rPr>
        <w:t xml:space="preserve">وفي سبيل تحقيق </w:t>
      </w:r>
      <w:r>
        <w:rPr>
          <w:rFonts w:hint="cs"/>
          <w:rtl/>
        </w:rPr>
        <w:t>البرنامج</w:t>
      </w:r>
      <w:r w:rsidRPr="008954A8">
        <w:rPr>
          <w:rFonts w:hint="cs"/>
          <w:rtl/>
        </w:rPr>
        <w:t xml:space="preserve"> لنتائج</w:t>
      </w:r>
      <w:r>
        <w:rPr>
          <w:rFonts w:hint="cs"/>
          <w:rtl/>
        </w:rPr>
        <w:t>ه المرتقبة</w:t>
      </w:r>
      <w:r w:rsidRPr="008954A8">
        <w:rPr>
          <w:rFonts w:hint="cs"/>
          <w:rtl/>
        </w:rPr>
        <w:t xml:space="preserve">، </w:t>
      </w:r>
      <w:r>
        <w:rPr>
          <w:rFonts w:hint="cs"/>
          <w:rtl/>
        </w:rPr>
        <w:t xml:space="preserve">سيسعى </w:t>
      </w:r>
      <w:r w:rsidRPr="008954A8">
        <w:rPr>
          <w:rFonts w:hint="cs"/>
          <w:rtl/>
        </w:rPr>
        <w:t>إلى تنفيذ الاستراتيجيات المترابطة والمتكاملة الثلاث التالية:</w:t>
      </w:r>
    </w:p>
    <w:p w:rsidR="009C009F" w:rsidRPr="008954A8" w:rsidRDefault="009C009F" w:rsidP="00861CFF">
      <w:pPr>
        <w:pStyle w:val="ARNumbered1"/>
        <w:numPr>
          <w:ilvl w:val="0"/>
          <w:numId w:val="14"/>
        </w:numPr>
        <w:ind w:left="1132" w:hanging="567"/>
        <w:jc w:val="left"/>
      </w:pPr>
      <w:r w:rsidRPr="008954A8">
        <w:rPr>
          <w:rFonts w:hint="cs"/>
          <w:rtl/>
        </w:rPr>
        <w:t xml:space="preserve">تقديم الدعم </w:t>
      </w:r>
      <w:r>
        <w:rPr>
          <w:rFonts w:hint="cs"/>
          <w:rtl/>
        </w:rPr>
        <w:t>اللوجستي</w:t>
      </w:r>
      <w:r w:rsidRPr="008954A8">
        <w:rPr>
          <w:rFonts w:hint="cs"/>
          <w:rtl/>
        </w:rPr>
        <w:t xml:space="preserve"> </w:t>
      </w:r>
      <w:r>
        <w:rPr>
          <w:rFonts w:hint="cs"/>
          <w:rtl/>
        </w:rPr>
        <w:t>والتقني والموضوعي</w:t>
      </w:r>
      <w:r w:rsidRPr="008954A8">
        <w:rPr>
          <w:rFonts w:hint="cs"/>
          <w:rtl/>
        </w:rPr>
        <w:t xml:space="preserve"> </w:t>
      </w:r>
      <w:r>
        <w:rPr>
          <w:rFonts w:hint="cs"/>
          <w:rtl/>
        </w:rPr>
        <w:t xml:space="preserve">بشكل </w:t>
      </w:r>
      <w:r w:rsidRPr="008954A8">
        <w:rPr>
          <w:rFonts w:hint="cs"/>
          <w:rtl/>
        </w:rPr>
        <w:t xml:space="preserve">مهني ومحايد </w:t>
      </w:r>
      <w:r>
        <w:rPr>
          <w:rFonts w:hint="cs"/>
          <w:rtl/>
        </w:rPr>
        <w:t>لل</w:t>
      </w:r>
      <w:r w:rsidRPr="008954A8">
        <w:rPr>
          <w:rFonts w:hint="cs"/>
          <w:rtl/>
        </w:rPr>
        <w:t>اجتماعات</w:t>
      </w:r>
      <w:r>
        <w:rPr>
          <w:rFonts w:hint="cs"/>
          <w:rtl/>
        </w:rPr>
        <w:t xml:space="preserve"> </w:t>
      </w:r>
      <w:r w:rsidRPr="008954A8">
        <w:rPr>
          <w:rFonts w:hint="cs"/>
          <w:rtl/>
        </w:rPr>
        <w:t>و</w:t>
      </w:r>
      <w:r>
        <w:rPr>
          <w:rFonts w:hint="cs"/>
          <w:rtl/>
        </w:rPr>
        <w:t>ال</w:t>
      </w:r>
      <w:r w:rsidRPr="008954A8">
        <w:rPr>
          <w:rFonts w:hint="cs"/>
          <w:rtl/>
        </w:rPr>
        <w:t>مؤتمر</w:t>
      </w:r>
      <w:r>
        <w:rPr>
          <w:rFonts w:hint="cs"/>
          <w:rtl/>
        </w:rPr>
        <w:t>ات</w:t>
      </w:r>
      <w:r w:rsidRPr="008954A8">
        <w:rPr>
          <w:rFonts w:hint="cs"/>
          <w:rtl/>
        </w:rPr>
        <w:t xml:space="preserve"> </w:t>
      </w:r>
      <w:r>
        <w:rPr>
          <w:rFonts w:hint="cs"/>
          <w:rtl/>
        </w:rPr>
        <w:t>بشأن الأنشطة المعيارية حسبما تقرره الجمعية العامة</w:t>
      </w:r>
      <w:r w:rsidRPr="008954A8">
        <w:rPr>
          <w:rFonts w:hint="cs"/>
          <w:rtl/>
        </w:rPr>
        <w:t xml:space="preserve">؛ والدعم الإداري للمبادرات </w:t>
      </w:r>
      <w:r w:rsidRPr="008954A8">
        <w:rPr>
          <w:rtl/>
        </w:rPr>
        <w:t>الرامية إلى</w:t>
      </w:r>
      <w:r w:rsidRPr="008954A8">
        <w:rPr>
          <w:rFonts w:hint="cs"/>
          <w:rtl/>
        </w:rPr>
        <w:t xml:space="preserve"> تعزيز</w:t>
      </w:r>
      <w:r w:rsidRPr="008954A8">
        <w:rPr>
          <w:rtl/>
        </w:rPr>
        <w:t xml:space="preserve"> </w:t>
      </w:r>
      <w:r w:rsidRPr="008954A8">
        <w:rPr>
          <w:rFonts w:hint="cs"/>
          <w:rtl/>
        </w:rPr>
        <w:t>ال</w:t>
      </w:r>
      <w:r w:rsidRPr="008954A8">
        <w:rPr>
          <w:rtl/>
        </w:rPr>
        <w:t xml:space="preserve">مشاركة </w:t>
      </w:r>
      <w:r w:rsidRPr="008954A8">
        <w:rPr>
          <w:rFonts w:hint="cs"/>
          <w:rtl/>
        </w:rPr>
        <w:t xml:space="preserve">الفعالة من جانب </w:t>
      </w:r>
      <w:r w:rsidRPr="008954A8">
        <w:rPr>
          <w:rtl/>
        </w:rPr>
        <w:t>ممثلي</w:t>
      </w:r>
      <w:r w:rsidRPr="008954A8">
        <w:rPr>
          <w:rFonts w:hint="cs"/>
          <w:rtl/>
        </w:rPr>
        <w:t xml:space="preserve"> الشعوب </w:t>
      </w:r>
      <w:r w:rsidRPr="008954A8">
        <w:rPr>
          <w:rtl/>
        </w:rPr>
        <w:t>الأصلية و</w:t>
      </w:r>
      <w:r w:rsidRPr="008954A8">
        <w:rPr>
          <w:rFonts w:hint="cs"/>
          <w:rtl/>
        </w:rPr>
        <w:t xml:space="preserve">المجتمعات </w:t>
      </w:r>
      <w:r w:rsidRPr="008954A8">
        <w:rPr>
          <w:rtl/>
        </w:rPr>
        <w:t xml:space="preserve">المحلية في أعمال الويبو، </w:t>
      </w:r>
      <w:r w:rsidRPr="008954A8">
        <w:rPr>
          <w:rFonts w:hint="cs"/>
          <w:rtl/>
        </w:rPr>
        <w:t>بما في ذلك إدارة المسائل اللوجستية</w:t>
      </w:r>
      <w:r w:rsidRPr="008954A8">
        <w:rPr>
          <w:rtl/>
        </w:rPr>
        <w:t xml:space="preserve"> </w:t>
      </w:r>
      <w:r w:rsidRPr="008954A8">
        <w:rPr>
          <w:rFonts w:hint="cs"/>
          <w:rtl/>
        </w:rPr>
        <w:t>ل</w:t>
      </w:r>
      <w:r w:rsidRPr="008954A8">
        <w:rPr>
          <w:rtl/>
        </w:rPr>
        <w:t xml:space="preserve">صندوق الويبو للتبرعات </w:t>
      </w:r>
      <w:r w:rsidRPr="008954A8">
        <w:rPr>
          <w:rFonts w:hint="cs"/>
          <w:rtl/>
        </w:rPr>
        <w:t>المخصص للجماعات الأصلية والمحلية المعتمدة؛</w:t>
      </w:r>
      <w:r w:rsidRPr="008954A8">
        <w:t xml:space="preserve"> </w:t>
      </w:r>
      <w:r w:rsidRPr="008954A8">
        <w:rPr>
          <w:rtl/>
        </w:rPr>
        <w:t>وتنسيق أوثق وتعاون أقرب مع سائر المنظمات والمحافل الحكومية الدولية</w:t>
      </w:r>
      <w:r>
        <w:rPr>
          <w:rFonts w:hint="cs"/>
          <w:rtl/>
        </w:rPr>
        <w:t xml:space="preserve"> حسب الاقتضاء</w:t>
      </w:r>
      <w:r w:rsidRPr="008954A8">
        <w:rPr>
          <w:rFonts w:hint="cs"/>
          <w:rtl/>
        </w:rPr>
        <w:t>؛</w:t>
      </w:r>
    </w:p>
    <w:p w:rsidR="009C009F" w:rsidRPr="008954A8" w:rsidRDefault="009C009F" w:rsidP="00861CFF">
      <w:pPr>
        <w:pStyle w:val="ARNumbered1"/>
        <w:numPr>
          <w:ilvl w:val="0"/>
          <w:numId w:val="14"/>
        </w:numPr>
        <w:ind w:left="1132" w:hanging="567"/>
        <w:jc w:val="left"/>
      </w:pPr>
      <w:r w:rsidRPr="008954A8">
        <w:rPr>
          <w:rFonts w:hint="cs"/>
          <w:rtl/>
        </w:rPr>
        <w:t>وإعداد سلسلة موحدة ومتكاملة من الموارد والبرامج</w:t>
      </w:r>
      <w:r>
        <w:rPr>
          <w:rFonts w:hint="cs"/>
          <w:rtl/>
        </w:rPr>
        <w:t xml:space="preserve"> والدورات</w:t>
      </w:r>
      <w:r w:rsidRPr="008954A8">
        <w:rPr>
          <w:rFonts w:hint="cs"/>
          <w:rtl/>
        </w:rPr>
        <w:t xml:space="preserve"> والأدوات </w:t>
      </w:r>
      <w:r>
        <w:rPr>
          <w:rFonts w:hint="cs"/>
          <w:rtl/>
        </w:rPr>
        <w:t>الوجيهة و</w:t>
      </w:r>
      <w:r w:rsidRPr="008954A8">
        <w:rPr>
          <w:rFonts w:hint="cs"/>
          <w:rtl/>
        </w:rPr>
        <w:t>العملية</w:t>
      </w:r>
      <w:r>
        <w:rPr>
          <w:rFonts w:hint="cs"/>
          <w:rtl/>
        </w:rPr>
        <w:t xml:space="preserve"> </w:t>
      </w:r>
      <w:r w:rsidRPr="008954A8">
        <w:rPr>
          <w:rFonts w:hint="cs"/>
          <w:rtl/>
        </w:rPr>
        <w:t>و</w:t>
      </w:r>
      <w:r>
        <w:rPr>
          <w:rFonts w:hint="cs"/>
          <w:rtl/>
        </w:rPr>
        <w:t>إتاحتها</w:t>
      </w:r>
      <w:r w:rsidRPr="008954A8">
        <w:rPr>
          <w:rFonts w:hint="cs"/>
          <w:rtl/>
        </w:rPr>
        <w:t xml:space="preserve"> من أجل بناء القدرات</w:t>
      </w:r>
      <w:r>
        <w:rPr>
          <w:rFonts w:hint="cs"/>
          <w:rtl/>
        </w:rPr>
        <w:t xml:space="preserve"> </w:t>
      </w:r>
      <w:r w:rsidRPr="008954A8">
        <w:rPr>
          <w:rFonts w:hint="cs"/>
          <w:rtl/>
        </w:rPr>
        <w:t>وتقديم المساعدة التقنية القانونية على نحو يتسم بالفعالية</w:t>
      </w:r>
      <w:r>
        <w:rPr>
          <w:rFonts w:hint="cs"/>
          <w:rtl/>
        </w:rPr>
        <w:t xml:space="preserve"> والفائدة</w:t>
      </w:r>
      <w:r w:rsidRPr="008954A8">
        <w:rPr>
          <w:rFonts w:hint="cs"/>
          <w:rtl/>
        </w:rPr>
        <w:t>، بما يتماشى و</w:t>
      </w:r>
      <w:r>
        <w:rPr>
          <w:rFonts w:hint="cs"/>
          <w:rtl/>
        </w:rPr>
        <w:t>ال</w:t>
      </w:r>
      <w:r w:rsidRPr="008954A8">
        <w:rPr>
          <w:rFonts w:hint="cs"/>
          <w:rtl/>
        </w:rPr>
        <w:t>استراتيجيات والسياسات</w:t>
      </w:r>
      <w:r>
        <w:rPr>
          <w:rFonts w:hint="cs"/>
          <w:rtl/>
        </w:rPr>
        <w:t>، وبالتعاون، قدر الإمكان، مع المنظمات الحكومية والمنظمات الأخرى المعنية</w:t>
      </w:r>
      <w:r w:rsidRPr="008954A8">
        <w:rPr>
          <w:rFonts w:hint="cs"/>
          <w:rtl/>
        </w:rPr>
        <w:t>؛</w:t>
      </w:r>
    </w:p>
    <w:p w:rsidR="009C009F" w:rsidRPr="008954A8" w:rsidRDefault="009C009F" w:rsidP="00861CFF">
      <w:pPr>
        <w:pStyle w:val="ARNumbered1"/>
        <w:numPr>
          <w:ilvl w:val="0"/>
          <w:numId w:val="14"/>
        </w:numPr>
        <w:ind w:left="1132" w:hanging="567"/>
        <w:jc w:val="left"/>
      </w:pPr>
      <w:r w:rsidRPr="008954A8">
        <w:rPr>
          <w:rFonts w:hint="cs"/>
          <w:rtl/>
        </w:rPr>
        <w:lastRenderedPageBreak/>
        <w:t>وإسداء المشورة</w:t>
      </w:r>
      <w:r>
        <w:rPr>
          <w:rFonts w:hint="cs"/>
          <w:rtl/>
        </w:rPr>
        <w:t xml:space="preserve"> </w:t>
      </w:r>
      <w:r w:rsidRPr="008954A8">
        <w:rPr>
          <w:rFonts w:hint="cs"/>
          <w:rtl/>
        </w:rPr>
        <w:t xml:space="preserve">بشأن جوانب الملكية الفكرية </w:t>
      </w:r>
      <w:r>
        <w:rPr>
          <w:rFonts w:hint="cs"/>
          <w:rtl/>
        </w:rPr>
        <w:t xml:space="preserve">وآثار </w:t>
      </w:r>
      <w:r w:rsidRPr="008954A8">
        <w:rPr>
          <w:rFonts w:hint="cs"/>
          <w:rtl/>
        </w:rPr>
        <w:t>قواعد البيانات وقوائم الجرد والسجلات وغير ذلك من المنصات، وكذلك المؤسسات والسلطات والوكالات</w:t>
      </w:r>
      <w:r>
        <w:rPr>
          <w:rFonts w:hint="cs"/>
          <w:rtl/>
        </w:rPr>
        <w:t xml:space="preserve"> التي يمكنها أن ت</w:t>
      </w:r>
      <w:r w:rsidRPr="008954A8">
        <w:rPr>
          <w:rFonts w:hint="cs"/>
          <w:rtl/>
        </w:rPr>
        <w:t xml:space="preserve">ستكمل </w:t>
      </w:r>
      <w:r>
        <w:rPr>
          <w:rFonts w:hint="cs"/>
          <w:rtl/>
        </w:rPr>
        <w:t xml:space="preserve">وتدعم </w:t>
      </w:r>
      <w:r w:rsidRPr="008954A8">
        <w:rPr>
          <w:rFonts w:hint="cs"/>
          <w:rtl/>
        </w:rPr>
        <w:t xml:space="preserve">الأطر القانونية والسياسية التي قد </w:t>
      </w:r>
      <w:r>
        <w:rPr>
          <w:rFonts w:hint="cs"/>
          <w:rtl/>
        </w:rPr>
        <w:t xml:space="preserve">تقرر </w:t>
      </w:r>
      <w:r w:rsidRPr="008954A8">
        <w:rPr>
          <w:rFonts w:hint="cs"/>
          <w:rtl/>
        </w:rPr>
        <w:t>الدول</w:t>
      </w:r>
      <w:r>
        <w:rPr>
          <w:rFonts w:hint="cs"/>
          <w:rtl/>
        </w:rPr>
        <w:t xml:space="preserve"> والمنظمات الإقليمية</w:t>
      </w:r>
      <w:r w:rsidRPr="008954A8">
        <w:rPr>
          <w:rFonts w:hint="cs"/>
          <w:rtl/>
        </w:rPr>
        <w:t xml:space="preserve"> والجماعات </w:t>
      </w:r>
      <w:r>
        <w:rPr>
          <w:rFonts w:hint="cs"/>
          <w:rtl/>
        </w:rPr>
        <w:t>وضعها</w:t>
      </w:r>
      <w:r w:rsidRPr="008954A8">
        <w:rPr>
          <w:rFonts w:hint="cs"/>
          <w:rtl/>
        </w:rPr>
        <w:t>.</w:t>
      </w:r>
    </w:p>
    <w:p w:rsidR="009C009F" w:rsidRPr="008954A8" w:rsidRDefault="009C009F" w:rsidP="00861CFF">
      <w:pPr>
        <w:pStyle w:val="ARNumbered1"/>
        <w:numPr>
          <w:ilvl w:val="0"/>
          <w:numId w:val="15"/>
        </w:numPr>
        <w:ind w:left="0" w:firstLine="0"/>
        <w:jc w:val="left"/>
      </w:pPr>
      <w:r>
        <w:rPr>
          <w:rFonts w:hint="cs"/>
          <w:rtl/>
        </w:rPr>
        <w:t xml:space="preserve">تشير </w:t>
      </w:r>
      <w:r w:rsidRPr="008954A8">
        <w:rPr>
          <w:rFonts w:hint="cs"/>
          <w:rtl/>
        </w:rPr>
        <w:t>التوصية 18 من جدول أعمال التنمية</w:t>
      </w:r>
      <w:r>
        <w:rPr>
          <w:rFonts w:hint="cs"/>
          <w:rtl/>
        </w:rPr>
        <w:t xml:space="preserve"> بوضوح إلى </w:t>
      </w:r>
      <w:r w:rsidRPr="008954A8">
        <w:rPr>
          <w:rFonts w:hint="cs"/>
          <w:rtl/>
        </w:rPr>
        <w:t>اللجنة الحكومية الدولية</w:t>
      </w:r>
      <w:r>
        <w:rPr>
          <w:rFonts w:hint="cs"/>
          <w:rtl/>
        </w:rPr>
        <w:t>.</w:t>
      </w:r>
      <w:r w:rsidRPr="008954A8">
        <w:rPr>
          <w:rFonts w:hint="cs"/>
          <w:rtl/>
        </w:rPr>
        <w:t xml:space="preserve"> </w:t>
      </w:r>
      <w:r>
        <w:rPr>
          <w:rFonts w:hint="cs"/>
          <w:rtl/>
        </w:rPr>
        <w:t>و</w:t>
      </w:r>
      <w:r w:rsidRPr="008954A8">
        <w:rPr>
          <w:rFonts w:hint="cs"/>
          <w:rtl/>
        </w:rPr>
        <w:t xml:space="preserve">أنشطة وضع القواعد والمعايير في اللجنة الحكومية الدولية </w:t>
      </w:r>
      <w:r>
        <w:rPr>
          <w:rFonts w:hint="cs"/>
          <w:rtl/>
        </w:rPr>
        <w:t xml:space="preserve">أنشطة توجهها </w:t>
      </w:r>
      <w:r w:rsidRPr="008954A8">
        <w:rPr>
          <w:rFonts w:hint="cs"/>
          <w:rtl/>
        </w:rPr>
        <w:t>الدول الأعضاء</w:t>
      </w:r>
      <w:r>
        <w:rPr>
          <w:rFonts w:hint="cs"/>
          <w:rtl/>
        </w:rPr>
        <w:t>، و</w:t>
      </w:r>
      <w:r w:rsidRPr="008954A8">
        <w:rPr>
          <w:rFonts w:hint="cs"/>
          <w:rtl/>
        </w:rPr>
        <w:t>تعتمد على المشاركة</w:t>
      </w:r>
      <w:r>
        <w:rPr>
          <w:rFonts w:hint="cs"/>
          <w:rtl/>
        </w:rPr>
        <w:t xml:space="preserve">، </w:t>
      </w:r>
      <w:r w:rsidRPr="008954A8">
        <w:rPr>
          <w:rFonts w:hint="cs"/>
          <w:rtl/>
        </w:rPr>
        <w:t xml:space="preserve">وتستند إلى المشاورات المفتوحة والمتوازنة (التوصيات 15 و21 و42)، وتأخذ في الحسبان الملك العام (التوصيتان 16 و20) ومواطن المرونة في اتفاقات الملكية الفكرية الدولية (التوصيات 12 و14 و17)، وتدعم الأهداف الإنمائية للأمم المتحدة (التوصية 22). </w:t>
      </w:r>
      <w:r>
        <w:rPr>
          <w:rFonts w:hint="cs"/>
          <w:rtl/>
        </w:rPr>
        <w:t>وبالتالي، ف</w:t>
      </w:r>
      <w:r w:rsidRPr="008954A8">
        <w:rPr>
          <w:rFonts w:hint="cs"/>
          <w:rtl/>
        </w:rPr>
        <w:t xml:space="preserve">هذا البرنامج يساهم مساهمة مباشرة وواضحة في التنمية وتنفيذ توصيات جدول أعمال التنمية الأخرى، ويلعب دورا بارزا في ضمان تقديم المساعدة التقنية الموجهة نحو التنمية والقائمة على الطلب (التوصيتان 1 و12)، ومساعدة الجماعات الإقليمية على إعداد وتنفيذ سياسات وأطر إقليمية (التوصيات 10 و11 و13 و14)، </w:t>
      </w:r>
      <w:r>
        <w:rPr>
          <w:rFonts w:hint="cs"/>
          <w:rtl/>
        </w:rPr>
        <w:t>وتوفير المعلومات</w:t>
      </w:r>
      <w:r w:rsidRPr="008954A8">
        <w:rPr>
          <w:rFonts w:hint="cs"/>
          <w:rtl/>
        </w:rPr>
        <w:t xml:space="preserve"> التشريعية والسياسية حول التشريع الوطني </w:t>
      </w:r>
      <w:r>
        <w:rPr>
          <w:rFonts w:hint="cs"/>
          <w:rtl/>
        </w:rPr>
        <w:t>ل</w:t>
      </w:r>
      <w:r w:rsidRPr="008954A8">
        <w:rPr>
          <w:rFonts w:hint="cs"/>
          <w:rtl/>
        </w:rPr>
        <w:t>لدول الأعضاء (التوصيات 11 و13 و14)، وإذكاء الوعي بقضايا الملكية الفكرية المتصلة بالمعارف التقليدية وأشكال التعبير الثقافي التقليدي والموارد الوراثية (التوصية 3)، والتعاون في القضايا المتصلة بالملكية الفكرية مع وكالات الأمم المتحدة (التوصية 40).</w:t>
      </w:r>
    </w:p>
    <w:p w:rsidR="009C009F" w:rsidRPr="008954A8" w:rsidRDefault="009C009F" w:rsidP="00861CFF">
      <w:pPr>
        <w:pStyle w:val="ARNumbered1"/>
        <w:numPr>
          <w:ilvl w:val="0"/>
          <w:numId w:val="15"/>
        </w:numPr>
        <w:ind w:left="0" w:firstLine="0"/>
        <w:jc w:val="left"/>
        <w:rPr>
          <w:rtl/>
        </w:rPr>
      </w:pPr>
      <w:r>
        <w:rPr>
          <w:rFonts w:hint="cs"/>
          <w:rtl/>
        </w:rPr>
        <w:t>و</w:t>
      </w:r>
      <w:r w:rsidRPr="008954A8">
        <w:rPr>
          <w:rFonts w:hint="cs"/>
          <w:rtl/>
        </w:rPr>
        <w:t>سيتم تحقيق النتائج المتوقعة للبرنامج 4 أيضا من خلال التعاون والتنسيق، عندما يكون ذلك</w:t>
      </w:r>
      <w:r>
        <w:rPr>
          <w:rFonts w:hint="cs"/>
          <w:rtl/>
        </w:rPr>
        <w:t xml:space="preserve"> مناسبا، مع برامج الويبو الأخرى كما هو مبيّن أدناه.</w:t>
      </w:r>
    </w:p>
    <w:p w:rsidR="009C009F" w:rsidRPr="008954A8" w:rsidRDefault="009C009F" w:rsidP="002C3C33">
      <w:pPr>
        <w:pStyle w:val="ARNormal"/>
        <w:spacing w:line="240" w:lineRule="auto"/>
        <w:jc w:val="left"/>
        <w:rPr>
          <w:rtl/>
        </w:rPr>
      </w:pPr>
      <w:r>
        <w:rPr>
          <w:noProof/>
          <w:lang w:val="en-US"/>
        </w:rPr>
        <w:drawing>
          <wp:inline distT="0" distB="0" distL="0" distR="0" wp14:anchorId="556853F4" wp14:editId="1E6995C1">
            <wp:extent cx="5939790" cy="1961527"/>
            <wp:effectExtent l="0" t="1905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9C009F" w:rsidRPr="008954A8" w:rsidRDefault="009C009F" w:rsidP="002C3C33">
      <w:pPr>
        <w:pStyle w:val="ARProgramHeading2"/>
        <w:spacing w:line="360" w:lineRule="exact"/>
        <w:jc w:val="left"/>
        <w:rPr>
          <w:rtl/>
        </w:rPr>
      </w:pPr>
      <w:r>
        <w:rPr>
          <w:rFonts w:hint="cs"/>
          <w:rtl/>
        </w:rPr>
        <w:t>المخاطر الرئيسية واستراتيجيات</w:t>
      </w:r>
      <w:r>
        <w:rPr>
          <w:rFonts w:hint="cs"/>
          <w:rtl/>
          <w:lang w:bidi="ar-SA"/>
        </w:rPr>
        <w:t xml:space="preserve"> التخفيف منها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9C009F" w:rsidRPr="008954A8" w:rsidTr="002C3C33">
        <w:trPr>
          <w:tblHeader/>
        </w:trPr>
        <w:tc>
          <w:tcPr>
            <w:tcW w:w="4784" w:type="dxa"/>
            <w:tcBorders>
              <w:right w:val="nil"/>
            </w:tcBorders>
            <w:shd w:val="clear" w:color="auto" w:fill="C6D9F1"/>
          </w:tcPr>
          <w:p w:rsidR="009C009F" w:rsidRPr="008954A8" w:rsidRDefault="009C009F" w:rsidP="002C3C33">
            <w:pPr>
              <w:pStyle w:val="ARProgramTableHeading"/>
              <w:spacing w:line="300" w:lineRule="exact"/>
              <w:rPr>
                <w:rtl/>
                <w:lang w:bidi="ar-SA"/>
              </w:rPr>
            </w:pPr>
            <w:r>
              <w:rPr>
                <w:rtl/>
                <w:lang w:bidi="ar-SA"/>
              </w:rPr>
              <w:t>المخاطر</w:t>
            </w:r>
          </w:p>
        </w:tc>
        <w:tc>
          <w:tcPr>
            <w:tcW w:w="4786" w:type="dxa"/>
            <w:tcBorders>
              <w:left w:val="nil"/>
            </w:tcBorders>
            <w:shd w:val="clear" w:color="auto" w:fill="C6D9F1"/>
          </w:tcPr>
          <w:p w:rsidR="009C009F" w:rsidRPr="008954A8" w:rsidRDefault="009C009F" w:rsidP="002C3C33">
            <w:pPr>
              <w:pStyle w:val="ARProgramTableHeading"/>
              <w:spacing w:line="300" w:lineRule="exact"/>
              <w:rPr>
                <w:rtl/>
              </w:rPr>
            </w:pPr>
            <w:r>
              <w:rPr>
                <w:rtl/>
              </w:rPr>
              <w:t>التخفيف منها</w:t>
            </w:r>
          </w:p>
        </w:tc>
      </w:tr>
      <w:tr w:rsidR="009C009F" w:rsidRPr="008954A8" w:rsidTr="002C3C33">
        <w:tc>
          <w:tcPr>
            <w:tcW w:w="4784" w:type="dxa"/>
            <w:tcBorders>
              <w:bottom w:val="nil"/>
              <w:right w:val="nil"/>
            </w:tcBorders>
          </w:tcPr>
          <w:p w:rsidR="009C009F" w:rsidRPr="008954A8" w:rsidRDefault="009C009F" w:rsidP="002C3C33">
            <w:pPr>
              <w:pStyle w:val="ARProgramTableText"/>
              <w:spacing w:line="300" w:lineRule="exact"/>
              <w:rPr>
                <w:rtl/>
                <w:lang w:val="fr-CH"/>
              </w:rPr>
            </w:pPr>
            <w:r>
              <w:rPr>
                <w:rFonts w:hint="cs"/>
                <w:rtl/>
                <w:lang w:val="fr-CH"/>
              </w:rPr>
              <w:t>الدول الأعضاء غير قادرة على تنفيذ الولاية فيما يخص الأنشطة المعيارية حسب قرار الجمعية العامة بهذا الشأن</w:t>
            </w:r>
            <w:r w:rsidRPr="008954A8">
              <w:rPr>
                <w:rFonts w:hint="cs"/>
                <w:rtl/>
                <w:lang w:val="fr-CH"/>
              </w:rPr>
              <w:t>.</w:t>
            </w:r>
          </w:p>
        </w:tc>
        <w:tc>
          <w:tcPr>
            <w:tcW w:w="4786" w:type="dxa"/>
            <w:tcBorders>
              <w:left w:val="nil"/>
              <w:bottom w:val="nil"/>
            </w:tcBorders>
          </w:tcPr>
          <w:p w:rsidR="009C009F" w:rsidRPr="008954A8" w:rsidRDefault="009C009F" w:rsidP="002C3C33">
            <w:pPr>
              <w:pStyle w:val="ARProgramTableText"/>
              <w:spacing w:line="300" w:lineRule="exact"/>
              <w:rPr>
                <w:rtl/>
              </w:rPr>
            </w:pPr>
            <w:r w:rsidRPr="008954A8">
              <w:rPr>
                <w:rFonts w:hint="cs"/>
                <w:rtl/>
              </w:rPr>
              <w:t>تلتزم الأمانة</w:t>
            </w:r>
            <w:r>
              <w:rPr>
                <w:rFonts w:hint="cs"/>
                <w:rtl/>
              </w:rPr>
              <w:t xml:space="preserve"> </w:t>
            </w:r>
            <w:r w:rsidRPr="008954A8">
              <w:rPr>
                <w:rFonts w:hint="cs"/>
                <w:rtl/>
              </w:rPr>
              <w:t xml:space="preserve">بتهيئة وإعداد بيئة مواتية </w:t>
            </w:r>
            <w:r>
              <w:rPr>
                <w:rFonts w:hint="cs"/>
                <w:rtl/>
              </w:rPr>
              <w:t>للأنشطة المعيارية،</w:t>
            </w:r>
            <w:r w:rsidRPr="008954A8">
              <w:rPr>
                <w:rFonts w:hint="cs"/>
                <w:rtl/>
              </w:rPr>
              <w:t xml:space="preserve"> على سبيل المثال، من خلال توفير معلومات واضحة وموضوعية عن القضايا الجاري مناقشتها </w:t>
            </w:r>
            <w:r>
              <w:rPr>
                <w:rFonts w:hint="cs"/>
                <w:rtl/>
              </w:rPr>
              <w:t>وت</w:t>
            </w:r>
            <w:r w:rsidRPr="008954A8">
              <w:rPr>
                <w:rFonts w:hint="cs"/>
                <w:rtl/>
              </w:rPr>
              <w:t>قد</w:t>
            </w:r>
            <w:r>
              <w:rPr>
                <w:rFonts w:hint="cs"/>
                <w:rtl/>
              </w:rPr>
              <w:t>ي</w:t>
            </w:r>
            <w:r w:rsidRPr="008954A8">
              <w:rPr>
                <w:rFonts w:hint="cs"/>
                <w:rtl/>
              </w:rPr>
              <w:t xml:space="preserve">م </w:t>
            </w:r>
            <w:r>
              <w:rPr>
                <w:rFonts w:hint="cs"/>
                <w:rtl/>
              </w:rPr>
              <w:t>خدمات</w:t>
            </w:r>
            <w:r w:rsidRPr="008954A8">
              <w:rPr>
                <w:rFonts w:hint="cs"/>
                <w:rtl/>
              </w:rPr>
              <w:t xml:space="preserve"> تتسم بالكفاءة والحياد</w:t>
            </w:r>
            <w:r>
              <w:rPr>
                <w:rFonts w:hint="cs"/>
                <w:rtl/>
              </w:rPr>
              <w:t>.</w:t>
            </w:r>
          </w:p>
        </w:tc>
      </w:tr>
      <w:tr w:rsidR="009C009F" w:rsidRPr="008954A8" w:rsidTr="002C3C33">
        <w:tc>
          <w:tcPr>
            <w:tcW w:w="4784" w:type="dxa"/>
            <w:tcBorders>
              <w:top w:val="nil"/>
              <w:bottom w:val="single" w:sz="4" w:space="0" w:color="auto"/>
              <w:right w:val="nil"/>
            </w:tcBorders>
          </w:tcPr>
          <w:p w:rsidR="009C009F" w:rsidRPr="008954A8" w:rsidRDefault="009C009F" w:rsidP="002C3C33">
            <w:pPr>
              <w:pStyle w:val="ARProgramTableText"/>
              <w:spacing w:line="300" w:lineRule="exact"/>
              <w:rPr>
                <w:rtl/>
              </w:rPr>
            </w:pPr>
            <w:r w:rsidRPr="008954A8">
              <w:rPr>
                <w:rFonts w:hint="cs"/>
                <w:rtl/>
              </w:rPr>
              <w:t xml:space="preserve">فقدان أهمية </w:t>
            </w:r>
            <w:r>
              <w:rPr>
                <w:rFonts w:hint="cs"/>
                <w:rtl/>
              </w:rPr>
              <w:t>الأنشطة المعيارية بشأن هذه القضايا في الويبو</w:t>
            </w:r>
            <w:r w:rsidRPr="008954A8">
              <w:rPr>
                <w:rFonts w:hint="cs"/>
                <w:rtl/>
              </w:rPr>
              <w:t xml:space="preserve"> إذا أخرجت الدول الأعضاء من أولوياتها المعارف التقليدية وأشكال التعبير الثقافي التقليدي والموارد الوراثية كقضايا للملكية الفكرية و/أو إذا رأت أن هناك محافل أخرى أقدر على تحقيق النتائج المرغوبة.</w:t>
            </w:r>
          </w:p>
        </w:tc>
        <w:tc>
          <w:tcPr>
            <w:tcW w:w="4786" w:type="dxa"/>
            <w:tcBorders>
              <w:top w:val="nil"/>
              <w:left w:val="nil"/>
              <w:bottom w:val="single" w:sz="4" w:space="0" w:color="auto"/>
            </w:tcBorders>
          </w:tcPr>
          <w:p w:rsidR="009C009F" w:rsidRPr="008954A8" w:rsidRDefault="009C009F" w:rsidP="002C3C33">
            <w:pPr>
              <w:pStyle w:val="ARProgramTableText"/>
              <w:spacing w:line="300" w:lineRule="exact"/>
              <w:rPr>
                <w:rtl/>
              </w:rPr>
            </w:pPr>
            <w:r w:rsidRPr="008954A8">
              <w:rPr>
                <w:rFonts w:hint="cs"/>
                <w:rtl/>
              </w:rPr>
              <w:t xml:space="preserve">تذكي الأمانة الوعي بأهمية سياسة الملكية الفكرية المتعلقة بقضايا المعارف التقليدية وأشكال التعبير الثقافي التقليدي والموارد الوراثية. وتتابع الأمانة عن كثب المفاوضات في المحافل الأخرى، لكي تكون قادرة على تقديم معلومات محايدة عن </w:t>
            </w:r>
            <w:r>
              <w:rPr>
                <w:rFonts w:hint="cs"/>
                <w:rtl/>
              </w:rPr>
              <w:t>تلك القضايا</w:t>
            </w:r>
            <w:r w:rsidRPr="008954A8">
              <w:rPr>
                <w:rFonts w:hint="cs"/>
                <w:rtl/>
              </w:rPr>
              <w:t xml:space="preserve"> إلى الدول الأعضاء في تلك المحافل الأخرى، وتنسق مع الأمانات الأخرى كي تحاول تجنب ازدواجية الجهود المبذولة بين الأمانات والتي يمكن أن تتسبب في إرباك الدول الأعضاء.</w:t>
            </w:r>
          </w:p>
        </w:tc>
      </w:tr>
    </w:tbl>
    <w:p w:rsidR="009C009F" w:rsidRPr="008954A8" w:rsidRDefault="009C009F" w:rsidP="002C3C33">
      <w:pPr>
        <w:pStyle w:val="ARNormal"/>
        <w:spacing w:line="360" w:lineRule="exact"/>
        <w:jc w:val="left"/>
        <w:rPr>
          <w:rtl/>
        </w:rPr>
      </w:pPr>
    </w:p>
    <w:p w:rsidR="009C009F" w:rsidRPr="008954A8" w:rsidRDefault="009C009F" w:rsidP="002C3C33">
      <w:pPr>
        <w:pStyle w:val="ARProgramHeading2"/>
        <w:spacing w:line="360" w:lineRule="exact"/>
        <w:jc w:val="left"/>
        <w:rPr>
          <w:rtl/>
        </w:rPr>
      </w:pPr>
      <w:r w:rsidRPr="008954A8">
        <w:rPr>
          <w:rtl/>
        </w:rPr>
        <w:lastRenderedPageBreak/>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32"/>
        <w:gridCol w:w="2891"/>
        <w:gridCol w:w="2367"/>
        <w:gridCol w:w="1580"/>
      </w:tblGrid>
      <w:tr w:rsidR="009C009F" w:rsidRPr="008954A8" w:rsidTr="002C3C33">
        <w:trPr>
          <w:tblHeader/>
        </w:trPr>
        <w:tc>
          <w:tcPr>
            <w:tcW w:w="2941" w:type="dxa"/>
            <w:tcBorders>
              <w:top w:val="single" w:sz="4" w:space="0" w:color="auto"/>
              <w:bottom w:val="single" w:sz="4" w:space="0" w:color="auto"/>
            </w:tcBorders>
            <w:shd w:val="clear" w:color="auto" w:fill="C6D9F1"/>
          </w:tcPr>
          <w:p w:rsidR="009C009F" w:rsidRPr="008954A8" w:rsidRDefault="009C009F" w:rsidP="00ED49E9">
            <w:pPr>
              <w:pStyle w:val="ARProgramTableHeading"/>
              <w:keepNext/>
              <w:spacing w:before="0" w:after="0" w:line="300" w:lineRule="exact"/>
              <w:rPr>
                <w:rtl/>
                <w:lang w:bidi="ar-SA"/>
              </w:rPr>
            </w:pPr>
            <w:r w:rsidRPr="008954A8">
              <w:rPr>
                <w:rtl/>
                <w:lang w:bidi="ar-SA"/>
              </w:rPr>
              <w:t>النتائج المرتقبة</w:t>
            </w:r>
          </w:p>
        </w:tc>
        <w:tc>
          <w:tcPr>
            <w:tcW w:w="3119" w:type="dxa"/>
            <w:tcBorders>
              <w:top w:val="single" w:sz="4" w:space="0" w:color="auto"/>
              <w:bottom w:val="single" w:sz="4" w:space="0" w:color="auto"/>
            </w:tcBorders>
            <w:shd w:val="clear" w:color="auto" w:fill="C6D9F1"/>
          </w:tcPr>
          <w:p w:rsidR="009C009F" w:rsidRPr="008954A8" w:rsidRDefault="009C009F" w:rsidP="00ED49E9">
            <w:pPr>
              <w:pStyle w:val="ARProgramTableHeading"/>
              <w:keepNext/>
              <w:spacing w:before="0" w:after="0" w:line="300" w:lineRule="exact"/>
              <w:rPr>
                <w:rtl/>
                <w:lang w:bidi="ar-SA"/>
              </w:rPr>
            </w:pPr>
            <w:r w:rsidRPr="008954A8">
              <w:rPr>
                <w:rtl/>
                <w:lang w:bidi="ar-SA"/>
              </w:rPr>
              <w:t>مؤشرات الأداء</w:t>
            </w:r>
          </w:p>
        </w:tc>
        <w:tc>
          <w:tcPr>
            <w:tcW w:w="1842" w:type="dxa"/>
            <w:tcBorders>
              <w:top w:val="single" w:sz="4" w:space="0" w:color="auto"/>
              <w:bottom w:val="single" w:sz="4" w:space="0" w:color="auto"/>
            </w:tcBorders>
            <w:shd w:val="clear" w:color="auto" w:fill="C6D9F1"/>
          </w:tcPr>
          <w:p w:rsidR="009C009F" w:rsidRPr="008954A8" w:rsidRDefault="009C009F" w:rsidP="00ED49E9">
            <w:pPr>
              <w:pStyle w:val="ARProgramTableHeading"/>
              <w:keepNext/>
              <w:spacing w:before="0" w:after="0" w:line="300" w:lineRule="exact"/>
              <w:rPr>
                <w:rtl/>
                <w:lang w:bidi="ar-SA"/>
              </w:rPr>
            </w:pPr>
            <w:r w:rsidRPr="008954A8">
              <w:rPr>
                <w:rtl/>
                <w:lang w:bidi="ar-SA"/>
              </w:rPr>
              <w:t>أسس المقارنة</w:t>
            </w:r>
          </w:p>
        </w:tc>
        <w:tc>
          <w:tcPr>
            <w:tcW w:w="1668" w:type="dxa"/>
            <w:tcBorders>
              <w:top w:val="single" w:sz="4" w:space="0" w:color="auto"/>
              <w:bottom w:val="single" w:sz="4" w:space="0" w:color="auto"/>
            </w:tcBorders>
            <w:shd w:val="clear" w:color="auto" w:fill="C6D9F1"/>
          </w:tcPr>
          <w:p w:rsidR="009C009F" w:rsidRPr="008954A8" w:rsidRDefault="009C009F" w:rsidP="00ED49E9">
            <w:pPr>
              <w:pStyle w:val="ARProgramTableHeading"/>
              <w:keepNext/>
              <w:spacing w:before="0" w:after="0" w:line="300" w:lineRule="exact"/>
              <w:rPr>
                <w:rtl/>
                <w:lang w:bidi="ar-SA"/>
              </w:rPr>
            </w:pPr>
            <w:r w:rsidRPr="008954A8">
              <w:rPr>
                <w:rtl/>
                <w:lang w:bidi="ar-SA"/>
              </w:rPr>
              <w:t>الأهداف</w:t>
            </w:r>
          </w:p>
        </w:tc>
      </w:tr>
      <w:tr w:rsidR="009C009F" w:rsidRPr="008954A8" w:rsidTr="002C3C33">
        <w:tc>
          <w:tcPr>
            <w:tcW w:w="2941" w:type="dxa"/>
            <w:tcBorders>
              <w:top w:val="single" w:sz="4" w:space="0" w:color="auto"/>
            </w:tcBorders>
          </w:tcPr>
          <w:p w:rsidR="009C009F" w:rsidRPr="008954A8" w:rsidRDefault="009C009F" w:rsidP="00ED49E9">
            <w:pPr>
              <w:pStyle w:val="ARProgramTableText"/>
              <w:spacing w:before="0" w:after="0" w:line="300" w:lineRule="exact"/>
              <w:rPr>
                <w:rtl/>
              </w:rPr>
            </w:pPr>
            <w:r w:rsidRPr="008954A8">
              <w:rPr>
                <w:rFonts w:hint="cs"/>
                <w:rtl/>
              </w:rPr>
              <w:t>ه 1.1</w:t>
            </w:r>
            <w:r w:rsidRPr="008954A8">
              <w:rPr>
                <w:rtl/>
                <w:lang w:bidi="ar-SA"/>
              </w:rPr>
              <w:t xml:space="preserve"> </w:t>
            </w:r>
            <w:r w:rsidRPr="005D4DE5">
              <w:rPr>
                <w:rtl/>
                <w:lang w:bidi="ar-SA"/>
              </w:rPr>
              <w:t>تعاون معزز بين الدول الأعضاء في وضع أطر معيارية دولية متوازنة في مجال الملكية الفكرية</w:t>
            </w:r>
          </w:p>
        </w:tc>
        <w:tc>
          <w:tcPr>
            <w:tcW w:w="3119" w:type="dxa"/>
            <w:tcBorders>
              <w:top w:val="single" w:sz="4" w:space="0" w:color="auto"/>
            </w:tcBorders>
          </w:tcPr>
          <w:p w:rsidR="009C009F" w:rsidRPr="008954A8" w:rsidRDefault="009C009F" w:rsidP="00ED49E9">
            <w:pPr>
              <w:pStyle w:val="ARProgramTableText"/>
              <w:spacing w:before="0" w:after="0" w:line="300" w:lineRule="exact"/>
              <w:rPr>
                <w:rtl/>
              </w:rPr>
            </w:pPr>
            <w:r>
              <w:rPr>
                <w:rFonts w:hint="cs"/>
                <w:rtl/>
              </w:rPr>
              <w:t>التقدم نحو تنفيذ الأنشطة المعيارية في مجال الملكية الفكرية والموارد الوراثية و</w:t>
            </w:r>
            <w:r w:rsidRPr="005D4DE5">
              <w:rPr>
                <w:rtl/>
              </w:rPr>
              <w:t>المعارف التقليدية وأشكال التعبير الثقافي التقليدي</w:t>
            </w:r>
            <w:r>
              <w:rPr>
                <w:rFonts w:hint="cs"/>
                <w:rtl/>
              </w:rPr>
              <w:t xml:space="preserve"> حسبما تتفق عليه الدول الأعضاء </w:t>
            </w:r>
          </w:p>
        </w:tc>
        <w:tc>
          <w:tcPr>
            <w:tcW w:w="1842" w:type="dxa"/>
            <w:tcBorders>
              <w:top w:val="single" w:sz="4" w:space="0" w:color="auto"/>
            </w:tcBorders>
          </w:tcPr>
          <w:p w:rsidR="009C009F" w:rsidRDefault="009C009F" w:rsidP="00ED49E9">
            <w:pPr>
              <w:pStyle w:val="ARProgramTableText"/>
              <w:spacing w:before="0" w:after="0" w:line="300" w:lineRule="exact"/>
              <w:rPr>
                <w:rtl/>
              </w:rPr>
            </w:pPr>
            <w:r>
              <w:rPr>
                <w:rFonts w:hint="cs"/>
                <w:rtl/>
              </w:rPr>
              <w:t xml:space="preserve">الوضع الحالي للمفاوضات بين الدول الأعضاء بشأن </w:t>
            </w:r>
            <w:r w:rsidRPr="005D4DE5">
              <w:rPr>
                <w:rtl/>
              </w:rPr>
              <w:t>الملكية الفكرية والموارد الوراثية والمعارف التقليدية وأشكال التعبير الثقافي التقليدي</w:t>
            </w:r>
            <w:r>
              <w:rPr>
                <w:rFonts w:hint="cs"/>
                <w:rtl/>
              </w:rPr>
              <w:t xml:space="preserve"> كما هو وراد في الوثائق: </w:t>
            </w:r>
            <w:r w:rsidRPr="005D4DE5">
              <w:t>WIPO/GRTKF/IC/28/4</w:t>
            </w:r>
            <w:r>
              <w:rPr>
                <w:rFonts w:hint="cs"/>
                <w:rtl/>
              </w:rPr>
              <w:t xml:space="preserve"> و</w:t>
            </w:r>
            <w:r w:rsidRPr="005D4DE5">
              <w:t>WIPO/GRTKF/IC/28/</w:t>
            </w:r>
            <w:r>
              <w:t>5</w:t>
            </w:r>
          </w:p>
          <w:p w:rsidR="009C009F" w:rsidRDefault="009C009F" w:rsidP="00ED49E9">
            <w:pPr>
              <w:pStyle w:val="ARProgramTableText"/>
              <w:spacing w:before="0" w:after="0" w:line="300" w:lineRule="exact"/>
              <w:rPr>
                <w:rtl/>
              </w:rPr>
            </w:pPr>
            <w:r>
              <w:rPr>
                <w:rFonts w:hint="cs"/>
                <w:rtl/>
              </w:rPr>
              <w:t>و</w:t>
            </w:r>
            <w:r w:rsidRPr="005D4DE5">
              <w:t>WIPO/GRTKF/IC/28/</w:t>
            </w:r>
            <w:r>
              <w:t>6</w:t>
            </w:r>
          </w:p>
          <w:p w:rsidR="009C009F" w:rsidRPr="00E4037C" w:rsidRDefault="009C009F" w:rsidP="00ED49E9">
            <w:pPr>
              <w:pStyle w:val="ARProgramTableText"/>
              <w:spacing w:before="0" w:after="0" w:line="300" w:lineRule="exact"/>
              <w:rPr>
                <w:rtl/>
                <w:lang w:val="fr-CH" w:bidi="ar-SA"/>
              </w:rPr>
            </w:pPr>
            <w:r>
              <w:rPr>
                <w:rFonts w:hint="cs"/>
                <w:rtl/>
              </w:rPr>
              <w:t>على التوالي</w:t>
            </w:r>
          </w:p>
        </w:tc>
        <w:tc>
          <w:tcPr>
            <w:tcW w:w="1668" w:type="dxa"/>
            <w:tcBorders>
              <w:top w:val="single" w:sz="4" w:space="0" w:color="auto"/>
            </w:tcBorders>
          </w:tcPr>
          <w:p w:rsidR="009C009F" w:rsidRPr="008954A8" w:rsidRDefault="009C009F" w:rsidP="00ED49E9">
            <w:pPr>
              <w:pStyle w:val="ARProgramTableText"/>
              <w:spacing w:before="0" w:after="0" w:line="300" w:lineRule="exact"/>
              <w:rPr>
                <w:rtl/>
              </w:rPr>
            </w:pPr>
            <w:r>
              <w:rPr>
                <w:rFonts w:hint="cs"/>
                <w:rtl/>
              </w:rPr>
              <w:t>نتائج الأنشطة المعيارية المتفق عليها</w:t>
            </w:r>
          </w:p>
        </w:tc>
      </w:tr>
      <w:tr w:rsidR="009C009F" w:rsidRPr="008954A8" w:rsidTr="002C3C33">
        <w:tc>
          <w:tcPr>
            <w:tcW w:w="2941" w:type="dxa"/>
          </w:tcPr>
          <w:p w:rsidR="009C009F" w:rsidRPr="008954A8" w:rsidRDefault="009C009F" w:rsidP="00ED49E9">
            <w:pPr>
              <w:pStyle w:val="ARProgramTableText"/>
              <w:spacing w:before="0" w:after="0" w:line="300" w:lineRule="exact"/>
              <w:rPr>
                <w:rtl/>
              </w:rPr>
            </w:pPr>
            <w:r w:rsidRPr="008954A8">
              <w:rPr>
                <w:rFonts w:hint="cs"/>
                <w:rtl/>
              </w:rPr>
              <w:t xml:space="preserve">ه 2.3 </w:t>
            </w:r>
            <w:r w:rsidRPr="005D4DE5">
              <w:rPr>
                <w:rtl/>
              </w:rPr>
              <w:t>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3119" w:type="dxa"/>
          </w:tcPr>
          <w:p w:rsidR="009C009F" w:rsidRPr="008954A8" w:rsidRDefault="009C009F" w:rsidP="00ED49E9">
            <w:pPr>
              <w:pStyle w:val="ARProgramTableText"/>
              <w:spacing w:before="0" w:after="0" w:line="300" w:lineRule="exact"/>
              <w:rPr>
                <w:rtl/>
              </w:rPr>
            </w:pPr>
            <w:r w:rsidRPr="008954A8">
              <w:rPr>
                <w:rFonts w:hint="cs"/>
                <w:rtl/>
              </w:rPr>
              <w:t>نسبة المشاركين في أنشطة الويبو ال</w:t>
            </w:r>
            <w:r>
              <w:rPr>
                <w:rFonts w:hint="cs"/>
                <w:rtl/>
              </w:rPr>
              <w:t>ذ</w:t>
            </w:r>
            <w:r w:rsidRPr="008954A8">
              <w:rPr>
                <w:rFonts w:hint="cs"/>
                <w:rtl/>
              </w:rPr>
              <w:t xml:space="preserve">ي </w:t>
            </w:r>
            <w:r>
              <w:rPr>
                <w:rFonts w:hint="cs"/>
                <w:rtl/>
              </w:rPr>
              <w:t>يبلغون</w:t>
            </w:r>
            <w:r w:rsidRPr="008954A8">
              <w:rPr>
                <w:rFonts w:hint="cs"/>
                <w:rtl/>
              </w:rPr>
              <w:t xml:space="preserve"> </w:t>
            </w:r>
            <w:r>
              <w:rPr>
                <w:rFonts w:hint="cs"/>
                <w:rtl/>
              </w:rPr>
              <w:t>عن</w:t>
            </w:r>
            <w:r w:rsidRPr="008954A8">
              <w:rPr>
                <w:rFonts w:hint="cs"/>
                <w:rtl/>
              </w:rPr>
              <w:t xml:space="preserve"> كفاءات معززة لفهم مبادئ وأنظمة وأدوات الملكية الفكرية والانتفاع بها من أجل حماية المعارف التقليدية وأشكال التعبير الثقافي التقليدي </w:t>
            </w:r>
            <w:r>
              <w:rPr>
                <w:rFonts w:hint="cs"/>
                <w:rtl/>
              </w:rPr>
              <w:t>ومعالجة</w:t>
            </w:r>
            <w:r w:rsidRPr="008954A8">
              <w:rPr>
                <w:rtl/>
              </w:rPr>
              <w:t xml:space="preserve"> العلاقة بين الملكية الفكرية والموارد الوراثية</w:t>
            </w:r>
          </w:p>
        </w:tc>
        <w:tc>
          <w:tcPr>
            <w:tcW w:w="1842" w:type="dxa"/>
          </w:tcPr>
          <w:p w:rsidR="009C009F" w:rsidRPr="008954A8" w:rsidRDefault="009C009F" w:rsidP="00ED49E9">
            <w:pPr>
              <w:pStyle w:val="ARProgramTableText"/>
              <w:spacing w:before="0" w:after="0" w:line="300" w:lineRule="exact"/>
              <w:rPr>
                <w:rtl/>
                <w:lang w:bidi="ar-SA"/>
              </w:rPr>
            </w:pPr>
            <w:r>
              <w:rPr>
                <w:rFonts w:hint="cs"/>
                <w:rtl/>
                <w:lang w:bidi="ar-SA"/>
              </w:rPr>
              <w:t xml:space="preserve">91% (163 من أصل 179 مشاركا) من الانطباعات الإيجابية (استبيان استخدم لمعرفة انطباع المشاركين في تسعة أنشطة نظمتها شعبة المعارف التقليدية في 2014) </w:t>
            </w:r>
          </w:p>
        </w:tc>
        <w:tc>
          <w:tcPr>
            <w:tcW w:w="1668" w:type="dxa"/>
          </w:tcPr>
          <w:p w:rsidR="009C009F" w:rsidRPr="008954A8" w:rsidRDefault="009C009F" w:rsidP="00ED49E9">
            <w:pPr>
              <w:pStyle w:val="ARProgramTableText"/>
              <w:spacing w:before="0" w:after="0" w:line="300" w:lineRule="exact"/>
              <w:rPr>
                <w:rtl/>
                <w:lang w:bidi="ar-SA"/>
              </w:rPr>
            </w:pPr>
            <w:r w:rsidRPr="008954A8">
              <w:rPr>
                <w:rFonts w:hint="cs"/>
                <w:rtl/>
                <w:lang w:bidi="ar-SA"/>
              </w:rPr>
              <w:t>80%</w:t>
            </w:r>
          </w:p>
        </w:tc>
      </w:tr>
    </w:tbl>
    <w:p w:rsidR="009C009F" w:rsidRDefault="009C009F" w:rsidP="002C3C33">
      <w:pPr>
        <w:pStyle w:val="BodyTextInden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p>
    <w:p w:rsidR="009C009F" w:rsidRDefault="009C009F" w:rsidP="002C3C33">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Pr>
          <w:rFonts w:ascii="Arabic Typesetting" w:hAnsi="Arabic Typesetting" w:cs="Arabic Typesetting" w:hint="cs"/>
          <w:noProof/>
          <w:snapToGrid/>
          <w:sz w:val="38"/>
          <w:szCs w:val="38"/>
          <w:rtl/>
          <w:lang w:val="x-none" w:eastAsia="x-none" w:bidi="ar-EG"/>
        </w:rPr>
        <w:t>الموارد المخصصة للبرنامج 4</w:t>
      </w:r>
    </w:p>
    <w:p w:rsidR="009C009F" w:rsidRDefault="009C009F" w:rsidP="00861CFF">
      <w:pPr>
        <w:pStyle w:val="ARNumbered1"/>
        <w:numPr>
          <w:ilvl w:val="0"/>
          <w:numId w:val="15"/>
        </w:numPr>
        <w:ind w:left="0" w:firstLine="0"/>
        <w:jc w:val="left"/>
      </w:pPr>
      <w:r>
        <w:rPr>
          <w:rFonts w:hint="cs"/>
          <w:rtl/>
        </w:rPr>
        <w:t>يُلاحظ انخفاض طفيف في إجمالي الموارد المخصصة للثنائية 2016/17 مقارنة بميزانية 2014/15 بعد التحويلات. وذلك ناتج عن تغير منهجية حساب التكاليف الخاصة بموارد الموظفين في الثنائية 2016/17 استنادا إلى المبالغ الفعلية.</w:t>
      </w:r>
    </w:p>
    <w:p w:rsidR="009C009F" w:rsidRDefault="009C009F" w:rsidP="00861CFF">
      <w:pPr>
        <w:pStyle w:val="ARNumbered1"/>
        <w:numPr>
          <w:ilvl w:val="0"/>
          <w:numId w:val="15"/>
        </w:numPr>
        <w:ind w:left="0" w:firstLine="0"/>
        <w:jc w:val="left"/>
      </w:pPr>
      <w:r>
        <w:rPr>
          <w:rFonts w:hint="cs"/>
          <w:rtl/>
        </w:rPr>
        <w:t>ويُعزى الانخفاض المُسجل في الموارد خلاف موارد الموظفين في الثنائية 2016/17 مقارنة بميزانية 2014/15 بعد التحويلات إلى الموارد المخصصة من الميزانية لأغراض مؤتمر دبلوماسي محتمل في الثنائية 2016/17 والمرصودة الآن في باب "غير مخصص".</w:t>
      </w:r>
    </w:p>
    <w:p w:rsidR="009C009F" w:rsidRPr="00560564" w:rsidRDefault="009C009F" w:rsidP="002C3C33">
      <w:pPr>
        <w:pStyle w:val="ARNormal"/>
        <w:keepNext/>
        <w:spacing w:after="0"/>
        <w:jc w:val="center"/>
        <w:rPr>
          <w:b/>
          <w:bCs/>
          <w:rtl/>
        </w:rPr>
      </w:pPr>
      <w:r w:rsidRPr="00560564">
        <w:rPr>
          <w:b/>
          <w:bCs/>
          <w:rtl/>
        </w:rPr>
        <w:t xml:space="preserve">البرنامج </w:t>
      </w:r>
      <w:r>
        <w:rPr>
          <w:rFonts w:hint="cs"/>
          <w:b/>
          <w:bCs/>
          <w:rtl/>
        </w:rPr>
        <w:t>4</w:t>
      </w:r>
      <w:r w:rsidRPr="00560564">
        <w:rPr>
          <w:b/>
          <w:bCs/>
          <w:rtl/>
        </w:rPr>
        <w:t>: الموارد بحسب كل نتيجة</w:t>
      </w:r>
    </w:p>
    <w:p w:rsidR="009C009F" w:rsidRDefault="009C009F" w:rsidP="002C3C33">
      <w:pPr>
        <w:pStyle w:val="ARNormal"/>
        <w:spacing w:after="0"/>
        <w:jc w:val="center"/>
        <w:rPr>
          <w:i/>
          <w:iCs/>
          <w:rtl/>
        </w:rPr>
      </w:pPr>
      <w:r w:rsidRPr="00560564">
        <w:rPr>
          <w:i/>
          <w:iCs/>
          <w:rtl/>
        </w:rPr>
        <w:t>(بآلاف الفرنكات السويسرية)</w:t>
      </w:r>
    </w:p>
    <w:p w:rsidR="009C009F" w:rsidRDefault="009C009F" w:rsidP="009C009F">
      <w:pPr>
        <w:pStyle w:val="ARNormal"/>
        <w:spacing w:after="0" w:line="240" w:lineRule="auto"/>
        <w:jc w:val="center"/>
        <w:rPr>
          <w:rtl/>
        </w:rPr>
      </w:pPr>
      <w:r w:rsidRPr="009C009F">
        <w:rPr>
          <w:noProof/>
          <w:rtl/>
          <w:lang w:val="en-US"/>
        </w:rPr>
        <w:drawing>
          <wp:inline distT="0" distB="0" distL="0" distR="0" wp14:anchorId="53A2C5FC" wp14:editId="26922938">
            <wp:extent cx="5676900" cy="2514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76900" cy="2514600"/>
                    </a:xfrm>
                    <a:prstGeom prst="rect">
                      <a:avLst/>
                    </a:prstGeom>
                    <a:noFill/>
                    <a:ln>
                      <a:noFill/>
                    </a:ln>
                  </pic:spPr>
                </pic:pic>
              </a:graphicData>
            </a:graphic>
          </wp:inline>
        </w:drawing>
      </w:r>
    </w:p>
    <w:p w:rsidR="009C009F" w:rsidRDefault="009C009F">
      <w:pPr>
        <w:bidi w:val="0"/>
        <w:rPr>
          <w:rFonts w:ascii="Arabic Typesetting" w:hAnsi="Arabic Typesetting" w:cs="Arabic Typesetting"/>
          <w:sz w:val="34"/>
          <w:szCs w:val="34"/>
          <w:rtl/>
        </w:rPr>
      </w:pPr>
      <w:r>
        <w:rPr>
          <w:rtl/>
        </w:rPr>
        <w:br w:type="page"/>
      </w:r>
    </w:p>
    <w:p w:rsidR="009C009F" w:rsidRPr="00E41DA4" w:rsidRDefault="009C009F" w:rsidP="002C3C33">
      <w:pPr>
        <w:pStyle w:val="ARNormal"/>
        <w:keepNext/>
        <w:spacing w:after="0"/>
        <w:jc w:val="center"/>
        <w:rPr>
          <w:b/>
          <w:bCs/>
          <w:rtl/>
        </w:rPr>
      </w:pPr>
      <w:r w:rsidRPr="00E41DA4">
        <w:rPr>
          <w:rFonts w:hint="cs"/>
          <w:b/>
          <w:bCs/>
          <w:rtl/>
        </w:rPr>
        <w:lastRenderedPageBreak/>
        <w:t xml:space="preserve">البرنامج </w:t>
      </w:r>
      <w:r>
        <w:rPr>
          <w:rFonts w:hint="cs"/>
          <w:b/>
          <w:bCs/>
          <w:rtl/>
        </w:rPr>
        <w:t>4</w:t>
      </w:r>
      <w:r w:rsidRPr="00E41DA4">
        <w:rPr>
          <w:rFonts w:hint="cs"/>
          <w:b/>
          <w:bCs/>
          <w:rtl/>
        </w:rPr>
        <w:t>: الموارد بحسب غرض الإنفاق</w:t>
      </w:r>
    </w:p>
    <w:p w:rsidR="009C009F" w:rsidRPr="00E41DA4" w:rsidRDefault="009C009F" w:rsidP="002C3C33">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9C009F" w:rsidRPr="00E41DA4" w:rsidRDefault="009C009F" w:rsidP="009C009F">
      <w:pPr>
        <w:autoSpaceDE w:val="0"/>
        <w:autoSpaceDN w:val="0"/>
        <w:adjustRightInd w:val="0"/>
        <w:spacing w:after="120"/>
        <w:jc w:val="center"/>
        <w:rPr>
          <w:rFonts w:ascii="Arabic Typesetting" w:hAnsi="Arabic Typesetting" w:cs="Arabic Typesetting"/>
          <w:sz w:val="34"/>
          <w:szCs w:val="34"/>
          <w:rtl/>
        </w:rPr>
      </w:pPr>
      <w:r w:rsidRPr="009C009F">
        <w:rPr>
          <w:noProof/>
          <w:szCs w:val="20"/>
          <w:rtl/>
          <w:lang w:bidi="ar-SA"/>
        </w:rPr>
        <w:drawing>
          <wp:inline distT="0" distB="0" distL="0" distR="0" wp14:anchorId="5044068F" wp14:editId="5CBC8526">
            <wp:extent cx="5514975" cy="635317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lang w:bidi="ar-EG"/>
        </w:rPr>
      </w:pPr>
    </w:p>
    <w:p w:rsidR="00C8485D" w:rsidRDefault="00C8485D" w:rsidP="002C3C33">
      <w:pPr>
        <w:pStyle w:val="ARNormal"/>
        <w:rPr>
          <w:rtl/>
        </w:rPr>
        <w:sectPr w:rsidR="00C8485D" w:rsidSect="00861CFF">
          <w:headerReference w:type="default" r:id="rId69"/>
          <w:footerReference w:type="first" r:id="rId70"/>
          <w:pgSz w:w="11906" w:h="16838" w:code="9"/>
          <w:pgMar w:top="1134" w:right="1418" w:bottom="1418" w:left="1134" w:header="510" w:footer="1021" w:gutter="0"/>
          <w:cols w:space="720"/>
          <w:bidi/>
          <w:rtlGutter/>
        </w:sectPr>
      </w:pPr>
    </w:p>
    <w:p w:rsidR="00C8485D" w:rsidRPr="008954A8" w:rsidRDefault="00C8485D" w:rsidP="002C3C33">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25" w:name="_Toc358745211"/>
      <w:bookmarkStart w:id="26" w:name="_Toc364355361"/>
      <w:bookmarkStart w:id="27" w:name="_Toc420595502"/>
      <w:r>
        <w:rPr>
          <w:rFonts w:ascii="Arabic Typesetting" w:hAnsi="Arabic Typesetting" w:cs="Arabic Typesetting" w:hint="cs"/>
          <w:i/>
          <w:iCs w:val="0"/>
          <w:sz w:val="42"/>
          <w:szCs w:val="42"/>
          <w:rtl/>
        </w:rPr>
        <w:lastRenderedPageBreak/>
        <w:t>ا</w:t>
      </w:r>
      <w:r w:rsidRPr="008954A8">
        <w:rPr>
          <w:rFonts w:ascii="Arabic Typesetting" w:hAnsi="Arabic Typesetting" w:cs="Arabic Typesetting"/>
          <w:i/>
          <w:iCs w:val="0"/>
          <w:sz w:val="42"/>
          <w:szCs w:val="42"/>
          <w:rtl/>
        </w:rPr>
        <w:t>لهدف الاستراتيجي الثاني</w:t>
      </w:r>
      <w:bookmarkStart w:id="28" w:name="_Toc364355362"/>
      <w:bookmarkEnd w:id="25"/>
      <w:bookmarkEnd w:id="26"/>
      <w:r>
        <w:rPr>
          <w:rFonts w:ascii="Arabic Typesetting" w:hAnsi="Arabic Typesetting" w:cs="Arabic Typesetting" w:hint="cs"/>
          <w:i/>
          <w:iCs w:val="0"/>
          <w:sz w:val="42"/>
          <w:szCs w:val="42"/>
          <w:rtl/>
        </w:rPr>
        <w:tab/>
      </w:r>
      <w:r w:rsidRPr="008954A8">
        <w:rPr>
          <w:rFonts w:ascii="Arabic Typesetting" w:hAnsi="Arabic Typesetting" w:cs="Arabic Typesetting"/>
          <w:i/>
          <w:iCs w:val="0"/>
          <w:sz w:val="42"/>
          <w:szCs w:val="42"/>
          <w:rtl/>
        </w:rPr>
        <w:t>تقديم خدمات عالمية في مجال الملكية الفكرية من الطراز الأول</w:t>
      </w:r>
      <w:bookmarkEnd w:id="27"/>
      <w:bookmarkEnd w:id="28"/>
    </w:p>
    <w:p w:rsidR="00C8485D" w:rsidRPr="008954A8" w:rsidRDefault="00C8485D" w:rsidP="00862268">
      <w:pPr>
        <w:autoSpaceDE w:val="0"/>
        <w:autoSpaceDN w:val="0"/>
        <w:adjustRightInd w:val="0"/>
        <w:snapToGrid w:val="0"/>
        <w:spacing w:after="120" w:line="340" w:lineRule="exact"/>
        <w:jc w:val="both"/>
        <w:rPr>
          <w:rFonts w:ascii="Arabic Typesetting" w:hAnsi="Arabic Typesetting" w:cs="Arabic Typesetting"/>
          <w:szCs w:val="34"/>
          <w:rtl/>
        </w:rPr>
      </w:pPr>
      <w:r w:rsidRPr="008954A8">
        <w:rPr>
          <w:rFonts w:ascii="Arabic Typesetting" w:hAnsi="Arabic Typesetting" w:cs="Arabic Typesetting"/>
          <w:szCs w:val="34"/>
          <w:rtl/>
        </w:rPr>
        <w:t>يتناول</w:t>
      </w:r>
      <w:r w:rsidRPr="008954A8">
        <w:rPr>
          <w:rFonts w:ascii="Arabic Typesetting" w:hAnsi="Arabic Typesetting" w:cs="Arabic Typesetting" w:hint="cs"/>
          <w:szCs w:val="34"/>
          <w:rtl/>
        </w:rPr>
        <w:t xml:space="preserve"> هذا</w:t>
      </w:r>
      <w:r w:rsidRPr="008954A8">
        <w:rPr>
          <w:rFonts w:ascii="Arabic Typesetting" w:hAnsi="Arabic Typesetting" w:cs="Arabic Typesetting"/>
          <w:szCs w:val="34"/>
          <w:rtl/>
        </w:rPr>
        <w:t xml:space="preserve"> الهدف الاستراتيجي خدمات الويبو الرئيسية، وهي أيضاً مجالات أعمال مدرّة للإيرادات. ويرمي هذا الهدف إلى جعل أنظمة الويبو العالمية والخدمات البديلة لتسوية المنازعات في صدارة الأنظمة المتاحة للمنتفعين عبر تقديم خدمات لهم تكون جذابة وفعالة من حيث التكلفة وذات قيمة مضافة.</w:t>
      </w:r>
    </w:p>
    <w:p w:rsidR="00C8485D" w:rsidRPr="008954A8" w:rsidRDefault="00C8485D" w:rsidP="00862268">
      <w:pPr>
        <w:autoSpaceDE w:val="0"/>
        <w:autoSpaceDN w:val="0"/>
        <w:adjustRightInd w:val="0"/>
        <w:snapToGrid w:val="0"/>
        <w:spacing w:after="120" w:line="340" w:lineRule="exact"/>
        <w:jc w:val="both"/>
        <w:rPr>
          <w:rFonts w:ascii="Arabic Typesetting" w:hAnsi="Arabic Typesetting" w:cs="Arabic Typesetting"/>
          <w:szCs w:val="34"/>
          <w:rtl/>
        </w:rPr>
      </w:pPr>
    </w:p>
    <w:tbl>
      <w:tblPr>
        <w:bidiVisual/>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4"/>
        <w:gridCol w:w="4252"/>
        <w:gridCol w:w="2206"/>
      </w:tblGrid>
      <w:tr w:rsidR="00C8485D" w:rsidRPr="00C8485D" w:rsidTr="00302EBB">
        <w:trPr>
          <w:cantSplit/>
          <w:tblHeader/>
        </w:trPr>
        <w:tc>
          <w:tcPr>
            <w:tcW w:w="1525" w:type="pct"/>
            <w:tcBorders>
              <w:top w:val="single" w:sz="4" w:space="0" w:color="auto"/>
              <w:bottom w:val="single" w:sz="4" w:space="0" w:color="auto"/>
            </w:tcBorders>
            <w:shd w:val="clear" w:color="auto" w:fill="C6D9F1"/>
            <w:tcMar>
              <w:top w:w="113" w:type="dxa"/>
              <w:bottom w:w="113" w:type="dxa"/>
            </w:tcMar>
            <w:vAlign w:val="cente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bCs/>
                <w:sz w:val="30"/>
                <w:szCs w:val="30"/>
                <w:rtl/>
              </w:rPr>
              <w:t>النتائج المرتقبة</w:t>
            </w:r>
          </w:p>
        </w:tc>
        <w:tc>
          <w:tcPr>
            <w:tcW w:w="2288" w:type="pct"/>
            <w:tcBorders>
              <w:top w:val="single" w:sz="4" w:space="0" w:color="auto"/>
              <w:bottom w:val="single" w:sz="4" w:space="0" w:color="auto"/>
            </w:tcBorders>
            <w:shd w:val="clear" w:color="auto" w:fill="C6D9F1"/>
            <w:tcMar>
              <w:top w:w="113" w:type="dxa"/>
              <w:bottom w:w="113" w:type="dxa"/>
            </w:tcMar>
            <w:vAlign w:val="cente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bCs/>
                <w:sz w:val="30"/>
                <w:szCs w:val="30"/>
                <w:rtl/>
              </w:rPr>
              <w:t>مؤشرات الأداء</w:t>
            </w:r>
          </w:p>
        </w:tc>
        <w:tc>
          <w:tcPr>
            <w:tcW w:w="1187" w:type="pct"/>
            <w:tcBorders>
              <w:top w:val="single" w:sz="4" w:space="0" w:color="auto"/>
              <w:bottom w:val="single" w:sz="4" w:space="0" w:color="auto"/>
            </w:tcBorders>
            <w:shd w:val="clear" w:color="auto" w:fill="C6D9F1"/>
            <w:tcMar>
              <w:top w:w="113" w:type="dxa"/>
              <w:bottom w:w="113" w:type="dxa"/>
            </w:tcMar>
            <w:vAlign w:val="cente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bCs/>
                <w:sz w:val="30"/>
                <w:szCs w:val="30"/>
                <w:rtl/>
              </w:rPr>
              <w:t>البرامج المسؤولة</w:t>
            </w:r>
          </w:p>
        </w:tc>
      </w:tr>
      <w:tr w:rsidR="00C8485D" w:rsidRPr="00C8485D" w:rsidTr="00302EBB">
        <w:trPr>
          <w:cantSplit/>
          <w:trHeight w:val="622"/>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ه 1.2</w:t>
            </w:r>
            <w:r w:rsidRPr="00C8485D">
              <w:rPr>
                <w:rFonts w:ascii="Arabic Typesetting" w:hAnsi="Arabic Typesetting" w:cs="Arabic Typesetting"/>
                <w:sz w:val="30"/>
                <w:szCs w:val="30"/>
                <w:rtl/>
              </w:rPr>
              <w:t xml:space="preserve"> استخدام نظام معاهدة التعاون بشأن البراءات على نطاق أوسع وبفعالية أكبر لإيداع طلبات البراءات الدولية</w:t>
            </w: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مستوى رضا مستخدمي معاهدة البراءات على المشورة القانونية الخاصة بالمعاهدة والمعلومات والتدريب وخدمة الزبائن</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Height w:val="199"/>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رضا المكاتب والإدارات الدولية على الأنشطة التعاونية لمعاهدة البراءات</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مواصلة تطوير نظام معاهدة البراءات، ولا سيما تنفيذ توصيات خارطة طريق معاهدة البراءات التي أقرتها الدول الأعضاء في معاهدة البراءات</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5</w:t>
            </w:r>
          </w:p>
        </w:tc>
      </w:tr>
      <w:tr w:rsidR="00C8485D" w:rsidRPr="00C8485D" w:rsidTr="00302EBB">
        <w:trPr>
          <w:cantSplit/>
          <w:trHeight w:val="11"/>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تحسن الخدمات الإلكترونية المقدمة للمودعين، وللغير، وللمكاتب، وللإدارات</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sz w:val="30"/>
                <w:szCs w:val="30"/>
                <w:rtl/>
              </w:rPr>
              <w:t xml:space="preserve">عدد الطلبات المودعة بناء على معاهدة التعاون بشأن البراءات والصادرة من </w:t>
            </w:r>
            <w:r w:rsidR="00924A30">
              <w:rPr>
                <w:rFonts w:ascii="Arabic Typesetting" w:hAnsi="Arabic Typesetting" w:cs="Arabic Typesetting" w:hint="cs"/>
                <w:sz w:val="30"/>
                <w:szCs w:val="30"/>
                <w:rtl/>
              </w:rPr>
              <w:t>البلدان النامية و</w:t>
            </w:r>
            <w:r w:rsidRPr="00C8485D">
              <w:rPr>
                <w:rFonts w:ascii="Arabic Typesetting" w:hAnsi="Arabic Typesetting" w:cs="Arabic Typesetting"/>
                <w:sz w:val="30"/>
                <w:szCs w:val="30"/>
                <w:rtl/>
              </w:rPr>
              <w:t>البلدان المنتقلة إلى نظام الاقتصاد الحر والبلدان المتقدمة</w:t>
            </w:r>
          </w:p>
        </w:tc>
        <w:tc>
          <w:tcPr>
            <w:tcW w:w="1187" w:type="pct"/>
            <w:shd w:val="clear" w:color="auto" w:fill="FFFFFF"/>
            <w:tcMar>
              <w:top w:w="113" w:type="dxa"/>
              <w:bottom w:w="113" w:type="dxa"/>
            </w:tcMar>
          </w:tcPr>
          <w:p w:rsidR="00D5394D" w:rsidRDefault="00D5394D"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hint="cs"/>
                <w:sz w:val="30"/>
                <w:szCs w:val="30"/>
                <w:rtl/>
              </w:rPr>
              <w:t>البرنامج 9</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10</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20</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النسبة المئوية للمشاركين في الاستقصاء الذي يدل على وجود زيادة في استخدام خدمات الويبو في غضون 6 أشهر من حضور الحلقات الدراسية الجوالة بشأن خدمات الويبو ومبادراتها</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البرنامج </w:t>
            </w:r>
            <w:r w:rsidRPr="00C8485D">
              <w:rPr>
                <w:rFonts w:ascii="Arabic Typesetting" w:hAnsi="Arabic Typesetting" w:cs="Arabic Typesetting" w:hint="cs"/>
                <w:sz w:val="30"/>
                <w:szCs w:val="30"/>
                <w:rtl/>
              </w:rPr>
              <w:t>10</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النسبة المئوية لواضعي السياسات والمسؤولين الحكوميين والعاملين في مجال الملكية الفكرية والمشاركين في حلقات العمل الهادفة ممن لديهم فهم معمّق لنظام البراءات والمواضيع ذات الصلة</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20</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ه 3.2</w:t>
            </w:r>
            <w:r w:rsidRPr="00C8485D">
              <w:rPr>
                <w:rFonts w:ascii="Arabic Typesetting" w:hAnsi="Arabic Typesetting" w:cs="Arabic Typesetting"/>
                <w:sz w:val="30"/>
                <w:szCs w:val="30"/>
                <w:rtl/>
              </w:rPr>
              <w:t xml:space="preserve"> إنتاجية وجودة خدمات محسّنة في عمليات معاهدة التعاون بشأن البراءات</w:t>
            </w: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تكلفة كل طلب</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الجودة الإجمالية لإجراءات الفحص الشكلية (بما في ذلك احترام المواعيد)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noProof/>
                <w:sz w:val="30"/>
                <w:szCs w:val="30"/>
                <w:rtl/>
              </w:rPr>
              <w:t>احترام المواعيد في</w:t>
            </w:r>
            <w:r w:rsidRPr="00C8485D">
              <w:rPr>
                <w:rFonts w:ascii="Arabic Typesetting" w:hAnsi="Arabic Typesetting" w:cs="Arabic Typesetting"/>
                <w:noProof/>
                <w:sz w:val="30"/>
                <w:szCs w:val="30"/>
                <w:rtl/>
              </w:rPr>
              <w:t xml:space="preserve"> ترجمة</w:t>
            </w:r>
            <w:r w:rsidRPr="00C8485D">
              <w:rPr>
                <w:rFonts w:ascii="Arabic Typesetting" w:hAnsi="Arabic Typesetting" w:cs="Arabic Typesetting" w:hint="cs"/>
                <w:noProof/>
                <w:sz w:val="30"/>
                <w:szCs w:val="30"/>
                <w:rtl/>
              </w:rPr>
              <w:t xml:space="preserve"> التقارير</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tabs>
                <w:tab w:val="left" w:pos="1860"/>
              </w:tabs>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جودة الترجمة</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جودة تطوير البرمجيات</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مستويات خدمة أنظمة المعلومات</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5</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ه 4.2</w:t>
            </w:r>
            <w:r w:rsidRPr="00C8485D">
              <w:rPr>
                <w:rFonts w:ascii="Arabic Typesetting" w:hAnsi="Arabic Typesetting" w:cs="Arabic Typesetting"/>
                <w:sz w:val="30"/>
                <w:szCs w:val="30"/>
                <w:rtl/>
              </w:rPr>
              <w:t xml:space="preserve"> استخدام نظام لاهاي على نطاق أوسع وبفعالية أكبر، بما في ذلك من قبل البلدان النامية والبلدان الأقل نموا</w:t>
            </w: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عدد الطلبات المودعة بناء على نظام لاهاي والصادرة من البلدان </w:t>
            </w:r>
            <w:r w:rsidR="00924A30">
              <w:rPr>
                <w:rFonts w:ascii="Arabic Typesetting" w:hAnsi="Arabic Typesetting" w:cs="Arabic Typesetting" w:hint="cs"/>
                <w:sz w:val="30"/>
                <w:szCs w:val="30"/>
                <w:rtl/>
              </w:rPr>
              <w:t xml:space="preserve">النامية والبلدان </w:t>
            </w:r>
            <w:r w:rsidRPr="00C8485D">
              <w:rPr>
                <w:rFonts w:ascii="Arabic Typesetting" w:hAnsi="Arabic Typesetting" w:cs="Arabic Typesetting"/>
                <w:sz w:val="30"/>
                <w:szCs w:val="30"/>
                <w:rtl/>
              </w:rPr>
              <w:t>المنتقلة إلى نظام الاقتصاد الحر والبلدان المتقدمة</w:t>
            </w:r>
          </w:p>
        </w:tc>
        <w:tc>
          <w:tcPr>
            <w:tcW w:w="1187" w:type="pct"/>
            <w:shd w:val="clear" w:color="auto" w:fill="FFFFFF"/>
            <w:tcMar>
              <w:top w:w="113" w:type="dxa"/>
              <w:bottom w:w="113" w:type="dxa"/>
            </w:tcMar>
          </w:tcPr>
          <w:p w:rsidR="002C78E8" w:rsidRDefault="002C78E8"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hint="cs"/>
                <w:sz w:val="30"/>
                <w:szCs w:val="30"/>
                <w:rtl/>
              </w:rPr>
              <w:t>البرنامج 9</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10</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20</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الأطراف في وثيقة جنيف (1999)</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20</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النسبة المئوية لواضعي السياسات والمسؤولين الحكوميين والعاملين في مجال الملكية الفكرية والمشاركين في حلقات العمل الهادفة ممن لديهم فهم معمّق لنظام لاهاي</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20</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حصة المكاتب المعنية التي تُقدِّم معلومات عن نظام لاهاي إلى المستخدمين.</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البرنامج </w:t>
            </w:r>
            <w:r w:rsidRPr="00C8485D">
              <w:rPr>
                <w:rFonts w:ascii="Arabic Typesetting" w:hAnsi="Arabic Typesetting" w:cs="Arabic Typesetting" w:hint="cs"/>
                <w:sz w:val="30"/>
                <w:szCs w:val="30"/>
                <w:rtl/>
              </w:rPr>
              <w:t>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إيداعات وتجديدات في نظام لاهاي</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tabs>
                <w:tab w:val="right" w:pos="2835"/>
              </w:tabs>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hint="cs"/>
                <w:sz w:val="30"/>
                <w:szCs w:val="30"/>
                <w:rtl/>
              </w:rPr>
              <w:t>ه 5.2</w:t>
            </w:r>
            <w:r w:rsidRPr="00C8485D">
              <w:rPr>
                <w:rFonts w:ascii="Arabic Typesetting" w:hAnsi="Arabic Typesetting" w:cs="Arabic Typesetting"/>
                <w:sz w:val="30"/>
                <w:szCs w:val="30"/>
                <w:rtl/>
              </w:rPr>
              <w:t xml:space="preserve"> إنتاجية وجودة خدمات محسّنة في عمليات نظام لاهاي</w:t>
            </w: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هيمنة وثيقة جنيف (1999) في نظام لاهاي</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العمليات والإجراءات مكيفة مع التطور الجغرافي والقانوني للنظام</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تقدم محرز نحو تعزيز الإطار القانوني</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تحسّن سير عمل سجل لاهاي، بما في ذلك العمليات والإجراءات الإلكترونية</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مرونة البيانات المدونة في السجل الدولي</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لا انقطاع في خدمات تكنولوجيا المعلومات الخاصة بنظام لاهاي</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مرونة البيانات المدونة في السجل الدولي</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3 إصدارات من نظام معلومات السجل الدولي للتصاميم (</w:t>
            </w:r>
            <w:r w:rsidRPr="00C8485D">
              <w:rPr>
                <w:rFonts w:ascii="Arabic Typesetting" w:hAnsi="Arabic Typesetting" w:cs="Arabic Typesetting"/>
                <w:sz w:val="30"/>
                <w:szCs w:val="30"/>
              </w:rPr>
              <w:t>DIRIS</w:t>
            </w:r>
            <w:r w:rsidRPr="00C8485D">
              <w:rPr>
                <w:rFonts w:ascii="Arabic Typesetting" w:hAnsi="Arabic Typesetting" w:cs="Arabic Typesetting"/>
                <w:sz w:val="30"/>
                <w:szCs w:val="30"/>
                <w:rtl/>
              </w:rPr>
              <w:t>) منشورة، و3 إصدارات من نظام لاهاي للإيداع الإلكتروني منشورة</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31</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ه 6.2</w:t>
            </w:r>
            <w:r w:rsidRPr="00C8485D">
              <w:rPr>
                <w:rFonts w:ascii="Arabic Typesetting" w:hAnsi="Arabic Typesetting" w:cs="Arabic Typesetting"/>
                <w:sz w:val="30"/>
                <w:szCs w:val="30"/>
                <w:rtl/>
              </w:rPr>
              <w:t xml:space="preserve"> استخدام نظام مدريد على نطاق أوسع وبفعالية أكبر، بما في ذلك من قبل البلدان النامية والبلدان الأقل نموا</w:t>
            </w: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إجمالي أعضاء نظام مدريد</w:t>
            </w:r>
          </w:p>
          <w:p w:rsidR="00C8485D" w:rsidRPr="00C8485D" w:rsidRDefault="00C8485D" w:rsidP="00ED49E9">
            <w:pPr>
              <w:adjustRightInd w:val="0"/>
              <w:spacing w:line="300" w:lineRule="exact"/>
              <w:contextualSpacing/>
              <w:rPr>
                <w:rFonts w:ascii="Arabic Typesetting" w:hAnsi="Arabic Typesetting" w:cs="Arabic Typesetting"/>
                <w:sz w:val="30"/>
                <w:szCs w:val="30"/>
                <w:rtl/>
              </w:rPr>
            </w:pPr>
          </w:p>
          <w:p w:rsidR="00C8485D" w:rsidRPr="00C8485D" w:rsidRDefault="00C8485D" w:rsidP="00ED49E9">
            <w:pPr>
              <w:adjustRightInd w:val="0"/>
              <w:spacing w:line="300" w:lineRule="exact"/>
              <w:contextualSpacing/>
              <w:rPr>
                <w:rFonts w:ascii="Arabic Typesetting" w:hAnsi="Arabic Typesetting" w:cs="Arabic Typesetting"/>
                <w:sz w:val="30"/>
                <w:szCs w:val="30"/>
                <w:rtl/>
              </w:rPr>
            </w:pPr>
          </w:p>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الحصة في السوق (أيْ المسار الوطني مقابل مسار مدريد)</w:t>
            </w:r>
            <w:r w:rsidR="0084045F">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20</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معدل الإيداع</w:t>
            </w:r>
            <w:r w:rsidR="0084045F">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التسجيلات</w:t>
            </w:r>
            <w:r w:rsidR="007D29CF">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التجديدات</w:t>
            </w:r>
            <w:r w:rsidR="007D29CF">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إجمالي عدد التسجيلات</w:t>
            </w:r>
            <w:r w:rsidR="007D29CF">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إجمالي عدد التسميات</w:t>
            </w:r>
            <w:r w:rsidR="007D29CF">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معدل المخالفة (المادتان 12 و13)</w:t>
            </w:r>
            <w:r w:rsidR="007D29CF">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 xml:space="preserve">إدخال </w:t>
            </w:r>
            <w:r w:rsidRPr="00C8485D">
              <w:rPr>
                <w:rFonts w:ascii="Arabic Typesetting" w:hAnsi="Arabic Typesetting" w:cs="Arabic Typesetting"/>
                <w:sz w:val="30"/>
                <w:szCs w:val="30"/>
                <w:rtl/>
              </w:rPr>
              <w:t xml:space="preserve">تحسينات وظيفية </w:t>
            </w:r>
            <w:r w:rsidRPr="00C8485D">
              <w:rPr>
                <w:rFonts w:ascii="Arabic Typesetting" w:hAnsi="Arabic Typesetting" w:cs="Arabic Typesetting" w:hint="cs"/>
                <w:sz w:val="30"/>
                <w:szCs w:val="30"/>
                <w:rtl/>
              </w:rPr>
              <w:t xml:space="preserve">على </w:t>
            </w:r>
            <w:r w:rsidRPr="00C8485D">
              <w:rPr>
                <w:rFonts w:ascii="Arabic Typesetting" w:hAnsi="Arabic Typesetting" w:cs="Arabic Typesetting"/>
                <w:sz w:val="30"/>
                <w:szCs w:val="30"/>
                <w:rtl/>
              </w:rPr>
              <w:t>نظام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عدد </w:t>
            </w:r>
            <w:r w:rsidRPr="00C8485D">
              <w:rPr>
                <w:rFonts w:ascii="Arabic Typesetting" w:hAnsi="Arabic Typesetting" w:cs="Arabic Typesetting" w:hint="cs"/>
                <w:sz w:val="30"/>
                <w:szCs w:val="30"/>
                <w:rtl/>
              </w:rPr>
              <w:t xml:space="preserve">الطلبات </w:t>
            </w:r>
            <w:r w:rsidRPr="00C8485D">
              <w:rPr>
                <w:rFonts w:ascii="Arabic Typesetting" w:hAnsi="Arabic Typesetting" w:cs="Arabic Typesetting"/>
                <w:sz w:val="30"/>
                <w:szCs w:val="30"/>
                <w:rtl/>
              </w:rPr>
              <w:t>المودع</w:t>
            </w:r>
            <w:r w:rsidRPr="00C8485D">
              <w:rPr>
                <w:rFonts w:ascii="Arabic Typesetting" w:hAnsi="Arabic Typesetting" w:cs="Arabic Typesetting" w:hint="cs"/>
                <w:sz w:val="30"/>
                <w:szCs w:val="30"/>
                <w:rtl/>
              </w:rPr>
              <w:t>ة</w:t>
            </w:r>
            <w:r w:rsidRPr="00C8485D">
              <w:rPr>
                <w:rFonts w:ascii="Arabic Typesetting" w:hAnsi="Arabic Typesetting" w:cs="Arabic Typesetting"/>
                <w:sz w:val="30"/>
                <w:szCs w:val="30"/>
                <w:rtl/>
              </w:rPr>
              <w:t xml:space="preserve"> بناء على نظام مدريد </w:t>
            </w:r>
            <w:r w:rsidRPr="00C8485D">
              <w:rPr>
                <w:rFonts w:ascii="Arabic Typesetting" w:hAnsi="Arabic Typesetting" w:cs="Arabic Typesetting" w:hint="cs"/>
                <w:sz w:val="30"/>
                <w:szCs w:val="30"/>
                <w:rtl/>
              </w:rPr>
              <w:t xml:space="preserve">الصادرة من </w:t>
            </w:r>
            <w:r w:rsidRPr="00C8485D">
              <w:rPr>
                <w:rFonts w:ascii="Arabic Typesetting" w:hAnsi="Arabic Typesetting" w:cs="Arabic Typesetting"/>
                <w:sz w:val="30"/>
                <w:szCs w:val="30"/>
                <w:rtl/>
              </w:rPr>
              <w:t xml:space="preserve">البلدان </w:t>
            </w:r>
            <w:r w:rsidR="00924A30">
              <w:rPr>
                <w:rFonts w:ascii="Arabic Typesetting" w:hAnsi="Arabic Typesetting" w:cs="Arabic Typesetting" w:hint="cs"/>
                <w:sz w:val="30"/>
                <w:szCs w:val="30"/>
                <w:rtl/>
              </w:rPr>
              <w:t xml:space="preserve">النامية والبلدان </w:t>
            </w:r>
            <w:r w:rsidRPr="00C8485D">
              <w:rPr>
                <w:rFonts w:ascii="Arabic Typesetting" w:hAnsi="Arabic Typesetting" w:cs="Arabic Typesetting"/>
                <w:sz w:val="30"/>
                <w:szCs w:val="30"/>
                <w:rtl/>
              </w:rPr>
              <w:t>المنتقلة إلى نظام الاقتصاد الحر والبلدان المتقدمة</w:t>
            </w:r>
          </w:p>
        </w:tc>
        <w:tc>
          <w:tcPr>
            <w:tcW w:w="1187" w:type="pct"/>
            <w:shd w:val="clear" w:color="auto" w:fill="FFFFFF"/>
            <w:tcMar>
              <w:top w:w="113" w:type="dxa"/>
              <w:bottom w:w="113" w:type="dxa"/>
            </w:tcMar>
          </w:tcPr>
          <w:p w:rsidR="00006315" w:rsidRDefault="00006315"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hint="cs"/>
                <w:sz w:val="30"/>
                <w:szCs w:val="30"/>
                <w:rtl/>
              </w:rPr>
              <w:t>البرنامج 9</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10</w:t>
            </w:r>
          </w:p>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hint="cs"/>
                <w:sz w:val="30"/>
                <w:szCs w:val="30"/>
                <w:rtl/>
              </w:rPr>
              <w:t>البرنامج 20</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النسبة المئوية لواضعي السياسات والمسؤولين الحكوميين والعاملين في مجال الملكية الفكرية والمشاركين في حلقات العمل الهادفة ممن لديهم فهم معمّق لنظام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20</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ه 7.2</w:t>
            </w:r>
            <w:r w:rsidRPr="00C8485D">
              <w:rPr>
                <w:rFonts w:ascii="Arabic Typesetting" w:hAnsi="Arabic Typesetting" w:cs="Arabic Typesetting"/>
                <w:sz w:val="30"/>
                <w:szCs w:val="30"/>
                <w:rtl/>
              </w:rPr>
              <w:t xml:space="preserve"> إنتاجية وج</w:t>
            </w:r>
            <w:r w:rsidR="00A97C04">
              <w:rPr>
                <w:rFonts w:ascii="Arabic Typesetting" w:hAnsi="Arabic Typesetting" w:cs="Arabic Typesetting"/>
                <w:sz w:val="30"/>
                <w:szCs w:val="30"/>
                <w:rtl/>
              </w:rPr>
              <w:t>ودة خدمات محسّنة في عمليات نظام</w:t>
            </w:r>
            <w:r w:rsidRPr="00C8485D">
              <w:rPr>
                <w:rFonts w:ascii="Arabic Typesetting" w:hAnsi="Arabic Typesetting" w:cs="Arabic Typesetting"/>
                <w:sz w:val="30"/>
                <w:szCs w:val="30"/>
                <w:rtl/>
              </w:rPr>
              <w:t xml:space="preserve"> مدريد</w:t>
            </w: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رضا الزبائن</w:t>
            </w:r>
            <w:r w:rsidR="00006315">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تكلفة الوحدة</w:t>
            </w:r>
            <w:r w:rsidR="00006315">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توقيت المعاملات (بالأيام)</w:t>
            </w:r>
            <w:r w:rsidR="00006315">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sz w:val="30"/>
                <w:szCs w:val="30"/>
                <w:rtl/>
              </w:rPr>
              <w:t>الجودة</w:t>
            </w:r>
            <w:r w:rsidR="00006315">
              <w:rPr>
                <w:rFonts w:ascii="Arabic Typesetting" w:hAnsi="Arabic Typesetting" w:cs="Arabic Typesetting" w:hint="cs"/>
                <w:sz w:val="30"/>
                <w:szCs w:val="30"/>
                <w:rtl/>
              </w:rPr>
              <w:t xml:space="preserve"> (مدريد)</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تحسُّن سير عمل سجل مدريد، بما في ذلك العمليات والإجراءات الإلكترونية</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التقديم المستقر لخدمات تكنولوجيا المعلومات المتطورة من قبل مكاتب نظام مدريد الخلفية</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نشر 3 إصدارات من نظام </w:t>
            </w:r>
            <w:r w:rsidRPr="00C8485D">
              <w:rPr>
                <w:rFonts w:ascii="Arabic Typesetting" w:hAnsi="Arabic Typesetting" w:cs="Arabic Typesetting"/>
                <w:sz w:val="30"/>
                <w:szCs w:val="30"/>
              </w:rPr>
              <w:t>M-IRIS</w:t>
            </w:r>
            <w:r w:rsidRPr="00C8485D">
              <w:rPr>
                <w:rFonts w:ascii="Arabic Typesetting" w:hAnsi="Arabic Typesetting" w:cs="Arabic Typesetting"/>
                <w:sz w:val="30"/>
                <w:szCs w:val="30"/>
                <w:rtl/>
              </w:rPr>
              <w:t xml:space="preserve"> ونشر 3 إصدارات من خدمة الإيداع الإلكتروني في نظام مدريد (</w:t>
            </w:r>
            <w:r w:rsidRPr="00C8485D">
              <w:rPr>
                <w:rFonts w:ascii="Arabic Typesetting" w:hAnsi="Arabic Typesetting" w:cs="Arabic Typesetting"/>
                <w:sz w:val="30"/>
                <w:szCs w:val="30"/>
              </w:rPr>
              <w:t>IRPI</w:t>
            </w:r>
            <w:r w:rsidRPr="00C8485D">
              <w:rPr>
                <w:rFonts w:ascii="Arabic Typesetting" w:hAnsi="Arabic Typesetting" w:cs="Arabic Typesetting"/>
                <w:sz w:val="30"/>
                <w:szCs w:val="30"/>
                <w:rtl/>
              </w:rPr>
              <w:t>)</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Pr>
            </w:pPr>
            <w:r w:rsidRPr="00C8485D">
              <w:rPr>
                <w:rFonts w:ascii="Arabic Typesetting" w:hAnsi="Arabic Typesetting" w:cs="Arabic Typesetting"/>
                <w:sz w:val="30"/>
                <w:szCs w:val="30"/>
                <w:rtl/>
              </w:rPr>
              <w:t>البرنامج 6</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noProof/>
                <w:sz w:val="30"/>
                <w:szCs w:val="30"/>
                <w:rtl/>
              </w:rPr>
              <w:t>ه 8.2</w:t>
            </w:r>
            <w:r w:rsidRPr="00C8485D">
              <w:rPr>
                <w:rFonts w:ascii="Arabic Typesetting" w:hAnsi="Arabic Typesetting" w:cs="Arabic Typesetting"/>
                <w:noProof/>
                <w:sz w:val="30"/>
                <w:szCs w:val="30"/>
                <w:rtl/>
              </w:rPr>
              <w:t xml:space="preserve"> تزايد تفادي نشوء المنازعات المتعلقة بالملكية الفكرية دوليا وداخليا وتسويتها عبر الوساطة والتحكيم وغيرها من أساليب الويبو البديلة لتسوية المنازعات</w:t>
            </w: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noProof/>
                <w:sz w:val="30"/>
                <w:szCs w:val="30"/>
                <w:rtl/>
              </w:rPr>
              <w:t>زيادة الاستعانة بخدمات وشروط بديلة لتسوية المنازعات في الصفقات والتسجيلات المتعلقة بالملكية الفكرية، بما في ذلك عبر إجراءات الويبو</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lang w:bidi="ar-SA"/>
              </w:rPr>
            </w:pPr>
            <w:r w:rsidRPr="00C8485D">
              <w:rPr>
                <w:rFonts w:ascii="Arabic Typesetting" w:hAnsi="Arabic Typesetting" w:cs="Arabic Typesetting"/>
                <w:noProof/>
                <w:sz w:val="30"/>
                <w:szCs w:val="30"/>
                <w:rtl/>
              </w:rPr>
              <w:t>البرنامج 7</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noProof/>
                <w:sz w:val="30"/>
                <w:szCs w:val="30"/>
                <w:rtl/>
              </w:rPr>
              <w:t>السياسات البديلة لتسوية المنازعات التي ساهم المركز في وضعها وتنفيذها</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noProof/>
                <w:sz w:val="30"/>
                <w:szCs w:val="30"/>
                <w:rtl/>
              </w:rPr>
              <w:t>البرنامج 7</w:t>
            </w: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noProof/>
                <w:sz w:val="30"/>
                <w:szCs w:val="30"/>
                <w:rtl/>
              </w:rPr>
              <w:t>عدد منازعات الملكية الفكرية التي بدأت في البلدان المنتقلة إلى نظام الاقتصاد الحر والمتقدمة التي تم منعها أو حلها عن طريق الوساطة والتحكيم وغيرها من أساليب الويبو البديلة لتسوية المنازعات</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noProof/>
                <w:sz w:val="30"/>
                <w:szCs w:val="30"/>
                <w:rtl/>
              </w:rPr>
            </w:pPr>
            <w:r w:rsidRPr="00C8485D">
              <w:rPr>
                <w:rFonts w:ascii="Arabic Typesetting" w:hAnsi="Arabic Typesetting" w:cs="Arabic Typesetting"/>
                <w:noProof/>
                <w:sz w:val="30"/>
                <w:szCs w:val="30"/>
                <w:rtl/>
              </w:rPr>
              <w:t>البرنامج 10</w:t>
            </w:r>
          </w:p>
          <w:p w:rsidR="00C8485D" w:rsidRPr="00C8485D" w:rsidRDefault="00C8485D" w:rsidP="00ED49E9">
            <w:pPr>
              <w:adjustRightInd w:val="0"/>
              <w:spacing w:line="300" w:lineRule="exact"/>
              <w:contextualSpacing/>
              <w:jc w:val="center"/>
              <w:rPr>
                <w:rFonts w:ascii="Arabic Typesetting" w:hAnsi="Arabic Typesetting" w:cs="Arabic Typesetting"/>
                <w:noProof/>
                <w:sz w:val="30"/>
                <w:szCs w:val="30"/>
              </w:rPr>
            </w:pPr>
          </w:p>
        </w:tc>
      </w:tr>
      <w:tr w:rsidR="00C8485D" w:rsidRPr="00C8485D" w:rsidTr="00302EBB">
        <w:trPr>
          <w:cantSplit/>
        </w:trPr>
        <w:tc>
          <w:tcPr>
            <w:tcW w:w="1525"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noProof/>
                <w:sz w:val="30"/>
                <w:szCs w:val="30"/>
                <w:rtl/>
              </w:rPr>
            </w:pPr>
            <w:r w:rsidRPr="00C8485D">
              <w:rPr>
                <w:rFonts w:ascii="Arabic Typesetting" w:hAnsi="Arabic Typesetting" w:cs="Arabic Typesetting"/>
                <w:noProof/>
                <w:sz w:val="30"/>
                <w:szCs w:val="30"/>
                <w:rtl/>
              </w:rPr>
              <w:t>زيادة النظر في إمكانية الانتفاع بالخدمات البديلة لتسوية المنازعات في المعاملات الخاصة بالملكية الفكرية، بما في ذلك عن طريق استخدام إجراءات الويبو</w:t>
            </w:r>
          </w:p>
        </w:tc>
        <w:tc>
          <w:tcPr>
            <w:tcW w:w="1187" w:type="pct"/>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noProof/>
                <w:sz w:val="30"/>
                <w:szCs w:val="30"/>
                <w:rtl/>
              </w:rPr>
            </w:pPr>
            <w:r w:rsidRPr="00C8485D">
              <w:rPr>
                <w:rFonts w:ascii="Arabic Typesetting" w:hAnsi="Arabic Typesetting" w:cs="Arabic Typesetting" w:hint="cs"/>
                <w:noProof/>
                <w:sz w:val="30"/>
                <w:szCs w:val="30"/>
                <w:rtl/>
              </w:rPr>
              <w:t>البرنامج 20</w:t>
            </w:r>
          </w:p>
        </w:tc>
      </w:tr>
      <w:tr w:rsidR="00C8485D" w:rsidRPr="00C8485D" w:rsidTr="00302EBB">
        <w:trPr>
          <w:cantSplit/>
        </w:trPr>
        <w:tc>
          <w:tcPr>
            <w:tcW w:w="1525" w:type="pct"/>
            <w:tcBorders>
              <w:bottom w:val="nil"/>
            </w:tcBorders>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hint="cs"/>
                <w:noProof/>
                <w:sz w:val="30"/>
                <w:szCs w:val="30"/>
                <w:rtl/>
              </w:rPr>
              <w:t>ه 9.2</w:t>
            </w:r>
            <w:r w:rsidRPr="00C8485D">
              <w:rPr>
                <w:rFonts w:ascii="Arabic Typesetting" w:hAnsi="Arabic Typesetting" w:cs="Arabic Typesetting"/>
                <w:noProof/>
                <w:sz w:val="30"/>
                <w:szCs w:val="30"/>
                <w:rtl/>
              </w:rPr>
              <w:t xml:space="preserve"> حماية فعالة للملكية الفكرية في الحقول العليا المكونة من أسماء عامة والحقول العليا المكونة من رموز البلدان</w:t>
            </w:r>
          </w:p>
        </w:tc>
        <w:tc>
          <w:tcPr>
            <w:tcW w:w="2288" w:type="pct"/>
            <w:tcBorders>
              <w:bottom w:val="nil"/>
            </w:tcBorders>
            <w:tcMar>
              <w:top w:w="113" w:type="dxa"/>
              <w:bottom w:w="113" w:type="dxa"/>
            </w:tcMar>
          </w:tcPr>
          <w:p w:rsidR="00C8485D" w:rsidRPr="00C8485D" w:rsidRDefault="00C8485D"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noProof/>
                <w:sz w:val="30"/>
                <w:szCs w:val="30"/>
                <w:rtl/>
              </w:rPr>
              <w:t>عدد الحالات التي عالجها المركز فيما يتعلق بالحقول العليا المكونة من أسماء عامة والحقول العليا المكونة من رموز البلدان في إطار السياسة الموحدة لتسوية المنازعات المتعلقة بأسماء الحقول</w:t>
            </w:r>
          </w:p>
        </w:tc>
        <w:tc>
          <w:tcPr>
            <w:tcW w:w="1187" w:type="pct"/>
            <w:tcBorders>
              <w:bottom w:val="nil"/>
            </w:tcBorders>
            <w:shd w:val="clear" w:color="auto" w:fill="FFFFFF"/>
            <w:tcMar>
              <w:top w:w="113" w:type="dxa"/>
              <w:bottom w:w="113" w:type="dxa"/>
            </w:tcMar>
          </w:tcPr>
          <w:p w:rsidR="00C8485D" w:rsidRPr="00C8485D" w:rsidRDefault="00C8485D" w:rsidP="00ED49E9">
            <w:pPr>
              <w:adjustRightInd w:val="0"/>
              <w:spacing w:line="300" w:lineRule="exact"/>
              <w:contextualSpacing/>
              <w:jc w:val="center"/>
              <w:rPr>
                <w:rFonts w:ascii="Arabic Typesetting" w:hAnsi="Arabic Typesetting" w:cs="Arabic Typesetting"/>
                <w:sz w:val="30"/>
                <w:szCs w:val="30"/>
              </w:rPr>
            </w:pPr>
            <w:r w:rsidRPr="00C8485D">
              <w:rPr>
                <w:rFonts w:ascii="Arabic Typesetting" w:hAnsi="Arabic Typesetting" w:cs="Arabic Typesetting"/>
                <w:noProof/>
                <w:sz w:val="30"/>
                <w:szCs w:val="30"/>
                <w:rtl/>
              </w:rPr>
              <w:t>البرنامج 7</w:t>
            </w:r>
          </w:p>
        </w:tc>
      </w:tr>
      <w:tr w:rsidR="00A97C04" w:rsidRPr="00C8485D" w:rsidTr="00302EBB">
        <w:trPr>
          <w:cantSplit/>
        </w:trPr>
        <w:tc>
          <w:tcPr>
            <w:tcW w:w="1525" w:type="pct"/>
            <w:tcBorders>
              <w:top w:val="nil"/>
              <w:bottom w:val="nil"/>
            </w:tcBorders>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p>
        </w:tc>
        <w:tc>
          <w:tcPr>
            <w:tcW w:w="2288" w:type="pct"/>
            <w:tcBorders>
              <w:top w:val="nil"/>
              <w:bottom w:val="nil"/>
            </w:tcBorders>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noProof/>
                <w:sz w:val="30"/>
                <w:szCs w:val="30"/>
                <w:rtl/>
              </w:rPr>
              <w:t>سياسات تسوية المنازعات التي أسهم المركز في وضعها وتنفيذها في سياق نظام أسماء الحقول</w:t>
            </w:r>
          </w:p>
        </w:tc>
        <w:tc>
          <w:tcPr>
            <w:tcW w:w="1187" w:type="pct"/>
            <w:tcBorders>
              <w:top w:val="nil"/>
              <w:bottom w:val="nil"/>
            </w:tcBorders>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Pr>
            </w:pPr>
            <w:r w:rsidRPr="00C8485D">
              <w:rPr>
                <w:rFonts w:ascii="Arabic Typesetting" w:hAnsi="Arabic Typesetting" w:cs="Arabic Typesetting"/>
                <w:noProof/>
                <w:sz w:val="30"/>
                <w:szCs w:val="30"/>
                <w:rtl/>
              </w:rPr>
              <w:t>البرنامج 7</w:t>
            </w:r>
          </w:p>
        </w:tc>
      </w:tr>
      <w:tr w:rsidR="00A97C04" w:rsidRPr="00C8485D" w:rsidTr="00302EBB">
        <w:trPr>
          <w:cantSplit/>
        </w:trPr>
        <w:tc>
          <w:tcPr>
            <w:tcW w:w="1525" w:type="pct"/>
            <w:tcBorders>
              <w:top w:val="nil"/>
            </w:tcBorders>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hint="cs"/>
                <w:sz w:val="30"/>
                <w:szCs w:val="30"/>
                <w:rtl/>
              </w:rPr>
              <w:t xml:space="preserve">ه </w:t>
            </w:r>
            <w:r>
              <w:rPr>
                <w:rFonts w:ascii="Arabic Typesetting" w:hAnsi="Arabic Typesetting" w:cs="Arabic Typesetting" w:hint="cs"/>
                <w:sz w:val="30"/>
                <w:szCs w:val="30"/>
                <w:rtl/>
              </w:rPr>
              <w:t>10.2</w:t>
            </w:r>
            <w:r w:rsidRPr="00C8485D">
              <w:rPr>
                <w:rFonts w:ascii="Arabic Typesetting" w:hAnsi="Arabic Typesetting" w:cs="Arabic Typesetting"/>
                <w:sz w:val="30"/>
                <w:szCs w:val="30"/>
                <w:rtl/>
              </w:rPr>
              <w:t xml:space="preserve"> استخدام نظام </w:t>
            </w:r>
            <w:r>
              <w:rPr>
                <w:rFonts w:ascii="Arabic Typesetting" w:hAnsi="Arabic Typesetting" w:cs="Arabic Typesetting" w:hint="cs"/>
                <w:sz w:val="30"/>
                <w:szCs w:val="30"/>
                <w:rtl/>
              </w:rPr>
              <w:t xml:space="preserve">لشبونة </w:t>
            </w:r>
            <w:r w:rsidRPr="00C8485D">
              <w:rPr>
                <w:rFonts w:ascii="Arabic Typesetting" w:hAnsi="Arabic Typesetting" w:cs="Arabic Typesetting"/>
                <w:sz w:val="30"/>
                <w:szCs w:val="30"/>
                <w:rtl/>
              </w:rPr>
              <w:t>على نطاق أوسع وبفعالية أكبر، بما في ذلك من قبل البلدان النامية والبلدان الأقل نموا</w:t>
            </w:r>
          </w:p>
        </w:tc>
        <w:tc>
          <w:tcPr>
            <w:tcW w:w="2288" w:type="pct"/>
            <w:tcBorders>
              <w:top w:val="nil"/>
            </w:tcBorders>
            <w:tcMar>
              <w:top w:w="113" w:type="dxa"/>
              <w:bottom w:w="113" w:type="dxa"/>
            </w:tcMar>
          </w:tcPr>
          <w:p w:rsidR="00A97C04" w:rsidRPr="00C8485D" w:rsidRDefault="00A97C04" w:rsidP="00ED49E9">
            <w:pPr>
              <w:tabs>
                <w:tab w:val="right" w:pos="3412"/>
              </w:tabs>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توسيع نطاق التغطية الجغرافية لنظام لشبونة</w:t>
            </w:r>
          </w:p>
        </w:tc>
        <w:tc>
          <w:tcPr>
            <w:tcW w:w="1187" w:type="pct"/>
            <w:tcBorders>
              <w:top w:val="nil"/>
            </w:tcBorders>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32</w:t>
            </w:r>
          </w:p>
        </w:tc>
      </w:tr>
      <w:tr w:rsidR="00A97C04" w:rsidRPr="00C8485D" w:rsidTr="00302EBB">
        <w:trPr>
          <w:cantSplit/>
        </w:trPr>
        <w:tc>
          <w:tcPr>
            <w:tcW w:w="1525"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النسبة المئوية للمشاركين في تظاهرات نظام لشبونة الذين يعبرون عن رضاهم ويبلغون عن زيادة وعيهم بعد حضور التظاهرة</w:t>
            </w:r>
          </w:p>
        </w:tc>
        <w:tc>
          <w:tcPr>
            <w:tcW w:w="1187" w:type="pct"/>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32</w:t>
            </w:r>
          </w:p>
        </w:tc>
      </w:tr>
      <w:tr w:rsidR="00A97C04" w:rsidRPr="00C8485D" w:rsidTr="00302EBB">
        <w:trPr>
          <w:cantSplit/>
        </w:trPr>
        <w:tc>
          <w:tcPr>
            <w:tcW w:w="1525"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عدد الطلبات الدولية وغيرها من المعاملات (لشبونة)</w:t>
            </w:r>
          </w:p>
        </w:tc>
        <w:tc>
          <w:tcPr>
            <w:tcW w:w="1187" w:type="pct"/>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32</w:t>
            </w:r>
          </w:p>
        </w:tc>
      </w:tr>
      <w:tr w:rsidR="00A97C04" w:rsidRPr="00C8485D" w:rsidTr="00302EBB">
        <w:trPr>
          <w:cantSplit/>
        </w:trPr>
        <w:tc>
          <w:tcPr>
            <w:tcW w:w="1525"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عدد التسجيلات الدولية من البلدان النامية والبلدان الأقل نموا السارية بموجب نظام لشبونة (بالنسبة للرقم الكلي)</w:t>
            </w:r>
          </w:p>
        </w:tc>
        <w:tc>
          <w:tcPr>
            <w:tcW w:w="1187" w:type="pct"/>
            <w:shd w:val="clear" w:color="auto" w:fill="FFFFFF"/>
            <w:tcMar>
              <w:top w:w="113" w:type="dxa"/>
              <w:bottom w:w="113" w:type="dxa"/>
            </w:tcMar>
          </w:tcPr>
          <w:p w:rsidR="00A97C04"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32</w:t>
            </w:r>
          </w:p>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hint="cs"/>
                <w:sz w:val="30"/>
                <w:szCs w:val="30"/>
                <w:rtl/>
              </w:rPr>
              <w:t>البرنامج 9</w:t>
            </w:r>
          </w:p>
        </w:tc>
      </w:tr>
      <w:tr w:rsidR="00A97C04" w:rsidRPr="00C8485D" w:rsidTr="00302EBB">
        <w:trPr>
          <w:cantSplit/>
        </w:trPr>
        <w:tc>
          <w:tcPr>
            <w:tcW w:w="1525"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عدد </w:t>
            </w:r>
            <w:r w:rsidRPr="00C8485D">
              <w:rPr>
                <w:rFonts w:ascii="Arabic Typesetting" w:hAnsi="Arabic Typesetting" w:cs="Arabic Typesetting" w:hint="cs"/>
                <w:sz w:val="30"/>
                <w:szCs w:val="30"/>
                <w:rtl/>
              </w:rPr>
              <w:t xml:space="preserve">التسجيلات الدولية بناء على </w:t>
            </w:r>
            <w:r w:rsidRPr="00C8485D">
              <w:rPr>
                <w:rFonts w:ascii="Arabic Typesetting" w:hAnsi="Arabic Typesetting" w:cs="Arabic Typesetting"/>
                <w:sz w:val="30"/>
                <w:szCs w:val="30"/>
                <w:rtl/>
              </w:rPr>
              <w:t xml:space="preserve">نظام </w:t>
            </w:r>
            <w:r w:rsidRPr="00C8485D">
              <w:rPr>
                <w:rFonts w:ascii="Arabic Typesetting" w:hAnsi="Arabic Typesetting" w:cs="Arabic Typesetting" w:hint="cs"/>
                <w:sz w:val="30"/>
                <w:szCs w:val="30"/>
                <w:rtl/>
              </w:rPr>
              <w:t>لشبونة</w:t>
            </w:r>
            <w:r w:rsidRPr="00C8485D">
              <w:rPr>
                <w:rFonts w:ascii="Arabic Typesetting" w:hAnsi="Arabic Typesetting" w:cs="Arabic Typesetting"/>
                <w:sz w:val="30"/>
                <w:szCs w:val="30"/>
                <w:rtl/>
              </w:rPr>
              <w:t xml:space="preserve"> </w:t>
            </w:r>
            <w:r w:rsidRPr="00C8485D">
              <w:rPr>
                <w:rFonts w:ascii="Arabic Typesetting" w:hAnsi="Arabic Typesetting" w:cs="Arabic Typesetting" w:hint="cs"/>
                <w:sz w:val="30"/>
                <w:szCs w:val="30"/>
                <w:rtl/>
              </w:rPr>
              <w:t>ل</w:t>
            </w:r>
            <w:r w:rsidRPr="00C8485D">
              <w:rPr>
                <w:rFonts w:ascii="Arabic Typesetting" w:hAnsi="Arabic Typesetting" w:cs="Arabic Typesetting"/>
                <w:sz w:val="30"/>
                <w:szCs w:val="30"/>
                <w:rtl/>
              </w:rPr>
              <w:t>لبلدان المنتقلة إلى نظام الاقتصاد الحر والبلدان المتقدمة</w:t>
            </w:r>
          </w:p>
        </w:tc>
        <w:tc>
          <w:tcPr>
            <w:tcW w:w="1187" w:type="pct"/>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البرنامج </w:t>
            </w:r>
            <w:r w:rsidRPr="00C8485D">
              <w:rPr>
                <w:rFonts w:ascii="Arabic Typesetting" w:hAnsi="Arabic Typesetting" w:cs="Arabic Typesetting" w:hint="cs"/>
                <w:sz w:val="30"/>
                <w:szCs w:val="30"/>
                <w:rtl/>
              </w:rPr>
              <w:t>10</w:t>
            </w:r>
          </w:p>
        </w:tc>
      </w:tr>
      <w:tr w:rsidR="00A97C04" w:rsidRPr="00C8485D" w:rsidTr="00302EBB">
        <w:trPr>
          <w:cantSplit/>
        </w:trPr>
        <w:tc>
          <w:tcPr>
            <w:tcW w:w="1525"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hint="cs"/>
                <w:sz w:val="30"/>
                <w:szCs w:val="30"/>
                <w:rtl/>
              </w:rPr>
              <w:t xml:space="preserve">ه </w:t>
            </w:r>
            <w:r>
              <w:rPr>
                <w:rFonts w:ascii="Arabic Typesetting" w:hAnsi="Arabic Typesetting" w:cs="Arabic Typesetting" w:hint="cs"/>
                <w:sz w:val="30"/>
                <w:szCs w:val="30"/>
                <w:rtl/>
              </w:rPr>
              <w:t>11.2</w:t>
            </w:r>
            <w:r w:rsidRPr="00C8485D">
              <w:rPr>
                <w:rFonts w:ascii="Arabic Typesetting" w:hAnsi="Arabic Typesetting" w:cs="Arabic Typesetting"/>
                <w:sz w:val="30"/>
                <w:szCs w:val="30"/>
                <w:rtl/>
              </w:rPr>
              <w:t xml:space="preserve"> إنتاجية وج</w:t>
            </w:r>
            <w:r>
              <w:rPr>
                <w:rFonts w:ascii="Arabic Typesetting" w:hAnsi="Arabic Typesetting" w:cs="Arabic Typesetting"/>
                <w:sz w:val="30"/>
                <w:szCs w:val="30"/>
                <w:rtl/>
              </w:rPr>
              <w:t>ودة خدمات محسّنة في عمليات نظام</w:t>
            </w:r>
            <w:r w:rsidRPr="00C8485D">
              <w:rPr>
                <w:rFonts w:ascii="Arabic Typesetting" w:hAnsi="Arabic Typesetting" w:cs="Arabic Typesetting"/>
                <w:sz w:val="30"/>
                <w:szCs w:val="30"/>
                <w:rtl/>
              </w:rPr>
              <w:t xml:space="preserve"> </w:t>
            </w:r>
            <w:r>
              <w:rPr>
                <w:rFonts w:ascii="Arabic Typesetting" w:hAnsi="Arabic Typesetting" w:cs="Arabic Typesetting" w:hint="cs"/>
                <w:sz w:val="30"/>
                <w:szCs w:val="30"/>
                <w:rtl/>
              </w:rPr>
              <w:t>لشبونة</w:t>
            </w:r>
          </w:p>
        </w:tc>
        <w:tc>
          <w:tcPr>
            <w:tcW w:w="2288"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اعتماد أحكام تبسيط الإطار القانوني لنظام لشبونة</w:t>
            </w:r>
          </w:p>
        </w:tc>
        <w:tc>
          <w:tcPr>
            <w:tcW w:w="1187" w:type="pct"/>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32</w:t>
            </w:r>
          </w:p>
        </w:tc>
      </w:tr>
      <w:tr w:rsidR="00A97C04" w:rsidRPr="00C8485D" w:rsidTr="00302EBB">
        <w:trPr>
          <w:cantSplit/>
        </w:trPr>
        <w:tc>
          <w:tcPr>
            <w:tcW w:w="1525"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tl/>
              </w:rPr>
            </w:pPr>
            <w:r w:rsidRPr="00C8485D">
              <w:rPr>
                <w:rFonts w:ascii="Arabic Typesetting" w:hAnsi="Arabic Typesetting" w:cs="Arabic Typesetting"/>
                <w:sz w:val="30"/>
                <w:szCs w:val="30"/>
                <w:rtl/>
              </w:rPr>
              <w:t>زيادة استخدام الوسائل الإلكترونية لإيداع ومعالجة الطلبات الدولية وغيرها من المعاملات</w:t>
            </w:r>
            <w:r>
              <w:rPr>
                <w:rFonts w:ascii="Arabic Typesetting" w:hAnsi="Arabic Typesetting" w:cs="Arabic Typesetting" w:hint="cs"/>
                <w:sz w:val="30"/>
                <w:szCs w:val="30"/>
                <w:rtl/>
              </w:rPr>
              <w:t xml:space="preserve"> (لشبونة)</w:t>
            </w:r>
          </w:p>
        </w:tc>
        <w:tc>
          <w:tcPr>
            <w:tcW w:w="1187" w:type="pct"/>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32</w:t>
            </w:r>
          </w:p>
        </w:tc>
      </w:tr>
      <w:tr w:rsidR="00A97C04" w:rsidRPr="00C8485D" w:rsidTr="00302EBB">
        <w:trPr>
          <w:cantSplit/>
        </w:trPr>
        <w:tc>
          <w:tcPr>
            <w:tcW w:w="1525"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p>
        </w:tc>
        <w:tc>
          <w:tcPr>
            <w:tcW w:w="2288" w:type="pct"/>
            <w:tcMar>
              <w:top w:w="113" w:type="dxa"/>
              <w:bottom w:w="113" w:type="dxa"/>
            </w:tcMar>
          </w:tcPr>
          <w:p w:rsidR="00A97C04" w:rsidRPr="00C8485D" w:rsidRDefault="00A97C04" w:rsidP="00ED49E9">
            <w:pPr>
              <w:adjustRightInd w:val="0"/>
              <w:spacing w:line="300" w:lineRule="exact"/>
              <w:contextualSpacing/>
              <w:rPr>
                <w:rFonts w:ascii="Arabic Typesetting" w:hAnsi="Arabic Typesetting" w:cs="Arabic Typesetting"/>
                <w:sz w:val="30"/>
                <w:szCs w:val="30"/>
              </w:rPr>
            </w:pPr>
            <w:r w:rsidRPr="00C8485D">
              <w:rPr>
                <w:rFonts w:ascii="Arabic Typesetting" w:hAnsi="Arabic Typesetting" w:cs="Arabic Typesetting"/>
                <w:sz w:val="30"/>
                <w:szCs w:val="30"/>
                <w:rtl/>
              </w:rPr>
              <w:t>الخدمات الإلكترونية المُحسَّنة لسجل لشبونة والمادة</w:t>
            </w:r>
            <w:r>
              <w:rPr>
                <w:rFonts w:ascii="Arabic Typesetting" w:hAnsi="Arabic Typesetting" w:cs="Arabic Typesetting" w:hint="cs"/>
                <w:sz w:val="30"/>
                <w:szCs w:val="30"/>
                <w:rtl/>
              </w:rPr>
              <w:t> </w:t>
            </w:r>
            <w:r w:rsidRPr="00C8485D">
              <w:rPr>
                <w:rFonts w:ascii="Arabic Typesetting" w:hAnsi="Arabic Typesetting" w:cs="Arabic Typesetting"/>
                <w:sz w:val="30"/>
                <w:szCs w:val="30"/>
                <w:rtl/>
              </w:rPr>
              <w:t>6(ثالثاً)</w:t>
            </w:r>
          </w:p>
        </w:tc>
        <w:tc>
          <w:tcPr>
            <w:tcW w:w="1187" w:type="pct"/>
            <w:shd w:val="clear" w:color="auto" w:fill="FFFFFF"/>
            <w:tcMar>
              <w:top w:w="113" w:type="dxa"/>
              <w:bottom w:w="113" w:type="dxa"/>
            </w:tcMar>
          </w:tcPr>
          <w:p w:rsidR="00A97C04" w:rsidRPr="00C8485D" w:rsidRDefault="00A97C04" w:rsidP="00ED49E9">
            <w:pPr>
              <w:adjustRightInd w:val="0"/>
              <w:spacing w:line="300" w:lineRule="exact"/>
              <w:contextualSpacing/>
              <w:jc w:val="center"/>
              <w:rPr>
                <w:rFonts w:ascii="Arabic Typesetting" w:hAnsi="Arabic Typesetting" w:cs="Arabic Typesetting"/>
                <w:sz w:val="30"/>
                <w:szCs w:val="30"/>
                <w:rtl/>
              </w:rPr>
            </w:pPr>
            <w:r>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32</w:t>
            </w:r>
          </w:p>
        </w:tc>
      </w:tr>
    </w:tbl>
    <w:p w:rsidR="00C8485D" w:rsidRPr="002F14A2" w:rsidRDefault="00C8485D" w:rsidP="002C3C33">
      <w:pPr>
        <w:autoSpaceDE w:val="0"/>
        <w:autoSpaceDN w:val="0"/>
        <w:adjustRightInd w:val="0"/>
        <w:snapToGrid w:val="0"/>
        <w:spacing w:after="120" w:line="340" w:lineRule="exact"/>
        <w:jc w:val="both"/>
        <w:rPr>
          <w:rFonts w:ascii="Arabic Typesetting" w:hAnsi="Arabic Typesetting" w:cs="Arabic Typesetting"/>
          <w:szCs w:val="34"/>
          <w:rtl/>
        </w:rPr>
      </w:pPr>
    </w:p>
    <w:p w:rsidR="00C8485D" w:rsidRDefault="00C8485D">
      <w:pPr>
        <w:bidi w:val="0"/>
        <w:rPr>
          <w:rFonts w:ascii="Arabic Typesetting" w:hAnsi="Arabic Typesetting" w:cs="Arabic Typesetting"/>
          <w:sz w:val="34"/>
          <w:szCs w:val="34"/>
          <w:rtl/>
          <w:lang w:val="fr-CH" w:bidi="ar-SA"/>
        </w:rPr>
      </w:pPr>
      <w:r>
        <w:rPr>
          <w:rtl/>
        </w:rPr>
        <w:br w:type="page"/>
      </w:r>
    </w:p>
    <w:p w:rsidR="006D7321" w:rsidRPr="008954A8" w:rsidRDefault="006D7321" w:rsidP="002C3C33">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sz w:val="42"/>
          <w:szCs w:val="42"/>
        </w:rPr>
      </w:pPr>
      <w:bookmarkStart w:id="29" w:name="_Toc364355363"/>
      <w:bookmarkStart w:id="30" w:name="_Toc420595503"/>
      <w:r w:rsidRPr="008954A8">
        <w:rPr>
          <w:rFonts w:ascii="Arabic Typesetting" w:hAnsi="Arabic Typesetting" w:cs="Arabic Typesetting"/>
          <w:bCs/>
          <w:iCs w:val="0"/>
          <w:noProof/>
          <w:sz w:val="42"/>
          <w:szCs w:val="42"/>
          <w:rtl/>
        </w:rPr>
        <w:lastRenderedPageBreak/>
        <w:t>البرنامج 5</w:t>
      </w:r>
      <w:r w:rsidRPr="008954A8">
        <w:rPr>
          <w:rFonts w:ascii="Arabic Typesetting" w:hAnsi="Arabic Typesetting" w:cs="Arabic Typesetting"/>
          <w:bCs/>
          <w:iCs w:val="0"/>
          <w:sz w:val="42"/>
          <w:szCs w:val="42"/>
        </w:rPr>
        <w:tab/>
      </w:r>
      <w:r w:rsidRPr="008954A8">
        <w:rPr>
          <w:rFonts w:ascii="Arabic Typesetting" w:hAnsi="Arabic Typesetting" w:cs="Arabic Typesetting"/>
          <w:bCs/>
          <w:iCs w:val="0"/>
          <w:noProof/>
          <w:sz w:val="42"/>
          <w:szCs w:val="42"/>
          <w:rtl/>
        </w:rPr>
        <w:t>نظام معاهدة التعاون بشأن البراءات</w:t>
      </w:r>
      <w:bookmarkEnd w:id="29"/>
      <w:bookmarkEnd w:id="30"/>
    </w:p>
    <w:p w:rsidR="006D7321" w:rsidRPr="008954A8" w:rsidRDefault="006D7321" w:rsidP="002C3C33">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8954A8">
        <w:rPr>
          <w:rFonts w:ascii="Arabic Typesetting" w:hAnsi="Arabic Typesetting" w:cs="Arabic Typesetting"/>
          <w:noProof/>
          <w:sz w:val="38"/>
          <w:szCs w:val="38"/>
          <w:rtl/>
        </w:rPr>
        <w:t>سياق التخطيط</w:t>
      </w:r>
    </w:p>
    <w:p w:rsidR="006D7321" w:rsidRPr="008954A8" w:rsidRDefault="006D7321" w:rsidP="00861CFF">
      <w:pPr>
        <w:numPr>
          <w:ilvl w:val="0"/>
          <w:numId w:val="17"/>
        </w:numPr>
        <w:spacing w:after="120" w:line="340" w:lineRule="exact"/>
        <w:ind w:left="0" w:firstLine="0"/>
        <w:rPr>
          <w:rFonts w:ascii="Arabic Typesetting" w:hAnsi="Arabic Typesetting" w:cs="Arabic Typesetting"/>
          <w:sz w:val="34"/>
          <w:szCs w:val="34"/>
        </w:rPr>
      </w:pPr>
      <w:r w:rsidRPr="008954A8">
        <w:rPr>
          <w:rFonts w:ascii="Arabic Typesetting" w:hAnsi="Arabic Typesetting" w:cs="Arabic Typesetting"/>
          <w:noProof/>
          <w:sz w:val="34"/>
          <w:szCs w:val="34"/>
          <w:rtl/>
        </w:rPr>
        <w:t xml:space="preserve">يدر نظام معاهدة التعاون بشأن البراءات </w:t>
      </w:r>
      <w:r>
        <w:rPr>
          <w:rFonts w:ascii="Arabic Typesetting" w:hAnsi="Arabic Typesetting" w:cs="Arabic Typesetting" w:hint="cs"/>
          <w:noProof/>
          <w:sz w:val="34"/>
          <w:szCs w:val="34"/>
          <w:rtl/>
        </w:rPr>
        <w:t>ما يقارب ثلاثة أرباع</w:t>
      </w:r>
      <w:r w:rsidRPr="008954A8">
        <w:rPr>
          <w:rFonts w:ascii="Arabic Typesetting" w:hAnsi="Arabic Typesetting" w:cs="Arabic Typesetting"/>
          <w:noProof/>
          <w:sz w:val="34"/>
          <w:szCs w:val="34"/>
          <w:rtl/>
        </w:rPr>
        <w:t xml:space="preserve"> دخل الويبو.</w:t>
      </w:r>
      <w:r>
        <w:rPr>
          <w:rFonts w:ascii="Arabic Typesetting" w:hAnsi="Arabic Typesetting" w:cs="Arabic Typesetting" w:hint="cs"/>
          <w:noProof/>
          <w:sz w:val="34"/>
          <w:szCs w:val="34"/>
          <w:rtl/>
        </w:rPr>
        <w:t xml:space="preserve"> </w:t>
      </w:r>
      <w:r w:rsidRPr="008954A8">
        <w:rPr>
          <w:rFonts w:ascii="Arabic Typesetting" w:hAnsi="Arabic Typesetting" w:cs="Arabic Typesetting"/>
          <w:noProof/>
          <w:sz w:val="34"/>
          <w:szCs w:val="34"/>
          <w:rtl/>
        </w:rPr>
        <w:t>وتمثل معاهدة</w:t>
      </w:r>
      <w:r>
        <w:rPr>
          <w:rFonts w:ascii="Arabic Typesetting" w:hAnsi="Arabic Typesetting" w:cs="Arabic Typesetting"/>
          <w:noProof/>
          <w:sz w:val="34"/>
          <w:szCs w:val="34"/>
          <w:rtl/>
        </w:rPr>
        <w:t xml:space="preserve"> البراءات </w:t>
      </w:r>
      <w:r w:rsidRPr="008954A8">
        <w:rPr>
          <w:rFonts w:ascii="Arabic Typesetting" w:hAnsi="Arabic Typesetting" w:cs="Arabic Typesetting"/>
          <w:noProof/>
          <w:sz w:val="34"/>
          <w:szCs w:val="34"/>
          <w:rtl/>
        </w:rPr>
        <w:t>أيضاً 54 في المائة من طلبات</w:t>
      </w:r>
      <w:r>
        <w:rPr>
          <w:rFonts w:ascii="Arabic Typesetting" w:hAnsi="Arabic Typesetting" w:cs="Arabic Typesetting" w:hint="cs"/>
          <w:noProof/>
          <w:sz w:val="34"/>
          <w:szCs w:val="34"/>
          <w:rtl/>
        </w:rPr>
        <w:t xml:space="preserve"> البراءات المودعة في أكثر من بلد</w:t>
      </w:r>
      <w:r w:rsidRPr="008954A8">
        <w:rPr>
          <w:rFonts w:ascii="Arabic Typesetting" w:hAnsi="Arabic Typesetting" w:cs="Arabic Typesetting"/>
          <w:noProof/>
          <w:sz w:val="34"/>
          <w:szCs w:val="34"/>
          <w:rtl/>
        </w:rPr>
        <w:t>.</w:t>
      </w:r>
      <w:r w:rsidRPr="008954A8">
        <w:rPr>
          <w:rFonts w:ascii="Arabic Typesetting" w:hAnsi="Arabic Typesetting" w:cs="Arabic Typesetting"/>
          <w:sz w:val="34"/>
          <w:szCs w:val="34"/>
          <w:rtl/>
        </w:rPr>
        <w:t xml:space="preserve"> </w:t>
      </w:r>
      <w:r w:rsidRPr="008954A8">
        <w:rPr>
          <w:rFonts w:ascii="Arabic Typesetting" w:hAnsi="Arabic Typesetting" w:cs="Arabic Typesetting"/>
          <w:noProof/>
          <w:sz w:val="34"/>
          <w:szCs w:val="34"/>
          <w:rtl/>
        </w:rPr>
        <w:t>وللحفاظ على معاهدة</w:t>
      </w:r>
      <w:r>
        <w:rPr>
          <w:rFonts w:ascii="Arabic Typesetting" w:hAnsi="Arabic Typesetting" w:cs="Arabic Typesetting"/>
          <w:noProof/>
          <w:sz w:val="34"/>
          <w:szCs w:val="34"/>
          <w:rtl/>
        </w:rPr>
        <w:t xml:space="preserve"> البراءات </w:t>
      </w:r>
      <w:r w:rsidRPr="008954A8">
        <w:rPr>
          <w:rFonts w:ascii="Arabic Typesetting" w:hAnsi="Arabic Typesetting" w:cs="Arabic Typesetting"/>
          <w:noProof/>
          <w:sz w:val="34"/>
          <w:szCs w:val="34"/>
          <w:rtl/>
        </w:rPr>
        <w:t>و</w:t>
      </w:r>
      <w:r>
        <w:rPr>
          <w:rFonts w:ascii="Arabic Typesetting" w:hAnsi="Arabic Typesetting" w:cs="Arabic Typesetting" w:hint="cs"/>
          <w:noProof/>
          <w:sz w:val="34"/>
          <w:szCs w:val="34"/>
          <w:rtl/>
        </w:rPr>
        <w:t>تعزيزها</w:t>
      </w:r>
      <w:r w:rsidRPr="008954A8">
        <w:rPr>
          <w:rFonts w:ascii="Arabic Typesetting" w:hAnsi="Arabic Typesetting" w:cs="Arabic Typesetting"/>
          <w:noProof/>
          <w:sz w:val="34"/>
          <w:szCs w:val="34"/>
          <w:rtl/>
        </w:rPr>
        <w:t xml:space="preserve"> باعتبارها السبيل المحبذ لمستخدمي نظام البراءات الدولي في الثنائية القادمة، </w:t>
      </w:r>
      <w:r>
        <w:rPr>
          <w:rFonts w:ascii="Arabic Typesetting" w:hAnsi="Arabic Typesetting" w:cs="Arabic Typesetting" w:hint="cs"/>
          <w:noProof/>
          <w:sz w:val="34"/>
          <w:szCs w:val="34"/>
          <w:rtl/>
        </w:rPr>
        <w:t>سيكون من الضروري ضمان استجابة نظام معاهدة البراءات</w:t>
      </w:r>
      <w:r w:rsidRPr="008954A8">
        <w:rPr>
          <w:rFonts w:ascii="Arabic Typesetting" w:hAnsi="Arabic Typesetting" w:cs="Arabic Typesetting"/>
          <w:noProof/>
          <w:sz w:val="34"/>
          <w:szCs w:val="34"/>
          <w:rtl/>
        </w:rPr>
        <w:t xml:space="preserve"> لتحديات النشاط المتزايد لسوق عالمية للخدمات المتعلقة بالبراءات، تتسم بالخصائص التالية:</w:t>
      </w:r>
    </w:p>
    <w:p w:rsidR="006D7321"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Pr>
          <w:rFonts w:ascii="Arabic Typesetting" w:hAnsi="Arabic Typesetting" w:cs="Arabic Typesetting" w:hint="cs"/>
          <w:noProof/>
          <w:szCs w:val="34"/>
          <w:rtl/>
        </w:rPr>
        <w:t>بيئة اقتصادية غير مستقرة وأداء متردد للاقتصاد العالمي؛</w:t>
      </w:r>
    </w:p>
    <w:p w:rsidR="006D7321"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Pr>
          <w:rFonts w:ascii="Arabic Typesetting" w:hAnsi="Arabic Typesetting" w:cs="Arabic Typesetting" w:hint="cs"/>
          <w:noProof/>
          <w:szCs w:val="34"/>
          <w:rtl/>
        </w:rPr>
        <w:t>والحاجة إلى أن تكون التقارير التي تعدها إدارات البحث الدولي والفحص التمهدي الدولي جيدة وأن تتاح في الوقت المناسب؛</w:t>
      </w:r>
    </w:p>
    <w:p w:rsidR="006D7321" w:rsidRPr="008954A8"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sidRPr="008954A8">
        <w:rPr>
          <w:rFonts w:ascii="Arabic Typesetting" w:hAnsi="Arabic Typesetting" w:cs="Arabic Typesetting" w:hint="cs"/>
          <w:noProof/>
          <w:szCs w:val="34"/>
          <w:rtl/>
        </w:rPr>
        <w:t>و</w:t>
      </w:r>
      <w:r w:rsidRPr="008954A8">
        <w:rPr>
          <w:rFonts w:ascii="Arabic Typesetting" w:hAnsi="Arabic Typesetting" w:cs="Arabic Typesetting"/>
          <w:noProof/>
          <w:szCs w:val="34"/>
          <w:rtl/>
        </w:rPr>
        <w:t xml:space="preserve">التنوع المتزايد في </w:t>
      </w:r>
      <w:r>
        <w:rPr>
          <w:rFonts w:ascii="Arabic Typesetting" w:hAnsi="Arabic Typesetting" w:cs="Arabic Typesetting" w:hint="cs"/>
          <w:noProof/>
          <w:szCs w:val="34"/>
          <w:rtl/>
        </w:rPr>
        <w:t xml:space="preserve">التوزيع </w:t>
      </w:r>
      <w:r w:rsidRPr="008954A8">
        <w:rPr>
          <w:rFonts w:ascii="Arabic Typesetting" w:hAnsi="Arabic Typesetting" w:cs="Arabic Typesetting"/>
          <w:noProof/>
          <w:szCs w:val="34"/>
          <w:rtl/>
        </w:rPr>
        <w:t xml:space="preserve">الجغرافي </w:t>
      </w:r>
      <w:r>
        <w:rPr>
          <w:rFonts w:ascii="Arabic Typesetting" w:hAnsi="Arabic Typesetting" w:cs="Arabic Typesetting" w:hint="cs"/>
          <w:noProof/>
          <w:szCs w:val="34"/>
          <w:rtl/>
        </w:rPr>
        <w:t>لطلبات ا</w:t>
      </w:r>
      <w:r w:rsidRPr="008954A8">
        <w:rPr>
          <w:rFonts w:ascii="Arabic Typesetting" w:hAnsi="Arabic Typesetting" w:cs="Arabic Typesetting"/>
          <w:noProof/>
          <w:szCs w:val="34"/>
          <w:rtl/>
        </w:rPr>
        <w:t xml:space="preserve">لحماية </w:t>
      </w:r>
      <w:r>
        <w:rPr>
          <w:rFonts w:ascii="Arabic Typesetting" w:hAnsi="Arabic Typesetting" w:cs="Arabic Typesetting" w:hint="cs"/>
          <w:noProof/>
          <w:szCs w:val="34"/>
          <w:rtl/>
        </w:rPr>
        <w:t>ب</w:t>
      </w:r>
      <w:r w:rsidRPr="008954A8">
        <w:rPr>
          <w:rFonts w:ascii="Arabic Typesetting" w:hAnsi="Arabic Typesetting" w:cs="Arabic Typesetting"/>
          <w:noProof/>
          <w:szCs w:val="34"/>
          <w:rtl/>
        </w:rPr>
        <w:t>البراءات</w:t>
      </w:r>
      <w:r>
        <w:rPr>
          <w:rFonts w:ascii="Arabic Typesetting" w:hAnsi="Arabic Typesetting" w:cs="Arabic Typesetting" w:hint="cs"/>
          <w:noProof/>
          <w:szCs w:val="34"/>
          <w:rtl/>
        </w:rPr>
        <w:t xml:space="preserve"> وفي أنشطة إيداع الطلبات الدولية بناء على معاهدة البراءات</w:t>
      </w:r>
      <w:r w:rsidRPr="008954A8">
        <w:rPr>
          <w:rFonts w:ascii="Arabic Typesetting" w:hAnsi="Arabic Typesetting" w:cs="Arabic Typesetting" w:hint="cs"/>
          <w:noProof/>
          <w:szCs w:val="34"/>
          <w:rtl/>
        </w:rPr>
        <w:t>؛</w:t>
      </w:r>
    </w:p>
    <w:p w:rsidR="006D7321" w:rsidRPr="008954A8"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sidRPr="008954A8">
        <w:rPr>
          <w:rFonts w:ascii="Arabic Typesetting" w:hAnsi="Arabic Typesetting" w:cs="Arabic Typesetting" w:hint="cs"/>
          <w:noProof/>
          <w:szCs w:val="34"/>
          <w:rtl/>
        </w:rPr>
        <w:t>و</w:t>
      </w:r>
      <w:r w:rsidRPr="008954A8">
        <w:rPr>
          <w:rFonts w:ascii="Arabic Typesetting" w:hAnsi="Arabic Typesetting" w:cs="Arabic Typesetting"/>
          <w:noProof/>
          <w:szCs w:val="34"/>
          <w:rtl/>
        </w:rPr>
        <w:t>التنوع اللغوي المتزايد ل</w:t>
      </w:r>
      <w:r>
        <w:rPr>
          <w:rFonts w:ascii="Arabic Typesetting" w:hAnsi="Arabic Typesetting" w:cs="Arabic Typesetting" w:hint="cs"/>
          <w:noProof/>
          <w:szCs w:val="34"/>
          <w:rtl/>
        </w:rPr>
        <w:t>كل من ا</w:t>
      </w:r>
      <w:r w:rsidRPr="008954A8">
        <w:rPr>
          <w:rFonts w:ascii="Arabic Typesetting" w:hAnsi="Arabic Typesetting" w:cs="Arabic Typesetting"/>
          <w:noProof/>
          <w:szCs w:val="34"/>
          <w:rtl/>
        </w:rPr>
        <w:t>لحالة الصناعية السابقة</w:t>
      </w:r>
      <w:r>
        <w:rPr>
          <w:rFonts w:ascii="Arabic Typesetting" w:hAnsi="Arabic Typesetting" w:cs="Arabic Typesetting" w:hint="cs"/>
          <w:noProof/>
          <w:szCs w:val="34"/>
          <w:rtl/>
        </w:rPr>
        <w:t xml:space="preserve"> والطلبات الدولية بناء على معاهدة البراءات</w:t>
      </w:r>
      <w:r w:rsidRPr="008954A8">
        <w:rPr>
          <w:rFonts w:ascii="Arabic Typesetting" w:hAnsi="Arabic Typesetting" w:cs="Arabic Typesetting" w:hint="cs"/>
          <w:noProof/>
          <w:szCs w:val="34"/>
          <w:rtl/>
        </w:rPr>
        <w:t>؛</w:t>
      </w:r>
    </w:p>
    <w:p w:rsidR="006D7321" w:rsidRPr="008954A8"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Pr>
          <w:rFonts w:ascii="Arabic Typesetting" w:hAnsi="Arabic Typesetting" w:cs="Arabic Typesetting" w:hint="cs"/>
          <w:noProof/>
          <w:szCs w:val="34"/>
          <w:rtl/>
        </w:rPr>
        <w:t>والعدد</w:t>
      </w:r>
      <w:r w:rsidRPr="008954A8">
        <w:rPr>
          <w:rFonts w:ascii="Arabic Typesetting" w:hAnsi="Arabic Typesetting" w:cs="Arabic Typesetting" w:hint="cs"/>
          <w:noProof/>
          <w:szCs w:val="34"/>
          <w:rtl/>
        </w:rPr>
        <w:t xml:space="preserve"> المحدود</w:t>
      </w:r>
      <w:r>
        <w:rPr>
          <w:rFonts w:ascii="Arabic Typesetting" w:hAnsi="Arabic Typesetting" w:cs="Arabic Typesetting" w:hint="cs"/>
          <w:noProof/>
          <w:szCs w:val="34"/>
          <w:rtl/>
        </w:rPr>
        <w:t xml:space="preserve"> للطلبات الدولية المودعة من الكثير من ا</w:t>
      </w:r>
      <w:r w:rsidRPr="008954A8">
        <w:rPr>
          <w:rFonts w:ascii="Arabic Typesetting" w:hAnsi="Arabic Typesetting" w:cs="Arabic Typesetting"/>
          <w:noProof/>
          <w:szCs w:val="34"/>
          <w:rtl/>
        </w:rPr>
        <w:t>لبلد</w:t>
      </w:r>
      <w:r>
        <w:rPr>
          <w:rFonts w:ascii="Arabic Typesetting" w:hAnsi="Arabic Typesetting" w:cs="Arabic Typesetting"/>
          <w:noProof/>
          <w:szCs w:val="34"/>
          <w:rtl/>
        </w:rPr>
        <w:t>ان النامية والبلدان الأقل نمواً</w:t>
      </w:r>
      <w:r w:rsidRPr="008954A8">
        <w:rPr>
          <w:rFonts w:ascii="Arabic Typesetting" w:hAnsi="Arabic Typesetting" w:cs="Arabic Typesetting" w:hint="cs"/>
          <w:noProof/>
          <w:szCs w:val="34"/>
          <w:rtl/>
        </w:rPr>
        <w:t>؛</w:t>
      </w:r>
    </w:p>
    <w:p w:rsidR="006D7321" w:rsidRPr="008954A8"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sidRPr="008954A8">
        <w:rPr>
          <w:rFonts w:ascii="Arabic Typesetting" w:hAnsi="Arabic Typesetting" w:cs="Arabic Typesetting" w:hint="cs"/>
          <w:noProof/>
          <w:szCs w:val="34"/>
          <w:rtl/>
        </w:rPr>
        <w:t>و</w:t>
      </w:r>
      <w:r w:rsidRPr="008954A8">
        <w:rPr>
          <w:rFonts w:ascii="Arabic Typesetting" w:hAnsi="Arabic Typesetting" w:cs="Arabic Typesetting"/>
          <w:noProof/>
          <w:szCs w:val="34"/>
          <w:rtl/>
        </w:rPr>
        <w:t>تزايد طلب مستخدمي معاهدة</w:t>
      </w:r>
      <w:r>
        <w:rPr>
          <w:rFonts w:ascii="Arabic Typesetting" w:hAnsi="Arabic Typesetting" w:cs="Arabic Typesetting"/>
          <w:noProof/>
          <w:szCs w:val="34"/>
          <w:rtl/>
        </w:rPr>
        <w:t xml:space="preserve"> البراءات </w:t>
      </w:r>
      <w:r w:rsidRPr="008954A8">
        <w:rPr>
          <w:rFonts w:ascii="Arabic Typesetting" w:hAnsi="Arabic Typesetting" w:cs="Arabic Typesetting"/>
          <w:noProof/>
          <w:szCs w:val="34"/>
          <w:rtl/>
        </w:rPr>
        <w:t>الحاليين والجدد على التدريب</w:t>
      </w:r>
      <w:r w:rsidRPr="008954A8">
        <w:rPr>
          <w:rFonts w:ascii="Arabic Typesetting" w:hAnsi="Arabic Typesetting" w:cs="Arabic Typesetting" w:hint="cs"/>
          <w:noProof/>
          <w:szCs w:val="34"/>
          <w:rtl/>
        </w:rPr>
        <w:t>؛</w:t>
      </w:r>
      <w:r w:rsidRPr="008954A8">
        <w:rPr>
          <w:rFonts w:ascii="Arabic Typesetting" w:hAnsi="Arabic Typesetting" w:cs="Arabic Typesetting"/>
          <w:noProof/>
          <w:szCs w:val="34"/>
        </w:rPr>
        <w:t xml:space="preserve"> </w:t>
      </w:r>
    </w:p>
    <w:p w:rsidR="006D7321" w:rsidRPr="008954A8"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sidRPr="008954A8">
        <w:rPr>
          <w:rFonts w:ascii="Arabic Typesetting" w:hAnsi="Arabic Typesetting" w:cs="Arabic Typesetting" w:hint="cs"/>
          <w:noProof/>
          <w:szCs w:val="34"/>
          <w:rtl/>
        </w:rPr>
        <w:t>و</w:t>
      </w:r>
      <w:r w:rsidRPr="008954A8">
        <w:rPr>
          <w:rFonts w:ascii="Arabic Typesetting" w:hAnsi="Arabic Typesetting" w:cs="Arabic Typesetting"/>
          <w:noProof/>
          <w:szCs w:val="34"/>
          <w:rtl/>
        </w:rPr>
        <w:t xml:space="preserve">تفاوت طريقة ومدى </w:t>
      </w:r>
      <w:r>
        <w:rPr>
          <w:rFonts w:ascii="Arabic Typesetting" w:hAnsi="Arabic Typesetting" w:cs="Arabic Typesetting" w:hint="cs"/>
          <w:noProof/>
          <w:szCs w:val="34"/>
          <w:rtl/>
        </w:rPr>
        <w:t xml:space="preserve">تفضيل </w:t>
      </w:r>
      <w:r w:rsidRPr="008954A8">
        <w:rPr>
          <w:rFonts w:ascii="Arabic Typesetting" w:hAnsi="Arabic Typesetting" w:cs="Arabic Typesetting"/>
          <w:noProof/>
          <w:szCs w:val="34"/>
          <w:rtl/>
        </w:rPr>
        <w:t>العملاء استخدام معاهدة</w:t>
      </w:r>
      <w:r>
        <w:rPr>
          <w:rFonts w:ascii="Arabic Typesetting" w:hAnsi="Arabic Typesetting" w:cs="Arabic Typesetting"/>
          <w:noProof/>
          <w:szCs w:val="34"/>
          <w:rtl/>
        </w:rPr>
        <w:t xml:space="preserve"> البراءات </w:t>
      </w:r>
      <w:r>
        <w:rPr>
          <w:rFonts w:ascii="Arabic Typesetting" w:hAnsi="Arabic Typesetting" w:cs="Arabic Typesetting" w:hint="cs"/>
          <w:noProof/>
          <w:szCs w:val="34"/>
          <w:rtl/>
        </w:rPr>
        <w:t>بدلا من</w:t>
      </w:r>
      <w:r w:rsidRPr="008954A8">
        <w:rPr>
          <w:rFonts w:ascii="Arabic Typesetting" w:hAnsi="Arabic Typesetting" w:cs="Arabic Typesetting"/>
          <w:noProof/>
          <w:szCs w:val="34"/>
          <w:rtl/>
        </w:rPr>
        <w:t xml:space="preserve"> أساليب أخرى</w:t>
      </w:r>
      <w:r w:rsidRPr="008954A8">
        <w:rPr>
          <w:rFonts w:ascii="Arabic Typesetting" w:hAnsi="Arabic Typesetting" w:cs="Arabic Typesetting" w:hint="cs"/>
          <w:noProof/>
          <w:szCs w:val="34"/>
          <w:rtl/>
        </w:rPr>
        <w:t>؛</w:t>
      </w:r>
    </w:p>
    <w:p w:rsidR="006D7321" w:rsidRPr="008954A8"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Pr>
          <w:rFonts w:ascii="Arabic Typesetting" w:hAnsi="Arabic Typesetting" w:cs="Arabic Typesetting" w:hint="cs"/>
          <w:noProof/>
          <w:szCs w:val="34"/>
          <w:rtl/>
        </w:rPr>
        <w:t>وتوافر</w:t>
      </w:r>
      <w:r w:rsidRPr="008954A8">
        <w:rPr>
          <w:rFonts w:ascii="Arabic Typesetting" w:hAnsi="Arabic Typesetting" w:cs="Arabic Typesetting"/>
          <w:noProof/>
          <w:szCs w:val="34"/>
          <w:rtl/>
        </w:rPr>
        <w:t xml:space="preserve"> تكنولوجيات جديدة للمعلومات والاتصال</w:t>
      </w:r>
      <w:r>
        <w:rPr>
          <w:rFonts w:ascii="Arabic Typesetting" w:hAnsi="Arabic Typesetting" w:cs="Arabic Typesetting" w:hint="cs"/>
          <w:noProof/>
          <w:szCs w:val="34"/>
          <w:rtl/>
        </w:rPr>
        <w:t>ات، مما يزيد من توقعات إتاحة بيئة إلكترونية بالكامل لمعالجة الطلبات لفائدة جميع المودعين ويزيد من الفائدة العملية لتلك البيئة.</w:t>
      </w:r>
    </w:p>
    <w:p w:rsidR="006D7321" w:rsidRPr="00C368E0" w:rsidRDefault="006D7321" w:rsidP="002C3C33">
      <w:pPr>
        <w:adjustRightInd w:val="0"/>
        <w:snapToGrid w:val="0"/>
        <w:spacing w:after="120" w:line="340" w:lineRule="exact"/>
        <w:ind w:left="38"/>
        <w:rPr>
          <w:rFonts w:ascii="Arabic Typesetting" w:hAnsi="Arabic Typesetting" w:cs="Arabic Typesetting"/>
          <w:szCs w:val="34"/>
        </w:rPr>
      </w:pPr>
    </w:p>
    <w:p w:rsidR="006D7321" w:rsidRPr="008954A8" w:rsidRDefault="006D7321" w:rsidP="002C3C33">
      <w:pPr>
        <w:keepNext/>
        <w:tabs>
          <w:tab w:val="left" w:pos="567"/>
          <w:tab w:val="left" w:pos="1985"/>
        </w:tabs>
        <w:adjustRightInd w:val="0"/>
        <w:snapToGrid w:val="0"/>
        <w:spacing w:after="240" w:line="340" w:lineRule="exact"/>
        <w:rPr>
          <w:rFonts w:ascii="Arabic Typesetting" w:hAnsi="Arabic Typesetting" w:cs="Arabic Typesetting"/>
          <w:b/>
          <w:sz w:val="38"/>
          <w:szCs w:val="38"/>
          <w:rtl/>
        </w:rPr>
      </w:pPr>
      <w:r w:rsidRPr="008954A8">
        <w:rPr>
          <w:rFonts w:ascii="Arabic Typesetting" w:hAnsi="Arabic Typesetting" w:cs="Arabic Typesetting"/>
          <w:b/>
          <w:noProof/>
          <w:sz w:val="38"/>
          <w:szCs w:val="38"/>
          <w:rtl/>
        </w:rPr>
        <w:t>استراتيجيات التنفيذ</w:t>
      </w:r>
    </w:p>
    <w:p w:rsidR="006D7321" w:rsidRPr="009C4523" w:rsidRDefault="006D7321" w:rsidP="00861CFF">
      <w:pPr>
        <w:numPr>
          <w:ilvl w:val="0"/>
          <w:numId w:val="17"/>
        </w:numPr>
        <w:spacing w:after="120" w:line="340" w:lineRule="exact"/>
        <w:ind w:left="0" w:firstLine="0"/>
        <w:rPr>
          <w:rFonts w:ascii="Arabic Typesetting" w:hAnsi="Arabic Typesetting" w:cs="Arabic Typesetting"/>
          <w:noProof/>
          <w:sz w:val="34"/>
          <w:szCs w:val="34"/>
        </w:rPr>
      </w:pPr>
      <w:r w:rsidRPr="009C4523">
        <w:rPr>
          <w:rFonts w:ascii="Arabic Typesetting" w:hAnsi="Arabic Typesetting" w:cs="Arabic Typesetting" w:hint="cs"/>
          <w:noProof/>
          <w:sz w:val="34"/>
          <w:szCs w:val="34"/>
          <w:rtl/>
        </w:rPr>
        <w:t xml:space="preserve">إن </w:t>
      </w:r>
      <w:r w:rsidRPr="009C4523">
        <w:rPr>
          <w:rFonts w:ascii="Arabic Typesetting" w:hAnsi="Arabic Typesetting" w:cs="Arabic Typesetting"/>
          <w:noProof/>
          <w:sz w:val="34"/>
          <w:szCs w:val="34"/>
          <w:rtl/>
        </w:rPr>
        <w:t>مشاركة جميع أصحاب المصلحة أمر</w:t>
      </w:r>
      <w:r w:rsidRPr="009C4523">
        <w:rPr>
          <w:rFonts w:ascii="Arabic Typesetting" w:hAnsi="Arabic Typesetting" w:cs="Arabic Typesetting" w:hint="cs"/>
          <w:noProof/>
          <w:sz w:val="34"/>
          <w:szCs w:val="34"/>
          <w:rtl/>
        </w:rPr>
        <w:t>ٌ</w:t>
      </w:r>
      <w:r w:rsidRPr="009C4523">
        <w:rPr>
          <w:rFonts w:ascii="Arabic Typesetting" w:hAnsi="Arabic Typesetting" w:cs="Arabic Typesetting"/>
          <w:noProof/>
          <w:sz w:val="34"/>
          <w:szCs w:val="34"/>
          <w:rtl/>
        </w:rPr>
        <w:t xml:space="preserve"> أساسي</w:t>
      </w:r>
      <w:r w:rsidRPr="009C4523">
        <w:rPr>
          <w:rFonts w:ascii="Arabic Typesetting" w:hAnsi="Arabic Typesetting" w:cs="Arabic Typesetting" w:hint="cs"/>
          <w:noProof/>
          <w:sz w:val="34"/>
          <w:szCs w:val="34"/>
          <w:rtl/>
        </w:rPr>
        <w:t>ٌ</w:t>
      </w:r>
      <w:r w:rsidRPr="009C4523">
        <w:rPr>
          <w:rFonts w:ascii="Arabic Typesetting" w:hAnsi="Arabic Typesetting" w:cs="Arabic Typesetting"/>
          <w:noProof/>
          <w:sz w:val="34"/>
          <w:szCs w:val="34"/>
          <w:rtl/>
        </w:rPr>
        <w:t xml:space="preserve"> كي يعمل نظام معاهدة البراءات على الوجه الأمثل. لذلك سوف يركز البرنامج على الاتصال والتعاون بين أصحاب المصلحة</w:t>
      </w:r>
      <w:r w:rsidRPr="009C4523">
        <w:rPr>
          <w:rFonts w:ascii="Arabic Typesetting" w:hAnsi="Arabic Typesetting" w:cs="Arabic Typesetting" w:hint="cs"/>
          <w:noProof/>
          <w:sz w:val="34"/>
          <w:szCs w:val="34"/>
          <w:rtl/>
        </w:rPr>
        <w:t>، وعلى تحقيق مكاسب الكفاء لفائدتهم</w:t>
      </w:r>
      <w:r w:rsidRPr="009C4523">
        <w:rPr>
          <w:rFonts w:ascii="Arabic Typesetting" w:hAnsi="Arabic Typesetting" w:cs="Arabic Typesetting"/>
          <w:noProof/>
          <w:sz w:val="34"/>
          <w:szCs w:val="34"/>
          <w:rtl/>
        </w:rPr>
        <w:t>. وسوف تُتَّبع استراتيجيات التنفيذ التالية:</w:t>
      </w:r>
    </w:p>
    <w:p w:rsidR="006D7321" w:rsidRPr="009C4523" w:rsidRDefault="006D7321" w:rsidP="00861CFF">
      <w:pPr>
        <w:numPr>
          <w:ilvl w:val="0"/>
          <w:numId w:val="16"/>
        </w:numPr>
        <w:adjustRightInd w:val="0"/>
        <w:snapToGrid w:val="0"/>
        <w:spacing w:after="120" w:line="340" w:lineRule="exact"/>
        <w:ind w:left="1134" w:hanging="567"/>
        <w:jc w:val="both"/>
        <w:rPr>
          <w:rFonts w:ascii="Arabic Typesetting" w:hAnsi="Arabic Typesetting" w:cs="Arabic Typesetting"/>
          <w:noProof/>
          <w:szCs w:val="34"/>
        </w:rPr>
      </w:pPr>
      <w:r w:rsidRPr="009C4523">
        <w:rPr>
          <w:rFonts w:ascii="Arabic Typesetting" w:hAnsi="Arabic Typesetting" w:cs="Arabic Typesetting" w:hint="cs"/>
          <w:b/>
          <w:szCs w:val="34"/>
          <w:rtl/>
        </w:rPr>
        <w:t xml:space="preserve">استخدام </w:t>
      </w:r>
      <w:r w:rsidRPr="009C4523">
        <w:rPr>
          <w:rFonts w:ascii="Arabic Typesetting" w:hAnsi="Arabic Typesetting" w:cs="Arabic Typesetting"/>
          <w:b/>
          <w:noProof/>
          <w:szCs w:val="34"/>
          <w:rtl/>
        </w:rPr>
        <w:t>منصة "</w:t>
      </w:r>
      <w:r w:rsidRPr="009C4523">
        <w:rPr>
          <w:rFonts w:ascii="Arabic Typesetting" w:hAnsi="Arabic Typesetting" w:cs="Arabic Typesetting"/>
          <w:bCs/>
          <w:noProof/>
          <w:sz w:val="34"/>
          <w:szCs w:val="34"/>
        </w:rPr>
        <w:t>ePCT</w:t>
      </w:r>
      <w:r w:rsidRPr="009C4523">
        <w:rPr>
          <w:rFonts w:ascii="Arabic Typesetting" w:hAnsi="Arabic Typesetting" w:cs="Arabic Typesetting"/>
          <w:b/>
          <w:noProof/>
          <w:szCs w:val="34"/>
          <w:rtl/>
        </w:rPr>
        <w:t>"</w:t>
      </w:r>
      <w:r w:rsidRPr="009C4523">
        <w:rPr>
          <w:rFonts w:ascii="Arabic Typesetting" w:hAnsi="Arabic Typesetting" w:cs="Arabic Typesetting" w:hint="cs"/>
          <w:b/>
          <w:noProof/>
          <w:szCs w:val="34"/>
          <w:rtl/>
        </w:rPr>
        <w:t xml:space="preserve"> والأداوات الأخرى من أجل أتمتة أكبر للمعالجة وتواصل أكثر فعالية بين المودعين </w:t>
      </w:r>
      <w:r w:rsidRPr="009C4523">
        <w:rPr>
          <w:rFonts w:ascii="Arabic Typesetting" w:hAnsi="Arabic Typesetting" w:cs="Arabic Typesetting" w:hint="cs"/>
          <w:noProof/>
          <w:szCs w:val="34"/>
          <w:rtl/>
        </w:rPr>
        <w:t>والمكتب الدولي والمكاتب الوطنية لكي يتفاعل المشاركون بفعالية وجودة أكبر مع نظام المعاهدة ولاستكمال المتطلبات الأمنية؛</w:t>
      </w:r>
    </w:p>
    <w:p w:rsidR="006D7321" w:rsidRPr="009C4523"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Pr>
          <w:rFonts w:ascii="Arabic Typesetting" w:hAnsi="Arabic Typesetting" w:cs="Arabic Typesetting" w:hint="cs"/>
          <w:noProof/>
          <w:szCs w:val="34"/>
          <w:rtl/>
        </w:rPr>
        <w:t>الشروع، بالتعاون مع البرنامج 25 (تكنولوجيا المعلومات والاتصالات)، في بذل جهود من أجل زيادة تعزيز مرونة البنية التحتية لتكنولوجيا المعلومات والاتصالات التي تقوم عليها أنظمة الأعمال والمعلومات لمعاهدة البراءات، وتعزيز مستويات أمنها.</w:t>
      </w:r>
    </w:p>
    <w:p w:rsidR="006D7321" w:rsidRPr="009C4523"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sidRPr="009C4523">
        <w:rPr>
          <w:rFonts w:ascii="Arabic Typesetting" w:hAnsi="Arabic Typesetting" w:cs="Arabic Typesetting" w:hint="cs"/>
          <w:noProof/>
          <w:szCs w:val="34"/>
          <w:rtl/>
        </w:rPr>
        <w:t>و</w:t>
      </w:r>
      <w:r w:rsidRPr="009C4523">
        <w:rPr>
          <w:rFonts w:ascii="Arabic Typesetting" w:hAnsi="Arabic Typesetting" w:cs="Arabic Typesetting"/>
          <w:noProof/>
          <w:szCs w:val="34"/>
          <w:rtl/>
        </w:rPr>
        <w:t>دعم الجهود التي تبذلها الإدارات الدولية لتحسين نوعية منتجات العمل ومراعاة مواعيدها، بما في ذلك وضع مقاييس الجودة والتحقيق في مجال التعاون على البحث وفحص الطلبات المقدمة بموجب معاهدة البراءات</w:t>
      </w:r>
      <w:r w:rsidRPr="009C4523">
        <w:rPr>
          <w:rFonts w:ascii="Arabic Typesetting" w:hAnsi="Arabic Typesetting" w:cs="Arabic Typesetting" w:hint="cs"/>
          <w:noProof/>
          <w:szCs w:val="34"/>
          <w:rtl/>
        </w:rPr>
        <w:t>؛</w:t>
      </w:r>
    </w:p>
    <w:p w:rsidR="006D7321" w:rsidRPr="009C4523" w:rsidRDefault="006D7321" w:rsidP="00861CFF">
      <w:pPr>
        <w:numPr>
          <w:ilvl w:val="0"/>
          <w:numId w:val="16"/>
        </w:numPr>
        <w:adjustRightInd w:val="0"/>
        <w:snapToGrid w:val="0"/>
        <w:spacing w:after="120" w:line="340" w:lineRule="exact"/>
        <w:ind w:left="1134" w:hanging="567"/>
        <w:jc w:val="both"/>
        <w:rPr>
          <w:rFonts w:ascii="Arabic Typesetting" w:hAnsi="Arabic Typesetting" w:cs="Arabic Typesetting"/>
          <w:noProof/>
          <w:szCs w:val="34"/>
        </w:rPr>
      </w:pPr>
      <w:r w:rsidRPr="008954A8">
        <w:rPr>
          <w:rFonts w:ascii="Arabic Typesetting" w:hAnsi="Arabic Typesetting" w:cs="Arabic Typesetting" w:hint="cs"/>
          <w:b/>
          <w:szCs w:val="34"/>
          <w:rtl/>
        </w:rPr>
        <w:t>و</w:t>
      </w:r>
      <w:r w:rsidRPr="008954A8">
        <w:rPr>
          <w:rFonts w:ascii="Arabic Typesetting" w:hAnsi="Arabic Typesetting" w:cs="Arabic Typesetting"/>
          <w:b/>
          <w:szCs w:val="34"/>
          <w:rtl/>
        </w:rPr>
        <w:t xml:space="preserve">مواصلة دراسة سبل إضافية لتحسين نظام معاهدة </w:t>
      </w:r>
      <w:r>
        <w:rPr>
          <w:rFonts w:ascii="Arabic Typesetting" w:hAnsi="Arabic Typesetting" w:cs="Arabic Typesetting"/>
          <w:b/>
          <w:szCs w:val="34"/>
          <w:rtl/>
        </w:rPr>
        <w:t>البراءات</w:t>
      </w:r>
      <w:r w:rsidRPr="008954A8">
        <w:rPr>
          <w:rFonts w:ascii="Arabic Typesetting" w:hAnsi="Arabic Typesetting" w:cs="Arabic Typesetting"/>
          <w:b/>
          <w:szCs w:val="34"/>
          <w:rtl/>
        </w:rPr>
        <w:t>، مع تنفيذ التدابير المُحدَّدة التي وافقت عليها الدول</w:t>
      </w:r>
      <w:r w:rsidRPr="008954A8">
        <w:rPr>
          <w:rFonts w:ascii="Arabic Typesetting" w:hAnsi="Arabic Typesetting" w:cs="Arabic Typesetting"/>
          <w:b/>
          <w:noProof/>
          <w:szCs w:val="34"/>
          <w:rtl/>
        </w:rPr>
        <w:t xml:space="preserve"> </w:t>
      </w:r>
      <w:r w:rsidRPr="009C4523">
        <w:rPr>
          <w:rFonts w:ascii="Arabic Typesetting" w:hAnsi="Arabic Typesetting" w:cs="Arabic Typesetting"/>
          <w:noProof/>
          <w:szCs w:val="34"/>
          <w:rtl/>
        </w:rPr>
        <w:t>الأعضاء</w:t>
      </w:r>
      <w:r w:rsidRPr="009C4523">
        <w:rPr>
          <w:rFonts w:ascii="Arabic Typesetting" w:hAnsi="Arabic Typesetting" w:cs="Arabic Typesetting" w:hint="cs"/>
          <w:noProof/>
          <w:szCs w:val="34"/>
          <w:rtl/>
        </w:rPr>
        <w:t>؛</w:t>
      </w:r>
    </w:p>
    <w:p w:rsidR="006D7321" w:rsidRPr="009C4523" w:rsidRDefault="006D7321" w:rsidP="00861CFF">
      <w:pPr>
        <w:numPr>
          <w:ilvl w:val="0"/>
          <w:numId w:val="16"/>
        </w:numPr>
        <w:adjustRightInd w:val="0"/>
        <w:snapToGrid w:val="0"/>
        <w:spacing w:after="120" w:line="340" w:lineRule="exact"/>
        <w:ind w:left="1134" w:hanging="567"/>
        <w:rPr>
          <w:rFonts w:ascii="Arabic Typesetting" w:hAnsi="Arabic Typesetting" w:cs="Arabic Typesetting"/>
          <w:noProof/>
          <w:szCs w:val="34"/>
        </w:rPr>
      </w:pPr>
      <w:r w:rsidRPr="008954A8">
        <w:rPr>
          <w:rFonts w:ascii="Arabic Typesetting" w:hAnsi="Arabic Typesetting" w:cs="Arabic Typesetting" w:hint="cs"/>
          <w:b/>
          <w:noProof/>
          <w:szCs w:val="34"/>
          <w:rtl/>
        </w:rPr>
        <w:lastRenderedPageBreak/>
        <w:t>و</w:t>
      </w:r>
      <w:r w:rsidRPr="008954A8">
        <w:rPr>
          <w:rFonts w:ascii="Arabic Typesetting" w:hAnsi="Arabic Typesetting" w:cs="Arabic Typesetting"/>
          <w:b/>
          <w:noProof/>
          <w:szCs w:val="34"/>
          <w:rtl/>
        </w:rPr>
        <w:t xml:space="preserve">تواصل </w:t>
      </w:r>
      <w:r>
        <w:rPr>
          <w:rFonts w:ascii="Arabic Typesetting" w:hAnsi="Arabic Typesetting" w:cs="Arabic Typesetting" w:hint="cs"/>
          <w:b/>
          <w:noProof/>
          <w:szCs w:val="34"/>
          <w:rtl/>
        </w:rPr>
        <w:t xml:space="preserve">معزَّز </w:t>
      </w:r>
      <w:r w:rsidRPr="008954A8">
        <w:rPr>
          <w:rFonts w:ascii="Arabic Typesetting" w:hAnsi="Arabic Typesetting" w:cs="Arabic Typesetting"/>
          <w:b/>
          <w:noProof/>
          <w:szCs w:val="34"/>
          <w:rtl/>
        </w:rPr>
        <w:t>مع عملاء معاهدة</w:t>
      </w:r>
      <w:r>
        <w:rPr>
          <w:rFonts w:ascii="Arabic Typesetting" w:hAnsi="Arabic Typesetting" w:cs="Arabic Typesetting"/>
          <w:b/>
          <w:noProof/>
          <w:szCs w:val="34"/>
          <w:rtl/>
        </w:rPr>
        <w:t xml:space="preserve"> البراءات </w:t>
      </w:r>
      <w:r w:rsidRPr="008954A8">
        <w:rPr>
          <w:rFonts w:ascii="Arabic Typesetting" w:hAnsi="Arabic Typesetting" w:cs="Arabic Typesetting"/>
          <w:b/>
          <w:noProof/>
          <w:szCs w:val="34"/>
          <w:rtl/>
        </w:rPr>
        <w:t xml:space="preserve">وأصحاب المصلحة من خلال الدراسات الاستقصائية والتوعية لتحديد </w:t>
      </w:r>
      <w:r w:rsidRPr="009C4523">
        <w:rPr>
          <w:rFonts w:ascii="Arabic Typesetting" w:hAnsi="Arabic Typesetting" w:cs="Arabic Typesetting"/>
          <w:noProof/>
          <w:szCs w:val="34"/>
          <w:rtl/>
        </w:rPr>
        <w:t>الاحتياجات وتحسين فعالية خدمة المعاهدة</w:t>
      </w:r>
      <w:r w:rsidRPr="009C4523">
        <w:rPr>
          <w:rFonts w:ascii="Arabic Typesetting" w:hAnsi="Arabic Typesetting" w:cs="Arabic Typesetting" w:hint="cs"/>
          <w:noProof/>
          <w:szCs w:val="34"/>
          <w:rtl/>
        </w:rPr>
        <w:t>؛</w:t>
      </w:r>
    </w:p>
    <w:p w:rsidR="006D7321" w:rsidRPr="009C4523" w:rsidRDefault="006D7321" w:rsidP="00861CFF">
      <w:pPr>
        <w:numPr>
          <w:ilvl w:val="0"/>
          <w:numId w:val="16"/>
        </w:numPr>
        <w:adjustRightInd w:val="0"/>
        <w:snapToGrid w:val="0"/>
        <w:spacing w:after="120" w:line="340" w:lineRule="exact"/>
        <w:ind w:left="1134" w:hanging="567"/>
        <w:rPr>
          <w:rFonts w:ascii="Arabic Typesetting" w:hAnsi="Arabic Typesetting" w:cs="Arabic Typesetting"/>
          <w:noProof/>
          <w:szCs w:val="34"/>
        </w:rPr>
      </w:pPr>
      <w:r>
        <w:rPr>
          <w:rFonts w:ascii="Arabic Typesetting" w:hAnsi="Arabic Typesetting" w:cs="Arabic Typesetting" w:hint="cs"/>
          <w:b/>
          <w:noProof/>
          <w:szCs w:val="34"/>
          <w:rtl/>
        </w:rPr>
        <w:t>وإتاحة</w:t>
      </w:r>
      <w:r w:rsidRPr="008954A8">
        <w:rPr>
          <w:rFonts w:ascii="Arabic Typesetting" w:hAnsi="Arabic Typesetting" w:cs="Arabic Typesetting"/>
          <w:b/>
          <w:noProof/>
          <w:szCs w:val="34"/>
          <w:rtl/>
        </w:rPr>
        <w:t xml:space="preserve"> التدريب لقدر أكبر من مستخدمي المعاهدة باستخدام وسائل تكنولوجية مثل الندوات الإلكترونية التي تقام </w:t>
      </w:r>
      <w:r w:rsidRPr="009C4523">
        <w:rPr>
          <w:rFonts w:ascii="Arabic Typesetting" w:hAnsi="Arabic Typesetting" w:cs="Arabic Typesetting"/>
          <w:noProof/>
          <w:szCs w:val="34"/>
          <w:rtl/>
        </w:rPr>
        <w:t>عبر الإنترنت والمؤتمرات السمعية البصرية</w:t>
      </w:r>
      <w:r w:rsidRPr="009C4523">
        <w:rPr>
          <w:rFonts w:ascii="Arabic Typesetting" w:hAnsi="Arabic Typesetting" w:cs="Arabic Typesetting" w:hint="cs"/>
          <w:noProof/>
          <w:szCs w:val="34"/>
          <w:rtl/>
        </w:rPr>
        <w:t>؛</w:t>
      </w:r>
    </w:p>
    <w:p w:rsidR="006D7321" w:rsidRPr="009C4523"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sidRPr="009C4523">
        <w:rPr>
          <w:rFonts w:ascii="Arabic Typesetting" w:hAnsi="Arabic Typesetting" w:cs="Arabic Typesetting" w:hint="cs"/>
          <w:noProof/>
          <w:szCs w:val="34"/>
          <w:rtl/>
        </w:rPr>
        <w:t>و</w:t>
      </w:r>
      <w:r w:rsidRPr="009C4523">
        <w:rPr>
          <w:rFonts w:ascii="Arabic Typesetting" w:hAnsi="Arabic Typesetting" w:cs="Arabic Typesetting"/>
          <w:noProof/>
          <w:szCs w:val="34"/>
          <w:rtl/>
        </w:rPr>
        <w:t>إعداد المعلومات المتعلقة بالمعاهدة ونشرها</w:t>
      </w:r>
      <w:r w:rsidRPr="009C4523">
        <w:rPr>
          <w:rFonts w:ascii="Arabic Typesetting" w:hAnsi="Arabic Typesetting" w:cs="Arabic Typesetting" w:hint="cs"/>
          <w:noProof/>
          <w:szCs w:val="34"/>
          <w:rtl/>
        </w:rPr>
        <w:t xml:space="preserve"> بطريقة رشيدة؛</w:t>
      </w:r>
    </w:p>
    <w:p w:rsidR="006D7321" w:rsidRPr="009C4523" w:rsidRDefault="006D7321" w:rsidP="00861CFF">
      <w:pPr>
        <w:numPr>
          <w:ilvl w:val="0"/>
          <w:numId w:val="16"/>
        </w:numPr>
        <w:adjustRightInd w:val="0"/>
        <w:snapToGrid w:val="0"/>
        <w:spacing w:after="120" w:line="340" w:lineRule="exact"/>
        <w:ind w:left="1134" w:hanging="567"/>
        <w:rPr>
          <w:rFonts w:ascii="Arabic Typesetting" w:hAnsi="Arabic Typesetting" w:cs="Arabic Typesetting"/>
          <w:noProof/>
          <w:szCs w:val="34"/>
        </w:rPr>
      </w:pPr>
      <w:r w:rsidRPr="009C4523">
        <w:rPr>
          <w:rFonts w:ascii="Arabic Typesetting" w:hAnsi="Arabic Typesetting" w:cs="Arabic Typesetting" w:hint="cs"/>
          <w:noProof/>
          <w:szCs w:val="34"/>
          <w:rtl/>
        </w:rPr>
        <w:t>و</w:t>
      </w:r>
      <w:r w:rsidRPr="009C4523">
        <w:rPr>
          <w:rFonts w:ascii="Arabic Typesetting" w:hAnsi="Arabic Typesetting" w:cs="Arabic Typesetting"/>
          <w:noProof/>
          <w:szCs w:val="34"/>
          <w:rtl/>
        </w:rPr>
        <w:t xml:space="preserve">مواصلة </w:t>
      </w:r>
      <w:r w:rsidRPr="009C4523">
        <w:rPr>
          <w:rFonts w:ascii="Arabic Typesetting" w:hAnsi="Arabic Typesetting" w:cs="Arabic Typesetting" w:hint="cs"/>
          <w:noProof/>
          <w:szCs w:val="34"/>
          <w:rtl/>
        </w:rPr>
        <w:t>العمل على أن تتناسب</w:t>
      </w:r>
      <w:r w:rsidRPr="009C4523">
        <w:rPr>
          <w:rFonts w:ascii="Arabic Typesetting" w:hAnsi="Arabic Typesetting" w:cs="Arabic Typesetting"/>
          <w:noProof/>
          <w:szCs w:val="34"/>
          <w:rtl/>
        </w:rPr>
        <w:t xml:space="preserve"> </w:t>
      </w:r>
      <w:r w:rsidRPr="009C4523">
        <w:rPr>
          <w:rFonts w:ascii="Arabic Typesetting" w:hAnsi="Arabic Typesetting" w:cs="Arabic Typesetting" w:hint="cs"/>
          <w:noProof/>
          <w:szCs w:val="34"/>
          <w:rtl/>
        </w:rPr>
        <w:t>مؤهلات</w:t>
      </w:r>
      <w:r w:rsidRPr="009C4523">
        <w:rPr>
          <w:rFonts w:ascii="Arabic Typesetting" w:hAnsi="Arabic Typesetting" w:cs="Arabic Typesetting"/>
          <w:noProof/>
          <w:szCs w:val="34"/>
          <w:rtl/>
        </w:rPr>
        <w:t xml:space="preserve"> الموظفين مع </w:t>
      </w:r>
      <w:r w:rsidRPr="009C4523">
        <w:rPr>
          <w:rFonts w:ascii="Arabic Typesetting" w:hAnsi="Arabic Typesetting" w:cs="Arabic Typesetting" w:hint="cs"/>
          <w:noProof/>
          <w:szCs w:val="34"/>
          <w:rtl/>
        </w:rPr>
        <w:t>الاحتياجات، ولا سيما</w:t>
      </w:r>
      <w:r w:rsidRPr="009C4523">
        <w:rPr>
          <w:rFonts w:ascii="Arabic Typesetting" w:hAnsi="Arabic Typesetting" w:cs="Arabic Typesetting"/>
          <w:noProof/>
          <w:szCs w:val="34"/>
          <w:rtl/>
        </w:rPr>
        <w:t xml:space="preserve"> </w:t>
      </w:r>
      <w:r w:rsidRPr="009C4523">
        <w:rPr>
          <w:rFonts w:ascii="Arabic Typesetting" w:hAnsi="Arabic Typesetting" w:cs="Arabic Typesetting" w:hint="cs"/>
          <w:noProof/>
          <w:szCs w:val="34"/>
          <w:rtl/>
        </w:rPr>
        <w:t>بالنظر إلى تغير الطلب من الناحية</w:t>
      </w:r>
      <w:r>
        <w:rPr>
          <w:rFonts w:ascii="Arabic Typesetting" w:hAnsi="Arabic Typesetting" w:cs="Arabic Typesetting" w:hint="cs"/>
          <w:b/>
          <w:noProof/>
          <w:szCs w:val="34"/>
          <w:rtl/>
        </w:rPr>
        <w:t xml:space="preserve"> </w:t>
      </w:r>
      <w:r w:rsidRPr="009C4523">
        <w:rPr>
          <w:rFonts w:ascii="Arabic Typesetting" w:hAnsi="Arabic Typesetting" w:cs="Arabic Typesetting"/>
          <w:noProof/>
          <w:szCs w:val="34"/>
          <w:rtl/>
        </w:rPr>
        <w:t xml:space="preserve">الجغرافية </w:t>
      </w:r>
      <w:r w:rsidRPr="009C4523">
        <w:rPr>
          <w:rFonts w:ascii="Arabic Typesetting" w:hAnsi="Arabic Typesetting" w:cs="Arabic Typesetting" w:hint="cs"/>
          <w:noProof/>
          <w:szCs w:val="34"/>
          <w:rtl/>
        </w:rPr>
        <w:t>واللغوية؛</w:t>
      </w:r>
    </w:p>
    <w:p w:rsidR="006D7321" w:rsidRPr="009C4523" w:rsidRDefault="006D7321" w:rsidP="00861CFF">
      <w:pPr>
        <w:numPr>
          <w:ilvl w:val="0"/>
          <w:numId w:val="16"/>
        </w:numPr>
        <w:tabs>
          <w:tab w:val="clear" w:pos="567"/>
        </w:tabs>
        <w:adjustRightInd w:val="0"/>
        <w:snapToGrid w:val="0"/>
        <w:spacing w:after="120" w:line="340" w:lineRule="exact"/>
        <w:ind w:left="1132" w:hanging="567"/>
        <w:jc w:val="both"/>
        <w:rPr>
          <w:rFonts w:ascii="Arabic Typesetting" w:hAnsi="Arabic Typesetting" w:cs="Arabic Typesetting"/>
          <w:noProof/>
          <w:szCs w:val="34"/>
        </w:rPr>
      </w:pPr>
      <w:r w:rsidRPr="009C4523">
        <w:rPr>
          <w:rFonts w:ascii="Arabic Typesetting" w:hAnsi="Arabic Typesetting" w:cs="Arabic Typesetting" w:hint="cs"/>
          <w:noProof/>
          <w:szCs w:val="34"/>
          <w:rtl/>
        </w:rPr>
        <w:t>و</w:t>
      </w:r>
      <w:r w:rsidRPr="009C4523">
        <w:rPr>
          <w:rFonts w:ascii="Arabic Typesetting" w:hAnsi="Arabic Typesetting" w:cs="Arabic Typesetting"/>
          <w:noProof/>
          <w:szCs w:val="34"/>
          <w:rtl/>
        </w:rPr>
        <w:t>مواصلة دراسة تدابير ضبط التكاليف والكفاءة وتنفيذ هذه التدابير في إطار عمليات معاهدة البراءات</w:t>
      </w:r>
      <w:r w:rsidRPr="009C4523">
        <w:rPr>
          <w:rFonts w:ascii="Arabic Typesetting" w:hAnsi="Arabic Typesetting" w:cs="Arabic Typesetting" w:hint="cs"/>
          <w:noProof/>
          <w:szCs w:val="34"/>
          <w:rtl/>
        </w:rPr>
        <w:t>؛</w:t>
      </w:r>
    </w:p>
    <w:p w:rsidR="006D7321" w:rsidRPr="009C4523" w:rsidRDefault="006D7321" w:rsidP="00861CFF">
      <w:pPr>
        <w:numPr>
          <w:ilvl w:val="0"/>
          <w:numId w:val="16"/>
        </w:numPr>
        <w:adjustRightInd w:val="0"/>
        <w:snapToGrid w:val="0"/>
        <w:spacing w:after="120" w:line="340" w:lineRule="exact"/>
        <w:ind w:left="1134" w:hanging="567"/>
        <w:rPr>
          <w:rFonts w:ascii="Arabic Typesetting" w:hAnsi="Arabic Typesetting" w:cs="Arabic Typesetting"/>
          <w:noProof/>
          <w:szCs w:val="34"/>
        </w:rPr>
      </w:pPr>
      <w:r w:rsidRPr="009C4523">
        <w:rPr>
          <w:rFonts w:ascii="Arabic Typesetting" w:hAnsi="Arabic Typesetting" w:cs="Arabic Typesetting" w:hint="cs"/>
          <w:noProof/>
          <w:szCs w:val="34"/>
          <w:rtl/>
        </w:rPr>
        <w:t>ومواصلة التعاون مع البرامج الأخرى فيما يخص المساعدة التقنية وتكوين الكفاءات في إطار معاهدة البراءات لفائدة</w:t>
      </w:r>
      <w:r>
        <w:rPr>
          <w:rFonts w:ascii="Arabic Typesetting" w:hAnsi="Arabic Typesetting" w:cs="Arabic Typesetting" w:hint="cs"/>
          <w:b/>
          <w:szCs w:val="34"/>
          <w:rtl/>
        </w:rPr>
        <w:t xml:space="preserve"> </w:t>
      </w:r>
      <w:r w:rsidRPr="009C4523">
        <w:rPr>
          <w:rFonts w:ascii="Arabic Typesetting" w:hAnsi="Arabic Typesetting" w:cs="Arabic Typesetting" w:hint="cs"/>
          <w:noProof/>
          <w:szCs w:val="34"/>
          <w:rtl/>
        </w:rPr>
        <w:t>البلدان النامية والبلدان الأقل نموا كما هو مبيّن أدناه.</w:t>
      </w:r>
    </w:p>
    <w:p w:rsidR="006D7321" w:rsidRPr="008954A8" w:rsidRDefault="006D7321" w:rsidP="002C3C33">
      <w:pPr>
        <w:adjustRightInd w:val="0"/>
        <w:snapToGrid w:val="0"/>
        <w:spacing w:after="120"/>
        <w:ind w:left="-2"/>
        <w:rPr>
          <w:rFonts w:ascii="Arabic Typesetting" w:hAnsi="Arabic Typesetting" w:cs="Arabic Typesetting"/>
          <w:b/>
          <w:szCs w:val="34"/>
        </w:rPr>
      </w:pPr>
      <w:r w:rsidRPr="002F58D0">
        <w:rPr>
          <w:rFonts w:ascii="Arial" w:hAnsi="Arial" w:cs="Arial"/>
          <w:noProof/>
          <w:lang w:bidi="ar-SA"/>
        </w:rPr>
        <w:drawing>
          <wp:inline distT="0" distB="0" distL="0" distR="0" wp14:anchorId="474CDD8B" wp14:editId="6ADBF60F">
            <wp:extent cx="5939790" cy="19564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6D7321" w:rsidRPr="004E2A42" w:rsidRDefault="006D7321" w:rsidP="002C3C33">
      <w:pPr>
        <w:keepNext/>
        <w:tabs>
          <w:tab w:val="left" w:pos="567"/>
          <w:tab w:val="left" w:pos="1985"/>
        </w:tabs>
        <w:adjustRightInd w:val="0"/>
        <w:snapToGrid w:val="0"/>
        <w:spacing w:after="240" w:line="340" w:lineRule="exact"/>
        <w:rPr>
          <w:rFonts w:ascii="Arabic Typesetting" w:hAnsi="Arabic Typesetting" w:cs="Arabic Typesetting"/>
          <w:b/>
          <w:noProof/>
          <w:sz w:val="38"/>
          <w:szCs w:val="38"/>
          <w:rtl/>
        </w:rPr>
      </w:pPr>
      <w:r w:rsidRPr="004E2A42">
        <w:rPr>
          <w:rFonts w:ascii="Arabic Typesetting" w:hAnsi="Arabic Typesetting" w:cs="Arabic Typesetting" w:hint="cs"/>
          <w:b/>
          <w:noProof/>
          <w:sz w:val="38"/>
          <w:szCs w:val="38"/>
          <w:rtl/>
        </w:rPr>
        <w:t>المخاطر الرئيسية واستراتيجيات التخفيف منها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35"/>
        <w:gridCol w:w="4537"/>
      </w:tblGrid>
      <w:tr w:rsidR="006D7321" w:rsidRPr="008954A8" w:rsidTr="002C3C33">
        <w:trPr>
          <w:trHeight w:val="514"/>
        </w:trPr>
        <w:tc>
          <w:tcPr>
            <w:tcW w:w="4535" w:type="dxa"/>
            <w:tcBorders>
              <w:top w:val="single" w:sz="4" w:space="0" w:color="auto"/>
              <w:bottom w:val="single" w:sz="4" w:space="0" w:color="auto"/>
            </w:tcBorders>
            <w:shd w:val="clear" w:color="auto" w:fill="C6D9F1"/>
            <w:tcMar>
              <w:top w:w="113" w:type="dxa"/>
            </w:tcMar>
            <w:vAlign w:val="center"/>
          </w:tcPr>
          <w:p w:rsidR="006D7321" w:rsidRPr="008954A8" w:rsidRDefault="006D7321" w:rsidP="002C3C33">
            <w:pPr>
              <w:keepNext/>
              <w:keepLines/>
              <w:autoSpaceDE w:val="0"/>
              <w:autoSpaceDN w:val="0"/>
              <w:adjustRightInd w:val="0"/>
              <w:snapToGrid w:val="0"/>
              <w:spacing w:before="60" w:after="60" w:line="300" w:lineRule="exact"/>
              <w:jc w:val="center"/>
              <w:rPr>
                <w:rFonts w:ascii="Arabic Typesetting" w:hAnsi="Arabic Typesetting" w:cs="Arabic Typesetting"/>
                <w:b/>
                <w:sz w:val="30"/>
                <w:szCs w:val="30"/>
              </w:rPr>
            </w:pPr>
            <w:r>
              <w:rPr>
                <w:rFonts w:ascii="Arabic Typesetting" w:hAnsi="Arabic Typesetting" w:cs="Arabic Typesetting"/>
                <w:b/>
                <w:bCs/>
                <w:i/>
                <w:sz w:val="30"/>
                <w:szCs w:val="30"/>
                <w:rtl/>
              </w:rPr>
              <w:t>المخاطر</w:t>
            </w:r>
          </w:p>
        </w:tc>
        <w:tc>
          <w:tcPr>
            <w:tcW w:w="4537" w:type="dxa"/>
            <w:tcBorders>
              <w:top w:val="single" w:sz="4" w:space="0" w:color="auto"/>
              <w:bottom w:val="single" w:sz="4" w:space="0" w:color="auto"/>
            </w:tcBorders>
            <w:shd w:val="clear" w:color="auto" w:fill="C6D9F1"/>
            <w:tcMar>
              <w:top w:w="113" w:type="dxa"/>
            </w:tcMar>
            <w:vAlign w:val="center"/>
          </w:tcPr>
          <w:p w:rsidR="006D7321" w:rsidRPr="008954A8" w:rsidRDefault="006D7321" w:rsidP="002C3C33">
            <w:pPr>
              <w:keepNext/>
              <w:keepLines/>
              <w:autoSpaceDE w:val="0"/>
              <w:autoSpaceDN w:val="0"/>
              <w:adjustRightInd w:val="0"/>
              <w:snapToGrid w:val="0"/>
              <w:spacing w:before="60" w:after="60" w:line="300" w:lineRule="exact"/>
              <w:jc w:val="center"/>
              <w:rPr>
                <w:rFonts w:ascii="Arabic Typesetting" w:hAnsi="Arabic Typesetting" w:cs="Arabic Typesetting"/>
                <w:bCs/>
                <w:sz w:val="30"/>
                <w:szCs w:val="30"/>
              </w:rPr>
            </w:pPr>
            <w:r>
              <w:rPr>
                <w:rFonts w:ascii="Arabic Typesetting" w:hAnsi="Arabic Typesetting" w:cs="Arabic Typesetting"/>
                <w:bCs/>
                <w:noProof/>
                <w:sz w:val="30"/>
                <w:szCs w:val="30"/>
                <w:rtl/>
              </w:rPr>
              <w:t>التخفيف منها</w:t>
            </w:r>
          </w:p>
        </w:tc>
      </w:tr>
      <w:tr w:rsidR="006D7321" w:rsidRPr="008954A8" w:rsidTr="002C3C33">
        <w:trPr>
          <w:trHeight w:val="668"/>
        </w:trPr>
        <w:tc>
          <w:tcPr>
            <w:tcW w:w="4535" w:type="dxa"/>
            <w:tcBorders>
              <w:top w:val="single" w:sz="4" w:space="0" w:color="auto"/>
              <w:left w:val="single" w:sz="4" w:space="0" w:color="auto"/>
              <w:bottom w:val="nil"/>
              <w:right w:val="nil"/>
            </w:tcBorders>
            <w:tcMar>
              <w:top w:w="113" w:type="dxa"/>
            </w:tcMar>
          </w:tcPr>
          <w:p w:rsidR="006D7321" w:rsidRPr="008954A8" w:rsidRDefault="006D7321" w:rsidP="002C3C33">
            <w:pPr>
              <w:keepNext/>
              <w:keepLines/>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noProof/>
                <w:sz w:val="30"/>
                <w:szCs w:val="30"/>
                <w:rtl/>
              </w:rPr>
              <w:t xml:space="preserve">انخفاض في إيداعات معاهدة </w:t>
            </w:r>
            <w:r>
              <w:rPr>
                <w:rFonts w:ascii="Arabic Typesetting" w:hAnsi="Arabic Typesetting" w:cs="Arabic Typesetting"/>
                <w:noProof/>
                <w:sz w:val="30"/>
                <w:szCs w:val="30"/>
                <w:rtl/>
              </w:rPr>
              <w:t>البراءات</w:t>
            </w:r>
            <w:r w:rsidRPr="008954A8">
              <w:rPr>
                <w:rFonts w:ascii="Arabic Typesetting" w:hAnsi="Arabic Typesetting" w:cs="Arabic Typesetting"/>
                <w:noProof/>
                <w:sz w:val="30"/>
                <w:szCs w:val="30"/>
                <w:rtl/>
              </w:rPr>
              <w:t>، بصورة مطلقة أو بالنسبة إلى إيداعات مسار باريس</w:t>
            </w:r>
          </w:p>
        </w:tc>
        <w:tc>
          <w:tcPr>
            <w:tcW w:w="4537" w:type="dxa"/>
            <w:tcBorders>
              <w:top w:val="single" w:sz="4" w:space="0" w:color="auto"/>
              <w:left w:val="nil"/>
              <w:bottom w:val="nil"/>
              <w:right w:val="single" w:sz="4" w:space="0" w:color="auto"/>
            </w:tcBorders>
            <w:tcMar>
              <w:top w:w="113" w:type="dxa"/>
            </w:tcMar>
          </w:tcPr>
          <w:p w:rsidR="006D7321" w:rsidRPr="008954A8" w:rsidRDefault="006D7321" w:rsidP="002C3C33">
            <w:pPr>
              <w:keepNext/>
              <w:keepLines/>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استمرار الترويج لمعاهدة</w:t>
            </w:r>
            <w:r>
              <w:rPr>
                <w:rFonts w:ascii="Arabic Typesetting" w:hAnsi="Arabic Typesetting" w:cs="Arabic Typesetting"/>
                <w:noProof/>
                <w:sz w:val="30"/>
                <w:szCs w:val="30"/>
                <w:rtl/>
              </w:rPr>
              <w:t xml:space="preserve"> البراءات </w:t>
            </w:r>
            <w:r>
              <w:rPr>
                <w:rFonts w:ascii="Arabic Typesetting" w:hAnsi="Arabic Typesetting" w:cs="Arabic Typesetting" w:hint="cs"/>
                <w:noProof/>
                <w:sz w:val="30"/>
                <w:szCs w:val="30"/>
                <w:rtl/>
              </w:rPr>
              <w:t>لل</w:t>
            </w:r>
            <w:r w:rsidRPr="008954A8">
              <w:rPr>
                <w:rFonts w:ascii="Arabic Typesetting" w:hAnsi="Arabic Typesetting" w:cs="Arabic Typesetting"/>
                <w:noProof/>
                <w:sz w:val="30"/>
                <w:szCs w:val="30"/>
                <w:rtl/>
              </w:rPr>
              <w:t>مستخدمين</w:t>
            </w:r>
            <w:r>
              <w:rPr>
                <w:rFonts w:ascii="Arabic Typesetting" w:hAnsi="Arabic Typesetting" w:cs="Arabic Typesetting" w:hint="cs"/>
                <w:noProof/>
                <w:sz w:val="30"/>
                <w:szCs w:val="30"/>
                <w:rtl/>
              </w:rPr>
              <w:t xml:space="preserve"> الحاليين والمحتملين</w:t>
            </w:r>
          </w:p>
        </w:tc>
      </w:tr>
      <w:tr w:rsidR="006D7321" w:rsidRPr="008954A8" w:rsidTr="002C3C33">
        <w:trPr>
          <w:trHeight w:val="1574"/>
        </w:trPr>
        <w:tc>
          <w:tcPr>
            <w:tcW w:w="4535" w:type="dxa"/>
            <w:tcBorders>
              <w:top w:val="nil"/>
              <w:left w:val="single" w:sz="4" w:space="0" w:color="auto"/>
              <w:bottom w:val="nil"/>
              <w:right w:val="nil"/>
            </w:tcBorders>
            <w:tcMar>
              <w:top w:w="113" w:type="dxa"/>
            </w:tcMar>
          </w:tcPr>
          <w:p w:rsidR="006D7321" w:rsidRPr="008954A8" w:rsidRDefault="006D7321" w:rsidP="002C3C33">
            <w:pPr>
              <w:keepNext/>
              <w:keepLines/>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 xml:space="preserve">الكشف </w:t>
            </w:r>
            <w:r>
              <w:rPr>
                <w:rFonts w:ascii="Arabic Typesetting" w:hAnsi="Arabic Typesetting" w:cs="Arabic Typesetting" w:hint="cs"/>
                <w:noProof/>
                <w:sz w:val="30"/>
                <w:szCs w:val="30"/>
                <w:rtl/>
              </w:rPr>
              <w:t>المتعمد</w:t>
            </w:r>
            <w:r w:rsidRPr="008954A8">
              <w:rPr>
                <w:rFonts w:ascii="Arabic Typesetting" w:hAnsi="Arabic Typesetting" w:cs="Arabic Typesetting"/>
                <w:noProof/>
                <w:sz w:val="30"/>
                <w:szCs w:val="30"/>
                <w:rtl/>
              </w:rPr>
              <w:t xml:space="preserve"> أو غير المقصود عن معلومات سرية</w:t>
            </w:r>
          </w:p>
        </w:tc>
        <w:tc>
          <w:tcPr>
            <w:tcW w:w="4537" w:type="dxa"/>
            <w:tcBorders>
              <w:top w:val="nil"/>
              <w:left w:val="nil"/>
              <w:bottom w:val="nil"/>
              <w:right w:val="single" w:sz="4" w:space="0" w:color="auto"/>
            </w:tcBorders>
            <w:tcMar>
              <w:top w:w="113" w:type="dxa"/>
            </w:tcMar>
          </w:tcPr>
          <w:p w:rsidR="006D7321" w:rsidRPr="008954A8" w:rsidRDefault="006D7321" w:rsidP="002C3C33">
            <w:pPr>
              <w:keepNext/>
              <w:keepLines/>
              <w:autoSpaceDE w:val="0"/>
              <w:autoSpaceDN w:val="0"/>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استمرار برنامج التوعية للموظفين</w:t>
            </w:r>
            <w:r>
              <w:rPr>
                <w:rFonts w:ascii="Arabic Typesetting" w:hAnsi="Arabic Typesetting" w:cs="Arabic Typesetting" w:hint="cs"/>
                <w:noProof/>
                <w:sz w:val="30"/>
                <w:szCs w:val="30"/>
                <w:rtl/>
              </w:rPr>
              <w:t>، والزيادة</w:t>
            </w:r>
            <w:r w:rsidRPr="008954A8">
              <w:rPr>
                <w:rFonts w:ascii="Arabic Typesetting" w:hAnsi="Arabic Typesetting" w:cs="Arabic Typesetting"/>
                <w:noProof/>
                <w:sz w:val="30"/>
                <w:szCs w:val="30"/>
                <w:rtl/>
              </w:rPr>
              <w:t xml:space="preserve"> </w:t>
            </w:r>
            <w:r>
              <w:rPr>
                <w:rFonts w:ascii="Arabic Typesetting" w:hAnsi="Arabic Typesetting" w:cs="Arabic Typesetting" w:hint="cs"/>
                <w:noProof/>
                <w:sz w:val="30"/>
                <w:szCs w:val="30"/>
                <w:rtl/>
              </w:rPr>
              <w:t>في المراقبة ال</w:t>
            </w:r>
            <w:r w:rsidRPr="008954A8">
              <w:rPr>
                <w:rFonts w:ascii="Arabic Typesetting" w:hAnsi="Arabic Typesetting" w:cs="Arabic Typesetting"/>
                <w:noProof/>
                <w:sz w:val="30"/>
                <w:szCs w:val="30"/>
                <w:rtl/>
              </w:rPr>
              <w:t xml:space="preserve">متطورة </w:t>
            </w:r>
            <w:r>
              <w:rPr>
                <w:rFonts w:ascii="Arabic Typesetting" w:hAnsi="Arabic Typesetting" w:cs="Arabic Typesetting" w:hint="cs"/>
                <w:noProof/>
                <w:sz w:val="30"/>
                <w:szCs w:val="30"/>
                <w:rtl/>
              </w:rPr>
              <w:t>ل</w:t>
            </w:r>
            <w:r w:rsidRPr="008954A8">
              <w:rPr>
                <w:rFonts w:ascii="Arabic Typesetting" w:hAnsi="Arabic Typesetting" w:cs="Arabic Typesetting"/>
                <w:noProof/>
                <w:sz w:val="30"/>
                <w:szCs w:val="30"/>
                <w:rtl/>
              </w:rPr>
              <w:t>لبيئة المادية والإلكترونية</w:t>
            </w:r>
            <w:r w:rsidRPr="008954A8">
              <w:rPr>
                <w:rFonts w:ascii="Arabic Typesetting" w:hAnsi="Arabic Typesetting" w:cs="Arabic Typesetting" w:hint="cs"/>
                <w:noProof/>
                <w:sz w:val="30"/>
                <w:szCs w:val="30"/>
                <w:rtl/>
              </w:rPr>
              <w:t>؛</w:t>
            </w:r>
            <w:r w:rsidRPr="008954A8">
              <w:rPr>
                <w:rFonts w:ascii="Arabic Typesetting" w:hAnsi="Arabic Typesetting" w:cs="Arabic Typesetting"/>
                <w:noProof/>
                <w:sz w:val="30"/>
                <w:szCs w:val="30"/>
                <w:rtl/>
              </w:rPr>
              <w:t xml:space="preserve"> ومواصلة تحسين المراقبة الاستراتيجية؛ والاحتفاظ بمستو</w:t>
            </w:r>
            <w:r w:rsidRPr="008954A8">
              <w:rPr>
                <w:rFonts w:ascii="Arabic Typesetting" w:hAnsi="Arabic Typesetting" w:cs="Arabic Typesetting" w:hint="cs"/>
                <w:noProof/>
                <w:sz w:val="30"/>
                <w:szCs w:val="30"/>
                <w:rtl/>
              </w:rPr>
              <w:t>ى</w:t>
            </w:r>
            <w:r w:rsidRPr="008954A8">
              <w:rPr>
                <w:rFonts w:ascii="Arabic Typesetting" w:hAnsi="Arabic Typesetting" w:cs="Arabic Typesetting"/>
                <w:noProof/>
                <w:sz w:val="30"/>
                <w:szCs w:val="30"/>
                <w:rtl/>
              </w:rPr>
              <w:t xml:space="preserve"> عال</w:t>
            </w:r>
            <w:r w:rsidRPr="008954A8">
              <w:rPr>
                <w:rFonts w:ascii="Arabic Typesetting" w:hAnsi="Arabic Typesetting" w:cs="Arabic Typesetting" w:hint="cs"/>
                <w:noProof/>
                <w:sz w:val="30"/>
                <w:szCs w:val="30"/>
                <w:rtl/>
              </w:rPr>
              <w:t>ٍ</w:t>
            </w:r>
            <w:r w:rsidRPr="008954A8">
              <w:rPr>
                <w:rFonts w:ascii="Arabic Typesetting" w:hAnsi="Arabic Typesetting" w:cs="Arabic Typesetting"/>
                <w:noProof/>
                <w:sz w:val="30"/>
                <w:szCs w:val="30"/>
                <w:rtl/>
              </w:rPr>
              <w:t xml:space="preserve"> من الرقابة مع مقدمي </w:t>
            </w:r>
            <w:r>
              <w:rPr>
                <w:rFonts w:ascii="Arabic Typesetting" w:hAnsi="Arabic Typesetting" w:cs="Arabic Typesetting" w:hint="cs"/>
                <w:noProof/>
                <w:sz w:val="30"/>
                <w:szCs w:val="30"/>
                <w:rtl/>
              </w:rPr>
              <w:t>ال</w:t>
            </w:r>
            <w:r>
              <w:rPr>
                <w:rFonts w:ascii="Arabic Typesetting" w:hAnsi="Arabic Typesetting" w:cs="Arabic Typesetting"/>
                <w:noProof/>
                <w:sz w:val="30"/>
                <w:szCs w:val="30"/>
                <w:rtl/>
              </w:rPr>
              <w:t>خدم</w:t>
            </w:r>
            <w:r>
              <w:rPr>
                <w:rFonts w:ascii="Arabic Typesetting" w:hAnsi="Arabic Typesetting" w:cs="Arabic Typesetting" w:hint="cs"/>
                <w:noProof/>
                <w:sz w:val="30"/>
                <w:szCs w:val="30"/>
                <w:rtl/>
              </w:rPr>
              <w:t xml:space="preserve">ات </w:t>
            </w:r>
            <w:r w:rsidRPr="008954A8">
              <w:rPr>
                <w:rFonts w:ascii="Arabic Typesetting" w:hAnsi="Arabic Typesetting" w:cs="Arabic Typesetting"/>
                <w:noProof/>
                <w:sz w:val="30"/>
                <w:szCs w:val="30"/>
                <w:rtl/>
              </w:rPr>
              <w:t>الخارجيين</w:t>
            </w:r>
          </w:p>
        </w:tc>
      </w:tr>
      <w:tr w:rsidR="006D7321" w:rsidRPr="008954A8" w:rsidTr="002C3C33">
        <w:trPr>
          <w:trHeight w:val="1031"/>
        </w:trPr>
        <w:tc>
          <w:tcPr>
            <w:tcW w:w="4535" w:type="dxa"/>
            <w:tcBorders>
              <w:top w:val="nil"/>
              <w:left w:val="single" w:sz="4" w:space="0" w:color="auto"/>
              <w:bottom w:val="single" w:sz="4" w:space="0" w:color="auto"/>
              <w:right w:val="nil"/>
            </w:tcBorders>
            <w:tcMar>
              <w:top w:w="113" w:type="dxa"/>
            </w:tcMar>
          </w:tcPr>
          <w:p w:rsidR="006D7321" w:rsidRPr="008954A8" w:rsidRDefault="006D7321" w:rsidP="002C3C33">
            <w:pPr>
              <w:keepNext/>
              <w:keepLines/>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تراجع جودة منتجات العمل الدولي</w:t>
            </w:r>
          </w:p>
        </w:tc>
        <w:tc>
          <w:tcPr>
            <w:tcW w:w="4537" w:type="dxa"/>
            <w:tcBorders>
              <w:top w:val="nil"/>
              <w:left w:val="nil"/>
              <w:bottom w:val="single" w:sz="4" w:space="0" w:color="auto"/>
              <w:right w:val="single" w:sz="4" w:space="0" w:color="auto"/>
            </w:tcBorders>
            <w:tcMar>
              <w:top w:w="113" w:type="dxa"/>
            </w:tcMar>
          </w:tcPr>
          <w:p w:rsidR="006D7321" w:rsidRPr="008954A8" w:rsidRDefault="006D7321" w:rsidP="002C3C33">
            <w:pPr>
              <w:keepNext/>
              <w:keepLines/>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تحسين درجة تماشي مؤهلات الموظفين مع الاحتياجات؛ ومواصلة تحسن إجراءات مراقبة الجودة؛ وتقديم الدعم في مجال التدريب، ولا</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 xml:space="preserve">سيما فيما يخص التكنولوجيات الجديدة مثل </w:t>
            </w:r>
            <w:r w:rsidRPr="00AF6158">
              <w:rPr>
                <w:rFonts w:ascii="Arabic Typesetting" w:hAnsi="Arabic Typesetting" w:cs="Arabic Typesetting"/>
                <w:sz w:val="30"/>
                <w:szCs w:val="30"/>
              </w:rPr>
              <w:t>XML</w:t>
            </w:r>
            <w:r>
              <w:rPr>
                <w:rFonts w:ascii="Arabic Typesetting" w:hAnsi="Arabic Typesetting" w:cs="Arabic Typesetting" w:hint="cs"/>
                <w:sz w:val="30"/>
                <w:szCs w:val="30"/>
                <w:rtl/>
              </w:rPr>
              <w:t xml:space="preserve"> ومنصة</w:t>
            </w:r>
            <w:r>
              <w:rPr>
                <w:rFonts w:ascii="Arabic Typesetting" w:hAnsi="Arabic Typesetting" w:cs="Arabic Typesetting" w:hint="eastAsia"/>
                <w:sz w:val="30"/>
                <w:szCs w:val="30"/>
                <w:rtl/>
              </w:rPr>
              <w:t> </w:t>
            </w:r>
            <w:proofErr w:type="spellStart"/>
            <w:r w:rsidRPr="00AF6158">
              <w:rPr>
                <w:rFonts w:ascii="Arabic Typesetting" w:hAnsi="Arabic Typesetting" w:cs="Arabic Typesetting"/>
                <w:sz w:val="30"/>
                <w:szCs w:val="30"/>
              </w:rPr>
              <w:t>ePCT</w:t>
            </w:r>
            <w:proofErr w:type="spellEnd"/>
            <w:r>
              <w:rPr>
                <w:rFonts w:ascii="Arabic Typesetting" w:hAnsi="Arabic Typesetting" w:cs="Arabic Typesetting" w:hint="cs"/>
                <w:sz w:val="30"/>
                <w:szCs w:val="30"/>
                <w:rtl/>
              </w:rPr>
              <w:t xml:space="preserve"> إلى غير ذلك.</w:t>
            </w:r>
          </w:p>
        </w:tc>
      </w:tr>
    </w:tbl>
    <w:p w:rsidR="006D7321" w:rsidRPr="008954A8" w:rsidRDefault="006D7321" w:rsidP="002C3C33">
      <w:pPr>
        <w:tabs>
          <w:tab w:val="left" w:pos="567"/>
          <w:tab w:val="left" w:pos="1985"/>
        </w:tabs>
        <w:adjustRightInd w:val="0"/>
        <w:snapToGrid w:val="0"/>
        <w:spacing w:after="240" w:line="360" w:lineRule="exact"/>
        <w:jc w:val="both"/>
        <w:rPr>
          <w:rFonts w:ascii="Arabic Typesetting" w:hAnsi="Arabic Typesetting" w:cs="Arabic Typesetting"/>
          <w:b/>
          <w:szCs w:val="34"/>
        </w:rPr>
      </w:pPr>
    </w:p>
    <w:p w:rsidR="006D7321" w:rsidRPr="008954A8" w:rsidRDefault="006D7321" w:rsidP="002C3C33">
      <w:pPr>
        <w:keepNext/>
        <w:tabs>
          <w:tab w:val="left" w:pos="567"/>
          <w:tab w:val="left" w:pos="1985"/>
        </w:tabs>
        <w:adjustRightInd w:val="0"/>
        <w:snapToGrid w:val="0"/>
        <w:spacing w:after="240" w:line="340" w:lineRule="exact"/>
        <w:rPr>
          <w:rFonts w:ascii="Arabic Typesetting" w:hAnsi="Arabic Typesetting" w:cs="Arabic Typesetting"/>
          <w:b/>
          <w:noProof/>
          <w:sz w:val="38"/>
          <w:szCs w:val="38"/>
          <w:rtl/>
        </w:rPr>
      </w:pPr>
      <w:r w:rsidRPr="008954A8">
        <w:rPr>
          <w:rFonts w:ascii="Arabic Typesetting" w:hAnsi="Arabic Typesetting" w:cs="Arabic Typesetting"/>
          <w:b/>
          <w:noProof/>
          <w:sz w:val="38"/>
          <w:szCs w:val="38"/>
          <w:rtl/>
        </w:rPr>
        <w:lastRenderedPageBreak/>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8"/>
        <w:gridCol w:w="2056"/>
        <w:gridCol w:w="2152"/>
      </w:tblGrid>
      <w:tr w:rsidR="006D7321" w:rsidRPr="008954A8" w:rsidTr="002C3C33">
        <w:trPr>
          <w:cantSplit/>
          <w:trHeight w:val="419"/>
          <w:tblHeader/>
        </w:trPr>
        <w:tc>
          <w:tcPr>
            <w:tcW w:w="1249" w:type="pct"/>
            <w:tcBorders>
              <w:top w:val="single" w:sz="4" w:space="0" w:color="auto"/>
              <w:bottom w:val="single" w:sz="4" w:space="0" w:color="auto"/>
            </w:tcBorders>
            <w:shd w:val="clear" w:color="auto" w:fill="C6D9F1"/>
            <w:vAlign w:val="center"/>
          </w:tcPr>
          <w:p w:rsidR="006D7321" w:rsidRPr="008954A8" w:rsidRDefault="006D7321" w:rsidP="002C3C33">
            <w:pPr>
              <w:keepNext/>
              <w:adjustRightInd w:val="0"/>
              <w:snapToGrid w:val="0"/>
              <w:spacing w:before="60" w:afterLines="60" w:after="144" w:line="300" w:lineRule="exact"/>
              <w:jc w:val="center"/>
              <w:rPr>
                <w:rFonts w:ascii="Arabic Typesetting" w:hAnsi="Arabic Typesetting" w:cs="Arabic Typesetting"/>
                <w:bCs/>
                <w:sz w:val="30"/>
                <w:szCs w:val="30"/>
              </w:rPr>
            </w:pPr>
            <w:r w:rsidRPr="008954A8">
              <w:rPr>
                <w:rFonts w:ascii="Arabic Typesetting" w:hAnsi="Arabic Typesetting" w:cs="Arabic Typesetting"/>
                <w:bCs/>
                <w:noProof/>
                <w:sz w:val="30"/>
                <w:szCs w:val="30"/>
                <w:rtl/>
              </w:rPr>
              <w:t>النتائج المرتقبة</w:t>
            </w:r>
          </w:p>
        </w:tc>
        <w:tc>
          <w:tcPr>
            <w:tcW w:w="1514" w:type="pct"/>
            <w:tcBorders>
              <w:top w:val="single" w:sz="4" w:space="0" w:color="auto"/>
              <w:bottom w:val="single" w:sz="4" w:space="0" w:color="auto"/>
            </w:tcBorders>
            <w:shd w:val="clear" w:color="auto" w:fill="C6D9F1"/>
            <w:tcMar>
              <w:top w:w="110" w:type="dxa"/>
            </w:tcMar>
            <w:vAlign w:val="center"/>
          </w:tcPr>
          <w:p w:rsidR="006D7321" w:rsidRPr="008954A8" w:rsidRDefault="006D7321" w:rsidP="002C3C33">
            <w:pPr>
              <w:keepNext/>
              <w:adjustRightInd w:val="0"/>
              <w:snapToGrid w:val="0"/>
              <w:spacing w:before="60" w:afterLines="60" w:after="144" w:line="300" w:lineRule="exact"/>
              <w:rPr>
                <w:rFonts w:ascii="Arabic Typesetting" w:hAnsi="Arabic Typesetting" w:cs="Arabic Typesetting"/>
                <w:bCs/>
                <w:sz w:val="30"/>
                <w:szCs w:val="30"/>
              </w:rPr>
            </w:pPr>
            <w:r w:rsidRPr="008954A8">
              <w:rPr>
                <w:rFonts w:ascii="Arabic Typesetting" w:hAnsi="Arabic Typesetting" w:cs="Arabic Typesetting"/>
                <w:bCs/>
                <w:noProof/>
                <w:sz w:val="30"/>
                <w:szCs w:val="30"/>
                <w:rtl/>
              </w:rPr>
              <w:t>مؤشرات الأداء</w:t>
            </w:r>
          </w:p>
        </w:tc>
        <w:tc>
          <w:tcPr>
            <w:tcW w:w="1093" w:type="pct"/>
            <w:tcBorders>
              <w:top w:val="single" w:sz="4" w:space="0" w:color="auto"/>
              <w:bottom w:val="single" w:sz="4" w:space="0" w:color="auto"/>
            </w:tcBorders>
            <w:shd w:val="clear" w:color="auto" w:fill="C6D9F1"/>
            <w:tcMar>
              <w:top w:w="110" w:type="dxa"/>
            </w:tcMar>
            <w:vAlign w:val="center"/>
          </w:tcPr>
          <w:p w:rsidR="006D7321" w:rsidRPr="008954A8" w:rsidRDefault="006D7321" w:rsidP="002C3C33">
            <w:pPr>
              <w:keepNext/>
              <w:adjustRightInd w:val="0"/>
              <w:snapToGrid w:val="0"/>
              <w:spacing w:before="60" w:afterLines="60" w:after="144" w:line="300" w:lineRule="exact"/>
              <w:jc w:val="center"/>
              <w:rPr>
                <w:rFonts w:ascii="Arabic Typesetting" w:hAnsi="Arabic Typesetting" w:cs="Arabic Typesetting"/>
                <w:bCs/>
                <w:sz w:val="30"/>
                <w:szCs w:val="30"/>
              </w:rPr>
            </w:pPr>
            <w:r w:rsidRPr="008954A8">
              <w:rPr>
                <w:rFonts w:ascii="Arabic Typesetting" w:hAnsi="Arabic Typesetting" w:cs="Arabic Typesetting"/>
                <w:bCs/>
                <w:noProof/>
                <w:sz w:val="30"/>
                <w:szCs w:val="30"/>
                <w:rtl/>
              </w:rPr>
              <w:t>أسس المقارنة</w:t>
            </w:r>
          </w:p>
        </w:tc>
        <w:tc>
          <w:tcPr>
            <w:tcW w:w="1144" w:type="pct"/>
            <w:tcBorders>
              <w:top w:val="single" w:sz="4" w:space="0" w:color="auto"/>
              <w:bottom w:val="single" w:sz="4" w:space="0" w:color="auto"/>
            </w:tcBorders>
            <w:shd w:val="clear" w:color="auto" w:fill="C6D9F1"/>
            <w:tcMar>
              <w:top w:w="110" w:type="dxa"/>
            </w:tcMar>
            <w:vAlign w:val="center"/>
          </w:tcPr>
          <w:p w:rsidR="006D7321" w:rsidRPr="008954A8" w:rsidRDefault="006D7321" w:rsidP="002C3C33">
            <w:pPr>
              <w:keepNext/>
              <w:adjustRightInd w:val="0"/>
              <w:snapToGrid w:val="0"/>
              <w:spacing w:before="60" w:afterLines="60" w:after="144" w:line="300" w:lineRule="exact"/>
              <w:jc w:val="center"/>
              <w:rPr>
                <w:rFonts w:ascii="Arabic Typesetting" w:hAnsi="Arabic Typesetting" w:cs="Arabic Typesetting"/>
                <w:bCs/>
                <w:sz w:val="30"/>
                <w:szCs w:val="30"/>
              </w:rPr>
            </w:pPr>
            <w:r w:rsidRPr="008954A8">
              <w:rPr>
                <w:rFonts w:ascii="Arabic Typesetting" w:hAnsi="Arabic Typesetting" w:cs="Arabic Typesetting"/>
                <w:bCs/>
                <w:noProof/>
                <w:sz w:val="30"/>
                <w:szCs w:val="30"/>
                <w:rtl/>
              </w:rPr>
              <w:t>الأهداف</w:t>
            </w:r>
          </w:p>
        </w:tc>
      </w:tr>
      <w:tr w:rsidR="006D7321" w:rsidRPr="008954A8" w:rsidTr="002C3C33">
        <w:trPr>
          <w:cantSplit/>
        </w:trPr>
        <w:tc>
          <w:tcPr>
            <w:tcW w:w="1249" w:type="pct"/>
            <w:vMerge w:val="restart"/>
            <w:tcBorders>
              <w:top w:val="single" w:sz="4" w:space="0" w:color="auto"/>
            </w:tcBorders>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hint="cs"/>
                <w:noProof/>
                <w:sz w:val="30"/>
                <w:szCs w:val="30"/>
                <w:rtl/>
              </w:rPr>
              <w:t>ه 1.2</w:t>
            </w:r>
            <w:r w:rsidRPr="008954A8">
              <w:rPr>
                <w:rFonts w:ascii="Arabic Typesetting" w:hAnsi="Arabic Typesetting" w:cs="Arabic Typesetting"/>
                <w:noProof/>
                <w:sz w:val="30"/>
                <w:szCs w:val="30"/>
                <w:rtl/>
              </w:rPr>
              <w:t xml:space="preserve"> </w:t>
            </w:r>
            <w:r w:rsidRPr="00AF6158">
              <w:rPr>
                <w:rFonts w:ascii="Arabic Typesetting" w:hAnsi="Arabic Typesetting" w:cs="Arabic Typesetting"/>
                <w:noProof/>
                <w:sz w:val="30"/>
                <w:szCs w:val="30"/>
                <w:rtl/>
              </w:rPr>
              <w:t>استخدام نظام معاهدة التعاون بشأن البراءات على نطاق أوسع وبفعالية أكبر لإيداع طلبات البراءات الدولية</w:t>
            </w:r>
          </w:p>
        </w:tc>
        <w:tc>
          <w:tcPr>
            <w:tcW w:w="1514" w:type="pct"/>
            <w:tcBorders>
              <w:top w:val="single" w:sz="4" w:space="0" w:color="auto"/>
            </w:tcBorders>
            <w:tcMar>
              <w:top w:w="113" w:type="dxa"/>
            </w:tcMar>
          </w:tcPr>
          <w:p w:rsidR="006D7321" w:rsidRPr="008954A8" w:rsidRDefault="006D7321" w:rsidP="002C3C33">
            <w:pPr>
              <w:adjustRightInd w:val="0"/>
              <w:snapToGrid w:val="0"/>
              <w:spacing w:before="60" w:afterLines="60" w:after="144" w:line="300" w:lineRule="exact"/>
              <w:jc w:val="both"/>
              <w:rPr>
                <w:rFonts w:ascii="Arabic Typesetting" w:hAnsi="Arabic Typesetting" w:cs="Arabic Typesetting"/>
                <w:sz w:val="30"/>
                <w:szCs w:val="30"/>
                <w:rtl/>
              </w:rPr>
            </w:pPr>
            <w:r w:rsidRPr="008954A8">
              <w:rPr>
                <w:rFonts w:ascii="Arabic Typesetting" w:hAnsi="Arabic Typesetting" w:cs="Arabic Typesetting"/>
                <w:noProof/>
                <w:sz w:val="30"/>
                <w:szCs w:val="30"/>
                <w:rtl/>
              </w:rPr>
              <w:t xml:space="preserve">مستوى رضا </w:t>
            </w:r>
            <w:r>
              <w:rPr>
                <w:rFonts w:ascii="Arabic Typesetting" w:hAnsi="Arabic Typesetting" w:cs="Arabic Typesetting"/>
                <w:noProof/>
                <w:sz w:val="30"/>
                <w:szCs w:val="30"/>
                <w:rtl/>
              </w:rPr>
              <w:t>مستخدم</w:t>
            </w:r>
            <w:r w:rsidRPr="008954A8">
              <w:rPr>
                <w:rFonts w:ascii="Arabic Typesetting" w:hAnsi="Arabic Typesetting" w:cs="Arabic Typesetting"/>
                <w:noProof/>
                <w:sz w:val="30"/>
                <w:szCs w:val="30"/>
                <w:rtl/>
              </w:rPr>
              <w:t>ي معاهدة</w:t>
            </w:r>
            <w:r>
              <w:rPr>
                <w:rFonts w:ascii="Arabic Typesetting" w:hAnsi="Arabic Typesetting" w:cs="Arabic Typesetting"/>
                <w:noProof/>
                <w:sz w:val="30"/>
                <w:szCs w:val="30"/>
                <w:rtl/>
              </w:rPr>
              <w:t xml:space="preserve"> البراءات </w:t>
            </w:r>
            <w:r>
              <w:rPr>
                <w:rFonts w:ascii="Arabic Typesetting" w:hAnsi="Arabic Typesetting" w:cs="Arabic Typesetting" w:hint="cs"/>
                <w:noProof/>
                <w:sz w:val="30"/>
                <w:szCs w:val="30"/>
                <w:rtl/>
              </w:rPr>
              <w:t>على المشورة القانونية الخاصة بالمعاهدة و</w:t>
            </w:r>
            <w:r w:rsidRPr="008954A8">
              <w:rPr>
                <w:rFonts w:ascii="Arabic Typesetting" w:hAnsi="Arabic Typesetting" w:cs="Arabic Typesetting"/>
                <w:noProof/>
                <w:sz w:val="30"/>
                <w:szCs w:val="30"/>
                <w:rtl/>
              </w:rPr>
              <w:t xml:space="preserve">المعلومات والتدريب </w:t>
            </w:r>
            <w:r>
              <w:rPr>
                <w:rFonts w:ascii="Arabic Typesetting" w:hAnsi="Arabic Typesetting" w:cs="Arabic Typesetting" w:hint="cs"/>
                <w:noProof/>
                <w:sz w:val="30"/>
                <w:szCs w:val="30"/>
                <w:rtl/>
              </w:rPr>
              <w:t>وخدمة الزبائن</w:t>
            </w:r>
          </w:p>
        </w:tc>
        <w:tc>
          <w:tcPr>
            <w:tcW w:w="1093" w:type="pct"/>
            <w:tcBorders>
              <w:top w:val="single" w:sz="4" w:space="0" w:color="auto"/>
            </w:tcBorders>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noProof/>
                <w:sz w:val="30"/>
                <w:szCs w:val="30"/>
                <w:rtl/>
              </w:rPr>
              <w:t>نتائج اشتقصاءات 2009 و2015</w:t>
            </w:r>
          </w:p>
        </w:tc>
        <w:tc>
          <w:tcPr>
            <w:tcW w:w="1144" w:type="pct"/>
            <w:tcBorders>
              <w:top w:val="single" w:sz="4" w:space="0" w:color="auto"/>
            </w:tcBorders>
            <w:tcMar>
              <w:top w:w="110" w:type="dxa"/>
            </w:tcMar>
          </w:tcPr>
          <w:p w:rsidR="006D7321" w:rsidRPr="008954A8" w:rsidRDefault="006D7321" w:rsidP="002C3C33">
            <w:pPr>
              <w:keepNext/>
              <w:keepLines/>
              <w:tabs>
                <w:tab w:val="left" w:pos="2051"/>
              </w:tabs>
              <w:adjustRightInd w:val="0"/>
              <w:snapToGrid w:val="0"/>
              <w:spacing w:before="60" w:afterLines="60" w:after="144" w:line="300" w:lineRule="exact"/>
              <w:rPr>
                <w:rFonts w:ascii="Arabic Typesetting" w:hAnsi="Arabic Typesetting" w:cs="Arabic Typesetting"/>
                <w:b/>
                <w:sz w:val="30"/>
                <w:szCs w:val="30"/>
              </w:rPr>
            </w:pPr>
            <w:r>
              <w:rPr>
                <w:rFonts w:ascii="Arabic Typesetting" w:hAnsi="Arabic Typesetting" w:cs="Arabic Typesetting" w:hint="cs"/>
                <w:b/>
                <w:noProof/>
                <w:sz w:val="30"/>
                <w:szCs w:val="30"/>
                <w:rtl/>
              </w:rPr>
              <w:t xml:space="preserve">زيادة </w:t>
            </w:r>
            <w:r w:rsidRPr="008954A8">
              <w:rPr>
                <w:rFonts w:ascii="Arabic Typesetting" w:hAnsi="Arabic Typesetting" w:cs="Arabic Typesetting"/>
                <w:b/>
                <w:noProof/>
                <w:sz w:val="30"/>
                <w:szCs w:val="30"/>
                <w:rtl/>
              </w:rPr>
              <w:t xml:space="preserve">مستوى رضا </w:t>
            </w:r>
            <w:r>
              <w:rPr>
                <w:rFonts w:ascii="Arabic Typesetting" w:hAnsi="Arabic Typesetting" w:cs="Arabic Typesetting"/>
                <w:b/>
                <w:noProof/>
                <w:sz w:val="30"/>
                <w:szCs w:val="30"/>
                <w:rtl/>
              </w:rPr>
              <w:t>مستخدم</w:t>
            </w:r>
            <w:r w:rsidRPr="008954A8">
              <w:rPr>
                <w:rFonts w:ascii="Arabic Typesetting" w:hAnsi="Arabic Typesetting" w:cs="Arabic Typesetting"/>
                <w:b/>
                <w:noProof/>
                <w:sz w:val="30"/>
                <w:szCs w:val="30"/>
                <w:rtl/>
              </w:rPr>
              <w:t>ي معاهدة</w:t>
            </w:r>
            <w:r>
              <w:rPr>
                <w:rFonts w:ascii="Arabic Typesetting" w:hAnsi="Arabic Typesetting" w:cs="Arabic Typesetting"/>
                <w:b/>
                <w:noProof/>
                <w:sz w:val="30"/>
                <w:szCs w:val="30"/>
                <w:rtl/>
              </w:rPr>
              <w:t xml:space="preserve"> البراءات</w:t>
            </w:r>
            <w:r>
              <w:rPr>
                <w:rFonts w:ascii="Arabic Typesetting" w:hAnsi="Arabic Typesetting" w:cs="Arabic Typesetting" w:hint="cs"/>
                <w:b/>
                <w:noProof/>
                <w:sz w:val="30"/>
                <w:szCs w:val="30"/>
                <w:rtl/>
              </w:rPr>
              <w:t xml:space="preserve"> </w:t>
            </w:r>
            <w:r w:rsidRPr="008954A8">
              <w:rPr>
                <w:rFonts w:ascii="Arabic Typesetting" w:hAnsi="Arabic Typesetting" w:cs="Arabic Typesetting"/>
                <w:b/>
                <w:noProof/>
                <w:sz w:val="30"/>
                <w:szCs w:val="30"/>
                <w:rtl/>
              </w:rPr>
              <w:t>أو الاحتفاظ</w:t>
            </w:r>
            <w:r>
              <w:rPr>
                <w:rFonts w:ascii="Arabic Typesetting" w:hAnsi="Arabic Typesetting" w:cs="Arabic Typesetting" w:hint="cs"/>
                <w:b/>
                <w:noProof/>
                <w:sz w:val="30"/>
                <w:szCs w:val="30"/>
                <w:rtl/>
              </w:rPr>
              <w:t xml:space="preserve"> به على الأقل</w:t>
            </w:r>
          </w:p>
        </w:tc>
      </w:tr>
      <w:tr w:rsidR="006D7321" w:rsidRPr="008954A8" w:rsidTr="002C3C33">
        <w:trPr>
          <w:cantSplit/>
          <w:trHeight w:val="1279"/>
        </w:trPr>
        <w:tc>
          <w:tcPr>
            <w:tcW w:w="1249" w:type="pct"/>
            <w:vMerge/>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 xml:space="preserve">رضا المكاتب </w:t>
            </w:r>
            <w:r>
              <w:rPr>
                <w:rFonts w:ascii="Arabic Typesetting" w:hAnsi="Arabic Typesetting" w:cs="Arabic Typesetting" w:hint="cs"/>
                <w:noProof/>
                <w:sz w:val="30"/>
                <w:szCs w:val="30"/>
                <w:rtl/>
              </w:rPr>
              <w:t>والإدارات</w:t>
            </w:r>
            <w:r w:rsidRPr="008954A8">
              <w:rPr>
                <w:rFonts w:ascii="Arabic Typesetting" w:hAnsi="Arabic Typesetting" w:cs="Arabic Typesetting"/>
                <w:noProof/>
                <w:sz w:val="30"/>
                <w:szCs w:val="30"/>
                <w:rtl/>
              </w:rPr>
              <w:t xml:space="preserve"> الدولية </w:t>
            </w:r>
            <w:r>
              <w:rPr>
                <w:rFonts w:ascii="Arabic Typesetting" w:hAnsi="Arabic Typesetting" w:cs="Arabic Typesetting" w:hint="cs"/>
                <w:noProof/>
                <w:sz w:val="30"/>
                <w:szCs w:val="30"/>
                <w:rtl/>
              </w:rPr>
              <w:t>على</w:t>
            </w:r>
            <w:r w:rsidRPr="008954A8">
              <w:rPr>
                <w:rFonts w:ascii="Arabic Typesetting" w:hAnsi="Arabic Typesetting" w:cs="Arabic Typesetting"/>
                <w:noProof/>
                <w:sz w:val="30"/>
                <w:szCs w:val="30"/>
                <w:rtl/>
              </w:rPr>
              <w:t xml:space="preserve"> الأنشطة التعاونية لمعاهدة </w:t>
            </w:r>
            <w:r>
              <w:rPr>
                <w:rFonts w:ascii="Arabic Typesetting" w:hAnsi="Arabic Typesetting" w:cs="Arabic Typesetting"/>
                <w:noProof/>
                <w:sz w:val="30"/>
                <w:szCs w:val="30"/>
                <w:rtl/>
              </w:rPr>
              <w:t>البراءات</w:t>
            </w:r>
          </w:p>
        </w:tc>
        <w:tc>
          <w:tcPr>
            <w:tcW w:w="1093" w:type="pct"/>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56</w:t>
            </w:r>
            <w:r w:rsidRPr="008954A8">
              <w:rPr>
                <w:rFonts w:ascii="Arabic Typesetting" w:hAnsi="Arabic Typesetting" w:cs="Arabic Typesetting"/>
                <w:noProof/>
                <w:sz w:val="30"/>
                <w:szCs w:val="30"/>
                <w:rtl/>
              </w:rPr>
              <w:t xml:space="preserve"> </w:t>
            </w:r>
            <w:r>
              <w:rPr>
                <w:rFonts w:ascii="Arabic Typesetting" w:hAnsi="Arabic Typesetting" w:cs="Arabic Typesetting" w:hint="cs"/>
                <w:noProof/>
                <w:sz w:val="30"/>
                <w:szCs w:val="30"/>
                <w:rtl/>
              </w:rPr>
              <w:t>مجيبا (95% من أصل 59 مستفيدا من الأنشطة التعاونية للمعاهدة؛ 85% من أصل 66 مجيبا على الاستقصاء ) (استقصاء 2012)</w:t>
            </w:r>
            <w:r w:rsidRPr="008954A8">
              <w:rPr>
                <w:rFonts w:ascii="Arabic Typesetting" w:hAnsi="Arabic Typesetting" w:cs="Arabic Typesetting"/>
                <w:noProof/>
                <w:sz w:val="30"/>
                <w:szCs w:val="30"/>
                <w:rtl/>
              </w:rPr>
              <w:t xml:space="preserve"> </w:t>
            </w:r>
            <w:r>
              <w:rPr>
                <w:rFonts w:ascii="Arabic Typesetting" w:hAnsi="Arabic Typesetting" w:cs="Arabic Typesetting" w:hint="cs"/>
                <w:noProof/>
                <w:sz w:val="30"/>
                <w:szCs w:val="30"/>
                <w:rtl/>
              </w:rPr>
              <w:t>يُجرى استقصاء الرضا مرة في الثنائية.</w:t>
            </w:r>
          </w:p>
        </w:tc>
        <w:tc>
          <w:tcPr>
            <w:tcW w:w="1144" w:type="pct"/>
            <w:tcMar>
              <w:top w:w="110" w:type="dxa"/>
            </w:tcMar>
          </w:tcPr>
          <w:p w:rsidR="006D7321" w:rsidRPr="008954A8"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Pr>
            </w:pPr>
            <w:r w:rsidRPr="008954A8">
              <w:rPr>
                <w:rFonts w:ascii="Arabic Typesetting" w:hAnsi="Arabic Typesetting" w:cs="Arabic Typesetting"/>
                <w:b/>
                <w:noProof/>
                <w:sz w:val="30"/>
                <w:szCs w:val="30"/>
                <w:rtl/>
              </w:rPr>
              <w:t>الاحتفاظ بمستوى رضا المكاتب و</w:t>
            </w:r>
            <w:r>
              <w:rPr>
                <w:rFonts w:ascii="Arabic Typesetting" w:hAnsi="Arabic Typesetting" w:cs="Arabic Typesetting"/>
                <w:b/>
                <w:noProof/>
                <w:sz w:val="30"/>
                <w:szCs w:val="30"/>
                <w:rtl/>
              </w:rPr>
              <w:t xml:space="preserve">الإدارات الدولية </w:t>
            </w:r>
            <w:r w:rsidRPr="008954A8">
              <w:rPr>
                <w:rFonts w:ascii="Arabic Typesetting" w:hAnsi="Arabic Typesetting" w:cs="Arabic Typesetting"/>
                <w:b/>
                <w:noProof/>
                <w:sz w:val="30"/>
                <w:szCs w:val="30"/>
                <w:rtl/>
              </w:rPr>
              <w:t xml:space="preserve">في عام </w:t>
            </w:r>
            <w:r>
              <w:rPr>
                <w:rFonts w:ascii="Arabic Typesetting" w:hAnsi="Arabic Typesetting" w:cs="Arabic Typesetting" w:hint="cs"/>
                <w:b/>
                <w:noProof/>
                <w:sz w:val="30"/>
                <w:szCs w:val="30"/>
                <w:rtl/>
              </w:rPr>
              <w:t>2015</w:t>
            </w:r>
          </w:p>
        </w:tc>
      </w:tr>
      <w:tr w:rsidR="006D7321" w:rsidRPr="008954A8" w:rsidTr="002C3C33">
        <w:trPr>
          <w:cantSplit/>
          <w:trHeight w:val="346"/>
        </w:trPr>
        <w:tc>
          <w:tcPr>
            <w:tcW w:w="1249" w:type="pct"/>
            <w:vMerge w:val="restar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 xml:space="preserve">مواصلة تطوير نظام معاهدة </w:t>
            </w:r>
            <w:r>
              <w:rPr>
                <w:rFonts w:ascii="Arabic Typesetting" w:hAnsi="Arabic Typesetting" w:cs="Arabic Typesetting"/>
                <w:noProof/>
                <w:sz w:val="30"/>
                <w:szCs w:val="30"/>
                <w:rtl/>
              </w:rPr>
              <w:t>البراءات</w:t>
            </w:r>
            <w:r w:rsidRPr="008954A8">
              <w:rPr>
                <w:rFonts w:ascii="Arabic Typesetting" w:hAnsi="Arabic Typesetting" w:cs="Arabic Typesetting"/>
                <w:noProof/>
                <w:sz w:val="30"/>
                <w:szCs w:val="30"/>
                <w:rtl/>
              </w:rPr>
              <w:t>، ولا سيما تنفيذ توصيات خارطة طريق معاهدة</w:t>
            </w:r>
            <w:r>
              <w:rPr>
                <w:rFonts w:ascii="Arabic Typesetting" w:hAnsi="Arabic Typesetting" w:cs="Arabic Typesetting"/>
                <w:noProof/>
                <w:sz w:val="30"/>
                <w:szCs w:val="30"/>
                <w:rtl/>
              </w:rPr>
              <w:t xml:space="preserve"> البراءات </w:t>
            </w:r>
            <w:r w:rsidRPr="008954A8">
              <w:rPr>
                <w:rFonts w:ascii="Arabic Typesetting" w:hAnsi="Arabic Typesetting" w:cs="Arabic Typesetting"/>
                <w:noProof/>
                <w:sz w:val="30"/>
                <w:szCs w:val="30"/>
                <w:rtl/>
              </w:rPr>
              <w:t xml:space="preserve">التي أقرتها الدول الأعضاء في معاهدة </w:t>
            </w:r>
            <w:r>
              <w:rPr>
                <w:rFonts w:ascii="Arabic Typesetting" w:hAnsi="Arabic Typesetting" w:cs="Arabic Typesetting"/>
                <w:noProof/>
                <w:sz w:val="30"/>
                <w:szCs w:val="30"/>
                <w:rtl/>
              </w:rPr>
              <w:t>البراءات</w:t>
            </w:r>
          </w:p>
        </w:tc>
        <w:tc>
          <w:tcPr>
            <w:tcW w:w="1093" w:type="pct"/>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 xml:space="preserve">القرارات الصادرة عن هيئات المعاهدة المختصة حتى نهاية </w:t>
            </w:r>
            <w:r>
              <w:rPr>
                <w:rFonts w:ascii="Arabic Typesetting" w:hAnsi="Arabic Typesetting" w:cs="Arabic Typesetting" w:hint="cs"/>
                <w:noProof/>
                <w:sz w:val="30"/>
                <w:szCs w:val="30"/>
                <w:rtl/>
              </w:rPr>
              <w:t>2014 (الوثيقة</w:t>
            </w:r>
            <w:r>
              <w:rPr>
                <w:rFonts w:ascii="Arabic Typesetting" w:hAnsi="Arabic Typesetting" w:cs="Arabic Typesetting" w:hint="eastAsia"/>
                <w:noProof/>
                <w:sz w:val="30"/>
                <w:szCs w:val="30"/>
                <w:rtl/>
              </w:rPr>
              <w:t> </w:t>
            </w:r>
            <w:r w:rsidRPr="00FB35D3">
              <w:rPr>
                <w:rFonts w:ascii="Arabic Typesetting" w:hAnsi="Arabic Typesetting" w:cs="Arabic Typesetting"/>
                <w:noProof/>
                <w:sz w:val="30"/>
                <w:szCs w:val="30"/>
              </w:rPr>
              <w:t>PCT/A/46/6</w:t>
            </w:r>
            <w:r>
              <w:rPr>
                <w:rFonts w:ascii="Arabic Typesetting" w:hAnsi="Arabic Typesetting" w:cs="Arabic Typesetting" w:hint="cs"/>
                <w:noProof/>
                <w:sz w:val="30"/>
                <w:szCs w:val="30"/>
                <w:rtl/>
              </w:rPr>
              <w:t>)</w:t>
            </w:r>
          </w:p>
        </w:tc>
        <w:tc>
          <w:tcPr>
            <w:tcW w:w="1144" w:type="pct"/>
            <w:tcMar>
              <w:top w:w="110" w:type="dxa"/>
            </w:tcMar>
          </w:tcPr>
          <w:p w:rsidR="006D7321" w:rsidRPr="008954A8"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Pr>
            </w:pPr>
            <w:r w:rsidRPr="008954A8">
              <w:rPr>
                <w:rFonts w:ascii="Arabic Typesetting" w:hAnsi="Arabic Typesetting" w:cs="Arabic Typesetting"/>
                <w:b/>
                <w:noProof/>
                <w:sz w:val="30"/>
                <w:szCs w:val="30"/>
                <w:rtl/>
              </w:rPr>
              <w:t xml:space="preserve">القرارات الصادرة عن هيئات المعاهدة المختصة حتى نهاية </w:t>
            </w:r>
            <w:r>
              <w:rPr>
                <w:rFonts w:ascii="Arabic Typesetting" w:hAnsi="Arabic Typesetting" w:cs="Arabic Typesetting" w:hint="cs"/>
                <w:b/>
                <w:noProof/>
                <w:sz w:val="30"/>
                <w:szCs w:val="30"/>
                <w:rtl/>
              </w:rPr>
              <w:t>2017</w:t>
            </w:r>
            <w:r w:rsidRPr="008954A8">
              <w:rPr>
                <w:rFonts w:ascii="Arabic Typesetting" w:hAnsi="Arabic Typesetting" w:cs="Arabic Typesetting"/>
                <w:b/>
                <w:noProof/>
                <w:sz w:val="30"/>
                <w:szCs w:val="30"/>
                <w:rtl/>
              </w:rPr>
              <w:t>.</w:t>
            </w:r>
          </w:p>
        </w:tc>
      </w:tr>
      <w:tr w:rsidR="006D7321" w:rsidRPr="008954A8" w:rsidTr="002C3C33">
        <w:trPr>
          <w:cantSplit/>
          <w:trHeight w:val="1412"/>
        </w:trPr>
        <w:tc>
          <w:tcPr>
            <w:tcW w:w="1249" w:type="pct"/>
            <w:vMerge/>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تحسن الخدمات الإلكترونية المقدمة للمودعين، وللغير، وللمكاتب، ولل</w:t>
            </w:r>
            <w:r>
              <w:rPr>
                <w:rFonts w:ascii="Arabic Typesetting" w:hAnsi="Arabic Typesetting" w:cs="Arabic Typesetting"/>
                <w:noProof/>
                <w:sz w:val="30"/>
                <w:szCs w:val="30"/>
                <w:rtl/>
              </w:rPr>
              <w:t>إدارات</w:t>
            </w:r>
          </w:p>
        </w:tc>
        <w:tc>
          <w:tcPr>
            <w:tcW w:w="1093" w:type="pct"/>
            <w:shd w:val="clear" w:color="auto" w:fill="FFFFFF"/>
            <w:tcMar>
              <w:top w:w="113" w:type="dxa"/>
            </w:tcMar>
          </w:tcPr>
          <w:p w:rsidR="006D7321" w:rsidRDefault="006D7321" w:rsidP="002C3C33">
            <w:pPr>
              <w:adjustRightInd w:val="0"/>
              <w:snapToGrid w:val="0"/>
              <w:spacing w:before="60" w:afterLines="60" w:after="144" w:line="300" w:lineRule="exact"/>
              <w:rPr>
                <w:rFonts w:ascii="Arabic Typesetting" w:hAnsi="Arabic Typesetting" w:cs="Arabic Typesetting"/>
                <w:noProof/>
                <w:sz w:val="30"/>
                <w:szCs w:val="30"/>
                <w:rtl/>
              </w:rPr>
            </w:pPr>
            <w:r>
              <w:rPr>
                <w:rFonts w:ascii="Arabic Typesetting" w:hAnsi="Arabic Typesetting" w:cs="Arabic Typesetting" w:hint="cs"/>
                <w:noProof/>
                <w:sz w:val="30"/>
                <w:szCs w:val="30"/>
                <w:rtl/>
              </w:rPr>
              <w:t>في نهاية 2014، مقارنة بنهاية 2013:</w:t>
            </w:r>
          </w:p>
          <w:p w:rsidR="006D7321" w:rsidRDefault="006D7321" w:rsidP="002C3C33">
            <w:pPr>
              <w:adjustRightInd w:val="0"/>
              <w:snapToGrid w:val="0"/>
              <w:spacing w:before="60" w:afterLines="60" w:after="144" w:line="300" w:lineRule="exact"/>
              <w:rPr>
                <w:rFonts w:ascii="Arabic Typesetting" w:hAnsi="Arabic Typesetting" w:cs="Arabic Typesetting"/>
                <w:noProof/>
                <w:sz w:val="30"/>
                <w:szCs w:val="30"/>
                <w:rtl/>
              </w:rPr>
            </w:pPr>
            <w:r>
              <w:rPr>
                <w:rFonts w:ascii="Arabic Typesetting" w:hAnsi="Arabic Typesetting" w:cs="Arabic Typesetting" w:hint="cs"/>
                <w:noProof/>
                <w:sz w:val="30"/>
                <w:szCs w:val="30"/>
                <w:rtl/>
              </w:rPr>
              <w:t>+32% بالنسبة للمودعين من القطاع العام؛</w:t>
            </w:r>
          </w:p>
          <w:p w:rsidR="006D7321" w:rsidRDefault="006D7321" w:rsidP="002C3C33">
            <w:pPr>
              <w:adjustRightInd w:val="0"/>
              <w:snapToGrid w:val="0"/>
              <w:spacing w:before="60" w:afterLines="60" w:after="144" w:line="300" w:lineRule="exact"/>
              <w:rPr>
                <w:rFonts w:ascii="Arabic Typesetting" w:hAnsi="Arabic Typesetting" w:cs="Arabic Typesetting"/>
                <w:noProof/>
                <w:sz w:val="30"/>
                <w:szCs w:val="30"/>
                <w:rtl/>
              </w:rPr>
            </w:pPr>
            <w:r>
              <w:rPr>
                <w:rFonts w:ascii="Arabic Typesetting" w:hAnsi="Arabic Typesetting" w:cs="Arabic Typesetting" w:hint="cs"/>
                <w:noProof/>
                <w:sz w:val="30"/>
                <w:szCs w:val="30"/>
                <w:rtl/>
              </w:rPr>
              <w:t>+100% بالنسبة للمودعين من القطاع الخاص؛</w:t>
            </w:r>
          </w:p>
          <w:p w:rsidR="006D7321" w:rsidRDefault="006D7321" w:rsidP="002C3C33">
            <w:pPr>
              <w:adjustRightInd w:val="0"/>
              <w:snapToGrid w:val="0"/>
              <w:spacing w:before="60" w:afterLines="60" w:after="144" w:line="300" w:lineRule="exact"/>
              <w:rPr>
                <w:rFonts w:ascii="Arabic Typesetting" w:hAnsi="Arabic Typesetting" w:cs="Arabic Typesetting"/>
                <w:noProof/>
                <w:sz w:val="30"/>
                <w:szCs w:val="30"/>
                <w:rtl/>
              </w:rPr>
            </w:pPr>
            <w:r>
              <w:rPr>
                <w:rFonts w:ascii="Arabic Typesetting" w:hAnsi="Arabic Typesetting" w:cs="Arabic Typesetting" w:hint="cs"/>
                <w:noProof/>
                <w:sz w:val="30"/>
                <w:szCs w:val="30"/>
                <w:rtl/>
              </w:rPr>
              <w:t xml:space="preserve">+25% بالنسبة للغير من المراقبين؛ +329% بالنسبة لمكاتب تسلم الطلبات؛ </w:t>
            </w:r>
            <w:r>
              <w:rPr>
                <w:rFonts w:ascii="Arabic Typesetting" w:hAnsi="Arabic Typesetting" w:cs="Arabic Typesetting"/>
                <w:noProof/>
                <w:sz w:val="30"/>
                <w:szCs w:val="30"/>
                <w:rtl/>
              </w:rPr>
              <w:br/>
            </w:r>
            <w:r>
              <w:rPr>
                <w:rFonts w:ascii="Arabic Typesetting" w:hAnsi="Arabic Typesetting" w:cs="Arabic Typesetting" w:hint="cs"/>
                <w:noProof/>
                <w:sz w:val="30"/>
                <w:szCs w:val="30"/>
                <w:rtl/>
              </w:rPr>
              <w:t>-</w:t>
            </w:r>
            <w:r>
              <w:rPr>
                <w:rFonts w:ascii="Arabic Typesetting" w:hAnsi="Arabic Typesetting" w:cs="Arabic Typesetting" w:hint="eastAsia"/>
                <w:noProof/>
                <w:sz w:val="30"/>
                <w:szCs w:val="30"/>
                <w:rtl/>
              </w:rPr>
              <w:t> </w:t>
            </w:r>
            <w:r>
              <w:rPr>
                <w:rFonts w:ascii="Arabic Typesetting" w:hAnsi="Arabic Typesetting" w:cs="Arabic Typesetting" w:hint="cs"/>
                <w:noProof/>
                <w:sz w:val="30"/>
                <w:szCs w:val="30"/>
                <w:rtl/>
              </w:rPr>
              <w:t>73% بالنسبة للإدرات الدولية (انتقل أكبر المكاتب المستخدِمة إلى المستوى الثاني من الأتمتة)</w:t>
            </w:r>
          </w:p>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144" w:type="pct"/>
            <w:tcMar>
              <w:top w:w="110" w:type="dxa"/>
            </w:tcMar>
          </w:tcPr>
          <w:p w:rsidR="006D7321" w:rsidRPr="002A4BD5"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Pr>
            </w:pPr>
            <w:r w:rsidRPr="002A4BD5">
              <w:rPr>
                <w:rFonts w:ascii="Arabic Typesetting" w:hAnsi="Arabic Typesetting" w:cs="Arabic Typesetting"/>
                <w:b/>
                <w:noProof/>
                <w:sz w:val="30"/>
                <w:szCs w:val="30"/>
                <w:rtl/>
              </w:rPr>
              <w:t xml:space="preserve">زيادة عدد </w:t>
            </w:r>
            <w:r w:rsidRPr="002A4BD5">
              <w:rPr>
                <w:rFonts w:ascii="Arabic Typesetting" w:hAnsi="Arabic Typesetting" w:cs="Arabic Typesetting" w:hint="cs"/>
                <w:b/>
                <w:noProof/>
                <w:sz w:val="30"/>
                <w:szCs w:val="30"/>
                <w:rtl/>
              </w:rPr>
              <w:t>المكاتب التي تقبل الإيداع الإلكتروني</w:t>
            </w:r>
            <w:r w:rsidRPr="002A4BD5">
              <w:rPr>
                <w:rFonts w:ascii="Arabic Typesetting" w:hAnsi="Arabic Typesetting" w:cs="Arabic Typesetting"/>
                <w:b/>
                <w:noProof/>
                <w:sz w:val="30"/>
                <w:szCs w:val="30"/>
                <w:rtl/>
              </w:rPr>
              <w:t xml:space="preserve"> باستخدام منصة </w:t>
            </w:r>
            <w:r w:rsidRPr="002A4BD5">
              <w:rPr>
                <w:rFonts w:ascii="Arabic Typesetting" w:hAnsi="Arabic Typesetting" w:cs="Arabic Typesetting"/>
                <w:bCs/>
                <w:noProof/>
                <w:sz w:val="30"/>
                <w:szCs w:val="30"/>
              </w:rPr>
              <w:t>ePCT</w:t>
            </w:r>
            <w:r w:rsidRPr="002A4BD5">
              <w:rPr>
                <w:rFonts w:ascii="Arabic Typesetting" w:hAnsi="Arabic Typesetting" w:cs="Arabic Typesetting" w:hint="cs"/>
                <w:b/>
                <w:noProof/>
                <w:sz w:val="30"/>
                <w:szCs w:val="30"/>
                <w:rtl/>
              </w:rPr>
              <w:t>؛ والمكاتب التي تستخدم هذه المنصة أو تقبل الوثائق التي يحيلها المودعون باستخدام المنصة؛ والطلبات المودعة باستخدام المنصة</w:t>
            </w:r>
          </w:p>
        </w:tc>
      </w:tr>
      <w:tr w:rsidR="006D7321" w:rsidRPr="008954A8" w:rsidTr="002C3C33">
        <w:trPr>
          <w:cantSplit/>
          <w:trHeight w:val="330"/>
        </w:trPr>
        <w:tc>
          <w:tcPr>
            <w:tcW w:w="1249"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hint="cs"/>
                <w:noProof/>
                <w:sz w:val="30"/>
                <w:szCs w:val="30"/>
                <w:rtl/>
              </w:rPr>
              <w:t>ه 3.2</w:t>
            </w:r>
            <w:r w:rsidRPr="008954A8">
              <w:rPr>
                <w:rFonts w:ascii="Arabic Typesetting" w:hAnsi="Arabic Typesetting" w:cs="Arabic Typesetting"/>
                <w:noProof/>
                <w:sz w:val="30"/>
                <w:szCs w:val="30"/>
                <w:rtl/>
              </w:rPr>
              <w:t xml:space="preserve"> </w:t>
            </w:r>
            <w:r w:rsidRPr="00AF6158">
              <w:rPr>
                <w:rFonts w:ascii="Arabic Typesetting" w:hAnsi="Arabic Typesetting" w:cs="Arabic Typesetting"/>
                <w:noProof/>
                <w:sz w:val="30"/>
                <w:szCs w:val="30"/>
                <w:rtl/>
              </w:rPr>
              <w:t>إنتاجية وجودة خدمات محسّنة في عمليات معاهدة التعاون بشأن البراءات</w:t>
            </w:r>
          </w:p>
        </w:tc>
        <w:tc>
          <w:tcPr>
            <w:tcW w:w="1514"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تكلفة كل طلب</w:t>
            </w:r>
          </w:p>
        </w:tc>
        <w:tc>
          <w:tcPr>
            <w:tcW w:w="1093" w:type="pct"/>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662 فرنكا سويسريا (2014)</w:t>
            </w:r>
          </w:p>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144" w:type="pct"/>
            <w:tcMar>
              <w:top w:w="110" w:type="dxa"/>
            </w:tcMar>
          </w:tcPr>
          <w:p w:rsidR="006D7321" w:rsidRPr="008954A8"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Pr>
            </w:pPr>
            <w:r>
              <w:rPr>
                <w:rFonts w:ascii="Arabic Typesetting" w:hAnsi="Arabic Typesetting" w:cs="Arabic Typesetting" w:hint="cs"/>
                <w:b/>
                <w:noProof/>
                <w:sz w:val="30"/>
                <w:szCs w:val="30"/>
                <w:rtl/>
              </w:rPr>
              <w:t>الإبقاء على تكلفة ال</w:t>
            </w:r>
            <w:r w:rsidRPr="008954A8">
              <w:rPr>
                <w:rFonts w:ascii="Arabic Typesetting" w:hAnsi="Arabic Typesetting" w:cs="Arabic Typesetting" w:hint="cs"/>
                <w:b/>
                <w:noProof/>
                <w:sz w:val="30"/>
                <w:szCs w:val="30"/>
                <w:rtl/>
              </w:rPr>
              <w:t>وحدة</w:t>
            </w:r>
            <w:r>
              <w:rPr>
                <w:rFonts w:ascii="Arabic Typesetting" w:hAnsi="Arabic Typesetting" w:cs="Arabic Typesetting" w:hint="cs"/>
                <w:b/>
                <w:noProof/>
                <w:sz w:val="30"/>
                <w:szCs w:val="30"/>
                <w:rtl/>
              </w:rPr>
              <w:t xml:space="preserve"> بالرغم من الاستثمارات المتوقعة لتعزيز مرونة نظام معاهدة البراءات ومستوى أمنه</w:t>
            </w:r>
          </w:p>
        </w:tc>
      </w:tr>
      <w:tr w:rsidR="006D7321" w:rsidRPr="008954A8" w:rsidTr="002C3C33">
        <w:trPr>
          <w:cantSplit/>
          <w:trHeight w:val="422"/>
        </w:trPr>
        <w:tc>
          <w:tcPr>
            <w:tcW w:w="1249" w:type="pct"/>
            <w:vMerge w:val="restar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 xml:space="preserve">الجودة الإجمالية لإجراءات </w:t>
            </w:r>
            <w:r>
              <w:rPr>
                <w:rFonts w:ascii="Arabic Typesetting" w:hAnsi="Arabic Typesetting" w:cs="Arabic Typesetting" w:hint="cs"/>
                <w:noProof/>
                <w:sz w:val="30"/>
                <w:szCs w:val="30"/>
                <w:rtl/>
              </w:rPr>
              <w:t>ا</w:t>
            </w:r>
            <w:r w:rsidRPr="008954A8">
              <w:rPr>
                <w:rFonts w:ascii="Arabic Typesetting" w:hAnsi="Arabic Typesetting" w:cs="Arabic Typesetting"/>
                <w:noProof/>
                <w:sz w:val="30"/>
                <w:szCs w:val="30"/>
                <w:rtl/>
              </w:rPr>
              <w:t xml:space="preserve">لفحص الشكلية (بما في ذلك </w:t>
            </w:r>
            <w:r>
              <w:rPr>
                <w:rFonts w:ascii="Arabic Typesetting" w:hAnsi="Arabic Typesetting" w:cs="Arabic Typesetting" w:hint="cs"/>
                <w:noProof/>
                <w:sz w:val="30"/>
                <w:szCs w:val="30"/>
                <w:rtl/>
              </w:rPr>
              <w:t>احترام المواعيد</w:t>
            </w:r>
            <w:r w:rsidRPr="008954A8">
              <w:rPr>
                <w:rFonts w:ascii="Arabic Typesetting" w:hAnsi="Arabic Typesetting" w:cs="Arabic Typesetting"/>
                <w:noProof/>
                <w:sz w:val="30"/>
                <w:szCs w:val="30"/>
                <w:rtl/>
              </w:rPr>
              <w:t>)</w:t>
            </w:r>
          </w:p>
        </w:tc>
        <w:tc>
          <w:tcPr>
            <w:tcW w:w="1093" w:type="pct"/>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93.1% (2014)</w:t>
            </w:r>
          </w:p>
        </w:tc>
        <w:tc>
          <w:tcPr>
            <w:tcW w:w="1144" w:type="pct"/>
            <w:tcMar>
              <w:top w:w="110" w:type="dxa"/>
            </w:tcMar>
          </w:tcPr>
          <w:p w:rsidR="006D7321" w:rsidRPr="008954A8"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Pr>
            </w:pPr>
            <w:r>
              <w:rPr>
                <w:rFonts w:ascii="Arabic Typesetting" w:hAnsi="Arabic Typesetting" w:cs="Arabic Typesetting" w:hint="cs"/>
                <w:b/>
                <w:noProof/>
                <w:sz w:val="30"/>
                <w:szCs w:val="30"/>
                <w:rtl/>
              </w:rPr>
              <w:t xml:space="preserve">مؤشر </w:t>
            </w:r>
            <w:r w:rsidRPr="008954A8">
              <w:rPr>
                <w:rFonts w:ascii="Arabic Typesetting" w:hAnsi="Arabic Typesetting" w:cs="Arabic Typesetting"/>
                <w:b/>
                <w:noProof/>
                <w:sz w:val="30"/>
                <w:szCs w:val="30"/>
                <w:rtl/>
              </w:rPr>
              <w:t>جودة أعلى</w:t>
            </w:r>
          </w:p>
        </w:tc>
      </w:tr>
      <w:tr w:rsidR="006D7321" w:rsidRPr="008954A8" w:rsidTr="002C3C33">
        <w:trPr>
          <w:cantSplit/>
          <w:trHeight w:val="470"/>
        </w:trPr>
        <w:tc>
          <w:tcPr>
            <w:tcW w:w="1249" w:type="pct"/>
            <w:vMerge/>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احترام المواعيد في</w:t>
            </w:r>
            <w:r w:rsidRPr="008954A8">
              <w:rPr>
                <w:rFonts w:ascii="Arabic Typesetting" w:hAnsi="Arabic Typesetting" w:cs="Arabic Typesetting"/>
                <w:noProof/>
                <w:sz w:val="30"/>
                <w:szCs w:val="30"/>
                <w:rtl/>
              </w:rPr>
              <w:t xml:space="preserve"> ترجمة</w:t>
            </w:r>
            <w:r>
              <w:rPr>
                <w:rFonts w:ascii="Arabic Typesetting" w:hAnsi="Arabic Typesetting" w:cs="Arabic Typesetting" w:hint="cs"/>
                <w:noProof/>
                <w:sz w:val="30"/>
                <w:szCs w:val="30"/>
                <w:rtl/>
              </w:rPr>
              <w:t xml:space="preserve"> التقارير</w:t>
            </w:r>
          </w:p>
        </w:tc>
        <w:tc>
          <w:tcPr>
            <w:tcW w:w="1093" w:type="pct"/>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82.5% (2014)</w:t>
            </w:r>
          </w:p>
        </w:tc>
        <w:tc>
          <w:tcPr>
            <w:tcW w:w="1144" w:type="pct"/>
            <w:tcMar>
              <w:top w:w="110" w:type="dxa"/>
            </w:tcMar>
          </w:tcPr>
          <w:p w:rsidR="006D7321" w:rsidRPr="008954A8"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Pr>
            </w:pPr>
            <w:r>
              <w:rPr>
                <w:rFonts w:ascii="Arabic Typesetting" w:hAnsi="Arabic Typesetting" w:cs="Arabic Typesetting" w:hint="cs"/>
                <w:b/>
                <w:noProof/>
                <w:sz w:val="30"/>
                <w:szCs w:val="30"/>
                <w:rtl/>
              </w:rPr>
              <w:t>تحسّن</w:t>
            </w:r>
          </w:p>
        </w:tc>
      </w:tr>
      <w:tr w:rsidR="006D7321" w:rsidRPr="008954A8" w:rsidTr="002C3C33">
        <w:trPr>
          <w:cantSplit/>
          <w:trHeight w:val="470"/>
        </w:trPr>
        <w:tc>
          <w:tcPr>
            <w:tcW w:w="1249" w:type="pct"/>
            <w:vMerge/>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جودة الترجمة</w:t>
            </w:r>
          </w:p>
        </w:tc>
        <w:tc>
          <w:tcPr>
            <w:tcW w:w="1093" w:type="pct"/>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86% (2014)</w:t>
            </w:r>
          </w:p>
        </w:tc>
        <w:tc>
          <w:tcPr>
            <w:tcW w:w="1144" w:type="pct"/>
            <w:tcMar>
              <w:top w:w="110" w:type="dxa"/>
            </w:tcMar>
          </w:tcPr>
          <w:p w:rsidR="006D7321" w:rsidRPr="008954A8"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tl/>
              </w:rPr>
            </w:pPr>
            <w:r w:rsidRPr="008954A8">
              <w:rPr>
                <w:rFonts w:ascii="Arabic Typesetting" w:hAnsi="Arabic Typesetting" w:cs="Arabic Typesetting"/>
                <w:b/>
                <w:noProof/>
                <w:sz w:val="30"/>
                <w:szCs w:val="30"/>
                <w:rtl/>
              </w:rPr>
              <w:t>جودة أعلى</w:t>
            </w:r>
          </w:p>
        </w:tc>
      </w:tr>
      <w:tr w:rsidR="006D7321" w:rsidRPr="008954A8" w:rsidTr="002C3C33">
        <w:trPr>
          <w:cantSplit/>
          <w:trHeight w:val="565"/>
        </w:trPr>
        <w:tc>
          <w:tcPr>
            <w:tcW w:w="1249" w:type="pct"/>
            <w:vMerge/>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Borders>
              <w:bottom w:val="nil"/>
            </w:tcBorders>
            <w:tcMar>
              <w:top w:w="113" w:type="dxa"/>
            </w:tcMar>
          </w:tcPr>
          <w:p w:rsidR="006D7321" w:rsidRPr="008954A8" w:rsidRDefault="006D7321" w:rsidP="002C3C33">
            <w:pPr>
              <w:tabs>
                <w:tab w:val="left" w:pos="1860"/>
              </w:tabs>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جودة تطوير البرمجيات</w:t>
            </w:r>
          </w:p>
        </w:tc>
        <w:tc>
          <w:tcPr>
            <w:tcW w:w="1093" w:type="pct"/>
            <w:tcBorders>
              <w:bottom w:val="nil"/>
            </w:tcBorders>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94.3% (2014)</w:t>
            </w:r>
          </w:p>
        </w:tc>
        <w:tc>
          <w:tcPr>
            <w:tcW w:w="1144" w:type="pct"/>
            <w:tcBorders>
              <w:bottom w:val="nil"/>
            </w:tcBorders>
            <w:tcMar>
              <w:top w:w="110"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جودة</w:t>
            </w:r>
            <w:r>
              <w:rPr>
                <w:rFonts w:ascii="Arabic Typesetting" w:hAnsi="Arabic Typesetting" w:cs="Arabic Typesetting" w:hint="cs"/>
                <w:noProof/>
                <w:sz w:val="30"/>
                <w:szCs w:val="30"/>
                <w:rtl/>
              </w:rPr>
              <w:t xml:space="preserve"> أعلى في</w:t>
            </w:r>
            <w:r w:rsidRPr="008954A8">
              <w:rPr>
                <w:rFonts w:ascii="Arabic Typesetting" w:hAnsi="Arabic Typesetting" w:cs="Arabic Typesetting"/>
                <w:noProof/>
                <w:sz w:val="30"/>
                <w:szCs w:val="30"/>
                <w:rtl/>
              </w:rPr>
              <w:t xml:space="preserve"> تطوير البرمجيات</w:t>
            </w:r>
          </w:p>
        </w:tc>
      </w:tr>
      <w:tr w:rsidR="006D7321" w:rsidRPr="008954A8" w:rsidTr="002C3C33">
        <w:trPr>
          <w:cantSplit/>
          <w:trHeight w:val="580"/>
        </w:trPr>
        <w:tc>
          <w:tcPr>
            <w:tcW w:w="1249" w:type="pct"/>
            <w:vMerge/>
            <w:tcBorders>
              <w:bottom w:val="single" w:sz="4" w:space="0" w:color="auto"/>
            </w:tcBorders>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p>
        </w:tc>
        <w:tc>
          <w:tcPr>
            <w:tcW w:w="1514" w:type="pct"/>
            <w:tcBorders>
              <w:top w:val="nil"/>
              <w:bottom w:val="single" w:sz="4" w:space="0" w:color="auto"/>
            </w:tcBorders>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noProof/>
                <w:sz w:val="30"/>
                <w:szCs w:val="30"/>
                <w:rtl/>
              </w:rPr>
              <w:t>مستويات خدمة أنظمة المعلومات</w:t>
            </w:r>
          </w:p>
        </w:tc>
        <w:tc>
          <w:tcPr>
            <w:tcW w:w="1093" w:type="pct"/>
            <w:tcBorders>
              <w:top w:val="nil"/>
              <w:bottom w:val="single" w:sz="4" w:space="0" w:color="auto"/>
            </w:tcBorders>
            <w:shd w:val="clear" w:color="auto" w:fill="FFFFFF"/>
            <w:tcMar>
              <w:top w:w="113" w:type="dxa"/>
            </w:tcMar>
          </w:tcPr>
          <w:p w:rsidR="006D7321" w:rsidRPr="008954A8" w:rsidRDefault="006D7321" w:rsidP="002C3C33">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95.3% (2014)</w:t>
            </w:r>
          </w:p>
        </w:tc>
        <w:tc>
          <w:tcPr>
            <w:tcW w:w="1144" w:type="pct"/>
            <w:tcBorders>
              <w:top w:val="nil"/>
              <w:bottom w:val="single" w:sz="4" w:space="0" w:color="auto"/>
            </w:tcBorders>
            <w:tcMar>
              <w:top w:w="110" w:type="dxa"/>
            </w:tcMar>
          </w:tcPr>
          <w:p w:rsidR="006D7321" w:rsidRPr="008954A8" w:rsidRDefault="006D7321" w:rsidP="002C3C33">
            <w:pPr>
              <w:keepNext/>
              <w:keepLines/>
              <w:adjustRightInd w:val="0"/>
              <w:snapToGrid w:val="0"/>
              <w:spacing w:before="60" w:afterLines="60" w:after="144" w:line="300" w:lineRule="exact"/>
              <w:rPr>
                <w:rFonts w:ascii="Arabic Typesetting" w:hAnsi="Arabic Typesetting" w:cs="Arabic Typesetting"/>
                <w:b/>
                <w:sz w:val="30"/>
                <w:szCs w:val="30"/>
              </w:rPr>
            </w:pPr>
            <w:r w:rsidRPr="008954A8">
              <w:rPr>
                <w:rFonts w:ascii="Arabic Typesetting" w:hAnsi="Arabic Typesetting" w:cs="Arabic Typesetting"/>
                <w:b/>
                <w:noProof/>
                <w:sz w:val="30"/>
                <w:szCs w:val="30"/>
                <w:rtl/>
              </w:rPr>
              <w:t>مستويات</w:t>
            </w:r>
            <w:r>
              <w:rPr>
                <w:rFonts w:ascii="Arabic Typesetting" w:hAnsi="Arabic Typesetting" w:cs="Arabic Typesetting" w:hint="cs"/>
                <w:b/>
                <w:noProof/>
                <w:sz w:val="30"/>
                <w:szCs w:val="30"/>
                <w:rtl/>
              </w:rPr>
              <w:t xml:space="preserve"> أعلى</w:t>
            </w:r>
            <w:r w:rsidRPr="008954A8">
              <w:rPr>
                <w:rFonts w:ascii="Arabic Typesetting" w:hAnsi="Arabic Typesetting" w:cs="Arabic Typesetting"/>
                <w:b/>
                <w:noProof/>
                <w:sz w:val="30"/>
                <w:szCs w:val="30"/>
                <w:rtl/>
              </w:rPr>
              <w:t xml:space="preserve"> </w:t>
            </w:r>
            <w:r>
              <w:rPr>
                <w:rFonts w:ascii="Arabic Typesetting" w:hAnsi="Arabic Typesetting" w:cs="Arabic Typesetting" w:hint="cs"/>
                <w:b/>
                <w:noProof/>
                <w:sz w:val="30"/>
                <w:szCs w:val="30"/>
                <w:rtl/>
              </w:rPr>
              <w:t>ل</w:t>
            </w:r>
            <w:r w:rsidRPr="008954A8">
              <w:rPr>
                <w:rFonts w:ascii="Arabic Typesetting" w:hAnsi="Arabic Typesetting" w:cs="Arabic Typesetting"/>
                <w:b/>
                <w:noProof/>
                <w:sz w:val="30"/>
                <w:szCs w:val="30"/>
                <w:rtl/>
              </w:rPr>
              <w:t>خدمة أنظمة المعلومات</w:t>
            </w:r>
          </w:p>
        </w:tc>
      </w:tr>
    </w:tbl>
    <w:p w:rsidR="006D7321" w:rsidRDefault="006D7321" w:rsidP="002C3C33">
      <w:pPr>
        <w:adjustRightInd w:val="0"/>
        <w:snapToGrid w:val="0"/>
        <w:spacing w:after="240" w:line="360" w:lineRule="exact"/>
        <w:rPr>
          <w:rFonts w:ascii="Arabic Typesetting" w:hAnsi="Arabic Typesetting" w:cs="Arabic Typesetting"/>
          <w:szCs w:val="34"/>
          <w:rtl/>
        </w:rPr>
      </w:pPr>
    </w:p>
    <w:p w:rsidR="006D7321" w:rsidRPr="00AC0213" w:rsidRDefault="006D7321" w:rsidP="002C3C33">
      <w:pPr>
        <w:keepNext/>
        <w:tabs>
          <w:tab w:val="left" w:pos="567"/>
          <w:tab w:val="left" w:pos="1985"/>
        </w:tabs>
        <w:adjustRightInd w:val="0"/>
        <w:snapToGrid w:val="0"/>
        <w:spacing w:after="240" w:line="340" w:lineRule="exact"/>
        <w:rPr>
          <w:rFonts w:ascii="Arabic Typesetting" w:hAnsi="Arabic Typesetting" w:cs="Arabic Typesetting"/>
          <w:b/>
          <w:noProof/>
          <w:sz w:val="38"/>
          <w:szCs w:val="38"/>
          <w:rtl/>
        </w:rPr>
      </w:pPr>
      <w:r w:rsidRPr="00AC0213">
        <w:rPr>
          <w:rFonts w:ascii="Arabic Typesetting" w:hAnsi="Arabic Typesetting" w:cs="Arabic Typesetting" w:hint="cs"/>
          <w:b/>
          <w:noProof/>
          <w:sz w:val="38"/>
          <w:szCs w:val="38"/>
          <w:rtl/>
        </w:rPr>
        <w:t>الموارد المخصصة للبرنامج 5</w:t>
      </w:r>
    </w:p>
    <w:p w:rsidR="006D7321" w:rsidRDefault="006D7321" w:rsidP="00861CFF">
      <w:pPr>
        <w:numPr>
          <w:ilvl w:val="0"/>
          <w:numId w:val="17"/>
        </w:numPr>
        <w:spacing w:after="120" w:line="340" w:lineRule="exact"/>
        <w:ind w:left="0" w:firstLine="0"/>
        <w:rPr>
          <w:rFonts w:ascii="Arabic Typesetting" w:hAnsi="Arabic Typesetting" w:cs="Arabic Typesetting"/>
          <w:noProof/>
          <w:sz w:val="34"/>
          <w:szCs w:val="34"/>
        </w:rPr>
      </w:pPr>
      <w:r>
        <w:rPr>
          <w:rFonts w:ascii="Arabic Typesetting" w:hAnsi="Arabic Typesetting" w:cs="Arabic Typesetting" w:hint="cs"/>
          <w:noProof/>
          <w:sz w:val="34"/>
          <w:szCs w:val="34"/>
          <w:rtl/>
        </w:rPr>
        <w:t>تُعزى الزيادة المُسجلة في إجمالي الموارد المخصصة للبرنامج 5 إلى: "1" زيادة في تكاليف الترجمة لنظام معاهدة البراءات بمقدار 4.2 مليون فرنك سويسري في خلاف موارد الموظفين، "2" وموارد مخصصة لتعزيز مرونة نظام معاهدة البراءات بمقدار 1.4</w:t>
      </w:r>
      <w:r>
        <w:rPr>
          <w:rFonts w:ascii="Arabic Typesetting" w:hAnsi="Arabic Typesetting" w:cs="Arabic Typesetting" w:hint="eastAsia"/>
          <w:noProof/>
          <w:sz w:val="34"/>
          <w:szCs w:val="34"/>
          <w:rtl/>
        </w:rPr>
        <w:t> </w:t>
      </w:r>
      <w:r>
        <w:rPr>
          <w:rFonts w:ascii="Arabic Typesetting" w:hAnsi="Arabic Typesetting" w:cs="Arabic Typesetting" w:hint="cs"/>
          <w:noProof/>
          <w:sz w:val="34"/>
          <w:szCs w:val="34"/>
          <w:rtl/>
        </w:rPr>
        <w:t xml:space="preserve">مليون فرنك سويسري (خلاف موارد الموظفين)، "3" وزيادة في موارد الموظفين عقب تغير منهجية حساب التكاليف الخاصة بموارد الموظفين في الثنائية 2016/17 استنادا إلى المبالغ الفعلية. وهذه الزيادات مُبلورة ضمن النتيجة المرتقبة </w:t>
      </w:r>
      <w:r w:rsidRPr="004F33D9">
        <w:rPr>
          <w:rFonts w:ascii="Arabic Typesetting" w:hAnsi="Arabic Typesetting" w:cs="Arabic Typesetting" w:hint="cs"/>
          <w:noProof/>
          <w:sz w:val="34"/>
          <w:szCs w:val="34"/>
          <w:rtl/>
        </w:rPr>
        <w:t>ه 3.2</w:t>
      </w:r>
      <w:r>
        <w:rPr>
          <w:rFonts w:ascii="Arabic Typesetting" w:hAnsi="Arabic Typesetting" w:cs="Arabic Typesetting" w:hint="cs"/>
          <w:noProof/>
          <w:sz w:val="34"/>
          <w:szCs w:val="34"/>
          <w:rtl/>
        </w:rPr>
        <w:t>.</w:t>
      </w:r>
    </w:p>
    <w:p w:rsidR="006D7321" w:rsidRDefault="006D7321" w:rsidP="00861CFF">
      <w:pPr>
        <w:numPr>
          <w:ilvl w:val="0"/>
          <w:numId w:val="17"/>
        </w:numPr>
        <w:spacing w:after="120" w:line="340" w:lineRule="exact"/>
        <w:ind w:left="0" w:firstLine="0"/>
        <w:rPr>
          <w:rFonts w:ascii="Arabic Typesetting" w:hAnsi="Arabic Typesetting" w:cs="Arabic Typesetting"/>
          <w:noProof/>
          <w:sz w:val="34"/>
          <w:szCs w:val="34"/>
        </w:rPr>
      </w:pPr>
      <w:r>
        <w:rPr>
          <w:rFonts w:ascii="Arabic Typesetting" w:hAnsi="Arabic Typesetting" w:cs="Arabic Typesetting" w:hint="cs"/>
          <w:noProof/>
          <w:sz w:val="34"/>
          <w:szCs w:val="34"/>
          <w:rtl/>
        </w:rPr>
        <w:t xml:space="preserve">وتعكس الزيادة المُسجلة في الموارد ضمن النتيجة </w:t>
      </w:r>
      <w:r w:rsidRPr="004F33D9">
        <w:rPr>
          <w:rFonts w:ascii="Arabic Typesetting" w:hAnsi="Arabic Typesetting" w:cs="Arabic Typesetting" w:hint="cs"/>
          <w:noProof/>
          <w:sz w:val="34"/>
          <w:szCs w:val="34"/>
          <w:rtl/>
        </w:rPr>
        <w:t xml:space="preserve">ه </w:t>
      </w:r>
      <w:r>
        <w:rPr>
          <w:rFonts w:ascii="Arabic Typesetting" w:hAnsi="Arabic Typesetting" w:cs="Arabic Typesetting" w:hint="cs"/>
          <w:noProof/>
          <w:sz w:val="34"/>
          <w:szCs w:val="34"/>
          <w:rtl/>
        </w:rPr>
        <w:t>1</w:t>
      </w:r>
      <w:r w:rsidRPr="004F33D9">
        <w:rPr>
          <w:rFonts w:ascii="Arabic Typesetting" w:hAnsi="Arabic Typesetting" w:cs="Arabic Typesetting" w:hint="cs"/>
          <w:noProof/>
          <w:sz w:val="34"/>
          <w:szCs w:val="34"/>
          <w:rtl/>
        </w:rPr>
        <w:t>.2</w:t>
      </w:r>
      <w:r>
        <w:rPr>
          <w:rFonts w:ascii="Arabic Typesetting" w:hAnsi="Arabic Typesetting" w:cs="Arabic Typesetting" w:hint="cs"/>
          <w:noProof/>
          <w:sz w:val="34"/>
          <w:szCs w:val="34"/>
          <w:rtl/>
        </w:rPr>
        <w:t xml:space="preserve"> دمج النتيجتين المرتقبتين </w:t>
      </w:r>
      <w:r w:rsidRPr="004F33D9">
        <w:rPr>
          <w:rFonts w:ascii="Arabic Typesetting" w:hAnsi="Arabic Typesetting" w:cs="Arabic Typesetting" w:hint="cs"/>
          <w:noProof/>
          <w:sz w:val="34"/>
          <w:szCs w:val="34"/>
          <w:rtl/>
        </w:rPr>
        <w:t xml:space="preserve">ه </w:t>
      </w:r>
      <w:r>
        <w:rPr>
          <w:rFonts w:ascii="Arabic Typesetting" w:hAnsi="Arabic Typesetting" w:cs="Arabic Typesetting" w:hint="cs"/>
          <w:noProof/>
          <w:sz w:val="34"/>
          <w:szCs w:val="34"/>
          <w:rtl/>
        </w:rPr>
        <w:t>1</w:t>
      </w:r>
      <w:r w:rsidRPr="004F33D9">
        <w:rPr>
          <w:rFonts w:ascii="Arabic Typesetting" w:hAnsi="Arabic Typesetting" w:cs="Arabic Typesetting" w:hint="cs"/>
          <w:noProof/>
          <w:sz w:val="34"/>
          <w:szCs w:val="34"/>
          <w:rtl/>
        </w:rPr>
        <w:t>.2</w:t>
      </w:r>
      <w:r>
        <w:rPr>
          <w:rFonts w:ascii="Arabic Typesetting" w:hAnsi="Arabic Typesetting" w:cs="Arabic Typesetting" w:hint="cs"/>
          <w:noProof/>
          <w:sz w:val="34"/>
          <w:szCs w:val="34"/>
          <w:rtl/>
        </w:rPr>
        <w:t xml:space="preserve"> و</w:t>
      </w:r>
      <w:r w:rsidRPr="004F33D9">
        <w:rPr>
          <w:rFonts w:ascii="Arabic Typesetting" w:hAnsi="Arabic Typesetting" w:cs="Arabic Typesetting" w:hint="cs"/>
          <w:noProof/>
          <w:sz w:val="34"/>
          <w:szCs w:val="34"/>
          <w:rtl/>
        </w:rPr>
        <w:t xml:space="preserve"> ه </w:t>
      </w:r>
      <w:r>
        <w:rPr>
          <w:rFonts w:ascii="Arabic Typesetting" w:hAnsi="Arabic Typesetting" w:cs="Arabic Typesetting" w:hint="cs"/>
          <w:noProof/>
          <w:sz w:val="34"/>
          <w:szCs w:val="34"/>
          <w:rtl/>
        </w:rPr>
        <w:t>2</w:t>
      </w:r>
      <w:r w:rsidRPr="004F33D9">
        <w:rPr>
          <w:rFonts w:ascii="Arabic Typesetting" w:hAnsi="Arabic Typesetting" w:cs="Arabic Typesetting" w:hint="cs"/>
          <w:noProof/>
          <w:sz w:val="34"/>
          <w:szCs w:val="34"/>
          <w:rtl/>
        </w:rPr>
        <w:t>.2</w:t>
      </w:r>
      <w:r>
        <w:rPr>
          <w:rFonts w:ascii="Arabic Typesetting" w:hAnsi="Arabic Typesetting" w:cs="Arabic Typesetting" w:hint="cs"/>
          <w:noProof/>
          <w:sz w:val="34"/>
          <w:szCs w:val="34"/>
          <w:rtl/>
        </w:rPr>
        <w:t xml:space="preserve"> في الثنائية 2016/17.</w:t>
      </w:r>
    </w:p>
    <w:p w:rsidR="006D7321" w:rsidRDefault="006D7321" w:rsidP="00861CFF">
      <w:pPr>
        <w:numPr>
          <w:ilvl w:val="0"/>
          <w:numId w:val="17"/>
        </w:numPr>
        <w:spacing w:after="120" w:line="340" w:lineRule="exact"/>
        <w:ind w:left="0" w:firstLine="0"/>
        <w:rPr>
          <w:rFonts w:ascii="Arabic Typesetting" w:hAnsi="Arabic Typesetting" w:cs="Arabic Typesetting"/>
          <w:noProof/>
          <w:sz w:val="34"/>
          <w:szCs w:val="34"/>
        </w:rPr>
      </w:pPr>
      <w:r>
        <w:rPr>
          <w:rFonts w:ascii="Arabic Typesetting" w:hAnsi="Arabic Typesetting" w:cs="Arabic Typesetting" w:hint="cs"/>
          <w:noProof/>
          <w:sz w:val="34"/>
          <w:szCs w:val="34"/>
          <w:rtl/>
        </w:rPr>
        <w:t xml:space="preserve">والانخفاض المُسجل في الموارد ضمن النتيجة المرتقبة </w:t>
      </w:r>
      <w:r w:rsidRPr="004F33D9">
        <w:rPr>
          <w:rFonts w:ascii="Arabic Typesetting" w:hAnsi="Arabic Typesetting" w:cs="Arabic Typesetting" w:hint="cs"/>
          <w:noProof/>
          <w:sz w:val="34"/>
          <w:szCs w:val="34"/>
          <w:rtl/>
        </w:rPr>
        <w:t xml:space="preserve">ه </w:t>
      </w:r>
      <w:r>
        <w:rPr>
          <w:rFonts w:ascii="Arabic Typesetting" w:hAnsi="Arabic Typesetting" w:cs="Arabic Typesetting" w:hint="cs"/>
          <w:noProof/>
          <w:sz w:val="34"/>
          <w:szCs w:val="34"/>
          <w:rtl/>
        </w:rPr>
        <w:t>2</w:t>
      </w:r>
      <w:r w:rsidRPr="004F33D9">
        <w:rPr>
          <w:rFonts w:ascii="Arabic Typesetting" w:hAnsi="Arabic Typesetting" w:cs="Arabic Typesetting" w:hint="cs"/>
          <w:noProof/>
          <w:sz w:val="34"/>
          <w:szCs w:val="34"/>
          <w:rtl/>
        </w:rPr>
        <w:t>.</w:t>
      </w:r>
      <w:r>
        <w:rPr>
          <w:rFonts w:ascii="Arabic Typesetting" w:hAnsi="Arabic Typesetting" w:cs="Arabic Typesetting" w:hint="cs"/>
          <w:noProof/>
          <w:sz w:val="34"/>
          <w:szCs w:val="34"/>
          <w:rtl/>
        </w:rPr>
        <w:t>4 في الثنائية 2016/17 مقارنة بميزانية 2014/15 بعد التحويلات ناتج عن استكمال مشروعي جدول أعمال التنمية المتعلقين بالملكية الفكرية ونقل التكنولوجيا وبالمشروعات التعاونية المفتوحة والنماذج القائمة على الملكية الفكرية.</w:t>
      </w:r>
    </w:p>
    <w:p w:rsidR="006D7321" w:rsidRPr="001934BA" w:rsidRDefault="006D7321" w:rsidP="002C3C33">
      <w:pPr>
        <w:pStyle w:val="ARNormal"/>
        <w:keepNext/>
        <w:spacing w:after="0"/>
        <w:jc w:val="center"/>
        <w:rPr>
          <w:b/>
          <w:bCs/>
          <w:rtl/>
        </w:rPr>
      </w:pPr>
      <w:r w:rsidRPr="001934BA">
        <w:rPr>
          <w:b/>
          <w:bCs/>
          <w:rtl/>
        </w:rPr>
        <w:t xml:space="preserve">البرنامج </w:t>
      </w:r>
      <w:r>
        <w:rPr>
          <w:rFonts w:hint="cs"/>
          <w:b/>
          <w:bCs/>
          <w:rtl/>
        </w:rPr>
        <w:t>5</w:t>
      </w:r>
      <w:r w:rsidRPr="001934BA">
        <w:rPr>
          <w:b/>
          <w:bCs/>
          <w:rtl/>
        </w:rPr>
        <w:t>: الموارد بحسب كل نتيجة</w:t>
      </w:r>
    </w:p>
    <w:p w:rsidR="006D7321" w:rsidRDefault="006D7321" w:rsidP="002C3C33">
      <w:pPr>
        <w:pStyle w:val="ARNormal"/>
        <w:spacing w:after="0"/>
        <w:jc w:val="center"/>
        <w:rPr>
          <w:i/>
          <w:iCs/>
          <w:rtl/>
        </w:rPr>
      </w:pPr>
      <w:r w:rsidRPr="001934BA">
        <w:rPr>
          <w:i/>
          <w:iCs/>
          <w:rtl/>
        </w:rPr>
        <w:t>(بآلاف الفرنكات السويسرية)</w:t>
      </w:r>
    </w:p>
    <w:p w:rsidR="006D7321" w:rsidRDefault="006D7321" w:rsidP="006D7321">
      <w:pPr>
        <w:spacing w:after="240"/>
        <w:jc w:val="center"/>
        <w:rPr>
          <w:rFonts w:ascii="Arabic Typesetting" w:hAnsi="Arabic Typesetting" w:cs="Arabic Typesetting"/>
          <w:sz w:val="34"/>
          <w:szCs w:val="34"/>
          <w:rtl/>
        </w:rPr>
      </w:pPr>
      <w:r w:rsidRPr="006D7321">
        <w:rPr>
          <w:noProof/>
          <w:szCs w:val="20"/>
          <w:rtl/>
          <w:lang w:bidi="ar-SA"/>
        </w:rPr>
        <w:drawing>
          <wp:inline distT="0" distB="0" distL="0" distR="0" wp14:anchorId="137B921E" wp14:editId="06A13556">
            <wp:extent cx="5676900" cy="199072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76900" cy="1990725"/>
                    </a:xfrm>
                    <a:prstGeom prst="rect">
                      <a:avLst/>
                    </a:prstGeom>
                    <a:noFill/>
                    <a:ln>
                      <a:noFill/>
                    </a:ln>
                  </pic:spPr>
                </pic:pic>
              </a:graphicData>
            </a:graphic>
          </wp:inline>
        </w:drawing>
      </w:r>
    </w:p>
    <w:p w:rsidR="006D7321" w:rsidRDefault="006D7321">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6D7321" w:rsidRPr="00E41DA4" w:rsidRDefault="006D7321" w:rsidP="002C3C33">
      <w:pPr>
        <w:pStyle w:val="ARNormal"/>
        <w:keepNext/>
        <w:spacing w:after="0"/>
        <w:jc w:val="center"/>
        <w:rPr>
          <w:b/>
          <w:bCs/>
          <w:rtl/>
        </w:rPr>
      </w:pPr>
      <w:r w:rsidRPr="00E41DA4">
        <w:rPr>
          <w:rFonts w:hint="cs"/>
          <w:b/>
          <w:bCs/>
          <w:rtl/>
        </w:rPr>
        <w:lastRenderedPageBreak/>
        <w:t xml:space="preserve">البرنامج </w:t>
      </w:r>
      <w:r>
        <w:rPr>
          <w:rFonts w:hint="cs"/>
          <w:b/>
          <w:bCs/>
          <w:rtl/>
        </w:rPr>
        <w:t>5</w:t>
      </w:r>
      <w:r w:rsidRPr="00E41DA4">
        <w:rPr>
          <w:rFonts w:hint="cs"/>
          <w:b/>
          <w:bCs/>
          <w:rtl/>
        </w:rPr>
        <w:t>: الموارد بحسب غرض الإنفاق</w:t>
      </w:r>
    </w:p>
    <w:p w:rsidR="006D7321" w:rsidRPr="00E41DA4" w:rsidRDefault="006D7321" w:rsidP="002C3C33">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6D7321" w:rsidRPr="00E41DA4" w:rsidRDefault="006D7321" w:rsidP="006D7321">
      <w:pPr>
        <w:autoSpaceDE w:val="0"/>
        <w:autoSpaceDN w:val="0"/>
        <w:adjustRightInd w:val="0"/>
        <w:spacing w:after="120"/>
        <w:jc w:val="center"/>
        <w:rPr>
          <w:rFonts w:ascii="Arabic Typesetting" w:hAnsi="Arabic Typesetting" w:cs="Arabic Typesetting"/>
          <w:sz w:val="34"/>
          <w:szCs w:val="34"/>
          <w:rtl/>
        </w:rPr>
      </w:pPr>
      <w:r w:rsidRPr="006D7321">
        <w:rPr>
          <w:noProof/>
          <w:szCs w:val="20"/>
          <w:rtl/>
          <w:lang w:bidi="ar-SA"/>
        </w:rPr>
        <w:drawing>
          <wp:inline distT="0" distB="0" distL="0" distR="0" wp14:anchorId="7187CCB3" wp14:editId="01C4F288">
            <wp:extent cx="5514975" cy="6353175"/>
            <wp:effectExtent l="0" t="0" r="9525"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lang w:bidi="ar-EG"/>
        </w:rPr>
      </w:pPr>
    </w:p>
    <w:p w:rsidR="006D7321" w:rsidRDefault="006D7321">
      <w:pPr>
        <w:bidi w:val="0"/>
        <w:rPr>
          <w:rFonts w:ascii="Arabic Typesetting" w:hAnsi="Arabic Typesetting" w:cs="Arabic Typesetting"/>
          <w:sz w:val="34"/>
          <w:szCs w:val="34"/>
          <w:rtl/>
          <w:lang w:val="fr-CH" w:bidi="ar-SA"/>
        </w:rPr>
      </w:pPr>
      <w:r>
        <w:rPr>
          <w:rtl/>
        </w:rPr>
        <w:br w:type="page"/>
      </w:r>
    </w:p>
    <w:p w:rsidR="006D7321" w:rsidRPr="008954A8" w:rsidRDefault="006D7321" w:rsidP="00A97C04">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 w:val="0"/>
          <w:iCs w:val="0"/>
          <w:sz w:val="42"/>
          <w:szCs w:val="42"/>
        </w:rPr>
      </w:pPr>
      <w:bookmarkStart w:id="31" w:name="_Toc364355364"/>
      <w:bookmarkStart w:id="32" w:name="_Toc420595504"/>
      <w:r w:rsidRPr="008954A8">
        <w:rPr>
          <w:rFonts w:ascii="Arabic Typesetting" w:hAnsi="Arabic Typesetting" w:cs="Arabic Typesetting"/>
          <w:bCs/>
          <w:iCs w:val="0"/>
          <w:noProof/>
          <w:sz w:val="42"/>
          <w:szCs w:val="42"/>
          <w:rtl/>
        </w:rPr>
        <w:lastRenderedPageBreak/>
        <w:t>البرنامج 6</w:t>
      </w:r>
      <w:r w:rsidRPr="008954A8">
        <w:rPr>
          <w:rFonts w:ascii="Arabic Typesetting" w:hAnsi="Arabic Typesetting" w:cs="Arabic Typesetting"/>
          <w:b w:val="0"/>
          <w:iCs w:val="0"/>
          <w:sz w:val="42"/>
          <w:szCs w:val="42"/>
        </w:rPr>
        <w:tab/>
      </w:r>
      <w:r w:rsidRPr="008954A8">
        <w:rPr>
          <w:rFonts w:ascii="Arabic Typesetting" w:hAnsi="Arabic Typesetting" w:cs="Arabic Typesetting"/>
          <w:bCs/>
          <w:iCs w:val="0"/>
          <w:noProof/>
          <w:sz w:val="42"/>
          <w:szCs w:val="42"/>
          <w:rtl/>
        </w:rPr>
        <w:t>نظام مدريد</w:t>
      </w:r>
      <w:bookmarkEnd w:id="31"/>
      <w:bookmarkEnd w:id="32"/>
    </w:p>
    <w:p w:rsidR="006D7321" w:rsidRPr="008954A8" w:rsidRDefault="006D7321" w:rsidP="002C3C33">
      <w:pPr>
        <w:keepNext/>
        <w:adjustRightInd w:val="0"/>
        <w:snapToGrid w:val="0"/>
        <w:spacing w:after="240" w:line="360" w:lineRule="exact"/>
        <w:rPr>
          <w:rFonts w:ascii="Arabic Typesetting" w:hAnsi="Arabic Typesetting" w:cs="Arabic Typesetting"/>
          <w:sz w:val="38"/>
          <w:szCs w:val="38"/>
          <w:rtl/>
          <w:lang w:bidi="ar-SA"/>
        </w:rPr>
      </w:pPr>
      <w:r w:rsidRPr="008954A8">
        <w:rPr>
          <w:rFonts w:ascii="Arabic Typesetting" w:hAnsi="Arabic Typesetting" w:cs="Arabic Typesetting"/>
          <w:noProof/>
          <w:sz w:val="38"/>
          <w:szCs w:val="38"/>
          <w:rtl/>
        </w:rPr>
        <w:t>سياق التخطيط</w:t>
      </w:r>
    </w:p>
    <w:p w:rsidR="006D7321" w:rsidRPr="008954A8" w:rsidRDefault="006D7321" w:rsidP="00861CFF">
      <w:pPr>
        <w:keepNext/>
        <w:numPr>
          <w:ilvl w:val="0"/>
          <w:numId w:val="18"/>
        </w:numPr>
        <w:adjustRightInd w:val="0"/>
        <w:snapToGrid w:val="0"/>
        <w:spacing w:after="120" w:line="340" w:lineRule="exact"/>
        <w:ind w:hanging="2"/>
        <w:jc w:val="both"/>
        <w:rPr>
          <w:rFonts w:ascii="Arabic Typesetting" w:hAnsi="Arabic Typesetting" w:cs="Arabic Typesetting"/>
          <w:szCs w:val="34"/>
        </w:rPr>
      </w:pPr>
      <w:r w:rsidRPr="002144FB">
        <w:rPr>
          <w:rFonts w:ascii="Arabic Typesetting" w:hAnsi="Arabic Typesetting" w:cs="Arabic Typesetting"/>
          <w:noProof/>
          <w:szCs w:val="34"/>
          <w:rtl/>
        </w:rPr>
        <w:t xml:space="preserve">من المتوقع </w:t>
      </w:r>
      <w:r>
        <w:rPr>
          <w:rFonts w:ascii="Arabic Typesetting" w:hAnsi="Arabic Typesetting" w:cs="Arabic Typesetting" w:hint="cs"/>
          <w:noProof/>
          <w:szCs w:val="34"/>
          <w:rtl/>
        </w:rPr>
        <w:t xml:space="preserve">أن يواجه </w:t>
      </w:r>
      <w:r w:rsidRPr="002144FB">
        <w:rPr>
          <w:rFonts w:ascii="Arabic Typesetting" w:hAnsi="Arabic Typesetting" w:cs="Arabic Typesetting"/>
          <w:noProof/>
          <w:szCs w:val="34"/>
          <w:rtl/>
        </w:rPr>
        <w:t xml:space="preserve">نظام مدريد التحديات التالية في </w:t>
      </w:r>
      <w:r>
        <w:rPr>
          <w:rFonts w:ascii="Arabic Typesetting" w:hAnsi="Arabic Typesetting" w:cs="Arabic Typesetting" w:hint="cs"/>
          <w:noProof/>
          <w:szCs w:val="34"/>
          <w:rtl/>
        </w:rPr>
        <w:t xml:space="preserve">الثنائية </w:t>
      </w:r>
      <w:r w:rsidRPr="002144FB">
        <w:rPr>
          <w:rFonts w:ascii="Arabic Typesetting" w:hAnsi="Arabic Typesetting" w:cs="Arabic Typesetting"/>
          <w:noProof/>
          <w:szCs w:val="34"/>
          <w:rtl/>
        </w:rPr>
        <w:t xml:space="preserve">2016/17: </w:t>
      </w:r>
      <w:r>
        <w:rPr>
          <w:rFonts w:ascii="Arabic Typesetting" w:hAnsi="Arabic Typesetting" w:cs="Arabic Typesetting" w:hint="cs"/>
          <w:noProof/>
          <w:szCs w:val="34"/>
          <w:rtl/>
        </w:rPr>
        <w:t xml:space="preserve">"1" </w:t>
      </w:r>
      <w:r w:rsidRPr="002144FB">
        <w:rPr>
          <w:rFonts w:ascii="Arabic Typesetting" w:hAnsi="Arabic Typesetting" w:cs="Arabic Typesetting"/>
          <w:noProof/>
          <w:szCs w:val="34"/>
          <w:rtl/>
        </w:rPr>
        <w:t xml:space="preserve">التنبؤ </w:t>
      </w:r>
      <w:r>
        <w:rPr>
          <w:rFonts w:ascii="Arabic Typesetting" w:hAnsi="Arabic Typesetting" w:cs="Arabic Typesetting" w:hint="cs"/>
          <w:noProof/>
          <w:szCs w:val="34"/>
          <w:rtl/>
        </w:rPr>
        <w:t>الدقيق ب</w:t>
      </w:r>
      <w:r w:rsidRPr="002144FB">
        <w:rPr>
          <w:rFonts w:ascii="Arabic Typesetting" w:hAnsi="Arabic Typesetting" w:cs="Arabic Typesetting"/>
          <w:noProof/>
          <w:szCs w:val="34"/>
          <w:rtl/>
        </w:rPr>
        <w:t xml:space="preserve">عدد إيداعات </w:t>
      </w:r>
      <w:r>
        <w:rPr>
          <w:rFonts w:ascii="Arabic Typesetting" w:hAnsi="Arabic Typesetting" w:cs="Arabic Typesetting" w:hint="cs"/>
          <w:noProof/>
          <w:szCs w:val="34"/>
          <w:rtl/>
        </w:rPr>
        <w:t xml:space="preserve">نظام </w:t>
      </w:r>
      <w:r w:rsidRPr="002144FB">
        <w:rPr>
          <w:rFonts w:ascii="Arabic Typesetting" w:hAnsi="Arabic Typesetting" w:cs="Arabic Typesetting"/>
          <w:noProof/>
          <w:szCs w:val="34"/>
          <w:rtl/>
        </w:rPr>
        <w:t>مدريد بسبب استمرار هشاشة الاقتصاد العالمي</w:t>
      </w:r>
      <w:r>
        <w:rPr>
          <w:rFonts w:ascii="Arabic Typesetting" w:hAnsi="Arabic Typesetting" w:cs="Arabic Typesetting" w:hint="cs"/>
          <w:noProof/>
          <w:szCs w:val="34"/>
          <w:rtl/>
        </w:rPr>
        <w:t>؛</w:t>
      </w:r>
      <w:r w:rsidRPr="002144FB">
        <w:rPr>
          <w:rFonts w:ascii="Arabic Typesetting" w:hAnsi="Arabic Typesetting" w:cs="Arabic Typesetting"/>
          <w:noProof/>
          <w:szCs w:val="34"/>
          <w:rtl/>
        </w:rPr>
        <w:t xml:space="preserve"> </w:t>
      </w:r>
      <w:r>
        <w:rPr>
          <w:rFonts w:ascii="Arabic Typesetting" w:hAnsi="Arabic Typesetting" w:cs="Arabic Typesetting" w:hint="cs"/>
          <w:noProof/>
          <w:szCs w:val="34"/>
          <w:rtl/>
        </w:rPr>
        <w:t>"2"</w:t>
      </w:r>
      <w:r w:rsidRPr="002144FB">
        <w:rPr>
          <w:rFonts w:ascii="Arabic Typesetting" w:hAnsi="Arabic Typesetting" w:cs="Arabic Typesetting"/>
          <w:noProof/>
          <w:szCs w:val="34"/>
          <w:rtl/>
        </w:rPr>
        <w:t xml:space="preserve"> </w:t>
      </w:r>
      <w:r>
        <w:rPr>
          <w:rFonts w:ascii="Arabic Typesetting" w:hAnsi="Arabic Typesetting" w:cs="Arabic Typesetting" w:hint="cs"/>
          <w:noProof/>
          <w:szCs w:val="34"/>
          <w:rtl/>
        </w:rPr>
        <w:t>و</w:t>
      </w:r>
      <w:r w:rsidRPr="002144FB">
        <w:rPr>
          <w:rFonts w:ascii="Arabic Typesetting" w:hAnsi="Arabic Typesetting" w:cs="Arabic Typesetting"/>
          <w:noProof/>
          <w:szCs w:val="34"/>
          <w:rtl/>
        </w:rPr>
        <w:t xml:space="preserve">ضمان القدرة على </w:t>
      </w:r>
      <w:r>
        <w:rPr>
          <w:rFonts w:ascii="Arabic Typesetting" w:hAnsi="Arabic Typesetting" w:cs="Arabic Typesetting" w:hint="cs"/>
          <w:noProof/>
          <w:szCs w:val="34"/>
          <w:rtl/>
        </w:rPr>
        <w:t>الاستيعاب ال</w:t>
      </w:r>
      <w:r w:rsidRPr="002144FB">
        <w:rPr>
          <w:rFonts w:ascii="Arabic Typesetting" w:hAnsi="Arabic Typesetting" w:cs="Arabic Typesetting"/>
          <w:noProof/>
          <w:szCs w:val="34"/>
          <w:rtl/>
        </w:rPr>
        <w:t xml:space="preserve">فعال </w:t>
      </w:r>
      <w:r>
        <w:rPr>
          <w:rFonts w:ascii="Arabic Typesetting" w:hAnsi="Arabic Typesetting" w:cs="Arabic Typesetting" w:hint="cs"/>
          <w:noProof/>
          <w:szCs w:val="34"/>
          <w:rtl/>
        </w:rPr>
        <w:t>ل</w:t>
      </w:r>
      <w:r w:rsidRPr="002144FB">
        <w:rPr>
          <w:rFonts w:ascii="Arabic Typesetting" w:hAnsi="Arabic Typesetting" w:cs="Arabic Typesetting"/>
          <w:noProof/>
          <w:szCs w:val="34"/>
          <w:rtl/>
        </w:rPr>
        <w:t xml:space="preserve">لزيادة </w:t>
      </w:r>
      <w:r>
        <w:rPr>
          <w:rFonts w:ascii="Arabic Typesetting" w:hAnsi="Arabic Typesetting" w:cs="Arabic Typesetting" w:hint="cs"/>
          <w:noProof/>
          <w:szCs w:val="34"/>
          <w:rtl/>
        </w:rPr>
        <w:t>المحتملة</w:t>
      </w:r>
      <w:r w:rsidRPr="002144FB">
        <w:rPr>
          <w:rFonts w:ascii="Arabic Typesetting" w:hAnsi="Arabic Typesetting" w:cs="Arabic Typesetting"/>
          <w:noProof/>
          <w:szCs w:val="34"/>
          <w:rtl/>
        </w:rPr>
        <w:t xml:space="preserve"> في عدد ال</w:t>
      </w:r>
      <w:r>
        <w:rPr>
          <w:rFonts w:ascii="Arabic Typesetting" w:hAnsi="Arabic Typesetting" w:cs="Arabic Typesetting" w:hint="cs"/>
          <w:noProof/>
          <w:szCs w:val="34"/>
          <w:rtl/>
        </w:rPr>
        <w:t>بلدان</w:t>
      </w:r>
      <w:r w:rsidRPr="002144FB">
        <w:rPr>
          <w:rFonts w:ascii="Arabic Typesetting" w:hAnsi="Arabic Typesetting" w:cs="Arabic Typesetting"/>
          <w:noProof/>
          <w:szCs w:val="34"/>
          <w:rtl/>
        </w:rPr>
        <w:t xml:space="preserve"> </w:t>
      </w:r>
      <w:r>
        <w:rPr>
          <w:rFonts w:ascii="Arabic Typesetting" w:hAnsi="Arabic Typesetting" w:cs="Arabic Typesetting" w:hint="cs"/>
          <w:noProof/>
          <w:szCs w:val="34"/>
          <w:rtl/>
        </w:rPr>
        <w:t>ال</w:t>
      </w:r>
      <w:r w:rsidRPr="002144FB">
        <w:rPr>
          <w:rFonts w:ascii="Arabic Typesetting" w:hAnsi="Arabic Typesetting" w:cs="Arabic Typesetting"/>
          <w:noProof/>
          <w:szCs w:val="34"/>
          <w:rtl/>
        </w:rPr>
        <w:t>جديدة المنضمة</w:t>
      </w:r>
      <w:r>
        <w:rPr>
          <w:rFonts w:ascii="Arabic Typesetting" w:hAnsi="Arabic Typesetting" w:cs="Arabic Typesetting" w:hint="cs"/>
          <w:noProof/>
          <w:szCs w:val="34"/>
          <w:rtl/>
        </w:rPr>
        <w:t>؛</w:t>
      </w:r>
      <w:r w:rsidRPr="002144FB">
        <w:rPr>
          <w:rFonts w:ascii="Arabic Typesetting" w:hAnsi="Arabic Typesetting" w:cs="Arabic Typesetting"/>
          <w:noProof/>
          <w:szCs w:val="34"/>
          <w:rtl/>
        </w:rPr>
        <w:t xml:space="preserve"> </w:t>
      </w:r>
      <w:r>
        <w:rPr>
          <w:rFonts w:ascii="Arabic Typesetting" w:hAnsi="Arabic Typesetting" w:cs="Arabic Typesetting" w:hint="cs"/>
          <w:noProof/>
          <w:szCs w:val="34"/>
          <w:rtl/>
        </w:rPr>
        <w:t>"3"</w:t>
      </w:r>
      <w:r w:rsidRPr="002144FB">
        <w:rPr>
          <w:rFonts w:ascii="Arabic Typesetting" w:hAnsi="Arabic Typesetting" w:cs="Arabic Typesetting"/>
          <w:noProof/>
          <w:szCs w:val="34"/>
          <w:rtl/>
        </w:rPr>
        <w:t xml:space="preserve"> </w:t>
      </w:r>
      <w:r>
        <w:rPr>
          <w:rFonts w:ascii="Arabic Typesetting" w:hAnsi="Arabic Typesetting" w:cs="Arabic Typesetting" w:hint="cs"/>
          <w:noProof/>
          <w:szCs w:val="34"/>
          <w:rtl/>
        </w:rPr>
        <w:t>و</w:t>
      </w:r>
      <w:r w:rsidRPr="002144FB">
        <w:rPr>
          <w:rFonts w:ascii="Arabic Typesetting" w:hAnsi="Arabic Typesetting" w:cs="Arabic Typesetting"/>
          <w:noProof/>
          <w:szCs w:val="34"/>
          <w:rtl/>
        </w:rPr>
        <w:t>تعزيز نظام مدريد ككل بحيث يمكن أن</w:t>
      </w:r>
      <w:r>
        <w:rPr>
          <w:rFonts w:ascii="Arabic Typesetting" w:hAnsi="Arabic Typesetting" w:cs="Arabic Typesetting" w:hint="cs"/>
          <w:noProof/>
          <w:szCs w:val="34"/>
          <w:rtl/>
        </w:rPr>
        <w:t xml:space="preserve"> ي</w:t>
      </w:r>
      <w:r w:rsidRPr="002144FB">
        <w:rPr>
          <w:rFonts w:ascii="Arabic Typesetting" w:hAnsi="Arabic Typesetting" w:cs="Arabic Typesetting"/>
          <w:noProof/>
          <w:szCs w:val="34"/>
          <w:rtl/>
        </w:rPr>
        <w:t xml:space="preserve">عمل </w:t>
      </w:r>
      <w:r>
        <w:rPr>
          <w:rFonts w:ascii="Arabic Typesetting" w:hAnsi="Arabic Typesetting" w:cs="Arabic Typesetting" w:hint="cs"/>
          <w:noProof/>
          <w:szCs w:val="34"/>
          <w:rtl/>
        </w:rPr>
        <w:t>على نحو</w:t>
      </w:r>
      <w:r w:rsidRPr="002144FB">
        <w:rPr>
          <w:rFonts w:ascii="Arabic Typesetting" w:hAnsi="Arabic Typesetting" w:cs="Arabic Typesetting"/>
          <w:noProof/>
          <w:szCs w:val="34"/>
          <w:rtl/>
        </w:rPr>
        <w:t xml:space="preserve"> أكثر فعالية لكل</w:t>
      </w:r>
      <w:r>
        <w:rPr>
          <w:rFonts w:ascii="Arabic Typesetting" w:hAnsi="Arabic Typesetting" w:cs="Arabic Typesetting" w:hint="cs"/>
          <w:noProof/>
          <w:szCs w:val="34"/>
          <w:rtl/>
        </w:rPr>
        <w:t>ٍّ</w:t>
      </w:r>
      <w:r w:rsidRPr="002144FB">
        <w:rPr>
          <w:rFonts w:ascii="Arabic Typesetting" w:hAnsi="Arabic Typesetting" w:cs="Arabic Typesetting"/>
          <w:noProof/>
          <w:szCs w:val="34"/>
          <w:rtl/>
        </w:rPr>
        <w:t xml:space="preserve"> من </w:t>
      </w:r>
      <w:r>
        <w:rPr>
          <w:rFonts w:ascii="Arabic Typesetting" w:hAnsi="Arabic Typesetting" w:cs="Arabic Typesetting" w:hint="cs"/>
          <w:noProof/>
          <w:szCs w:val="34"/>
          <w:rtl/>
        </w:rPr>
        <w:t>ا</w:t>
      </w:r>
      <w:r w:rsidRPr="002144FB">
        <w:rPr>
          <w:rFonts w:ascii="Arabic Typesetting" w:hAnsi="Arabic Typesetting" w:cs="Arabic Typesetting"/>
          <w:noProof/>
          <w:szCs w:val="34"/>
          <w:rtl/>
        </w:rPr>
        <w:t xml:space="preserve">لمستخدمين </w:t>
      </w:r>
      <w:r>
        <w:rPr>
          <w:rFonts w:ascii="Arabic Typesetting" w:hAnsi="Arabic Typesetting" w:cs="Arabic Typesetting" w:hint="cs"/>
          <w:noProof/>
          <w:szCs w:val="34"/>
          <w:rtl/>
        </w:rPr>
        <w:t xml:space="preserve">من </w:t>
      </w:r>
      <w:r w:rsidRPr="002144FB">
        <w:rPr>
          <w:rFonts w:ascii="Arabic Typesetting" w:hAnsi="Arabic Typesetting" w:cs="Arabic Typesetting"/>
          <w:noProof/>
          <w:szCs w:val="34"/>
          <w:rtl/>
        </w:rPr>
        <w:t xml:space="preserve">القطاع الخاص </w:t>
      </w:r>
      <w:r>
        <w:rPr>
          <w:rFonts w:ascii="Arabic Typesetting" w:hAnsi="Arabic Typesetting" w:cs="Arabic Typesetting" w:hint="cs"/>
          <w:noProof/>
          <w:szCs w:val="34"/>
          <w:rtl/>
        </w:rPr>
        <w:t>والمكاتب</w:t>
      </w:r>
      <w:r w:rsidRPr="002144FB">
        <w:rPr>
          <w:rFonts w:ascii="Arabic Typesetting" w:hAnsi="Arabic Typesetting" w:cs="Arabic Typesetting"/>
          <w:noProof/>
          <w:szCs w:val="34"/>
          <w:rtl/>
        </w:rPr>
        <w:t xml:space="preserve"> على حد سواء، بما في ذلك </w:t>
      </w:r>
      <w:r>
        <w:rPr>
          <w:rFonts w:ascii="Arabic Typesetting" w:hAnsi="Arabic Typesetting" w:cs="Arabic Typesetting" w:hint="cs"/>
          <w:noProof/>
          <w:szCs w:val="34"/>
          <w:rtl/>
        </w:rPr>
        <w:t>المكاتب</w:t>
      </w:r>
      <w:r w:rsidRPr="002144FB">
        <w:rPr>
          <w:rFonts w:ascii="Arabic Typesetting" w:hAnsi="Arabic Typesetting" w:cs="Arabic Typesetting"/>
          <w:noProof/>
          <w:szCs w:val="34"/>
          <w:rtl/>
        </w:rPr>
        <w:t xml:space="preserve"> الموجودة في ال</w:t>
      </w:r>
      <w:r>
        <w:rPr>
          <w:rFonts w:ascii="Arabic Typesetting" w:hAnsi="Arabic Typesetting" w:cs="Arabic Typesetting" w:hint="cs"/>
          <w:noProof/>
          <w:szCs w:val="34"/>
          <w:rtl/>
        </w:rPr>
        <w:t>بلدان ال</w:t>
      </w:r>
      <w:r w:rsidRPr="002144FB">
        <w:rPr>
          <w:rFonts w:ascii="Arabic Typesetting" w:hAnsi="Arabic Typesetting" w:cs="Arabic Typesetting"/>
          <w:noProof/>
          <w:szCs w:val="34"/>
          <w:rtl/>
        </w:rPr>
        <w:t>أعضاء الجديد</w:t>
      </w:r>
      <w:r>
        <w:rPr>
          <w:rFonts w:ascii="Arabic Typesetting" w:hAnsi="Arabic Typesetting" w:cs="Arabic Typesetting" w:hint="cs"/>
          <w:noProof/>
          <w:szCs w:val="34"/>
          <w:rtl/>
        </w:rPr>
        <w:t>ة؛ "4"</w:t>
      </w:r>
      <w:r w:rsidRPr="002144FB">
        <w:rPr>
          <w:rFonts w:ascii="Arabic Typesetting" w:hAnsi="Arabic Typesetting" w:cs="Arabic Typesetting"/>
          <w:noProof/>
          <w:szCs w:val="34"/>
          <w:rtl/>
        </w:rPr>
        <w:t xml:space="preserve"> </w:t>
      </w:r>
      <w:r>
        <w:rPr>
          <w:rFonts w:ascii="Arabic Typesetting" w:hAnsi="Arabic Typesetting" w:cs="Arabic Typesetting" w:hint="cs"/>
          <w:noProof/>
          <w:szCs w:val="34"/>
          <w:rtl/>
        </w:rPr>
        <w:t>و</w:t>
      </w:r>
      <w:r w:rsidRPr="002144FB">
        <w:rPr>
          <w:rFonts w:ascii="Arabic Typesetting" w:hAnsi="Arabic Typesetting" w:cs="Arabic Typesetting"/>
          <w:noProof/>
          <w:szCs w:val="34"/>
          <w:rtl/>
        </w:rPr>
        <w:t xml:space="preserve">تحسين اتساق </w:t>
      </w:r>
      <w:r>
        <w:rPr>
          <w:rFonts w:ascii="Arabic Typesetting" w:hAnsi="Arabic Typesetting" w:cs="Arabic Typesetting" w:hint="cs"/>
          <w:noProof/>
          <w:szCs w:val="34"/>
          <w:rtl/>
        </w:rPr>
        <w:t xml:space="preserve">عمل المكتب الدولي </w:t>
      </w:r>
      <w:r w:rsidRPr="002144FB">
        <w:rPr>
          <w:rFonts w:ascii="Arabic Typesetting" w:hAnsi="Arabic Typesetting" w:cs="Arabic Typesetting"/>
          <w:noProof/>
          <w:szCs w:val="34"/>
          <w:rtl/>
        </w:rPr>
        <w:t>وقدر</w:t>
      </w:r>
      <w:r>
        <w:rPr>
          <w:rFonts w:ascii="Arabic Typesetting" w:hAnsi="Arabic Typesetting" w:cs="Arabic Typesetting" w:hint="cs"/>
          <w:noProof/>
          <w:szCs w:val="34"/>
          <w:rtl/>
        </w:rPr>
        <w:t>ته</w:t>
      </w:r>
      <w:r w:rsidRPr="002144FB">
        <w:rPr>
          <w:rFonts w:ascii="Arabic Typesetting" w:hAnsi="Arabic Typesetting" w:cs="Arabic Typesetting"/>
          <w:noProof/>
          <w:szCs w:val="34"/>
          <w:rtl/>
        </w:rPr>
        <w:t xml:space="preserve"> على التنبؤ وجود</w:t>
      </w:r>
      <w:r>
        <w:rPr>
          <w:rFonts w:ascii="Arabic Typesetting" w:hAnsi="Arabic Typesetting" w:cs="Arabic Typesetting" w:hint="cs"/>
          <w:noProof/>
          <w:szCs w:val="34"/>
          <w:rtl/>
        </w:rPr>
        <w:t>ته</w:t>
      </w:r>
      <w:r w:rsidRPr="002144FB">
        <w:rPr>
          <w:rFonts w:ascii="Arabic Typesetting" w:hAnsi="Arabic Typesetting" w:cs="Arabic Typesetting"/>
          <w:noProof/>
          <w:szCs w:val="34"/>
          <w:rtl/>
        </w:rPr>
        <w:t xml:space="preserve"> الشاملة</w:t>
      </w:r>
      <w:r>
        <w:rPr>
          <w:rFonts w:ascii="Arabic Typesetting" w:hAnsi="Arabic Typesetting" w:cs="Arabic Typesetting" w:hint="cs"/>
          <w:noProof/>
          <w:szCs w:val="34"/>
          <w:rtl/>
        </w:rPr>
        <w:t xml:space="preserve"> بأكبر قدر ممكن من الفعالية من حيث التكلفة؛</w:t>
      </w:r>
      <w:r w:rsidRPr="002144FB">
        <w:rPr>
          <w:rFonts w:ascii="Arabic Typesetting" w:hAnsi="Arabic Typesetting" w:cs="Arabic Typesetting"/>
          <w:noProof/>
          <w:szCs w:val="34"/>
          <w:rtl/>
        </w:rPr>
        <w:t xml:space="preserve"> </w:t>
      </w:r>
      <w:r>
        <w:rPr>
          <w:rFonts w:ascii="Arabic Typesetting" w:hAnsi="Arabic Typesetting" w:cs="Arabic Typesetting" w:hint="cs"/>
          <w:noProof/>
          <w:szCs w:val="34"/>
          <w:rtl/>
        </w:rPr>
        <w:t>"5" و</w:t>
      </w:r>
      <w:r w:rsidRPr="002144FB">
        <w:rPr>
          <w:rFonts w:ascii="Arabic Typesetting" w:hAnsi="Arabic Typesetting" w:cs="Arabic Typesetting"/>
          <w:noProof/>
          <w:szCs w:val="34"/>
          <w:rtl/>
        </w:rPr>
        <w:t xml:space="preserve">تحديد الفرص التي تتيحها زيادة مستويات </w:t>
      </w:r>
      <w:r w:rsidRPr="00D31007">
        <w:rPr>
          <w:rFonts w:ascii="Arabic Typesetting" w:hAnsi="Arabic Typesetting" w:cs="Arabic Typesetting"/>
          <w:noProof/>
          <w:szCs w:val="34"/>
          <w:rtl/>
        </w:rPr>
        <w:t xml:space="preserve">الأتمتة </w:t>
      </w:r>
      <w:r w:rsidRPr="002144FB">
        <w:rPr>
          <w:rFonts w:ascii="Arabic Typesetting" w:hAnsi="Arabic Typesetting" w:cs="Arabic Typesetting"/>
          <w:noProof/>
          <w:szCs w:val="34"/>
          <w:rtl/>
        </w:rPr>
        <w:t xml:space="preserve">في جميع </w:t>
      </w:r>
      <w:r>
        <w:rPr>
          <w:rFonts w:ascii="Arabic Typesetting" w:hAnsi="Arabic Typesetting" w:cs="Arabic Typesetting" w:hint="cs"/>
          <w:noProof/>
          <w:szCs w:val="34"/>
          <w:rtl/>
        </w:rPr>
        <w:t xml:space="preserve">أوجه </w:t>
      </w:r>
      <w:r w:rsidRPr="002144FB">
        <w:rPr>
          <w:rFonts w:ascii="Arabic Typesetting" w:hAnsi="Arabic Typesetting" w:cs="Arabic Typesetting"/>
          <w:noProof/>
          <w:szCs w:val="34"/>
          <w:rtl/>
        </w:rPr>
        <w:t>الإجرا</w:t>
      </w:r>
      <w:r>
        <w:rPr>
          <w:rFonts w:ascii="Arabic Typesetting" w:hAnsi="Arabic Typesetting" w:cs="Arabic Typesetting" w:hint="cs"/>
          <w:noProof/>
          <w:szCs w:val="34"/>
          <w:rtl/>
        </w:rPr>
        <w:t>ءات</w:t>
      </w:r>
      <w:r w:rsidRPr="002144FB">
        <w:rPr>
          <w:rFonts w:ascii="Arabic Typesetting" w:hAnsi="Arabic Typesetting" w:cs="Arabic Typesetting"/>
          <w:noProof/>
          <w:szCs w:val="34"/>
          <w:rtl/>
        </w:rPr>
        <w:t xml:space="preserve"> الدولي</w:t>
      </w:r>
      <w:r>
        <w:rPr>
          <w:rFonts w:ascii="Arabic Typesetting" w:hAnsi="Arabic Typesetting" w:cs="Arabic Typesetting" w:hint="cs"/>
          <w:noProof/>
          <w:szCs w:val="34"/>
          <w:rtl/>
        </w:rPr>
        <w:t>ة</w:t>
      </w:r>
      <w:r w:rsidRPr="002144FB">
        <w:rPr>
          <w:rFonts w:ascii="Arabic Typesetting" w:hAnsi="Arabic Typesetting" w:cs="Arabic Typesetting"/>
          <w:noProof/>
          <w:szCs w:val="34"/>
          <w:rtl/>
        </w:rPr>
        <w:t xml:space="preserve"> و</w:t>
      </w:r>
      <w:r>
        <w:rPr>
          <w:rFonts w:ascii="Arabic Typesetting" w:hAnsi="Arabic Typesetting" w:cs="Arabic Typesetting" w:hint="cs"/>
          <w:noProof/>
          <w:szCs w:val="34"/>
          <w:rtl/>
        </w:rPr>
        <w:t xml:space="preserve">استغلال هذه الفرص </w:t>
      </w:r>
      <w:r w:rsidRPr="009B7827">
        <w:rPr>
          <w:rFonts w:ascii="Arabic Typesetting" w:hAnsi="Arabic Typesetting" w:cs="Arabic Typesetting" w:hint="cs"/>
          <w:noProof/>
          <w:szCs w:val="34"/>
          <w:rtl/>
        </w:rPr>
        <w:t>وإ</w:t>
      </w:r>
      <w:r w:rsidRPr="009B7827">
        <w:rPr>
          <w:rFonts w:ascii="Arabic Typesetting" w:hAnsi="Arabic Typesetting" w:cs="Arabic Typesetting"/>
          <w:noProof/>
          <w:szCs w:val="34"/>
          <w:rtl/>
        </w:rPr>
        <w:t>تقان</w:t>
      </w:r>
      <w:r w:rsidRPr="009B7827">
        <w:rPr>
          <w:rFonts w:ascii="Arabic Typesetting" w:hAnsi="Arabic Typesetting" w:cs="Arabic Typesetting" w:hint="cs"/>
          <w:noProof/>
          <w:szCs w:val="34"/>
          <w:rtl/>
        </w:rPr>
        <w:t>ها</w:t>
      </w:r>
      <w:r>
        <w:rPr>
          <w:rFonts w:ascii="Arabic Typesetting" w:hAnsi="Arabic Typesetting" w:cs="Arabic Typesetting" w:hint="cs"/>
          <w:noProof/>
          <w:szCs w:val="34"/>
          <w:rtl/>
        </w:rPr>
        <w:t xml:space="preserve"> على نحوٍ كافٍ</w:t>
      </w:r>
      <w:r w:rsidRPr="002144FB">
        <w:rPr>
          <w:rFonts w:ascii="Arabic Typesetting" w:hAnsi="Arabic Typesetting" w:cs="Arabic Typesetting"/>
          <w:noProof/>
          <w:szCs w:val="34"/>
          <w:rtl/>
        </w:rPr>
        <w:t>.</w:t>
      </w:r>
    </w:p>
    <w:p w:rsidR="006D7321" w:rsidRPr="009A4CA1" w:rsidRDefault="006D7321" w:rsidP="002C3C33">
      <w:pPr>
        <w:adjustRightInd w:val="0"/>
        <w:snapToGrid w:val="0"/>
        <w:spacing w:after="120" w:line="340" w:lineRule="exact"/>
        <w:jc w:val="both"/>
        <w:rPr>
          <w:rFonts w:ascii="Arabic Typesetting" w:hAnsi="Arabic Typesetting" w:cs="Arabic Typesetting"/>
          <w:szCs w:val="34"/>
        </w:rPr>
      </w:pPr>
    </w:p>
    <w:p w:rsidR="006D7321" w:rsidRPr="008954A8" w:rsidRDefault="006D7321" w:rsidP="002C3C33">
      <w:pPr>
        <w:keepNext/>
        <w:adjustRightInd w:val="0"/>
        <w:snapToGrid w:val="0"/>
        <w:spacing w:after="240" w:line="360" w:lineRule="exact"/>
        <w:rPr>
          <w:rFonts w:ascii="Arabic Typesetting" w:hAnsi="Arabic Typesetting" w:cs="Arabic Typesetting"/>
          <w:noProof/>
          <w:sz w:val="38"/>
          <w:szCs w:val="38"/>
          <w:rtl/>
        </w:rPr>
      </w:pPr>
      <w:r w:rsidRPr="008954A8">
        <w:rPr>
          <w:rFonts w:ascii="Arabic Typesetting" w:hAnsi="Arabic Typesetting" w:cs="Arabic Typesetting"/>
          <w:noProof/>
          <w:sz w:val="38"/>
          <w:szCs w:val="38"/>
          <w:rtl/>
        </w:rPr>
        <w:t>استراتيجيات التنفيذ</w:t>
      </w:r>
    </w:p>
    <w:p w:rsidR="006D7321" w:rsidRPr="008954A8" w:rsidRDefault="006D7321" w:rsidP="00861CFF">
      <w:pPr>
        <w:numPr>
          <w:ilvl w:val="0"/>
          <w:numId w:val="18"/>
        </w:numPr>
        <w:adjustRightInd w:val="0"/>
        <w:snapToGrid w:val="0"/>
        <w:spacing w:after="120" w:line="340" w:lineRule="exact"/>
        <w:ind w:hanging="2"/>
        <w:jc w:val="both"/>
        <w:rPr>
          <w:rFonts w:ascii="Arabic Typesetting" w:hAnsi="Arabic Typesetting" w:cs="Arabic Typesetting"/>
          <w:szCs w:val="34"/>
        </w:rPr>
      </w:pPr>
      <w:r w:rsidRPr="00354BC8">
        <w:rPr>
          <w:rFonts w:ascii="Arabic Typesetting" w:hAnsi="Arabic Typesetting" w:cs="Arabic Typesetting"/>
          <w:noProof/>
          <w:szCs w:val="34"/>
          <w:rtl/>
        </w:rPr>
        <w:t>سوف</w:t>
      </w:r>
      <w:r>
        <w:rPr>
          <w:rFonts w:ascii="Arabic Typesetting" w:hAnsi="Arabic Typesetting" w:cs="Arabic Typesetting" w:hint="cs"/>
          <w:noProof/>
          <w:szCs w:val="34"/>
          <w:rtl/>
        </w:rPr>
        <w:t xml:space="preserve"> </w:t>
      </w:r>
      <w:r w:rsidRPr="009B7827">
        <w:rPr>
          <w:rFonts w:ascii="Arabic Typesetting" w:hAnsi="Arabic Typesetting" w:cs="Arabic Typesetting" w:hint="cs"/>
          <w:noProof/>
          <w:szCs w:val="34"/>
          <w:rtl/>
        </w:rPr>
        <w:t>يتواصل</w:t>
      </w:r>
      <w:r>
        <w:rPr>
          <w:rFonts w:ascii="Arabic Typesetting" w:hAnsi="Arabic Typesetting" w:cs="Arabic Typesetting" w:hint="cs"/>
          <w:noProof/>
          <w:szCs w:val="34"/>
          <w:rtl/>
        </w:rPr>
        <w:t xml:space="preserve"> المكتب الدولي</w:t>
      </w:r>
      <w:r w:rsidRPr="00354BC8">
        <w:rPr>
          <w:rFonts w:ascii="Arabic Typesetting" w:hAnsi="Arabic Typesetting" w:cs="Arabic Typesetting"/>
          <w:noProof/>
          <w:szCs w:val="34"/>
          <w:rtl/>
        </w:rPr>
        <w:t xml:space="preserve"> بنشاط مع الأعضاء الجدد المحتملين في المراحل المبكرة من عملية الانضمام </w:t>
      </w:r>
      <w:r>
        <w:rPr>
          <w:rFonts w:ascii="Arabic Typesetting" w:hAnsi="Arabic Typesetting" w:cs="Arabic Typesetting" w:hint="cs"/>
          <w:noProof/>
          <w:szCs w:val="34"/>
          <w:rtl/>
        </w:rPr>
        <w:t>من أجل تقديم</w:t>
      </w:r>
      <w:r>
        <w:rPr>
          <w:rFonts w:ascii="Arabic Typesetting" w:hAnsi="Arabic Typesetting" w:cs="Arabic Typesetting"/>
          <w:noProof/>
          <w:szCs w:val="34"/>
          <w:rtl/>
        </w:rPr>
        <w:t xml:space="preserve"> التوجيه</w:t>
      </w:r>
      <w:r>
        <w:rPr>
          <w:rFonts w:ascii="Arabic Typesetting" w:hAnsi="Arabic Typesetting" w:cs="Arabic Typesetting" w:hint="cs"/>
          <w:noProof/>
          <w:szCs w:val="34"/>
          <w:rtl/>
        </w:rPr>
        <w:t xml:space="preserve"> </w:t>
      </w:r>
      <w:r w:rsidRPr="00354BC8">
        <w:rPr>
          <w:rFonts w:ascii="Arabic Typesetting" w:hAnsi="Arabic Typesetting" w:cs="Arabic Typesetting"/>
          <w:noProof/>
          <w:szCs w:val="34"/>
          <w:rtl/>
        </w:rPr>
        <w:t xml:space="preserve">بشأن الأعمال التحضيرية اللازمة، مثل قيادة </w:t>
      </w:r>
      <w:r>
        <w:rPr>
          <w:rFonts w:ascii="Arabic Typesetting" w:hAnsi="Arabic Typesetting" w:cs="Arabic Typesetting" w:hint="cs"/>
          <w:noProof/>
          <w:szCs w:val="34"/>
          <w:rtl/>
        </w:rPr>
        <w:t xml:space="preserve">إدارة </w:t>
      </w:r>
      <w:r w:rsidRPr="00354BC8">
        <w:rPr>
          <w:rFonts w:ascii="Arabic Typesetting" w:hAnsi="Arabic Typesetting" w:cs="Arabic Typesetting"/>
          <w:noProof/>
          <w:szCs w:val="34"/>
          <w:rtl/>
        </w:rPr>
        <w:t xml:space="preserve">التغيير، والتشريع، والاعتبارات التنظيمية والمؤسسية، والمسائل الإجرائية والتشغيلية، </w:t>
      </w:r>
      <w:r>
        <w:rPr>
          <w:rFonts w:ascii="Arabic Typesetting" w:hAnsi="Arabic Typesetting" w:cs="Arabic Typesetting" w:hint="cs"/>
          <w:noProof/>
          <w:szCs w:val="34"/>
          <w:rtl/>
        </w:rPr>
        <w:t>و</w:t>
      </w:r>
      <w:r w:rsidRPr="00354BC8">
        <w:rPr>
          <w:rFonts w:ascii="Arabic Typesetting" w:hAnsi="Arabic Typesetting" w:cs="Arabic Typesetting"/>
          <w:noProof/>
          <w:szCs w:val="34"/>
          <w:rtl/>
        </w:rPr>
        <w:t>أتمتة تكنولوجيا المعلومات</w:t>
      </w:r>
      <w:r>
        <w:rPr>
          <w:rFonts w:ascii="Arabic Typesetting" w:hAnsi="Arabic Typesetting" w:cs="Arabic Typesetting" w:hint="cs"/>
          <w:noProof/>
          <w:szCs w:val="34"/>
          <w:rtl/>
        </w:rPr>
        <w:t>،</w:t>
      </w:r>
      <w:r w:rsidRPr="00354BC8">
        <w:rPr>
          <w:rFonts w:ascii="Arabic Typesetting" w:hAnsi="Arabic Typesetting" w:cs="Arabic Typesetting"/>
          <w:noProof/>
          <w:szCs w:val="34"/>
          <w:rtl/>
        </w:rPr>
        <w:t xml:space="preserve"> والتغيرات المجتمعية. </w:t>
      </w:r>
      <w:r>
        <w:rPr>
          <w:rFonts w:ascii="Arabic Typesetting" w:hAnsi="Arabic Typesetting" w:cs="Arabic Typesetting" w:hint="cs"/>
          <w:noProof/>
          <w:szCs w:val="34"/>
          <w:rtl/>
        </w:rPr>
        <w:t>و</w:t>
      </w:r>
      <w:r w:rsidRPr="00354BC8">
        <w:rPr>
          <w:rFonts w:ascii="Arabic Typesetting" w:hAnsi="Arabic Typesetting" w:cs="Arabic Typesetting"/>
          <w:noProof/>
          <w:szCs w:val="34"/>
          <w:rtl/>
        </w:rPr>
        <w:t xml:space="preserve">سوف </w:t>
      </w:r>
      <w:r>
        <w:rPr>
          <w:rFonts w:ascii="Arabic Typesetting" w:hAnsi="Arabic Typesetting" w:cs="Arabic Typesetting" w:hint="cs"/>
          <w:noProof/>
          <w:szCs w:val="34"/>
          <w:rtl/>
        </w:rPr>
        <w:t>يُقدِّم المكتب الدولي</w:t>
      </w:r>
      <w:r w:rsidRPr="00354BC8">
        <w:rPr>
          <w:rFonts w:ascii="Arabic Typesetting" w:hAnsi="Arabic Typesetting" w:cs="Arabic Typesetting"/>
          <w:noProof/>
          <w:szCs w:val="34"/>
          <w:rtl/>
        </w:rPr>
        <w:t xml:space="preserve"> أيضا</w:t>
      </w:r>
      <w:r>
        <w:rPr>
          <w:rFonts w:ascii="Arabic Typesetting" w:hAnsi="Arabic Typesetting" w:cs="Arabic Typesetting" w:hint="cs"/>
          <w:noProof/>
          <w:szCs w:val="34"/>
          <w:rtl/>
        </w:rPr>
        <w:t>ً</w:t>
      </w:r>
      <w:r w:rsidRPr="00354BC8">
        <w:rPr>
          <w:rFonts w:ascii="Arabic Typesetting" w:hAnsi="Arabic Typesetting" w:cs="Arabic Typesetting"/>
          <w:noProof/>
          <w:szCs w:val="34"/>
          <w:rtl/>
        </w:rPr>
        <w:t xml:space="preserve"> دعم</w:t>
      </w:r>
      <w:r>
        <w:rPr>
          <w:rFonts w:ascii="Arabic Typesetting" w:hAnsi="Arabic Typesetting" w:cs="Arabic Typesetting" w:hint="cs"/>
          <w:noProof/>
          <w:szCs w:val="34"/>
          <w:rtl/>
        </w:rPr>
        <w:t>اً</w:t>
      </w:r>
      <w:r w:rsidRPr="00354BC8">
        <w:rPr>
          <w:rFonts w:ascii="Arabic Typesetting" w:hAnsi="Arabic Typesetting" w:cs="Arabic Typesetting"/>
          <w:noProof/>
          <w:szCs w:val="34"/>
          <w:rtl/>
        </w:rPr>
        <w:t xml:space="preserve"> تشغيلي</w:t>
      </w:r>
      <w:r>
        <w:rPr>
          <w:rFonts w:ascii="Arabic Typesetting" w:hAnsi="Arabic Typesetting" w:cs="Arabic Typesetting" w:hint="cs"/>
          <w:noProof/>
          <w:szCs w:val="34"/>
          <w:rtl/>
        </w:rPr>
        <w:t>اً</w:t>
      </w:r>
      <w:r w:rsidRPr="00354BC8">
        <w:rPr>
          <w:rFonts w:ascii="Arabic Typesetting" w:hAnsi="Arabic Typesetting" w:cs="Arabic Typesetting"/>
          <w:noProof/>
          <w:szCs w:val="34"/>
          <w:rtl/>
        </w:rPr>
        <w:t xml:space="preserve"> وتوجيه</w:t>
      </w:r>
      <w:r>
        <w:rPr>
          <w:rFonts w:ascii="Arabic Typesetting" w:hAnsi="Arabic Typesetting" w:cs="Arabic Typesetting" w:hint="cs"/>
          <w:noProof/>
          <w:szCs w:val="34"/>
          <w:rtl/>
        </w:rPr>
        <w:t>اً</w:t>
      </w:r>
      <w:r w:rsidRPr="00354BC8">
        <w:rPr>
          <w:rFonts w:ascii="Arabic Typesetting" w:hAnsi="Arabic Typesetting" w:cs="Arabic Typesetting"/>
          <w:noProof/>
          <w:szCs w:val="34"/>
          <w:rtl/>
        </w:rPr>
        <w:t xml:space="preserve"> </w:t>
      </w:r>
      <w:r>
        <w:rPr>
          <w:rFonts w:ascii="Arabic Typesetting" w:hAnsi="Arabic Typesetting" w:cs="Arabic Typesetting" w:hint="cs"/>
          <w:noProof/>
          <w:szCs w:val="34"/>
          <w:rtl/>
        </w:rPr>
        <w:t>إلى ا</w:t>
      </w:r>
      <w:r w:rsidRPr="00354BC8">
        <w:rPr>
          <w:rFonts w:ascii="Arabic Typesetting" w:hAnsi="Arabic Typesetting" w:cs="Arabic Typesetting"/>
          <w:noProof/>
          <w:szCs w:val="34"/>
          <w:rtl/>
        </w:rPr>
        <w:t xml:space="preserve">لأعضاء الجدد في المراحل </w:t>
      </w:r>
      <w:r>
        <w:rPr>
          <w:rFonts w:ascii="Arabic Typesetting" w:hAnsi="Arabic Typesetting" w:cs="Arabic Typesetting" w:hint="cs"/>
          <w:noProof/>
          <w:szCs w:val="34"/>
          <w:rtl/>
        </w:rPr>
        <w:t xml:space="preserve">التي تلي مباشرةً دخول </w:t>
      </w:r>
      <w:r w:rsidRPr="00354BC8">
        <w:rPr>
          <w:rFonts w:ascii="Arabic Typesetting" w:hAnsi="Arabic Typesetting" w:cs="Arabic Typesetting"/>
          <w:noProof/>
          <w:szCs w:val="34"/>
          <w:rtl/>
        </w:rPr>
        <w:t xml:space="preserve">بروتوكول مدريد </w:t>
      </w:r>
      <w:r>
        <w:rPr>
          <w:rFonts w:ascii="Arabic Typesetting" w:hAnsi="Arabic Typesetting" w:cs="Arabic Typesetting" w:hint="cs"/>
          <w:noProof/>
          <w:szCs w:val="34"/>
          <w:rtl/>
        </w:rPr>
        <w:t>حيز النفاذ</w:t>
      </w:r>
      <w:r w:rsidRPr="00354BC8">
        <w:rPr>
          <w:rFonts w:ascii="Arabic Typesetting" w:hAnsi="Arabic Typesetting" w:cs="Arabic Typesetting"/>
          <w:noProof/>
          <w:szCs w:val="34"/>
          <w:rtl/>
        </w:rPr>
        <w:t xml:space="preserve">. </w:t>
      </w:r>
      <w:r>
        <w:rPr>
          <w:rFonts w:ascii="Arabic Typesetting" w:hAnsi="Arabic Typesetting" w:cs="Arabic Typesetting" w:hint="cs"/>
          <w:noProof/>
          <w:szCs w:val="34"/>
          <w:rtl/>
        </w:rPr>
        <w:t>و</w:t>
      </w:r>
      <w:r w:rsidRPr="00354BC8">
        <w:rPr>
          <w:rFonts w:ascii="Arabic Typesetting" w:hAnsi="Arabic Typesetting" w:cs="Arabic Typesetting"/>
          <w:noProof/>
          <w:szCs w:val="34"/>
          <w:rtl/>
        </w:rPr>
        <w:t>نظرا</w:t>
      </w:r>
      <w:r>
        <w:rPr>
          <w:rFonts w:ascii="Arabic Typesetting" w:hAnsi="Arabic Typesetting" w:cs="Arabic Typesetting" w:hint="cs"/>
          <w:noProof/>
          <w:szCs w:val="34"/>
          <w:rtl/>
        </w:rPr>
        <w:t>ً</w:t>
      </w:r>
      <w:r w:rsidRPr="00354BC8">
        <w:rPr>
          <w:rFonts w:ascii="Arabic Typesetting" w:hAnsi="Arabic Typesetting" w:cs="Arabic Typesetting"/>
          <w:noProof/>
          <w:szCs w:val="34"/>
          <w:rtl/>
        </w:rPr>
        <w:t xml:space="preserve"> </w:t>
      </w:r>
      <w:r w:rsidRPr="00317744">
        <w:rPr>
          <w:rFonts w:ascii="Arabic Typesetting" w:hAnsi="Arabic Typesetting" w:cs="Arabic Typesetting"/>
          <w:noProof/>
          <w:szCs w:val="34"/>
          <w:rtl/>
        </w:rPr>
        <w:t>لحجم العمل</w:t>
      </w:r>
      <w:r w:rsidRPr="00317744">
        <w:rPr>
          <w:rFonts w:ascii="Arabic Typesetting" w:hAnsi="Arabic Typesetting" w:cs="Arabic Typesetting" w:hint="cs"/>
          <w:noProof/>
          <w:szCs w:val="34"/>
          <w:rtl/>
        </w:rPr>
        <w:t xml:space="preserve"> الذي يُحتمل</w:t>
      </w:r>
      <w:r w:rsidRPr="00317744">
        <w:rPr>
          <w:rFonts w:ascii="Arabic Typesetting" w:hAnsi="Arabic Typesetting" w:cs="Arabic Typesetting"/>
          <w:noProof/>
          <w:szCs w:val="34"/>
          <w:rtl/>
        </w:rPr>
        <w:t xml:space="preserve"> </w:t>
      </w:r>
      <w:r w:rsidRPr="00317744">
        <w:rPr>
          <w:rFonts w:ascii="Arabic Typesetting" w:hAnsi="Arabic Typesetting" w:cs="Arabic Typesetting" w:hint="cs"/>
          <w:noProof/>
          <w:szCs w:val="34"/>
          <w:rtl/>
        </w:rPr>
        <w:t>الاضطلاع به</w:t>
      </w:r>
      <w:r>
        <w:rPr>
          <w:rFonts w:ascii="Arabic Typesetting" w:hAnsi="Arabic Typesetting" w:cs="Arabic Typesetting" w:hint="cs"/>
          <w:noProof/>
          <w:szCs w:val="34"/>
          <w:rtl/>
        </w:rPr>
        <w:t xml:space="preserve"> </w:t>
      </w:r>
      <w:r w:rsidRPr="00354BC8">
        <w:rPr>
          <w:rFonts w:ascii="Arabic Typesetting" w:hAnsi="Arabic Typesetting" w:cs="Arabic Typesetting"/>
          <w:noProof/>
          <w:szCs w:val="34"/>
          <w:rtl/>
        </w:rPr>
        <w:t xml:space="preserve">وضرورة تقديم وجهات نظر </w:t>
      </w:r>
      <w:r>
        <w:rPr>
          <w:rFonts w:ascii="Arabic Typesetting" w:hAnsi="Arabic Typesetting" w:cs="Arabic Typesetting" w:hint="cs"/>
          <w:noProof/>
          <w:szCs w:val="34"/>
          <w:rtl/>
        </w:rPr>
        <w:t>متنوعة</w:t>
      </w:r>
      <w:r w:rsidRPr="00354BC8">
        <w:rPr>
          <w:rFonts w:ascii="Arabic Typesetting" w:hAnsi="Arabic Typesetting" w:cs="Arabic Typesetting"/>
          <w:noProof/>
          <w:szCs w:val="34"/>
          <w:rtl/>
        </w:rPr>
        <w:t xml:space="preserve"> لهذه المسألة، </w:t>
      </w:r>
      <w:r>
        <w:rPr>
          <w:rFonts w:ascii="Arabic Typesetting" w:hAnsi="Arabic Typesetting" w:cs="Arabic Typesetting" w:hint="cs"/>
          <w:noProof/>
          <w:szCs w:val="34"/>
          <w:rtl/>
        </w:rPr>
        <w:t>سوف يستعين المكتب الدولي ب</w:t>
      </w:r>
      <w:r w:rsidRPr="00354BC8">
        <w:rPr>
          <w:rFonts w:ascii="Arabic Typesetting" w:hAnsi="Arabic Typesetting" w:cs="Arabic Typesetting"/>
          <w:noProof/>
          <w:szCs w:val="34"/>
          <w:rtl/>
        </w:rPr>
        <w:t>مكاتب</w:t>
      </w:r>
      <w:r>
        <w:rPr>
          <w:rFonts w:ascii="Arabic Typesetting" w:hAnsi="Arabic Typesetting" w:cs="Arabic Typesetting" w:hint="cs"/>
          <w:noProof/>
          <w:szCs w:val="34"/>
          <w:rtl/>
        </w:rPr>
        <w:t xml:space="preserve"> الويبو </w:t>
      </w:r>
      <w:r w:rsidRPr="00354BC8">
        <w:rPr>
          <w:rFonts w:ascii="Arabic Typesetting" w:hAnsi="Arabic Typesetting" w:cs="Arabic Typesetting"/>
          <w:noProof/>
          <w:szCs w:val="34"/>
          <w:rtl/>
        </w:rPr>
        <w:t>الخارجية، والمكاتب الوطنية والإقليمية</w:t>
      </w:r>
      <w:r>
        <w:rPr>
          <w:rFonts w:ascii="Arabic Typesetting" w:hAnsi="Arabic Typesetting" w:cs="Arabic Typesetting" w:hint="cs"/>
          <w:noProof/>
          <w:szCs w:val="34"/>
          <w:rtl/>
        </w:rPr>
        <w:t>،</w:t>
      </w:r>
      <w:r w:rsidRPr="00354BC8">
        <w:rPr>
          <w:rFonts w:ascii="Arabic Typesetting" w:hAnsi="Arabic Typesetting" w:cs="Arabic Typesetting"/>
          <w:noProof/>
          <w:szCs w:val="34"/>
          <w:rtl/>
        </w:rPr>
        <w:t xml:space="preserve"> وأصحاب المص</w:t>
      </w:r>
      <w:r>
        <w:rPr>
          <w:rFonts w:ascii="Arabic Typesetting" w:hAnsi="Arabic Typesetting" w:cs="Arabic Typesetting" w:hint="cs"/>
          <w:noProof/>
          <w:szCs w:val="34"/>
          <w:rtl/>
        </w:rPr>
        <w:t>ا</w:t>
      </w:r>
      <w:r w:rsidRPr="00354BC8">
        <w:rPr>
          <w:rFonts w:ascii="Arabic Typesetting" w:hAnsi="Arabic Typesetting" w:cs="Arabic Typesetting"/>
          <w:noProof/>
          <w:szCs w:val="34"/>
          <w:rtl/>
        </w:rPr>
        <w:t>لح الرئيسيين الآخرين لت</w:t>
      </w:r>
      <w:r>
        <w:rPr>
          <w:rFonts w:ascii="Arabic Typesetting" w:hAnsi="Arabic Typesetting" w:cs="Arabic Typesetting" w:hint="cs"/>
          <w:noProof/>
          <w:szCs w:val="34"/>
          <w:rtl/>
        </w:rPr>
        <w:t xml:space="preserve">كليل </w:t>
      </w:r>
      <w:r w:rsidRPr="00354BC8">
        <w:rPr>
          <w:rFonts w:ascii="Arabic Typesetting" w:hAnsi="Arabic Typesetting" w:cs="Arabic Typesetting"/>
          <w:noProof/>
          <w:szCs w:val="34"/>
          <w:rtl/>
        </w:rPr>
        <w:t>هذه الجهود بالنجاح.</w:t>
      </w:r>
    </w:p>
    <w:p w:rsidR="006D7321" w:rsidRPr="008954A8" w:rsidRDefault="006D7321" w:rsidP="00861CFF">
      <w:pPr>
        <w:numPr>
          <w:ilvl w:val="0"/>
          <w:numId w:val="18"/>
        </w:numPr>
        <w:adjustRightInd w:val="0"/>
        <w:snapToGrid w:val="0"/>
        <w:spacing w:after="120" w:line="340" w:lineRule="exact"/>
        <w:ind w:hanging="2"/>
        <w:jc w:val="both"/>
        <w:rPr>
          <w:rFonts w:ascii="Arabic Typesetting" w:hAnsi="Arabic Typesetting" w:cs="Arabic Typesetting"/>
          <w:szCs w:val="34"/>
        </w:rPr>
      </w:pPr>
      <w:r>
        <w:rPr>
          <w:rFonts w:ascii="Arabic Typesetting" w:hAnsi="Arabic Typesetting" w:cs="Arabic Typesetting" w:hint="cs"/>
          <w:noProof/>
          <w:szCs w:val="34"/>
          <w:rtl/>
        </w:rPr>
        <w:t xml:space="preserve">وسوف يُجرى أيضاً الإبقاء على </w:t>
      </w:r>
      <w:r w:rsidRPr="005F25D0">
        <w:rPr>
          <w:rFonts w:ascii="Arabic Typesetting" w:hAnsi="Arabic Typesetting" w:cs="Arabic Typesetting"/>
          <w:noProof/>
          <w:szCs w:val="34"/>
          <w:rtl/>
        </w:rPr>
        <w:t>سلسلة المبادرات التي أ</w:t>
      </w:r>
      <w:r>
        <w:rPr>
          <w:rFonts w:ascii="Arabic Typesetting" w:hAnsi="Arabic Typesetting" w:cs="Arabic Typesetting" w:hint="cs"/>
          <w:noProof/>
          <w:szCs w:val="34"/>
          <w:rtl/>
        </w:rPr>
        <w:t>ُ</w:t>
      </w:r>
      <w:r w:rsidRPr="005F25D0">
        <w:rPr>
          <w:rFonts w:ascii="Arabic Typesetting" w:hAnsi="Arabic Typesetting" w:cs="Arabic Typesetting"/>
          <w:noProof/>
          <w:szCs w:val="34"/>
          <w:rtl/>
        </w:rPr>
        <w:t xml:space="preserve">طلقت في مطلع عام 2014 لتحسين الأداء في </w:t>
      </w:r>
      <w:r>
        <w:rPr>
          <w:rFonts w:ascii="Arabic Typesetting" w:hAnsi="Arabic Typesetting" w:cs="Arabic Typesetting" w:hint="cs"/>
          <w:noProof/>
          <w:szCs w:val="34"/>
          <w:rtl/>
        </w:rPr>
        <w:t>معالجة</w:t>
      </w:r>
      <w:r w:rsidRPr="005F25D0">
        <w:rPr>
          <w:rFonts w:ascii="Arabic Typesetting" w:hAnsi="Arabic Typesetting" w:cs="Arabic Typesetting"/>
          <w:noProof/>
          <w:szCs w:val="34"/>
          <w:rtl/>
        </w:rPr>
        <w:t xml:space="preserve"> طلبات</w:t>
      </w:r>
      <w:r>
        <w:rPr>
          <w:rFonts w:ascii="Arabic Typesetting" w:hAnsi="Arabic Typesetting" w:cs="Arabic Typesetting" w:hint="cs"/>
          <w:noProof/>
          <w:szCs w:val="34"/>
          <w:rtl/>
        </w:rPr>
        <w:t xml:space="preserve"> نظام </w:t>
      </w:r>
      <w:r w:rsidRPr="005F25D0">
        <w:rPr>
          <w:rFonts w:ascii="Arabic Typesetting" w:hAnsi="Arabic Typesetting" w:cs="Arabic Typesetting"/>
          <w:noProof/>
          <w:szCs w:val="34"/>
          <w:rtl/>
        </w:rPr>
        <w:t>مدريد الدولية وإدارة السجل الدولي. وس</w:t>
      </w:r>
      <w:r>
        <w:rPr>
          <w:rFonts w:ascii="Arabic Typesetting" w:hAnsi="Arabic Typesetting" w:cs="Arabic Typesetting" w:hint="cs"/>
          <w:noProof/>
          <w:szCs w:val="34"/>
          <w:rtl/>
        </w:rPr>
        <w:t>وف يُ</w:t>
      </w:r>
      <w:r w:rsidRPr="005F25D0">
        <w:rPr>
          <w:rFonts w:ascii="Arabic Typesetting" w:hAnsi="Arabic Typesetting" w:cs="Arabic Typesetting"/>
          <w:noProof/>
          <w:szCs w:val="34"/>
          <w:rtl/>
        </w:rPr>
        <w:t>عز</w:t>
      </w:r>
      <w:r>
        <w:rPr>
          <w:rFonts w:ascii="Arabic Typesetting" w:hAnsi="Arabic Typesetting" w:cs="Arabic Typesetting" w:hint="cs"/>
          <w:noProof/>
          <w:szCs w:val="34"/>
          <w:rtl/>
        </w:rPr>
        <w:t>َّ</w:t>
      </w:r>
      <w:r w:rsidRPr="005F25D0">
        <w:rPr>
          <w:rFonts w:ascii="Arabic Typesetting" w:hAnsi="Arabic Typesetting" w:cs="Arabic Typesetting"/>
          <w:noProof/>
          <w:szCs w:val="34"/>
          <w:rtl/>
        </w:rPr>
        <w:t>ز التقدم التأسيسي ال</w:t>
      </w:r>
      <w:r>
        <w:rPr>
          <w:rFonts w:ascii="Arabic Typesetting" w:hAnsi="Arabic Typesetting" w:cs="Arabic Typesetting" w:hint="cs"/>
          <w:noProof/>
          <w:szCs w:val="34"/>
          <w:rtl/>
        </w:rPr>
        <w:t>ذ</w:t>
      </w:r>
      <w:r w:rsidRPr="005F25D0">
        <w:rPr>
          <w:rFonts w:ascii="Arabic Typesetting" w:hAnsi="Arabic Typesetting" w:cs="Arabic Typesetting"/>
          <w:noProof/>
          <w:szCs w:val="34"/>
          <w:rtl/>
        </w:rPr>
        <w:t>ي تحقق بالفعل في مجالات</w:t>
      </w:r>
      <w:r>
        <w:rPr>
          <w:rFonts w:ascii="Arabic Typesetting" w:hAnsi="Arabic Typesetting" w:cs="Arabic Typesetting" w:hint="cs"/>
          <w:noProof/>
          <w:szCs w:val="34"/>
          <w:rtl/>
        </w:rPr>
        <w:t xml:space="preserve"> تخطيط</w:t>
      </w:r>
      <w:r w:rsidRPr="005F25D0">
        <w:rPr>
          <w:rFonts w:ascii="Arabic Typesetting" w:hAnsi="Arabic Typesetting" w:cs="Arabic Typesetting"/>
          <w:noProof/>
          <w:szCs w:val="34"/>
          <w:rtl/>
        </w:rPr>
        <w:t xml:space="preserve"> عبء العمل/ الموارد وخدمات ال</w:t>
      </w:r>
      <w:r>
        <w:rPr>
          <w:rFonts w:ascii="Arabic Typesetting" w:hAnsi="Arabic Typesetting" w:cs="Arabic Typesetting" w:hint="cs"/>
          <w:noProof/>
          <w:szCs w:val="34"/>
          <w:rtl/>
        </w:rPr>
        <w:t>زبائن</w:t>
      </w:r>
      <w:r w:rsidRPr="005F25D0">
        <w:rPr>
          <w:rFonts w:ascii="Arabic Typesetting" w:hAnsi="Arabic Typesetting" w:cs="Arabic Typesetting"/>
          <w:noProof/>
          <w:szCs w:val="34"/>
          <w:rtl/>
        </w:rPr>
        <w:t xml:space="preserve"> وتدريب الموظفين</w:t>
      </w:r>
      <w:r>
        <w:rPr>
          <w:rFonts w:ascii="Arabic Typesetting" w:hAnsi="Arabic Typesetting" w:cs="Arabic Typesetting" w:hint="cs"/>
          <w:noProof/>
          <w:szCs w:val="34"/>
          <w:rtl/>
        </w:rPr>
        <w:t>؛</w:t>
      </w:r>
      <w:r w:rsidRPr="005F25D0">
        <w:rPr>
          <w:rFonts w:ascii="Arabic Typesetting" w:hAnsi="Arabic Typesetting" w:cs="Arabic Typesetting"/>
          <w:noProof/>
          <w:szCs w:val="34"/>
          <w:rtl/>
        </w:rPr>
        <w:t xml:space="preserve"> بهدف تحقيق منافع ملموسة للمستخدمين</w:t>
      </w:r>
      <w:r>
        <w:rPr>
          <w:rFonts w:ascii="Arabic Typesetting" w:hAnsi="Arabic Typesetting" w:cs="Arabic Typesetting" w:hint="cs"/>
          <w:noProof/>
          <w:szCs w:val="34"/>
          <w:rtl/>
        </w:rPr>
        <w:t xml:space="preserve"> من</w:t>
      </w:r>
      <w:r w:rsidRPr="005F25D0">
        <w:rPr>
          <w:rFonts w:ascii="Arabic Typesetting" w:hAnsi="Arabic Typesetting" w:cs="Arabic Typesetting"/>
          <w:noProof/>
          <w:szCs w:val="34"/>
          <w:rtl/>
        </w:rPr>
        <w:t xml:space="preserve"> القطاع الخاص و</w:t>
      </w:r>
      <w:r>
        <w:rPr>
          <w:rFonts w:ascii="Arabic Typesetting" w:hAnsi="Arabic Typesetting" w:cs="Arabic Typesetting" w:hint="cs"/>
          <w:noProof/>
          <w:szCs w:val="34"/>
          <w:rtl/>
        </w:rPr>
        <w:t>ال</w:t>
      </w:r>
      <w:r w:rsidRPr="005F25D0">
        <w:rPr>
          <w:rFonts w:ascii="Arabic Typesetting" w:hAnsi="Arabic Typesetting" w:cs="Arabic Typesetting"/>
          <w:noProof/>
          <w:szCs w:val="34"/>
          <w:rtl/>
        </w:rPr>
        <w:t xml:space="preserve">مكاتب. </w:t>
      </w:r>
      <w:r>
        <w:rPr>
          <w:rFonts w:ascii="Arabic Typesetting" w:hAnsi="Arabic Typesetting" w:cs="Arabic Typesetting" w:hint="cs"/>
          <w:noProof/>
          <w:szCs w:val="34"/>
          <w:rtl/>
        </w:rPr>
        <w:t>ونظراً لاستمرار نضج</w:t>
      </w:r>
      <w:r w:rsidRPr="005F25D0">
        <w:rPr>
          <w:rFonts w:ascii="Arabic Typesetting" w:hAnsi="Arabic Typesetting" w:cs="Arabic Typesetting"/>
          <w:noProof/>
          <w:szCs w:val="34"/>
          <w:rtl/>
        </w:rPr>
        <w:t xml:space="preserve"> جوانب </w:t>
      </w:r>
      <w:r>
        <w:rPr>
          <w:rFonts w:ascii="Arabic Typesetting" w:hAnsi="Arabic Typesetting" w:cs="Arabic Typesetting" w:hint="cs"/>
          <w:noProof/>
          <w:szCs w:val="34"/>
          <w:rtl/>
        </w:rPr>
        <w:t>ال</w:t>
      </w:r>
      <w:r w:rsidRPr="005F25D0">
        <w:rPr>
          <w:rFonts w:ascii="Arabic Typesetting" w:hAnsi="Arabic Typesetting" w:cs="Arabic Typesetting"/>
          <w:noProof/>
          <w:szCs w:val="34"/>
          <w:rtl/>
        </w:rPr>
        <w:t xml:space="preserve">عمل هذه، سيتحول التركيز بشكل متزايد </w:t>
      </w:r>
      <w:r>
        <w:rPr>
          <w:rFonts w:ascii="Arabic Typesetting" w:hAnsi="Arabic Typesetting" w:cs="Arabic Typesetting" w:hint="cs"/>
          <w:noProof/>
          <w:szCs w:val="34"/>
          <w:rtl/>
        </w:rPr>
        <w:t>إلى</w:t>
      </w:r>
      <w:r w:rsidRPr="005F25D0">
        <w:rPr>
          <w:rFonts w:ascii="Arabic Typesetting" w:hAnsi="Arabic Typesetting" w:cs="Arabic Typesetting"/>
          <w:noProof/>
          <w:szCs w:val="34"/>
          <w:rtl/>
        </w:rPr>
        <w:t xml:space="preserve"> الجودة، بما في ذلك نتائج </w:t>
      </w:r>
      <w:r>
        <w:rPr>
          <w:rFonts w:ascii="Arabic Typesetting" w:hAnsi="Arabic Typesetting" w:cs="Arabic Typesetting" w:hint="cs"/>
          <w:noProof/>
          <w:szCs w:val="34"/>
          <w:rtl/>
        </w:rPr>
        <w:t>الفحص ال</w:t>
      </w:r>
      <w:r w:rsidRPr="005F25D0">
        <w:rPr>
          <w:rFonts w:ascii="Arabic Typesetting" w:hAnsi="Arabic Typesetting" w:cs="Arabic Typesetting"/>
          <w:noProof/>
          <w:szCs w:val="34"/>
          <w:rtl/>
        </w:rPr>
        <w:t>أكثر اتساقا</w:t>
      </w:r>
      <w:r>
        <w:rPr>
          <w:rFonts w:ascii="Arabic Typesetting" w:hAnsi="Arabic Typesetting" w:cs="Arabic Typesetting" w:hint="cs"/>
          <w:noProof/>
          <w:szCs w:val="34"/>
          <w:rtl/>
        </w:rPr>
        <w:t>ً</w:t>
      </w:r>
      <w:r w:rsidRPr="005F25D0">
        <w:rPr>
          <w:rFonts w:ascii="Arabic Typesetting" w:hAnsi="Arabic Typesetting" w:cs="Arabic Typesetting"/>
          <w:noProof/>
          <w:szCs w:val="34"/>
          <w:rtl/>
        </w:rPr>
        <w:t xml:space="preserve"> و</w:t>
      </w:r>
      <w:r>
        <w:rPr>
          <w:rFonts w:ascii="Arabic Typesetting" w:hAnsi="Arabic Typesetting" w:cs="Arabic Typesetting" w:hint="cs"/>
          <w:noProof/>
          <w:szCs w:val="34"/>
          <w:rtl/>
        </w:rPr>
        <w:t>قابليةً ل</w:t>
      </w:r>
      <w:r w:rsidRPr="005F25D0">
        <w:rPr>
          <w:rFonts w:ascii="Arabic Typesetting" w:hAnsi="Arabic Typesetting" w:cs="Arabic Typesetting"/>
          <w:noProof/>
          <w:szCs w:val="34"/>
          <w:rtl/>
        </w:rPr>
        <w:t xml:space="preserve">لتنبؤ بها من خلال تعزيز وثائق الفحص والتحكم في العمليات. </w:t>
      </w:r>
      <w:r>
        <w:rPr>
          <w:rFonts w:ascii="Arabic Typesetting" w:hAnsi="Arabic Typesetting" w:cs="Arabic Typesetting" w:hint="cs"/>
          <w:noProof/>
          <w:szCs w:val="34"/>
          <w:rtl/>
        </w:rPr>
        <w:t>وإلى جانب</w:t>
      </w:r>
      <w:r w:rsidRPr="005F25D0">
        <w:rPr>
          <w:rFonts w:ascii="Arabic Typesetting" w:hAnsi="Arabic Typesetting" w:cs="Arabic Typesetting"/>
          <w:noProof/>
          <w:szCs w:val="34"/>
          <w:rtl/>
        </w:rPr>
        <w:t xml:space="preserve"> ذلك، س</w:t>
      </w:r>
      <w:r>
        <w:rPr>
          <w:rFonts w:ascii="Arabic Typesetting" w:hAnsi="Arabic Typesetting" w:cs="Arabic Typesetting" w:hint="cs"/>
          <w:noProof/>
          <w:szCs w:val="34"/>
          <w:rtl/>
        </w:rPr>
        <w:t>تُ</w:t>
      </w:r>
      <w:r w:rsidRPr="005F25D0">
        <w:rPr>
          <w:rFonts w:ascii="Arabic Typesetting" w:hAnsi="Arabic Typesetting" w:cs="Arabic Typesetting"/>
          <w:noProof/>
          <w:szCs w:val="34"/>
          <w:rtl/>
        </w:rPr>
        <w:t xml:space="preserve">بذل جهود خاصة </w:t>
      </w:r>
      <w:r>
        <w:rPr>
          <w:rFonts w:ascii="Arabic Typesetting" w:hAnsi="Arabic Typesetting" w:cs="Arabic Typesetting" w:hint="cs"/>
          <w:noProof/>
          <w:szCs w:val="34"/>
          <w:rtl/>
        </w:rPr>
        <w:t xml:space="preserve">لزيادة فعالية </w:t>
      </w:r>
      <w:r w:rsidRPr="005F25D0">
        <w:rPr>
          <w:rFonts w:ascii="Arabic Typesetting" w:hAnsi="Arabic Typesetting" w:cs="Arabic Typesetting"/>
          <w:noProof/>
          <w:szCs w:val="34"/>
          <w:rtl/>
        </w:rPr>
        <w:t xml:space="preserve">عملية التصنيف </w:t>
      </w:r>
      <w:r>
        <w:rPr>
          <w:rFonts w:ascii="Arabic Typesetting" w:hAnsi="Arabic Typesetting" w:cs="Arabic Typesetting" w:hint="cs"/>
          <w:noProof/>
          <w:szCs w:val="34"/>
          <w:rtl/>
        </w:rPr>
        <w:t xml:space="preserve">التي يقوم بها المكتب الدولي، وذلك </w:t>
      </w:r>
      <w:r w:rsidRPr="005F25D0">
        <w:rPr>
          <w:rFonts w:ascii="Arabic Typesetting" w:hAnsi="Arabic Typesetting" w:cs="Arabic Typesetting"/>
          <w:noProof/>
          <w:szCs w:val="34"/>
          <w:rtl/>
        </w:rPr>
        <w:t xml:space="preserve">من خلال النهوض </w:t>
      </w:r>
      <w:r>
        <w:rPr>
          <w:rFonts w:ascii="Arabic Typesetting" w:hAnsi="Arabic Typesetting" w:cs="Arabic Typesetting" w:hint="cs"/>
          <w:noProof/>
          <w:szCs w:val="34"/>
          <w:rtl/>
        </w:rPr>
        <w:t>ب</w:t>
      </w:r>
      <w:r w:rsidRPr="005F25D0">
        <w:rPr>
          <w:rFonts w:ascii="Arabic Typesetting" w:hAnsi="Arabic Typesetting" w:cs="Arabic Typesetting"/>
          <w:noProof/>
          <w:szCs w:val="34"/>
          <w:rtl/>
        </w:rPr>
        <w:t>تطوير منصة</w:t>
      </w:r>
      <w:r>
        <w:rPr>
          <w:rFonts w:ascii="Arabic Typesetting" w:hAnsi="Arabic Typesetting" w:cs="Arabic Typesetting" w:hint="cs"/>
          <w:noProof/>
          <w:szCs w:val="34"/>
          <w:rtl/>
        </w:rPr>
        <w:t>ٍ</w:t>
      </w:r>
      <w:r w:rsidRPr="005F25D0">
        <w:rPr>
          <w:rFonts w:ascii="Arabic Typesetting" w:hAnsi="Arabic Typesetting" w:cs="Arabic Typesetting"/>
          <w:noProof/>
          <w:szCs w:val="34"/>
          <w:rtl/>
        </w:rPr>
        <w:t xml:space="preserve"> سلس</w:t>
      </w:r>
      <w:r>
        <w:rPr>
          <w:rFonts w:ascii="Arabic Typesetting" w:hAnsi="Arabic Typesetting" w:cs="Arabic Typesetting" w:hint="cs"/>
          <w:noProof/>
          <w:szCs w:val="34"/>
          <w:rtl/>
        </w:rPr>
        <w:t>ةٍ</w:t>
      </w:r>
      <w:r w:rsidRPr="005F25D0">
        <w:rPr>
          <w:rFonts w:ascii="Arabic Typesetting" w:hAnsi="Arabic Typesetting" w:cs="Arabic Typesetting"/>
          <w:noProof/>
          <w:szCs w:val="34"/>
          <w:rtl/>
        </w:rPr>
        <w:t xml:space="preserve"> للسلع والخدمات</w:t>
      </w:r>
      <w:r>
        <w:rPr>
          <w:rFonts w:ascii="Arabic Typesetting" w:hAnsi="Arabic Typesetting" w:cs="Arabic Typesetting" w:hint="cs"/>
          <w:noProof/>
          <w:szCs w:val="34"/>
          <w:rtl/>
        </w:rPr>
        <w:t xml:space="preserve"> المدرجة في تصنيف</w:t>
      </w:r>
      <w:r w:rsidRPr="005F25D0">
        <w:rPr>
          <w:rFonts w:ascii="Arabic Typesetting" w:hAnsi="Arabic Typesetting" w:cs="Arabic Typesetting"/>
          <w:noProof/>
          <w:szCs w:val="34"/>
          <w:rtl/>
        </w:rPr>
        <w:t xml:space="preserve"> نيس وقاعدة بيانات </w:t>
      </w:r>
      <w:r w:rsidRPr="00C66B50">
        <w:rPr>
          <w:rFonts w:ascii="Arabic Typesetting" w:hAnsi="Arabic Typesetting" w:cs="Arabic Typesetting"/>
          <w:noProof/>
          <w:szCs w:val="34"/>
          <w:rtl/>
        </w:rPr>
        <w:t>إدارة السلع والخدمات في نظام مدريد (</w:t>
      </w:r>
      <w:r w:rsidRPr="009A4CA1">
        <w:rPr>
          <w:rFonts w:ascii="Arabic Typesetting" w:hAnsi="Arabic Typesetting" w:cs="Arabic Typesetting"/>
          <w:noProof/>
          <w:sz w:val="36"/>
          <w:szCs w:val="36"/>
        </w:rPr>
        <w:t>MGS</w:t>
      </w:r>
      <w:r w:rsidRPr="00C66B50">
        <w:rPr>
          <w:rFonts w:ascii="Arabic Typesetting" w:hAnsi="Arabic Typesetting" w:cs="Arabic Typesetting"/>
          <w:noProof/>
          <w:szCs w:val="34"/>
          <w:rtl/>
        </w:rPr>
        <w:t xml:space="preserve">) </w:t>
      </w:r>
      <w:r>
        <w:rPr>
          <w:rFonts w:ascii="Arabic Typesetting" w:hAnsi="Arabic Typesetting" w:cs="Arabic Typesetting" w:hint="cs"/>
          <w:noProof/>
          <w:szCs w:val="34"/>
          <w:rtl/>
        </w:rPr>
        <w:t>من أجل</w:t>
      </w:r>
      <w:r w:rsidRPr="005F25D0">
        <w:rPr>
          <w:rFonts w:ascii="Arabic Typesetting" w:hAnsi="Arabic Typesetting" w:cs="Arabic Typesetting"/>
          <w:noProof/>
          <w:szCs w:val="34"/>
          <w:rtl/>
        </w:rPr>
        <w:t xml:space="preserve"> </w:t>
      </w:r>
      <w:r>
        <w:rPr>
          <w:rFonts w:ascii="Arabic Typesetting" w:hAnsi="Arabic Typesetting" w:cs="Arabic Typesetting" w:hint="cs"/>
          <w:noProof/>
          <w:szCs w:val="34"/>
          <w:rtl/>
        </w:rPr>
        <w:t>زيادة شفافية ممارسات ال</w:t>
      </w:r>
      <w:r w:rsidRPr="005F25D0">
        <w:rPr>
          <w:rFonts w:ascii="Arabic Typesetting" w:hAnsi="Arabic Typesetting" w:cs="Arabic Typesetting"/>
          <w:noProof/>
          <w:szCs w:val="34"/>
          <w:rtl/>
        </w:rPr>
        <w:t>تصنيف في جميع المكاتب المعنية.</w:t>
      </w:r>
    </w:p>
    <w:p w:rsidR="006D7321" w:rsidRPr="008954A8" w:rsidRDefault="006D7321" w:rsidP="00861CFF">
      <w:pPr>
        <w:numPr>
          <w:ilvl w:val="0"/>
          <w:numId w:val="18"/>
        </w:numPr>
        <w:adjustRightInd w:val="0"/>
        <w:snapToGrid w:val="0"/>
        <w:spacing w:after="120" w:line="340" w:lineRule="exact"/>
        <w:ind w:hanging="2"/>
        <w:jc w:val="both"/>
        <w:rPr>
          <w:rFonts w:ascii="Arabic Typesetting" w:hAnsi="Arabic Typesetting" w:cs="Arabic Typesetting"/>
          <w:szCs w:val="34"/>
        </w:rPr>
      </w:pPr>
      <w:r>
        <w:rPr>
          <w:rFonts w:ascii="Arabic Typesetting" w:hAnsi="Arabic Typesetting" w:cs="Arabic Typesetting" w:hint="cs"/>
          <w:szCs w:val="34"/>
          <w:rtl/>
        </w:rPr>
        <w:t>و</w:t>
      </w:r>
      <w:r w:rsidRPr="0023625E">
        <w:rPr>
          <w:rFonts w:ascii="Arabic Typesetting" w:hAnsi="Arabic Typesetting" w:cs="Arabic Typesetting"/>
          <w:szCs w:val="34"/>
          <w:rtl/>
        </w:rPr>
        <w:t xml:space="preserve">في مجال </w:t>
      </w:r>
      <w:r>
        <w:rPr>
          <w:rFonts w:ascii="Arabic Typesetting" w:hAnsi="Arabic Typesetting" w:cs="Arabic Typesetting" w:hint="cs"/>
          <w:szCs w:val="34"/>
          <w:rtl/>
        </w:rPr>
        <w:t>الترويج</w:t>
      </w:r>
      <w:r w:rsidRPr="0023625E">
        <w:rPr>
          <w:rFonts w:ascii="Arabic Typesetting" w:hAnsi="Arabic Typesetting" w:cs="Arabic Typesetting"/>
          <w:szCs w:val="34"/>
          <w:rtl/>
        </w:rPr>
        <w:t>، س</w:t>
      </w:r>
      <w:r>
        <w:rPr>
          <w:rFonts w:ascii="Arabic Typesetting" w:hAnsi="Arabic Typesetting" w:cs="Arabic Typesetting" w:hint="cs"/>
          <w:szCs w:val="34"/>
          <w:rtl/>
        </w:rPr>
        <w:t xml:space="preserve">ينصب </w:t>
      </w:r>
      <w:r w:rsidRPr="0023625E">
        <w:rPr>
          <w:rFonts w:ascii="Arabic Typesetting" w:hAnsi="Arabic Typesetting" w:cs="Arabic Typesetting"/>
          <w:szCs w:val="34"/>
          <w:rtl/>
        </w:rPr>
        <w:t>تركيز</w:t>
      </w:r>
      <w:r>
        <w:rPr>
          <w:rFonts w:ascii="Arabic Typesetting" w:hAnsi="Arabic Typesetting" w:cs="Arabic Typesetting" w:hint="cs"/>
          <w:szCs w:val="34"/>
          <w:rtl/>
        </w:rPr>
        <w:t>ٌ</w:t>
      </w:r>
      <w:r w:rsidRPr="0023625E">
        <w:rPr>
          <w:rFonts w:ascii="Arabic Typesetting" w:hAnsi="Arabic Typesetting" w:cs="Arabic Typesetting"/>
          <w:szCs w:val="34"/>
          <w:rtl/>
        </w:rPr>
        <w:t xml:space="preserve"> أكبر على </w:t>
      </w:r>
      <w:r>
        <w:rPr>
          <w:rFonts w:ascii="Arabic Typesetting" w:hAnsi="Arabic Typesetting" w:cs="Arabic Typesetting" w:hint="cs"/>
          <w:szCs w:val="34"/>
          <w:rtl/>
        </w:rPr>
        <w:t xml:space="preserve">دراسة الأسواق </w:t>
      </w:r>
      <w:r w:rsidRPr="0023625E">
        <w:rPr>
          <w:rFonts w:ascii="Arabic Typesetting" w:hAnsi="Arabic Typesetting" w:cs="Arabic Typesetting"/>
          <w:szCs w:val="34"/>
          <w:rtl/>
        </w:rPr>
        <w:t xml:space="preserve">وخطط التسويق </w:t>
      </w:r>
      <w:r>
        <w:rPr>
          <w:rFonts w:ascii="Arabic Typesetting" w:hAnsi="Arabic Typesetting" w:cs="Arabic Typesetting" w:hint="cs"/>
          <w:szCs w:val="34"/>
          <w:rtl/>
        </w:rPr>
        <w:t>و</w:t>
      </w:r>
      <w:r w:rsidRPr="0023625E">
        <w:rPr>
          <w:rFonts w:ascii="Arabic Typesetting" w:hAnsi="Arabic Typesetting" w:cs="Arabic Typesetting"/>
          <w:szCs w:val="34"/>
          <w:rtl/>
        </w:rPr>
        <w:t xml:space="preserve">التوعية </w:t>
      </w:r>
      <w:r>
        <w:rPr>
          <w:rFonts w:ascii="Arabic Typesetting" w:hAnsi="Arabic Typesetting" w:cs="Arabic Typesetting" w:hint="cs"/>
          <w:szCs w:val="34"/>
          <w:rtl/>
        </w:rPr>
        <w:t xml:space="preserve">المُعدَّة خصيصاً لتلبية </w:t>
      </w:r>
      <w:r w:rsidRPr="0023625E">
        <w:rPr>
          <w:rFonts w:ascii="Arabic Typesetting" w:hAnsi="Arabic Typesetting" w:cs="Arabic Typesetting"/>
          <w:szCs w:val="34"/>
          <w:rtl/>
        </w:rPr>
        <w:t xml:space="preserve">احتياجات </w:t>
      </w:r>
      <w:r>
        <w:rPr>
          <w:rFonts w:ascii="Arabic Typesetting" w:hAnsi="Arabic Typesetting" w:cs="Arabic Typesetting" w:hint="cs"/>
          <w:szCs w:val="34"/>
          <w:rtl/>
        </w:rPr>
        <w:t>مُحدَّدة ل</w:t>
      </w:r>
      <w:r w:rsidRPr="0023625E">
        <w:rPr>
          <w:rFonts w:ascii="Arabic Typesetting" w:hAnsi="Arabic Typesetting" w:cs="Arabic Typesetting"/>
          <w:szCs w:val="34"/>
          <w:rtl/>
        </w:rPr>
        <w:t>لمستخدمين المحليين المحتملين</w:t>
      </w:r>
      <w:r>
        <w:rPr>
          <w:rFonts w:ascii="Arabic Typesetting" w:hAnsi="Arabic Typesetting" w:cs="Arabic Typesetting" w:hint="cs"/>
          <w:szCs w:val="34"/>
          <w:rtl/>
        </w:rPr>
        <w:t xml:space="preserve"> </w:t>
      </w:r>
      <w:r w:rsidRPr="00017DB3">
        <w:rPr>
          <w:rFonts w:ascii="Arabic Typesetting" w:hAnsi="Arabic Typesetting" w:cs="Arabic Typesetting" w:hint="cs"/>
          <w:szCs w:val="34"/>
          <w:rtl/>
        </w:rPr>
        <w:t>ولقطاعات</w:t>
      </w:r>
      <w:r w:rsidRPr="00017DB3">
        <w:rPr>
          <w:rFonts w:ascii="Arabic Typesetting" w:hAnsi="Arabic Typesetting" w:cs="Arabic Typesetting"/>
          <w:szCs w:val="34"/>
          <w:rtl/>
        </w:rPr>
        <w:t xml:space="preserve"> </w:t>
      </w:r>
      <w:r w:rsidRPr="00017DB3">
        <w:rPr>
          <w:rFonts w:ascii="Arabic Typesetting" w:hAnsi="Arabic Typesetting" w:cs="Arabic Typesetting" w:hint="cs"/>
          <w:szCs w:val="34"/>
          <w:rtl/>
        </w:rPr>
        <w:t>معينة منهم</w:t>
      </w:r>
      <w:r w:rsidRPr="0023625E">
        <w:rPr>
          <w:rFonts w:ascii="Arabic Typesetting" w:hAnsi="Arabic Typesetting" w:cs="Arabic Typesetting"/>
          <w:szCs w:val="34"/>
          <w:rtl/>
        </w:rPr>
        <w:t xml:space="preserve">. </w:t>
      </w:r>
      <w:r>
        <w:rPr>
          <w:rFonts w:ascii="Arabic Typesetting" w:hAnsi="Arabic Typesetting" w:cs="Arabic Typesetting" w:hint="cs"/>
          <w:szCs w:val="34"/>
          <w:rtl/>
        </w:rPr>
        <w:t xml:space="preserve">وسوف تُنشر على الموقع الإلكتروني للمكتب الدولي </w:t>
      </w:r>
      <w:r w:rsidRPr="0023625E">
        <w:rPr>
          <w:rFonts w:ascii="Arabic Typesetting" w:hAnsi="Arabic Typesetting" w:cs="Arabic Typesetting"/>
          <w:szCs w:val="34"/>
          <w:rtl/>
        </w:rPr>
        <w:t>معلومات</w:t>
      </w:r>
      <w:r>
        <w:rPr>
          <w:rFonts w:ascii="Arabic Typesetting" w:hAnsi="Arabic Typesetting" w:cs="Arabic Typesetting" w:hint="cs"/>
          <w:szCs w:val="34"/>
          <w:rtl/>
        </w:rPr>
        <w:t xml:space="preserve"> إضافية</w:t>
      </w:r>
      <w:r w:rsidRPr="0023625E">
        <w:rPr>
          <w:rFonts w:ascii="Arabic Typesetting" w:hAnsi="Arabic Typesetting" w:cs="Arabic Typesetting"/>
          <w:szCs w:val="34"/>
          <w:rtl/>
        </w:rPr>
        <w:t xml:space="preserve"> </w:t>
      </w:r>
      <w:r>
        <w:rPr>
          <w:rFonts w:ascii="Arabic Typesetting" w:hAnsi="Arabic Typesetting" w:cs="Arabic Typesetting" w:hint="cs"/>
          <w:szCs w:val="34"/>
          <w:rtl/>
        </w:rPr>
        <w:t xml:space="preserve">وذات جودة مُحسَّنة </w:t>
      </w:r>
      <w:r w:rsidRPr="0023625E">
        <w:rPr>
          <w:rFonts w:ascii="Arabic Typesetting" w:hAnsi="Arabic Typesetting" w:cs="Arabic Typesetting"/>
          <w:szCs w:val="34"/>
          <w:rtl/>
        </w:rPr>
        <w:t xml:space="preserve">بشأن نظام مدريد، بما في ذلك ممارسات الفحص داخل </w:t>
      </w:r>
      <w:r>
        <w:rPr>
          <w:rFonts w:ascii="Arabic Typesetting" w:hAnsi="Arabic Typesetting" w:cs="Arabic Typesetting" w:hint="cs"/>
          <w:szCs w:val="34"/>
          <w:rtl/>
        </w:rPr>
        <w:t xml:space="preserve">المكتب الدولي </w:t>
      </w:r>
      <w:r w:rsidRPr="0023625E">
        <w:rPr>
          <w:rFonts w:ascii="Arabic Typesetting" w:hAnsi="Arabic Typesetting" w:cs="Arabic Typesetting"/>
          <w:szCs w:val="34"/>
          <w:rtl/>
        </w:rPr>
        <w:t>و</w:t>
      </w:r>
      <w:r>
        <w:rPr>
          <w:rFonts w:ascii="Arabic Typesetting" w:hAnsi="Arabic Typesetting" w:cs="Arabic Typesetting" w:hint="cs"/>
          <w:szCs w:val="34"/>
          <w:rtl/>
        </w:rPr>
        <w:t xml:space="preserve">في </w:t>
      </w:r>
      <w:r w:rsidRPr="0023625E">
        <w:rPr>
          <w:rFonts w:ascii="Arabic Typesetting" w:hAnsi="Arabic Typesetting" w:cs="Arabic Typesetting"/>
          <w:szCs w:val="34"/>
          <w:rtl/>
        </w:rPr>
        <w:t>الأطراف المتعاقدة المعينة</w:t>
      </w:r>
      <w:r>
        <w:rPr>
          <w:rFonts w:ascii="Arabic Typesetting" w:hAnsi="Arabic Typesetting" w:cs="Arabic Typesetting" w:hint="cs"/>
          <w:szCs w:val="34"/>
          <w:rtl/>
        </w:rPr>
        <w:t xml:space="preserve"> على حد سواء</w:t>
      </w:r>
      <w:r w:rsidRPr="0023625E">
        <w:rPr>
          <w:rFonts w:ascii="Arabic Typesetting" w:hAnsi="Arabic Typesetting" w:cs="Arabic Typesetting"/>
          <w:szCs w:val="34"/>
          <w:rtl/>
        </w:rPr>
        <w:t xml:space="preserve">، </w:t>
      </w:r>
      <w:r>
        <w:rPr>
          <w:rFonts w:ascii="Arabic Typesetting" w:hAnsi="Arabic Typesetting" w:cs="Arabic Typesetting" w:hint="cs"/>
          <w:szCs w:val="34"/>
          <w:rtl/>
        </w:rPr>
        <w:t>مما ي</w:t>
      </w:r>
      <w:r w:rsidRPr="0023625E">
        <w:rPr>
          <w:rFonts w:ascii="Arabic Typesetting" w:hAnsi="Arabic Typesetting" w:cs="Arabic Typesetting"/>
          <w:szCs w:val="34"/>
          <w:rtl/>
        </w:rPr>
        <w:t>لبي احتياجات كل</w:t>
      </w:r>
      <w:r>
        <w:rPr>
          <w:rFonts w:ascii="Arabic Typesetting" w:hAnsi="Arabic Typesetting" w:cs="Arabic Typesetting" w:hint="cs"/>
          <w:szCs w:val="34"/>
          <w:rtl/>
        </w:rPr>
        <w:t>ٍّ</w:t>
      </w:r>
      <w:r w:rsidRPr="0023625E">
        <w:rPr>
          <w:rFonts w:ascii="Arabic Typesetting" w:hAnsi="Arabic Typesetting" w:cs="Arabic Typesetting"/>
          <w:szCs w:val="34"/>
          <w:rtl/>
        </w:rPr>
        <w:t xml:space="preserve"> </w:t>
      </w:r>
      <w:r>
        <w:rPr>
          <w:rFonts w:ascii="Arabic Typesetting" w:hAnsi="Arabic Typesetting" w:cs="Arabic Typesetting" w:hint="cs"/>
          <w:szCs w:val="34"/>
          <w:rtl/>
        </w:rPr>
        <w:t xml:space="preserve">من </w:t>
      </w:r>
      <w:r w:rsidRPr="0023625E">
        <w:rPr>
          <w:rFonts w:ascii="Arabic Typesetting" w:hAnsi="Arabic Typesetting" w:cs="Arabic Typesetting"/>
          <w:szCs w:val="34"/>
          <w:rtl/>
        </w:rPr>
        <w:t>المستخدمين الجدد و</w:t>
      </w:r>
      <w:r>
        <w:rPr>
          <w:rFonts w:ascii="Arabic Typesetting" w:hAnsi="Arabic Typesetting" w:cs="Arabic Typesetting" w:hint="cs"/>
          <w:szCs w:val="34"/>
          <w:rtl/>
        </w:rPr>
        <w:t>ال</w:t>
      </w:r>
      <w:r w:rsidRPr="0023625E">
        <w:rPr>
          <w:rFonts w:ascii="Arabic Typesetting" w:hAnsi="Arabic Typesetting" w:cs="Arabic Typesetting"/>
          <w:szCs w:val="34"/>
          <w:rtl/>
        </w:rPr>
        <w:t>أكثر خبرة.</w:t>
      </w:r>
      <w:r>
        <w:rPr>
          <w:rFonts w:ascii="Arabic Typesetting" w:hAnsi="Arabic Typesetting" w:cs="Arabic Typesetting" w:hint="cs"/>
          <w:szCs w:val="34"/>
          <w:rtl/>
        </w:rPr>
        <w:t xml:space="preserve"> وال</w:t>
      </w:r>
      <w:r w:rsidRPr="0023625E">
        <w:rPr>
          <w:rFonts w:ascii="Arabic Typesetting" w:hAnsi="Arabic Typesetting" w:cs="Arabic Typesetting"/>
          <w:szCs w:val="34"/>
          <w:rtl/>
        </w:rPr>
        <w:t>أدوات الحالية</w:t>
      </w:r>
      <w:r>
        <w:rPr>
          <w:rFonts w:ascii="Arabic Typesetting" w:hAnsi="Arabic Typesetting" w:cs="Arabic Typesetting" w:hint="cs"/>
          <w:szCs w:val="34"/>
          <w:rtl/>
        </w:rPr>
        <w:t xml:space="preserve"> المتاحة على شبكة الإنترنت</w:t>
      </w:r>
      <w:r w:rsidRPr="0023625E">
        <w:rPr>
          <w:rFonts w:ascii="Arabic Typesetting" w:hAnsi="Arabic Typesetting" w:cs="Arabic Typesetting"/>
          <w:szCs w:val="34"/>
          <w:rtl/>
        </w:rPr>
        <w:t xml:space="preserve"> لإدارة </w:t>
      </w:r>
      <w:r>
        <w:rPr>
          <w:rFonts w:ascii="Arabic Typesetting" w:hAnsi="Arabic Typesetting" w:cs="Arabic Typesetting" w:hint="cs"/>
          <w:szCs w:val="34"/>
          <w:rtl/>
        </w:rPr>
        <w:t>محفظات</w:t>
      </w:r>
      <w:r w:rsidRPr="0023625E">
        <w:rPr>
          <w:rFonts w:ascii="Arabic Typesetting" w:hAnsi="Arabic Typesetting" w:cs="Arabic Typesetting"/>
          <w:szCs w:val="34"/>
          <w:rtl/>
        </w:rPr>
        <w:t xml:space="preserve"> العلامات التجارية </w:t>
      </w:r>
      <w:r>
        <w:rPr>
          <w:rFonts w:ascii="Arabic Typesetting" w:hAnsi="Arabic Typesetting" w:cs="Arabic Typesetting" w:hint="cs"/>
          <w:szCs w:val="34"/>
          <w:rtl/>
        </w:rPr>
        <w:t xml:space="preserve">في نظام </w:t>
      </w:r>
      <w:r w:rsidRPr="0023625E">
        <w:rPr>
          <w:rFonts w:ascii="Arabic Typesetting" w:hAnsi="Arabic Typesetting" w:cs="Arabic Typesetting"/>
          <w:szCs w:val="34"/>
          <w:rtl/>
        </w:rPr>
        <w:t xml:space="preserve">مدريد </w:t>
      </w:r>
      <w:r>
        <w:rPr>
          <w:rFonts w:ascii="Arabic Typesetting" w:hAnsi="Arabic Typesetting" w:cs="Arabic Typesetting" w:hint="cs"/>
          <w:szCs w:val="34"/>
          <w:rtl/>
        </w:rPr>
        <w:t xml:space="preserve">من قبل مالكي العلامات التجارية سوف </w:t>
      </w:r>
      <w:r w:rsidRPr="009D4342">
        <w:rPr>
          <w:rFonts w:ascii="Arabic Typesetting" w:hAnsi="Arabic Typesetting" w:cs="Arabic Typesetting" w:hint="cs"/>
          <w:szCs w:val="34"/>
          <w:rtl/>
        </w:rPr>
        <w:t>تُدرَج في</w:t>
      </w:r>
      <w:r>
        <w:rPr>
          <w:rFonts w:ascii="Arabic Typesetting" w:hAnsi="Arabic Typesetting" w:cs="Arabic Typesetting" w:hint="cs"/>
          <w:szCs w:val="34"/>
          <w:rtl/>
        </w:rPr>
        <w:t xml:space="preserve"> </w:t>
      </w:r>
      <w:r w:rsidRPr="0023625E">
        <w:rPr>
          <w:rFonts w:ascii="Arabic Typesetting" w:hAnsi="Arabic Typesetting" w:cs="Arabic Typesetting"/>
          <w:szCs w:val="34"/>
          <w:rtl/>
        </w:rPr>
        <w:t xml:space="preserve">بيئة إلكترونية متكاملة، </w:t>
      </w:r>
      <w:r>
        <w:rPr>
          <w:rFonts w:ascii="Arabic Typesetting" w:hAnsi="Arabic Typesetting" w:cs="Arabic Typesetting" w:hint="cs"/>
          <w:szCs w:val="34"/>
          <w:rtl/>
        </w:rPr>
        <w:t>مما يسمح ل</w:t>
      </w:r>
      <w:r w:rsidRPr="0023625E">
        <w:rPr>
          <w:rFonts w:ascii="Arabic Typesetting" w:hAnsi="Arabic Typesetting" w:cs="Arabic Typesetting"/>
          <w:szCs w:val="34"/>
          <w:rtl/>
        </w:rPr>
        <w:t xml:space="preserve">لمستخدمين </w:t>
      </w:r>
      <w:r>
        <w:rPr>
          <w:rFonts w:ascii="Arabic Typesetting" w:hAnsi="Arabic Typesetting" w:cs="Arabic Typesetting" w:hint="cs"/>
          <w:szCs w:val="34"/>
          <w:rtl/>
        </w:rPr>
        <w:t>بالبحث عن علاماتهم التجارية وإيداعها ورصدها وإدارتها عبر شبكة الإنترنت بسهولة</w:t>
      </w:r>
      <w:r w:rsidRPr="0023625E">
        <w:rPr>
          <w:rFonts w:ascii="Arabic Typesetting" w:hAnsi="Arabic Typesetting" w:cs="Arabic Typesetting"/>
          <w:szCs w:val="34"/>
          <w:rtl/>
        </w:rPr>
        <w:t>.</w:t>
      </w:r>
      <w:r>
        <w:rPr>
          <w:rFonts w:ascii="Arabic Typesetting" w:hAnsi="Arabic Typesetting" w:cs="Arabic Typesetting" w:hint="cs"/>
          <w:szCs w:val="34"/>
          <w:rtl/>
        </w:rPr>
        <w:t xml:space="preserve"> كما س</w:t>
      </w:r>
      <w:r w:rsidRPr="009D4342">
        <w:rPr>
          <w:rFonts w:ascii="Arabic Typesetting" w:hAnsi="Arabic Typesetting" w:cs="Arabic Typesetting" w:hint="cs"/>
          <w:szCs w:val="34"/>
          <w:rtl/>
        </w:rPr>
        <w:t>تُدرَج في</w:t>
      </w:r>
      <w:r>
        <w:rPr>
          <w:rFonts w:ascii="Arabic Typesetting" w:hAnsi="Arabic Typesetting" w:cs="Arabic Typesetting" w:hint="cs"/>
          <w:szCs w:val="34"/>
          <w:rtl/>
        </w:rPr>
        <w:t xml:space="preserve"> </w:t>
      </w:r>
      <w:r w:rsidRPr="0023625E">
        <w:rPr>
          <w:rFonts w:ascii="Arabic Typesetting" w:hAnsi="Arabic Typesetting" w:cs="Arabic Typesetting"/>
          <w:szCs w:val="34"/>
          <w:rtl/>
        </w:rPr>
        <w:t>بيئة إلكترونية متكاملة</w:t>
      </w:r>
      <w:r>
        <w:rPr>
          <w:rFonts w:ascii="Arabic Typesetting" w:hAnsi="Arabic Typesetting" w:cs="Arabic Typesetting" w:hint="cs"/>
          <w:szCs w:val="34"/>
          <w:rtl/>
        </w:rPr>
        <w:t xml:space="preserve"> ال</w:t>
      </w:r>
      <w:r w:rsidRPr="0023625E">
        <w:rPr>
          <w:rFonts w:ascii="Arabic Typesetting" w:hAnsi="Arabic Typesetting" w:cs="Arabic Typesetting"/>
          <w:szCs w:val="34"/>
          <w:rtl/>
        </w:rPr>
        <w:t>أدوات الحالية</w:t>
      </w:r>
      <w:r>
        <w:rPr>
          <w:rFonts w:ascii="Arabic Typesetting" w:hAnsi="Arabic Typesetting" w:cs="Arabic Typesetting" w:hint="cs"/>
          <w:szCs w:val="34"/>
          <w:rtl/>
        </w:rPr>
        <w:t xml:space="preserve"> التي تسمح للمكاتب عبر شبكة الإنترنت بإدارة طلبات مدريد </w:t>
      </w:r>
      <w:proofErr w:type="spellStart"/>
      <w:r>
        <w:rPr>
          <w:rFonts w:ascii="Arabic Typesetting" w:hAnsi="Arabic Typesetting" w:cs="Arabic Typesetting" w:hint="cs"/>
          <w:szCs w:val="34"/>
          <w:rtl/>
        </w:rPr>
        <w:t>وإخطارات</w:t>
      </w:r>
      <w:proofErr w:type="spellEnd"/>
      <w:r>
        <w:rPr>
          <w:rFonts w:ascii="Arabic Typesetting" w:hAnsi="Arabic Typesetting" w:cs="Arabic Typesetting" w:hint="cs"/>
          <w:szCs w:val="34"/>
          <w:rtl/>
        </w:rPr>
        <w:t xml:space="preserve"> التعيين وغير ذلك من </w:t>
      </w:r>
      <w:proofErr w:type="spellStart"/>
      <w:r>
        <w:rPr>
          <w:rFonts w:ascii="Arabic Typesetting" w:hAnsi="Arabic Typesetting" w:cs="Arabic Typesetting" w:hint="cs"/>
          <w:szCs w:val="34"/>
          <w:rtl/>
        </w:rPr>
        <w:t>الإخطارات</w:t>
      </w:r>
      <w:proofErr w:type="spellEnd"/>
      <w:r>
        <w:rPr>
          <w:rFonts w:ascii="Arabic Typesetting" w:hAnsi="Arabic Typesetting" w:cs="Arabic Typesetting" w:hint="cs"/>
          <w:szCs w:val="34"/>
          <w:rtl/>
        </w:rPr>
        <w:t xml:space="preserve"> الرسمية.</w:t>
      </w:r>
    </w:p>
    <w:p w:rsidR="006D7321" w:rsidRPr="008954A8" w:rsidRDefault="006D7321" w:rsidP="00861CFF">
      <w:pPr>
        <w:numPr>
          <w:ilvl w:val="0"/>
          <w:numId w:val="18"/>
        </w:numPr>
        <w:adjustRightInd w:val="0"/>
        <w:snapToGrid w:val="0"/>
        <w:spacing w:after="120" w:line="340" w:lineRule="exact"/>
        <w:ind w:hanging="2"/>
        <w:jc w:val="both"/>
        <w:rPr>
          <w:rFonts w:ascii="Arabic Typesetting" w:hAnsi="Arabic Typesetting" w:cs="Arabic Typesetting"/>
          <w:szCs w:val="34"/>
        </w:rPr>
      </w:pPr>
      <w:r>
        <w:rPr>
          <w:rFonts w:ascii="Arabic Typesetting" w:hAnsi="Arabic Typesetting" w:cs="Arabic Typesetting" w:hint="cs"/>
          <w:noProof/>
          <w:szCs w:val="34"/>
          <w:rtl/>
        </w:rPr>
        <w:t>و</w:t>
      </w:r>
      <w:r w:rsidRPr="000E1B88">
        <w:rPr>
          <w:rFonts w:ascii="Arabic Typesetting" w:hAnsi="Arabic Typesetting" w:cs="Arabic Typesetting"/>
          <w:noProof/>
          <w:szCs w:val="34"/>
          <w:rtl/>
        </w:rPr>
        <w:t xml:space="preserve">مع التوسع السريع في </w:t>
      </w:r>
      <w:r>
        <w:rPr>
          <w:rFonts w:ascii="Arabic Typesetting" w:hAnsi="Arabic Typesetting" w:cs="Arabic Typesetting" w:hint="cs"/>
          <w:noProof/>
          <w:szCs w:val="34"/>
          <w:rtl/>
        </w:rPr>
        <w:t>ال</w:t>
      </w:r>
      <w:r w:rsidRPr="000E1B88">
        <w:rPr>
          <w:rFonts w:ascii="Arabic Typesetting" w:hAnsi="Arabic Typesetting" w:cs="Arabic Typesetting"/>
          <w:noProof/>
          <w:szCs w:val="34"/>
          <w:rtl/>
        </w:rPr>
        <w:t>نطاق الجغرافي</w:t>
      </w:r>
      <w:r>
        <w:rPr>
          <w:rFonts w:ascii="Arabic Typesetting" w:hAnsi="Arabic Typesetting" w:cs="Arabic Typesetting" w:hint="cs"/>
          <w:noProof/>
          <w:szCs w:val="34"/>
          <w:rtl/>
        </w:rPr>
        <w:t xml:space="preserve"> لنظام مدريد</w:t>
      </w:r>
      <w:r w:rsidRPr="000E1B88">
        <w:rPr>
          <w:rFonts w:ascii="Arabic Typesetting" w:hAnsi="Arabic Typesetting" w:cs="Arabic Typesetting"/>
          <w:noProof/>
          <w:szCs w:val="34"/>
          <w:rtl/>
        </w:rPr>
        <w:t>، س</w:t>
      </w:r>
      <w:r>
        <w:rPr>
          <w:rFonts w:ascii="Arabic Typesetting" w:hAnsi="Arabic Typesetting" w:cs="Arabic Typesetting" w:hint="cs"/>
          <w:noProof/>
          <w:szCs w:val="34"/>
          <w:rtl/>
        </w:rPr>
        <w:t xml:space="preserve">وف </w:t>
      </w:r>
      <w:r w:rsidRPr="000E1B88">
        <w:rPr>
          <w:rFonts w:ascii="Arabic Typesetting" w:hAnsi="Arabic Typesetting" w:cs="Arabic Typesetting"/>
          <w:noProof/>
          <w:szCs w:val="34"/>
          <w:rtl/>
        </w:rPr>
        <w:t xml:space="preserve">يتعين على نظام مدريد </w:t>
      </w:r>
      <w:r>
        <w:rPr>
          <w:rFonts w:ascii="Arabic Typesetting" w:hAnsi="Arabic Typesetting" w:cs="Arabic Typesetting" w:hint="cs"/>
          <w:noProof/>
          <w:szCs w:val="34"/>
          <w:rtl/>
        </w:rPr>
        <w:t xml:space="preserve">أن </w:t>
      </w:r>
      <w:r w:rsidRPr="000E1B88">
        <w:rPr>
          <w:rFonts w:ascii="Arabic Typesetting" w:hAnsi="Arabic Typesetting" w:cs="Arabic Typesetting"/>
          <w:noProof/>
          <w:szCs w:val="34"/>
          <w:rtl/>
        </w:rPr>
        <w:t xml:space="preserve">يخدم </w:t>
      </w:r>
      <w:r>
        <w:rPr>
          <w:rFonts w:ascii="Arabic Typesetting" w:hAnsi="Arabic Typesetting" w:cs="Arabic Typesetting" w:hint="cs"/>
          <w:noProof/>
          <w:szCs w:val="34"/>
          <w:rtl/>
        </w:rPr>
        <w:t xml:space="preserve">مصلحة </w:t>
      </w:r>
      <w:r w:rsidRPr="000E1B88">
        <w:rPr>
          <w:rFonts w:ascii="Arabic Typesetting" w:hAnsi="Arabic Typesetting" w:cs="Arabic Typesetting"/>
          <w:noProof/>
          <w:szCs w:val="34"/>
          <w:rtl/>
        </w:rPr>
        <w:t xml:space="preserve">جميع </w:t>
      </w:r>
      <w:r>
        <w:rPr>
          <w:rFonts w:ascii="Arabic Typesetting" w:hAnsi="Arabic Typesetting" w:cs="Arabic Typesetting" w:hint="cs"/>
          <w:noProof/>
          <w:szCs w:val="34"/>
          <w:rtl/>
        </w:rPr>
        <w:t>أصحاب المصالح</w:t>
      </w:r>
      <w:r w:rsidRPr="000E1B88">
        <w:rPr>
          <w:rFonts w:ascii="Arabic Typesetting" w:hAnsi="Arabic Typesetting" w:cs="Arabic Typesetting"/>
          <w:noProof/>
          <w:szCs w:val="34"/>
          <w:rtl/>
        </w:rPr>
        <w:t xml:space="preserve"> </w:t>
      </w:r>
      <w:r>
        <w:rPr>
          <w:rFonts w:ascii="Arabic Typesetting" w:hAnsi="Arabic Typesetting" w:cs="Arabic Typesetting" w:hint="cs"/>
          <w:noProof/>
          <w:szCs w:val="34"/>
          <w:rtl/>
        </w:rPr>
        <w:t xml:space="preserve">بالتساوي </w:t>
      </w:r>
      <w:r w:rsidRPr="009D4342">
        <w:rPr>
          <w:rFonts w:ascii="Arabic Typesetting" w:hAnsi="Arabic Typesetting" w:cs="Arabic Typesetting"/>
          <w:noProof/>
          <w:szCs w:val="34"/>
          <w:rtl/>
        </w:rPr>
        <w:t>لتحقيق إمكاناته</w:t>
      </w:r>
      <w:r w:rsidRPr="009D4342">
        <w:rPr>
          <w:rFonts w:ascii="Arabic Typesetting" w:hAnsi="Arabic Typesetting" w:cs="Arabic Typesetting" w:hint="cs"/>
          <w:noProof/>
          <w:szCs w:val="34"/>
          <w:rtl/>
        </w:rPr>
        <w:t xml:space="preserve"> الكاملة</w:t>
      </w:r>
      <w:r w:rsidRPr="000E1B88">
        <w:rPr>
          <w:rFonts w:ascii="Arabic Typesetting" w:hAnsi="Arabic Typesetting" w:cs="Arabic Typesetting"/>
          <w:noProof/>
          <w:szCs w:val="34"/>
          <w:rtl/>
        </w:rPr>
        <w:t xml:space="preserve"> في البيئة الجديدة. و</w:t>
      </w:r>
      <w:r>
        <w:rPr>
          <w:rFonts w:ascii="Arabic Typesetting" w:hAnsi="Arabic Typesetting" w:cs="Arabic Typesetting" w:hint="cs"/>
          <w:noProof/>
          <w:szCs w:val="34"/>
          <w:rtl/>
        </w:rPr>
        <w:t xml:space="preserve">سوف ينظر </w:t>
      </w:r>
      <w:r w:rsidRPr="00C25509">
        <w:rPr>
          <w:rFonts w:ascii="Arabic Typesetting" w:hAnsi="Arabic Typesetting" w:cs="Arabic Typesetting"/>
          <w:noProof/>
          <w:szCs w:val="34"/>
          <w:rtl/>
        </w:rPr>
        <w:t xml:space="preserve">الفريق العامل المعني بالتطوير القانوني لنظام مدريد </w:t>
      </w:r>
      <w:r w:rsidRPr="000E1B88">
        <w:rPr>
          <w:rFonts w:ascii="Arabic Typesetting" w:hAnsi="Arabic Typesetting" w:cs="Arabic Typesetting"/>
          <w:noProof/>
          <w:szCs w:val="34"/>
          <w:rtl/>
        </w:rPr>
        <w:t xml:space="preserve">في </w:t>
      </w:r>
      <w:r>
        <w:rPr>
          <w:rFonts w:ascii="Arabic Typesetting" w:hAnsi="Arabic Typesetting" w:cs="Arabic Typesetting" w:hint="cs"/>
          <w:noProof/>
          <w:szCs w:val="34"/>
          <w:rtl/>
        </w:rPr>
        <w:t>الطريقة التي يجب بها تطوير</w:t>
      </w:r>
      <w:r w:rsidRPr="000E1B88">
        <w:rPr>
          <w:rFonts w:ascii="Arabic Typesetting" w:hAnsi="Arabic Typesetting" w:cs="Arabic Typesetting"/>
          <w:noProof/>
          <w:szCs w:val="34"/>
          <w:rtl/>
        </w:rPr>
        <w:t xml:space="preserve"> الإطار القانوني للنظام </w:t>
      </w:r>
      <w:r>
        <w:rPr>
          <w:rFonts w:ascii="Arabic Typesetting" w:hAnsi="Arabic Typesetting" w:cs="Arabic Typesetting" w:hint="cs"/>
          <w:noProof/>
          <w:szCs w:val="34"/>
          <w:rtl/>
        </w:rPr>
        <w:t xml:space="preserve">من أجل </w:t>
      </w:r>
      <w:r w:rsidRPr="000E1B88">
        <w:rPr>
          <w:rFonts w:ascii="Arabic Typesetting" w:hAnsi="Arabic Typesetting" w:cs="Arabic Typesetting"/>
          <w:noProof/>
          <w:szCs w:val="34"/>
          <w:rtl/>
        </w:rPr>
        <w:t>تلبية الاحتياجات المتغيرة.</w:t>
      </w:r>
    </w:p>
    <w:p w:rsidR="006D7321" w:rsidRDefault="006D7321" w:rsidP="00861CFF">
      <w:pPr>
        <w:numPr>
          <w:ilvl w:val="0"/>
          <w:numId w:val="18"/>
        </w:numPr>
        <w:adjustRightInd w:val="0"/>
        <w:snapToGrid w:val="0"/>
        <w:spacing w:after="120" w:line="340" w:lineRule="exact"/>
        <w:ind w:hanging="2"/>
        <w:jc w:val="both"/>
        <w:rPr>
          <w:rFonts w:ascii="Arabic Typesetting" w:hAnsi="Arabic Typesetting" w:cs="Arabic Typesetting"/>
          <w:szCs w:val="34"/>
        </w:rPr>
      </w:pPr>
      <w:r>
        <w:rPr>
          <w:rFonts w:ascii="Arabic Typesetting" w:hAnsi="Arabic Typesetting" w:cs="Arabic Typesetting" w:hint="cs"/>
          <w:noProof/>
          <w:szCs w:val="34"/>
          <w:rtl/>
        </w:rPr>
        <w:t xml:space="preserve">ولأن </w:t>
      </w:r>
      <w:r w:rsidRPr="00094910">
        <w:rPr>
          <w:rFonts w:ascii="Arabic Typesetting" w:hAnsi="Arabic Typesetting" w:cs="Arabic Typesetting"/>
          <w:noProof/>
          <w:szCs w:val="34"/>
          <w:rtl/>
        </w:rPr>
        <w:t>فرص زيادة تطبيق تكنولوجيا</w:t>
      </w:r>
      <w:r>
        <w:rPr>
          <w:rFonts w:ascii="Arabic Typesetting" w:hAnsi="Arabic Typesetting" w:cs="Arabic Typesetting" w:hint="cs"/>
          <w:noProof/>
          <w:szCs w:val="34"/>
          <w:rtl/>
        </w:rPr>
        <w:t>ت</w:t>
      </w:r>
      <w:r w:rsidRPr="00094910">
        <w:rPr>
          <w:rFonts w:ascii="Arabic Typesetting" w:hAnsi="Arabic Typesetting" w:cs="Arabic Typesetting"/>
          <w:noProof/>
          <w:szCs w:val="34"/>
          <w:rtl/>
        </w:rPr>
        <w:t xml:space="preserve"> المعلومات والاتصالات وتحسين </w:t>
      </w:r>
      <w:r>
        <w:rPr>
          <w:rFonts w:ascii="Arabic Typesetting" w:hAnsi="Arabic Typesetting" w:cs="Arabic Typesetting" w:hint="cs"/>
          <w:noProof/>
          <w:szCs w:val="34"/>
          <w:rtl/>
        </w:rPr>
        <w:t xml:space="preserve">هذا التطبيق </w:t>
      </w:r>
      <w:r w:rsidRPr="00094910">
        <w:rPr>
          <w:rFonts w:ascii="Arabic Typesetting" w:hAnsi="Arabic Typesetting" w:cs="Arabic Typesetting"/>
          <w:noProof/>
          <w:szCs w:val="34"/>
          <w:rtl/>
        </w:rPr>
        <w:t>تطرح نفسها، ف</w:t>
      </w:r>
      <w:r>
        <w:rPr>
          <w:rFonts w:ascii="Arabic Typesetting" w:hAnsi="Arabic Typesetting" w:cs="Arabic Typesetting" w:hint="cs"/>
          <w:noProof/>
          <w:szCs w:val="34"/>
          <w:rtl/>
        </w:rPr>
        <w:t>سوف يتّبع المكتب الدولي</w:t>
      </w:r>
      <w:r w:rsidRPr="00094910">
        <w:rPr>
          <w:rFonts w:ascii="Arabic Typesetting" w:hAnsi="Arabic Typesetting" w:cs="Arabic Typesetting"/>
          <w:noProof/>
          <w:szCs w:val="34"/>
          <w:rtl/>
        </w:rPr>
        <w:t xml:space="preserve"> عدد</w:t>
      </w:r>
      <w:r>
        <w:rPr>
          <w:rFonts w:ascii="Arabic Typesetting" w:hAnsi="Arabic Typesetting" w:cs="Arabic Typesetting" w:hint="cs"/>
          <w:noProof/>
          <w:szCs w:val="34"/>
          <w:rtl/>
        </w:rPr>
        <w:t>اً</w:t>
      </w:r>
      <w:r w:rsidRPr="00094910">
        <w:rPr>
          <w:rFonts w:ascii="Arabic Typesetting" w:hAnsi="Arabic Typesetting" w:cs="Arabic Typesetting"/>
          <w:noProof/>
          <w:szCs w:val="34"/>
          <w:rtl/>
        </w:rPr>
        <w:t xml:space="preserve"> من سياسات التنفيذ </w:t>
      </w:r>
      <w:r>
        <w:rPr>
          <w:rFonts w:ascii="Arabic Typesetting" w:hAnsi="Arabic Typesetting" w:cs="Arabic Typesetting" w:hint="cs"/>
          <w:noProof/>
          <w:szCs w:val="34"/>
          <w:rtl/>
        </w:rPr>
        <w:t xml:space="preserve">التوجيهية التي </w:t>
      </w:r>
      <w:r w:rsidRPr="00094910">
        <w:rPr>
          <w:rFonts w:ascii="Arabic Typesetting" w:hAnsi="Arabic Typesetting" w:cs="Arabic Typesetting"/>
          <w:noProof/>
          <w:szCs w:val="34"/>
          <w:rtl/>
        </w:rPr>
        <w:t xml:space="preserve">تهدف إلى </w:t>
      </w:r>
      <w:r>
        <w:rPr>
          <w:rFonts w:ascii="Arabic Typesetting" w:hAnsi="Arabic Typesetting" w:cs="Arabic Typesetting" w:hint="cs"/>
          <w:noProof/>
          <w:szCs w:val="34"/>
          <w:rtl/>
        </w:rPr>
        <w:t>تحقيق</w:t>
      </w:r>
      <w:r w:rsidRPr="00094910">
        <w:rPr>
          <w:rFonts w:ascii="Arabic Typesetting" w:hAnsi="Arabic Typesetting" w:cs="Arabic Typesetting"/>
          <w:noProof/>
          <w:szCs w:val="34"/>
          <w:rtl/>
        </w:rPr>
        <w:t xml:space="preserve"> تطلعات </w:t>
      </w:r>
      <w:r>
        <w:rPr>
          <w:rFonts w:ascii="Arabic Typesetting" w:hAnsi="Arabic Typesetting" w:cs="Arabic Typesetting" w:hint="cs"/>
          <w:noProof/>
          <w:szCs w:val="34"/>
          <w:rtl/>
        </w:rPr>
        <w:t>شتى</w:t>
      </w:r>
      <w:r w:rsidRPr="00094910">
        <w:rPr>
          <w:rFonts w:ascii="Arabic Typesetting" w:hAnsi="Arabic Typesetting" w:cs="Arabic Typesetting"/>
          <w:noProof/>
          <w:szCs w:val="34"/>
          <w:rtl/>
        </w:rPr>
        <w:t xml:space="preserve"> أصحاب المص</w:t>
      </w:r>
      <w:r>
        <w:rPr>
          <w:rFonts w:ascii="Arabic Typesetting" w:hAnsi="Arabic Typesetting" w:cs="Arabic Typesetting" w:hint="cs"/>
          <w:noProof/>
          <w:szCs w:val="34"/>
          <w:rtl/>
        </w:rPr>
        <w:t>ا</w:t>
      </w:r>
      <w:r w:rsidRPr="00094910">
        <w:rPr>
          <w:rFonts w:ascii="Arabic Typesetting" w:hAnsi="Arabic Typesetting" w:cs="Arabic Typesetting"/>
          <w:noProof/>
          <w:szCs w:val="34"/>
          <w:rtl/>
        </w:rPr>
        <w:t xml:space="preserve">لح </w:t>
      </w:r>
      <w:r>
        <w:rPr>
          <w:rFonts w:ascii="Arabic Typesetting" w:hAnsi="Arabic Typesetting" w:cs="Arabic Typesetting" w:hint="cs"/>
          <w:noProof/>
          <w:szCs w:val="34"/>
          <w:rtl/>
        </w:rPr>
        <w:t xml:space="preserve">في </w:t>
      </w:r>
      <w:r w:rsidRPr="00094910">
        <w:rPr>
          <w:rFonts w:ascii="Arabic Typesetting" w:hAnsi="Arabic Typesetting" w:cs="Arabic Typesetting"/>
          <w:noProof/>
          <w:szCs w:val="34"/>
          <w:rtl/>
        </w:rPr>
        <w:t xml:space="preserve">نظام مدريد، بما في ذلك </w:t>
      </w:r>
      <w:r w:rsidRPr="00094910">
        <w:rPr>
          <w:rFonts w:ascii="Arabic Typesetting" w:hAnsi="Arabic Typesetting" w:cs="Arabic Typesetting"/>
          <w:noProof/>
          <w:szCs w:val="34"/>
          <w:rtl/>
        </w:rPr>
        <w:lastRenderedPageBreak/>
        <w:t>المكاتب ومودعي الطلبات وأصحاب</w:t>
      </w:r>
      <w:r>
        <w:rPr>
          <w:rFonts w:ascii="Arabic Typesetting" w:hAnsi="Arabic Typesetting" w:cs="Arabic Typesetting" w:hint="cs"/>
          <w:noProof/>
          <w:szCs w:val="34"/>
          <w:rtl/>
        </w:rPr>
        <w:t xml:space="preserve"> الحقوق</w:t>
      </w:r>
      <w:r w:rsidRPr="00094910">
        <w:rPr>
          <w:rFonts w:ascii="Arabic Typesetting" w:hAnsi="Arabic Typesetting" w:cs="Arabic Typesetting"/>
          <w:noProof/>
          <w:szCs w:val="34"/>
          <w:rtl/>
        </w:rPr>
        <w:t xml:space="preserve"> أو </w:t>
      </w:r>
      <w:r>
        <w:rPr>
          <w:rFonts w:ascii="Arabic Typesetting" w:hAnsi="Arabic Typesetting" w:cs="Arabic Typesetting" w:hint="cs"/>
          <w:noProof/>
          <w:szCs w:val="34"/>
          <w:rtl/>
        </w:rPr>
        <w:t>العاملين في مجال الملكية الفكرية</w:t>
      </w:r>
      <w:r w:rsidRPr="00094910">
        <w:rPr>
          <w:rFonts w:ascii="Arabic Typesetting" w:hAnsi="Arabic Typesetting" w:cs="Arabic Typesetting"/>
          <w:noProof/>
          <w:szCs w:val="34"/>
          <w:rtl/>
        </w:rPr>
        <w:t xml:space="preserve">، </w:t>
      </w:r>
      <w:r>
        <w:rPr>
          <w:rFonts w:ascii="Arabic Typesetting" w:hAnsi="Arabic Typesetting" w:cs="Arabic Typesetting" w:hint="cs"/>
          <w:noProof/>
          <w:szCs w:val="34"/>
          <w:rtl/>
        </w:rPr>
        <w:t xml:space="preserve">وذلك ضمن </w:t>
      </w:r>
      <w:r w:rsidRPr="00094910">
        <w:rPr>
          <w:rFonts w:ascii="Arabic Typesetting" w:hAnsi="Arabic Typesetting" w:cs="Arabic Typesetting"/>
          <w:noProof/>
          <w:szCs w:val="34"/>
          <w:rtl/>
        </w:rPr>
        <w:t xml:space="preserve">الجهود الرامية إلى الانتقال إلى بيئة إلكترونية </w:t>
      </w:r>
      <w:r>
        <w:rPr>
          <w:rFonts w:ascii="Arabic Typesetting" w:hAnsi="Arabic Typesetting" w:cs="Arabic Typesetting" w:hint="cs"/>
          <w:noProof/>
          <w:szCs w:val="34"/>
          <w:rtl/>
        </w:rPr>
        <w:t>تماماً</w:t>
      </w:r>
      <w:r w:rsidRPr="00094910">
        <w:rPr>
          <w:rFonts w:ascii="Arabic Typesetting" w:hAnsi="Arabic Typesetting" w:cs="Arabic Typesetting"/>
          <w:noProof/>
          <w:szCs w:val="34"/>
          <w:rtl/>
        </w:rPr>
        <w:t xml:space="preserve">. وسياسات </w:t>
      </w:r>
      <w:r>
        <w:rPr>
          <w:rFonts w:ascii="Arabic Typesetting" w:hAnsi="Arabic Typesetting" w:cs="Arabic Typesetting" w:hint="cs"/>
          <w:noProof/>
          <w:szCs w:val="34"/>
          <w:rtl/>
        </w:rPr>
        <w:t>ال</w:t>
      </w:r>
      <w:r w:rsidRPr="00094910">
        <w:rPr>
          <w:rFonts w:ascii="Arabic Typesetting" w:hAnsi="Arabic Typesetting" w:cs="Arabic Typesetting"/>
          <w:noProof/>
          <w:szCs w:val="34"/>
          <w:rtl/>
        </w:rPr>
        <w:t xml:space="preserve">تنفيذ هذه </w:t>
      </w:r>
      <w:r>
        <w:rPr>
          <w:rFonts w:ascii="Arabic Typesetting" w:hAnsi="Arabic Typesetting" w:cs="Arabic Typesetting" w:hint="cs"/>
          <w:noProof/>
          <w:szCs w:val="34"/>
          <w:rtl/>
        </w:rPr>
        <w:t xml:space="preserve">سوف تضمن </w:t>
      </w:r>
      <w:r w:rsidRPr="00094910">
        <w:rPr>
          <w:rFonts w:ascii="Arabic Typesetting" w:hAnsi="Arabic Typesetting" w:cs="Arabic Typesetting"/>
          <w:noProof/>
          <w:szCs w:val="34"/>
          <w:rtl/>
        </w:rPr>
        <w:t>أن أصحاب المص</w:t>
      </w:r>
      <w:r>
        <w:rPr>
          <w:rFonts w:ascii="Arabic Typesetting" w:hAnsi="Arabic Typesetting" w:cs="Arabic Typesetting" w:hint="cs"/>
          <w:noProof/>
          <w:szCs w:val="34"/>
          <w:rtl/>
        </w:rPr>
        <w:t>ا</w:t>
      </w:r>
      <w:r w:rsidRPr="00094910">
        <w:rPr>
          <w:rFonts w:ascii="Arabic Typesetting" w:hAnsi="Arabic Typesetting" w:cs="Arabic Typesetting"/>
          <w:noProof/>
          <w:szCs w:val="34"/>
          <w:rtl/>
        </w:rPr>
        <w:t xml:space="preserve">لح يمكن </w:t>
      </w:r>
      <w:r>
        <w:rPr>
          <w:rFonts w:ascii="Arabic Typesetting" w:hAnsi="Arabic Typesetting" w:cs="Arabic Typesetting" w:hint="cs"/>
          <w:noProof/>
          <w:szCs w:val="34"/>
          <w:rtl/>
        </w:rPr>
        <w:t xml:space="preserve">أن يتفاعلوا </w:t>
      </w:r>
      <w:r w:rsidRPr="00094910">
        <w:rPr>
          <w:rFonts w:ascii="Arabic Typesetting" w:hAnsi="Arabic Typesetting" w:cs="Arabic Typesetting"/>
          <w:noProof/>
          <w:szCs w:val="34"/>
          <w:rtl/>
        </w:rPr>
        <w:t>بأمان و</w:t>
      </w:r>
      <w:r>
        <w:rPr>
          <w:rFonts w:ascii="Arabic Typesetting" w:hAnsi="Arabic Typesetting" w:cs="Arabic Typesetting" w:hint="cs"/>
          <w:noProof/>
          <w:szCs w:val="34"/>
          <w:rtl/>
        </w:rPr>
        <w:t>بال</w:t>
      </w:r>
      <w:r>
        <w:rPr>
          <w:rFonts w:ascii="Arabic Typesetting" w:hAnsi="Arabic Typesetting" w:cs="Arabic Typesetting"/>
          <w:noProof/>
          <w:szCs w:val="34"/>
          <w:rtl/>
        </w:rPr>
        <w:t>تدريج</w:t>
      </w:r>
      <w:r w:rsidRPr="00094910">
        <w:rPr>
          <w:rFonts w:ascii="Arabic Typesetting" w:hAnsi="Arabic Typesetting" w:cs="Arabic Typesetting"/>
          <w:noProof/>
          <w:szCs w:val="34"/>
          <w:rtl/>
        </w:rPr>
        <w:t xml:space="preserve"> مع السجل الدولي</w:t>
      </w:r>
      <w:r>
        <w:rPr>
          <w:rFonts w:ascii="Arabic Typesetting" w:hAnsi="Arabic Typesetting" w:cs="Arabic Typesetting" w:hint="cs"/>
          <w:noProof/>
          <w:szCs w:val="34"/>
          <w:rtl/>
        </w:rPr>
        <w:t xml:space="preserve"> عبر</w:t>
      </w:r>
      <w:r w:rsidRPr="00094910">
        <w:rPr>
          <w:rFonts w:ascii="Arabic Typesetting" w:hAnsi="Arabic Typesetting" w:cs="Arabic Typesetting"/>
          <w:noProof/>
          <w:szCs w:val="34"/>
          <w:rtl/>
        </w:rPr>
        <w:t xml:space="preserve"> </w:t>
      </w:r>
      <w:r>
        <w:rPr>
          <w:rFonts w:ascii="Arabic Typesetting" w:hAnsi="Arabic Typesetting" w:cs="Arabic Typesetting" w:hint="cs"/>
          <w:noProof/>
          <w:szCs w:val="34"/>
          <w:rtl/>
        </w:rPr>
        <w:t xml:space="preserve">شبكة </w:t>
      </w:r>
      <w:r>
        <w:rPr>
          <w:rFonts w:ascii="Arabic Typesetting" w:hAnsi="Arabic Typesetting" w:cs="Arabic Typesetting"/>
          <w:noProof/>
          <w:szCs w:val="34"/>
          <w:rtl/>
        </w:rPr>
        <w:t>ال</w:t>
      </w:r>
      <w:r>
        <w:rPr>
          <w:rFonts w:ascii="Arabic Typesetting" w:hAnsi="Arabic Typesetting" w:cs="Arabic Typesetting" w:hint="cs"/>
          <w:noProof/>
          <w:szCs w:val="34"/>
          <w:rtl/>
        </w:rPr>
        <w:t>إ</w:t>
      </w:r>
      <w:r w:rsidRPr="00094910">
        <w:rPr>
          <w:rFonts w:ascii="Arabic Typesetting" w:hAnsi="Arabic Typesetting" w:cs="Arabic Typesetting"/>
          <w:noProof/>
          <w:szCs w:val="34"/>
          <w:rtl/>
        </w:rPr>
        <w:t xml:space="preserve">نترنت وبشكل متزامن </w:t>
      </w:r>
      <w:r>
        <w:rPr>
          <w:rFonts w:ascii="Arabic Typesetting" w:hAnsi="Arabic Typesetting" w:cs="Arabic Typesetting" w:hint="cs"/>
          <w:noProof/>
          <w:szCs w:val="34"/>
          <w:rtl/>
        </w:rPr>
        <w:t xml:space="preserve">وآني وفي </w:t>
      </w:r>
      <w:r w:rsidRPr="00094910">
        <w:rPr>
          <w:rFonts w:ascii="Arabic Typesetting" w:hAnsi="Arabic Typesetting" w:cs="Arabic Typesetting"/>
          <w:noProof/>
          <w:szCs w:val="34"/>
          <w:rtl/>
        </w:rPr>
        <w:t>وضع الخدمة الذاتية. وس</w:t>
      </w:r>
      <w:r>
        <w:rPr>
          <w:rFonts w:ascii="Arabic Typesetting" w:hAnsi="Arabic Typesetting" w:cs="Arabic Typesetting" w:hint="cs"/>
          <w:noProof/>
          <w:szCs w:val="34"/>
          <w:rtl/>
        </w:rPr>
        <w:t xml:space="preserve">وف يُولَى </w:t>
      </w:r>
      <w:r w:rsidRPr="00094910">
        <w:rPr>
          <w:rFonts w:ascii="Arabic Typesetting" w:hAnsi="Arabic Typesetting" w:cs="Arabic Typesetting"/>
          <w:noProof/>
          <w:szCs w:val="34"/>
          <w:rtl/>
        </w:rPr>
        <w:t>اهتمام</w:t>
      </w:r>
      <w:r>
        <w:rPr>
          <w:rFonts w:ascii="Arabic Typesetting" w:hAnsi="Arabic Typesetting" w:cs="Arabic Typesetting" w:hint="cs"/>
          <w:noProof/>
          <w:szCs w:val="34"/>
          <w:rtl/>
        </w:rPr>
        <w:t>ٌ</w:t>
      </w:r>
      <w:r w:rsidRPr="00094910">
        <w:rPr>
          <w:rFonts w:ascii="Arabic Typesetting" w:hAnsi="Arabic Typesetting" w:cs="Arabic Typesetting"/>
          <w:noProof/>
          <w:szCs w:val="34"/>
          <w:rtl/>
        </w:rPr>
        <w:t xml:space="preserve"> كبير</w:t>
      </w:r>
      <w:r>
        <w:rPr>
          <w:rFonts w:ascii="Arabic Typesetting" w:hAnsi="Arabic Typesetting" w:cs="Arabic Typesetting" w:hint="cs"/>
          <w:noProof/>
          <w:szCs w:val="34"/>
          <w:rtl/>
        </w:rPr>
        <w:t>ٌ</w:t>
      </w:r>
      <w:r w:rsidRPr="00094910">
        <w:rPr>
          <w:rFonts w:ascii="Arabic Typesetting" w:hAnsi="Arabic Typesetting" w:cs="Arabic Typesetting"/>
          <w:noProof/>
          <w:szCs w:val="34"/>
          <w:rtl/>
        </w:rPr>
        <w:t xml:space="preserve"> </w:t>
      </w:r>
      <w:r>
        <w:rPr>
          <w:rFonts w:ascii="Arabic Typesetting" w:hAnsi="Arabic Typesetting" w:cs="Arabic Typesetting" w:hint="cs"/>
          <w:noProof/>
          <w:szCs w:val="34"/>
          <w:rtl/>
        </w:rPr>
        <w:t>ل</w:t>
      </w:r>
      <w:r w:rsidRPr="00094910">
        <w:rPr>
          <w:rFonts w:ascii="Arabic Typesetting" w:hAnsi="Arabic Typesetting" w:cs="Arabic Typesetting"/>
          <w:noProof/>
          <w:szCs w:val="34"/>
          <w:rtl/>
        </w:rPr>
        <w:t>تقديم خدمات م</w:t>
      </w:r>
      <w:r>
        <w:rPr>
          <w:rFonts w:ascii="Arabic Typesetting" w:hAnsi="Arabic Typesetting" w:cs="Arabic Typesetting" w:hint="cs"/>
          <w:noProof/>
          <w:szCs w:val="34"/>
          <w:rtl/>
        </w:rPr>
        <w:t>ُ</w:t>
      </w:r>
      <w:r w:rsidRPr="00094910">
        <w:rPr>
          <w:rFonts w:ascii="Arabic Typesetting" w:hAnsi="Arabic Typesetting" w:cs="Arabic Typesetting"/>
          <w:noProof/>
          <w:szCs w:val="34"/>
          <w:rtl/>
        </w:rPr>
        <w:t>حس</w:t>
      </w:r>
      <w:r>
        <w:rPr>
          <w:rFonts w:ascii="Arabic Typesetting" w:hAnsi="Arabic Typesetting" w:cs="Arabic Typesetting" w:hint="cs"/>
          <w:noProof/>
          <w:szCs w:val="34"/>
          <w:rtl/>
        </w:rPr>
        <w:t>َّ</w:t>
      </w:r>
      <w:r w:rsidRPr="00094910">
        <w:rPr>
          <w:rFonts w:ascii="Arabic Typesetting" w:hAnsi="Arabic Typesetting" w:cs="Arabic Typesetting"/>
          <w:noProof/>
          <w:szCs w:val="34"/>
          <w:rtl/>
        </w:rPr>
        <w:t>نة ع</w:t>
      </w:r>
      <w:r>
        <w:rPr>
          <w:rFonts w:ascii="Arabic Typesetting" w:hAnsi="Arabic Typesetting" w:cs="Arabic Typesetting" w:hint="cs"/>
          <w:noProof/>
          <w:szCs w:val="34"/>
          <w:rtl/>
        </w:rPr>
        <w:t xml:space="preserve">بر شبكة </w:t>
      </w:r>
      <w:r w:rsidRPr="00094910">
        <w:rPr>
          <w:rFonts w:ascii="Arabic Typesetting" w:hAnsi="Arabic Typesetting" w:cs="Arabic Typesetting"/>
          <w:noProof/>
          <w:szCs w:val="34"/>
          <w:rtl/>
        </w:rPr>
        <w:t>ال</w:t>
      </w:r>
      <w:r>
        <w:rPr>
          <w:rFonts w:ascii="Arabic Typesetting" w:hAnsi="Arabic Typesetting" w:cs="Arabic Typesetting" w:hint="cs"/>
          <w:noProof/>
          <w:szCs w:val="34"/>
          <w:rtl/>
        </w:rPr>
        <w:t>إ</w:t>
      </w:r>
      <w:r w:rsidRPr="00094910">
        <w:rPr>
          <w:rFonts w:ascii="Arabic Typesetting" w:hAnsi="Arabic Typesetting" w:cs="Arabic Typesetting"/>
          <w:noProof/>
          <w:szCs w:val="34"/>
          <w:rtl/>
        </w:rPr>
        <w:t xml:space="preserve">نترنت </w:t>
      </w:r>
      <w:r>
        <w:rPr>
          <w:rFonts w:ascii="Arabic Typesetting" w:hAnsi="Arabic Typesetting" w:cs="Arabic Typesetting" w:hint="cs"/>
          <w:noProof/>
          <w:szCs w:val="34"/>
          <w:rtl/>
        </w:rPr>
        <w:t>توفر نفس ال</w:t>
      </w:r>
      <w:r w:rsidRPr="00094910">
        <w:rPr>
          <w:rFonts w:ascii="Arabic Typesetting" w:hAnsi="Arabic Typesetting" w:cs="Arabic Typesetting"/>
          <w:noProof/>
          <w:szCs w:val="34"/>
          <w:rtl/>
        </w:rPr>
        <w:t xml:space="preserve">خدمات </w:t>
      </w:r>
      <w:r w:rsidRPr="000231CD">
        <w:rPr>
          <w:rFonts w:ascii="Arabic Typesetting" w:hAnsi="Arabic Typesetting" w:cs="Arabic Typesetting"/>
          <w:noProof/>
          <w:szCs w:val="34"/>
          <w:rtl/>
        </w:rPr>
        <w:t>و</w:t>
      </w:r>
      <w:r w:rsidRPr="000231CD">
        <w:rPr>
          <w:rFonts w:ascii="Arabic Typesetting" w:hAnsi="Arabic Typesetting" w:cs="Arabic Typesetting" w:hint="cs"/>
          <w:noProof/>
          <w:szCs w:val="34"/>
          <w:rtl/>
        </w:rPr>
        <w:t>ال</w:t>
      </w:r>
      <w:r w:rsidRPr="000231CD">
        <w:rPr>
          <w:rFonts w:ascii="Arabic Typesetting" w:hAnsi="Arabic Typesetting" w:cs="Arabic Typesetting"/>
          <w:noProof/>
          <w:szCs w:val="34"/>
          <w:rtl/>
        </w:rPr>
        <w:t>أداء</w:t>
      </w:r>
      <w:r w:rsidRPr="00094910">
        <w:rPr>
          <w:rFonts w:ascii="Arabic Typesetting" w:hAnsi="Arabic Typesetting" w:cs="Arabic Typesetting"/>
          <w:noProof/>
          <w:szCs w:val="34"/>
          <w:rtl/>
        </w:rPr>
        <w:t xml:space="preserve"> لجميع أصحاب المص</w:t>
      </w:r>
      <w:r>
        <w:rPr>
          <w:rFonts w:ascii="Arabic Typesetting" w:hAnsi="Arabic Typesetting" w:cs="Arabic Typesetting" w:hint="cs"/>
          <w:noProof/>
          <w:szCs w:val="34"/>
          <w:rtl/>
        </w:rPr>
        <w:t>ا</w:t>
      </w:r>
      <w:r w:rsidRPr="00094910">
        <w:rPr>
          <w:rFonts w:ascii="Arabic Typesetting" w:hAnsi="Arabic Typesetting" w:cs="Arabic Typesetting"/>
          <w:noProof/>
          <w:szCs w:val="34"/>
          <w:rtl/>
        </w:rPr>
        <w:t>ل</w:t>
      </w:r>
      <w:r>
        <w:rPr>
          <w:rFonts w:ascii="Arabic Typesetting" w:hAnsi="Arabic Typesetting" w:cs="Arabic Typesetting" w:hint="cs"/>
          <w:noProof/>
          <w:szCs w:val="34"/>
          <w:rtl/>
        </w:rPr>
        <w:t>ح</w:t>
      </w:r>
      <w:r w:rsidRPr="00094910">
        <w:rPr>
          <w:rFonts w:ascii="Arabic Typesetting" w:hAnsi="Arabic Typesetting" w:cs="Arabic Typesetting"/>
          <w:noProof/>
          <w:szCs w:val="34"/>
          <w:rtl/>
        </w:rPr>
        <w:t>، بغض النظر عن الموقع الجغرافي.</w:t>
      </w:r>
    </w:p>
    <w:p w:rsidR="006D7321" w:rsidRDefault="006D7321" w:rsidP="006D7321">
      <w:pPr>
        <w:adjustRightInd w:val="0"/>
        <w:snapToGrid w:val="0"/>
        <w:spacing w:after="120" w:line="340" w:lineRule="exact"/>
        <w:jc w:val="both"/>
        <w:rPr>
          <w:rFonts w:ascii="Arabic Typesetting" w:hAnsi="Arabic Typesetting" w:cs="Arabic Typesetting"/>
          <w:noProof/>
          <w:color w:val="000000"/>
          <w:szCs w:val="34"/>
        </w:rPr>
      </w:pPr>
    </w:p>
    <w:p w:rsidR="006D7321" w:rsidRDefault="006D7321" w:rsidP="00A97C04">
      <w:pPr>
        <w:keepNext/>
        <w:numPr>
          <w:ilvl w:val="0"/>
          <w:numId w:val="18"/>
        </w:numPr>
        <w:adjustRightInd w:val="0"/>
        <w:snapToGrid w:val="0"/>
        <w:spacing w:after="120"/>
        <w:rPr>
          <w:rFonts w:ascii="Arabic Typesetting" w:hAnsi="Arabic Typesetting" w:cs="Arabic Typesetting"/>
          <w:noProof/>
          <w:color w:val="000000"/>
          <w:szCs w:val="34"/>
        </w:rPr>
      </w:pPr>
      <w:r>
        <w:rPr>
          <w:rFonts w:ascii="Arabic Typesetting" w:hAnsi="Arabic Typesetting" w:cs="Arabic Typesetting" w:hint="cs"/>
          <w:noProof/>
          <w:color w:val="000000"/>
          <w:szCs w:val="34"/>
          <w:rtl/>
        </w:rPr>
        <w:t>ويتعاون البرنامج 6 في الأساس مع البرامج الأخرى على النحو المبيّن أدناه:</w:t>
      </w:r>
      <w:r w:rsidR="00A97C04" w:rsidRPr="00A97C04">
        <w:rPr>
          <w:noProof/>
        </w:rPr>
        <w:t xml:space="preserve"> </w:t>
      </w:r>
      <w:r w:rsidR="00A97C04">
        <w:rPr>
          <w:noProof/>
          <w:lang w:bidi="ar-SA"/>
        </w:rPr>
        <w:drawing>
          <wp:inline distT="0" distB="0" distL="0" distR="0" wp14:anchorId="7B98F67D" wp14:editId="36350443">
            <wp:extent cx="5939790" cy="1479871"/>
            <wp:effectExtent l="0" t="0" r="0" b="82550"/>
            <wp:docPr id="25" name="Diagram 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6D7321" w:rsidRPr="006D7321" w:rsidRDefault="006D7321" w:rsidP="002C3C33">
      <w:pPr>
        <w:adjustRightInd w:val="0"/>
        <w:snapToGrid w:val="0"/>
        <w:spacing w:after="120" w:line="340" w:lineRule="exact"/>
        <w:jc w:val="both"/>
        <w:rPr>
          <w:rFonts w:ascii="Arabic Typesetting" w:hAnsi="Arabic Typesetting" w:cs="Arabic Typesetting"/>
          <w:noProof/>
          <w:color w:val="000000"/>
          <w:sz w:val="38"/>
          <w:szCs w:val="38"/>
          <w:rtl/>
        </w:rPr>
      </w:pPr>
    </w:p>
    <w:p w:rsidR="006D7321" w:rsidRPr="00077745" w:rsidRDefault="006D7321" w:rsidP="002C3C33">
      <w:pPr>
        <w:keepNext/>
        <w:autoSpaceDE w:val="0"/>
        <w:autoSpaceDN w:val="0"/>
        <w:adjustRightInd w:val="0"/>
        <w:snapToGrid w:val="0"/>
        <w:spacing w:after="240" w:line="360" w:lineRule="exact"/>
        <w:rPr>
          <w:rFonts w:ascii="Arabic Typesetting" w:hAnsi="Arabic Typesetting" w:cs="Arabic Typesetting"/>
          <w:noProof/>
          <w:color w:val="000000"/>
          <w:sz w:val="38"/>
          <w:szCs w:val="38"/>
        </w:rPr>
      </w:pPr>
      <w:r w:rsidRPr="00077745">
        <w:rPr>
          <w:rFonts w:ascii="Arabic Typesetting" w:hAnsi="Arabic Typesetting" w:cs="Arabic Typesetting" w:hint="cs"/>
          <w:noProof/>
          <w:color w:val="000000"/>
          <w:sz w:val="38"/>
          <w:szCs w:val="38"/>
          <w:rtl/>
        </w:rPr>
        <w:t>المخاطر الرئيسية واستراتيجيات التخفيف منها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00"/>
        <w:gridCol w:w="4672"/>
      </w:tblGrid>
      <w:tr w:rsidR="006D7321" w:rsidRPr="008954A8" w:rsidTr="002C3C33">
        <w:trPr>
          <w:trHeight w:val="459"/>
          <w:tblHeader/>
        </w:trPr>
        <w:tc>
          <w:tcPr>
            <w:tcW w:w="4400" w:type="dxa"/>
            <w:tcBorders>
              <w:top w:val="single" w:sz="4" w:space="0" w:color="auto"/>
              <w:bottom w:val="single" w:sz="4" w:space="0" w:color="auto"/>
            </w:tcBorders>
            <w:shd w:val="clear" w:color="auto" w:fill="C6D9F1"/>
            <w:vAlign w:val="center"/>
          </w:tcPr>
          <w:p w:rsidR="006D7321" w:rsidRPr="008954A8" w:rsidRDefault="006D7321" w:rsidP="002C3C33">
            <w:pPr>
              <w:autoSpaceDE w:val="0"/>
              <w:autoSpaceDN w:val="0"/>
              <w:adjustRightInd w:val="0"/>
              <w:snapToGrid w:val="0"/>
              <w:spacing w:before="60" w:after="60" w:line="300" w:lineRule="exact"/>
              <w:jc w:val="center"/>
              <w:rPr>
                <w:rFonts w:ascii="Arabic Typesetting" w:hAnsi="Arabic Typesetting" w:cs="Arabic Typesetting"/>
                <w:b/>
                <w:i/>
                <w:sz w:val="30"/>
                <w:szCs w:val="30"/>
              </w:rPr>
            </w:pPr>
            <w:r>
              <w:rPr>
                <w:rFonts w:ascii="Arabic Typesetting" w:hAnsi="Arabic Typesetting" w:cs="Arabic Typesetting"/>
                <w:b/>
                <w:bCs/>
                <w:i/>
                <w:sz w:val="30"/>
                <w:szCs w:val="30"/>
                <w:rtl/>
              </w:rPr>
              <w:t>المخاطر</w:t>
            </w:r>
          </w:p>
        </w:tc>
        <w:tc>
          <w:tcPr>
            <w:tcW w:w="4672" w:type="dxa"/>
            <w:tcBorders>
              <w:top w:val="single" w:sz="4" w:space="0" w:color="auto"/>
              <w:bottom w:val="single" w:sz="4" w:space="0" w:color="auto"/>
            </w:tcBorders>
            <w:shd w:val="clear" w:color="auto" w:fill="C6D9F1"/>
            <w:vAlign w:val="center"/>
          </w:tcPr>
          <w:p w:rsidR="006D7321" w:rsidRPr="008954A8" w:rsidRDefault="006D7321" w:rsidP="002C3C33">
            <w:pPr>
              <w:autoSpaceDE w:val="0"/>
              <w:autoSpaceDN w:val="0"/>
              <w:adjustRightInd w:val="0"/>
              <w:snapToGrid w:val="0"/>
              <w:spacing w:before="60" w:after="60" w:line="300" w:lineRule="exact"/>
              <w:jc w:val="center"/>
              <w:rPr>
                <w:rFonts w:ascii="Arabic Typesetting" w:hAnsi="Arabic Typesetting" w:cs="Arabic Typesetting"/>
                <w:b/>
                <w:sz w:val="30"/>
                <w:szCs w:val="30"/>
              </w:rPr>
            </w:pPr>
            <w:r>
              <w:rPr>
                <w:rFonts w:ascii="Arabic Typesetting" w:hAnsi="Arabic Typesetting" w:cs="Arabic Typesetting"/>
                <w:b/>
                <w:bCs/>
                <w:noProof/>
                <w:sz w:val="30"/>
                <w:szCs w:val="30"/>
                <w:rtl/>
              </w:rPr>
              <w:t>التخفيف منها</w:t>
            </w:r>
          </w:p>
        </w:tc>
      </w:tr>
      <w:tr w:rsidR="006D7321" w:rsidRPr="008954A8" w:rsidTr="002C3C33">
        <w:trPr>
          <w:trHeight w:val="898"/>
        </w:trPr>
        <w:tc>
          <w:tcPr>
            <w:tcW w:w="4400" w:type="dxa"/>
            <w:tcBorders>
              <w:top w:val="single" w:sz="4" w:space="0" w:color="auto"/>
            </w:tcBorders>
            <w:tcMar>
              <w:top w:w="113" w:type="dxa"/>
              <w:bottom w:w="113" w:type="dxa"/>
            </w:tcMar>
          </w:tcPr>
          <w:p w:rsidR="006D7321" w:rsidRPr="008954A8" w:rsidRDefault="006D7321" w:rsidP="002C3C33">
            <w:pPr>
              <w:adjustRightInd w:val="0"/>
              <w:snapToGrid w:val="0"/>
              <w:spacing w:before="60" w:after="60" w:line="300" w:lineRule="exact"/>
              <w:rPr>
                <w:rFonts w:ascii="Arabic Typesetting" w:hAnsi="Arabic Typesetting" w:cs="Arabic Typesetting"/>
                <w:sz w:val="30"/>
                <w:szCs w:val="30"/>
              </w:rPr>
            </w:pPr>
            <w:r w:rsidRPr="002D64BD">
              <w:rPr>
                <w:rFonts w:ascii="Arabic Typesetting" w:hAnsi="Arabic Typesetting" w:cs="Arabic Typesetting"/>
                <w:noProof/>
                <w:sz w:val="30"/>
                <w:szCs w:val="30"/>
                <w:rtl/>
              </w:rPr>
              <w:t>يعتبر نظام مدريد أقل جاذبية</w:t>
            </w:r>
            <w:r>
              <w:rPr>
                <w:rFonts w:ascii="Arabic Typesetting" w:hAnsi="Arabic Typesetting" w:cs="Arabic Typesetting" w:hint="cs"/>
                <w:noProof/>
                <w:sz w:val="30"/>
                <w:szCs w:val="30"/>
                <w:rtl/>
              </w:rPr>
              <w:t>ً</w:t>
            </w:r>
            <w:r w:rsidRPr="002D64BD">
              <w:rPr>
                <w:rFonts w:ascii="Arabic Typesetting" w:hAnsi="Arabic Typesetting" w:cs="Arabic Typesetting"/>
                <w:noProof/>
                <w:sz w:val="30"/>
                <w:szCs w:val="30"/>
                <w:rtl/>
              </w:rPr>
              <w:t xml:space="preserve"> من </w:t>
            </w:r>
            <w:r>
              <w:rPr>
                <w:rFonts w:ascii="Arabic Typesetting" w:hAnsi="Arabic Typesetting" w:cs="Arabic Typesetting" w:hint="cs"/>
                <w:noProof/>
                <w:sz w:val="30"/>
                <w:szCs w:val="30"/>
                <w:rtl/>
              </w:rPr>
              <w:t>المسار</w:t>
            </w:r>
            <w:r w:rsidRPr="002D64BD">
              <w:rPr>
                <w:rFonts w:ascii="Arabic Typesetting" w:hAnsi="Arabic Typesetting" w:cs="Arabic Typesetting"/>
                <w:noProof/>
                <w:sz w:val="30"/>
                <w:szCs w:val="30"/>
                <w:rtl/>
              </w:rPr>
              <w:t xml:space="preserve"> الوطني فيما يتعلق ببعض الأطراف المتعاقدة المعينة.</w:t>
            </w:r>
          </w:p>
        </w:tc>
        <w:tc>
          <w:tcPr>
            <w:tcW w:w="4672" w:type="dxa"/>
            <w:tcBorders>
              <w:top w:val="single" w:sz="4" w:space="0" w:color="auto"/>
            </w:tcBorders>
            <w:tcMar>
              <w:top w:w="113" w:type="dxa"/>
              <w:bottom w:w="113" w:type="dxa"/>
            </w:tcMar>
          </w:tcPr>
          <w:p w:rsidR="006D7321" w:rsidRDefault="006D7321" w:rsidP="002C3C33">
            <w:pPr>
              <w:autoSpaceDE w:val="0"/>
              <w:autoSpaceDN w:val="0"/>
              <w:adjustRightInd w:val="0"/>
              <w:snapToGrid w:val="0"/>
              <w:spacing w:before="60" w:after="60" w:line="300" w:lineRule="exact"/>
              <w:rPr>
                <w:rFonts w:ascii="Arabic Typesetting" w:hAnsi="Arabic Typesetting" w:cs="Arabic Typesetting"/>
                <w:noProof/>
                <w:sz w:val="30"/>
                <w:szCs w:val="30"/>
                <w:rtl/>
              </w:rPr>
            </w:pPr>
            <w:r w:rsidRPr="002D64BD">
              <w:rPr>
                <w:rFonts w:ascii="Arabic Typesetting" w:hAnsi="Arabic Typesetting" w:cs="Arabic Typesetting"/>
                <w:noProof/>
                <w:sz w:val="30"/>
                <w:szCs w:val="30"/>
                <w:rtl/>
              </w:rPr>
              <w:t>تعزيز فعالية نظام مدريد من خلال التعديلات القانونية والعملية التي ت</w:t>
            </w:r>
            <w:r>
              <w:rPr>
                <w:rFonts w:ascii="Arabic Typesetting" w:hAnsi="Arabic Typesetting" w:cs="Arabic Typesetting" w:hint="cs"/>
                <w:noProof/>
                <w:sz w:val="30"/>
                <w:szCs w:val="30"/>
                <w:rtl/>
              </w:rPr>
              <w:t>ُ</w:t>
            </w:r>
            <w:r w:rsidRPr="002D64BD">
              <w:rPr>
                <w:rFonts w:ascii="Arabic Typesetting" w:hAnsi="Arabic Typesetting" w:cs="Arabic Typesetting"/>
                <w:noProof/>
                <w:sz w:val="30"/>
                <w:szCs w:val="30"/>
                <w:rtl/>
              </w:rPr>
              <w:t>سه</w:t>
            </w:r>
            <w:r>
              <w:rPr>
                <w:rFonts w:ascii="Arabic Typesetting" w:hAnsi="Arabic Typesetting" w:cs="Arabic Typesetting" w:hint="cs"/>
                <w:noProof/>
                <w:sz w:val="30"/>
                <w:szCs w:val="30"/>
                <w:rtl/>
              </w:rPr>
              <w:t>ِّ</w:t>
            </w:r>
            <w:r w:rsidRPr="002D64BD">
              <w:rPr>
                <w:rFonts w:ascii="Arabic Typesetting" w:hAnsi="Arabic Typesetting" w:cs="Arabic Typesetting"/>
                <w:noProof/>
                <w:sz w:val="30"/>
                <w:szCs w:val="30"/>
                <w:rtl/>
              </w:rPr>
              <w:t>ل ضمان حماية العلامات التجارية في جميع الأطراف المتعاقدة المعينة</w:t>
            </w:r>
          </w:p>
          <w:p w:rsidR="006D7321" w:rsidRDefault="006D7321" w:rsidP="002C3C33">
            <w:pPr>
              <w:autoSpaceDE w:val="0"/>
              <w:autoSpaceDN w:val="0"/>
              <w:adjustRightInd w:val="0"/>
              <w:snapToGrid w:val="0"/>
              <w:spacing w:before="60" w:after="60" w:line="300" w:lineRule="exact"/>
              <w:rPr>
                <w:rFonts w:ascii="Arabic Typesetting" w:hAnsi="Arabic Typesetting" w:cs="Arabic Typesetting"/>
                <w:sz w:val="30"/>
                <w:szCs w:val="30"/>
                <w:rtl/>
              </w:rPr>
            </w:pPr>
          </w:p>
          <w:p w:rsidR="006D7321" w:rsidRPr="008954A8" w:rsidRDefault="006D7321"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sidRPr="002D64BD">
              <w:rPr>
                <w:rFonts w:ascii="Arabic Typesetting" w:hAnsi="Arabic Typesetting" w:cs="Arabic Typesetting"/>
                <w:sz w:val="30"/>
                <w:szCs w:val="30"/>
                <w:rtl/>
              </w:rPr>
              <w:t>التشجيع على انضمام أطراف جديدة في المناطق والبلدان الرئيسية</w:t>
            </w:r>
          </w:p>
        </w:tc>
      </w:tr>
      <w:tr w:rsidR="006D7321" w:rsidRPr="008954A8" w:rsidTr="002C3C33">
        <w:trPr>
          <w:trHeight w:val="764"/>
        </w:trPr>
        <w:tc>
          <w:tcPr>
            <w:tcW w:w="4400" w:type="dxa"/>
            <w:tcMar>
              <w:top w:w="113" w:type="dxa"/>
              <w:bottom w:w="113" w:type="dxa"/>
            </w:tcMar>
          </w:tcPr>
          <w:p w:rsidR="006D7321" w:rsidRPr="008954A8" w:rsidRDefault="006D7321" w:rsidP="002C3C33">
            <w:pPr>
              <w:adjustRightInd w:val="0"/>
              <w:snapToGrid w:val="0"/>
              <w:spacing w:before="60" w:after="60" w:line="300" w:lineRule="exact"/>
              <w:rPr>
                <w:rFonts w:ascii="Arabic Typesetting" w:hAnsi="Arabic Typesetting" w:cs="Arabic Typesetting"/>
                <w:color w:val="000000"/>
                <w:sz w:val="30"/>
                <w:szCs w:val="30"/>
                <w:rtl/>
              </w:rPr>
            </w:pPr>
            <w:r w:rsidRPr="008C7054">
              <w:rPr>
                <w:rFonts w:ascii="Arabic Typesetting" w:hAnsi="Arabic Typesetting" w:cs="Arabic Typesetting"/>
                <w:noProof/>
                <w:color w:val="000000"/>
                <w:sz w:val="30"/>
                <w:szCs w:val="30"/>
                <w:rtl/>
              </w:rPr>
              <w:t>جودة خدمات المكتب الدولي لا تلبي توقعات الزبائن</w:t>
            </w:r>
          </w:p>
          <w:p w:rsidR="006D7321" w:rsidRPr="008954A8" w:rsidRDefault="006D7321" w:rsidP="002C3C33">
            <w:pPr>
              <w:adjustRightInd w:val="0"/>
              <w:snapToGrid w:val="0"/>
              <w:spacing w:before="60" w:after="60" w:line="300" w:lineRule="exact"/>
              <w:rPr>
                <w:rFonts w:ascii="Arabic Typesetting" w:hAnsi="Arabic Typesetting" w:cs="Arabic Typesetting"/>
                <w:sz w:val="30"/>
                <w:szCs w:val="30"/>
              </w:rPr>
            </w:pPr>
          </w:p>
        </w:tc>
        <w:tc>
          <w:tcPr>
            <w:tcW w:w="4672" w:type="dxa"/>
            <w:tcMar>
              <w:top w:w="113" w:type="dxa"/>
              <w:bottom w:w="113" w:type="dxa"/>
            </w:tcMar>
          </w:tcPr>
          <w:p w:rsidR="006D7321" w:rsidRPr="008954A8" w:rsidRDefault="006D7321" w:rsidP="002C3C33">
            <w:pPr>
              <w:autoSpaceDE w:val="0"/>
              <w:autoSpaceDN w:val="0"/>
              <w:adjustRightInd w:val="0"/>
              <w:snapToGrid w:val="0"/>
              <w:spacing w:before="60" w:after="60" w:line="300" w:lineRule="exact"/>
              <w:rPr>
                <w:rFonts w:ascii="Arabic Typesetting" w:hAnsi="Arabic Typesetting" w:cs="Arabic Typesetting"/>
                <w:sz w:val="30"/>
                <w:szCs w:val="30"/>
              </w:rPr>
            </w:pPr>
            <w:r w:rsidRPr="008C7054">
              <w:rPr>
                <w:rFonts w:ascii="Arabic Typesetting" w:hAnsi="Arabic Typesetting" w:cs="Arabic Typesetting"/>
                <w:sz w:val="30"/>
                <w:szCs w:val="30"/>
                <w:rtl/>
              </w:rPr>
              <w:t xml:space="preserve">تحسين </w:t>
            </w:r>
            <w:r>
              <w:rPr>
                <w:rFonts w:ascii="Arabic Typesetting" w:hAnsi="Arabic Typesetting" w:cs="Arabic Typesetting" w:hint="cs"/>
                <w:sz w:val="30"/>
                <w:szCs w:val="30"/>
                <w:rtl/>
              </w:rPr>
              <w:t>توافق</w:t>
            </w:r>
            <w:r w:rsidRPr="007A6106">
              <w:rPr>
                <w:rFonts w:ascii="Arabic Typesetting" w:hAnsi="Arabic Typesetting" w:cs="Arabic Typesetting"/>
                <w:sz w:val="30"/>
                <w:szCs w:val="30"/>
                <w:rtl/>
              </w:rPr>
              <w:t xml:space="preserve"> مؤهلات الموظفين</w:t>
            </w:r>
            <w:r>
              <w:rPr>
                <w:rFonts w:ascii="Arabic Typesetting" w:hAnsi="Arabic Typesetting" w:cs="Arabic Typesetting" w:hint="cs"/>
                <w:sz w:val="30"/>
                <w:szCs w:val="30"/>
                <w:rtl/>
              </w:rPr>
              <w:t xml:space="preserve">، </w:t>
            </w:r>
            <w:r w:rsidRPr="008C7054">
              <w:rPr>
                <w:rFonts w:ascii="Arabic Typesetting" w:hAnsi="Arabic Typesetting" w:cs="Arabic Typesetting"/>
                <w:sz w:val="30"/>
                <w:szCs w:val="30"/>
                <w:rtl/>
              </w:rPr>
              <w:t>وتحسين اتساق الممارسات التشغيلية وامتثالها للإطار القانوني، ومواصلة تعزيز إجراءات مراقبة الجودة، وتقديم الدعم التدريبي.</w:t>
            </w:r>
          </w:p>
        </w:tc>
      </w:tr>
      <w:tr w:rsidR="006D7321" w:rsidRPr="008954A8" w:rsidTr="002C3C33">
        <w:trPr>
          <w:trHeight w:val="476"/>
        </w:trPr>
        <w:tc>
          <w:tcPr>
            <w:tcW w:w="4400" w:type="dxa"/>
            <w:tcBorders>
              <w:bottom w:val="single" w:sz="4" w:space="0" w:color="auto"/>
            </w:tcBorders>
            <w:tcMar>
              <w:top w:w="113" w:type="dxa"/>
              <w:bottom w:w="113" w:type="dxa"/>
            </w:tcMar>
          </w:tcPr>
          <w:p w:rsidR="006D7321" w:rsidRPr="008C7054" w:rsidRDefault="006D7321" w:rsidP="002C3C33">
            <w:pPr>
              <w:adjustRightInd w:val="0"/>
              <w:snapToGrid w:val="0"/>
              <w:spacing w:before="60" w:after="60" w:line="300" w:lineRule="exact"/>
              <w:rPr>
                <w:rFonts w:ascii="Arabic Typesetting" w:hAnsi="Arabic Typesetting" w:cs="Arabic Typesetting"/>
                <w:noProof/>
                <w:color w:val="000000"/>
                <w:sz w:val="30"/>
                <w:szCs w:val="30"/>
                <w:rtl/>
              </w:rPr>
            </w:pPr>
            <w:r w:rsidRPr="008C7054">
              <w:rPr>
                <w:rFonts w:ascii="Arabic Typesetting" w:hAnsi="Arabic Typesetting" w:cs="Arabic Typesetting"/>
                <w:noProof/>
                <w:color w:val="000000"/>
                <w:sz w:val="30"/>
                <w:szCs w:val="30"/>
                <w:rtl/>
              </w:rPr>
              <w:t>عدم توفر العمليات في المكتب الدولي لفترات طويلة.</w:t>
            </w:r>
          </w:p>
        </w:tc>
        <w:tc>
          <w:tcPr>
            <w:tcW w:w="4672" w:type="dxa"/>
            <w:tcBorders>
              <w:bottom w:val="single" w:sz="4" w:space="0" w:color="auto"/>
            </w:tcBorders>
            <w:tcMar>
              <w:top w:w="113" w:type="dxa"/>
              <w:bottom w:w="113" w:type="dxa"/>
            </w:tcMar>
          </w:tcPr>
          <w:p w:rsidR="006D7321" w:rsidRPr="008C7054" w:rsidRDefault="006D7321"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مواصلة</w:t>
            </w:r>
            <w:r w:rsidRPr="008C7054">
              <w:rPr>
                <w:rFonts w:ascii="Arabic Typesetting" w:hAnsi="Arabic Typesetting" w:cs="Arabic Typesetting"/>
                <w:sz w:val="30"/>
                <w:szCs w:val="30"/>
                <w:rtl/>
              </w:rPr>
              <w:t xml:space="preserve"> تطوير خطة استمرار</w:t>
            </w:r>
            <w:r>
              <w:rPr>
                <w:rFonts w:ascii="Arabic Typesetting" w:hAnsi="Arabic Typesetting" w:cs="Arabic Typesetting" w:hint="cs"/>
                <w:sz w:val="30"/>
                <w:szCs w:val="30"/>
                <w:rtl/>
              </w:rPr>
              <w:t>ية تصريف الأعمال</w:t>
            </w:r>
            <w:r w:rsidRPr="008C7054">
              <w:rPr>
                <w:rFonts w:ascii="Arabic Typesetting" w:hAnsi="Arabic Typesetting" w:cs="Arabic Typesetting"/>
                <w:sz w:val="30"/>
                <w:szCs w:val="30"/>
                <w:rtl/>
              </w:rPr>
              <w:t xml:space="preserve"> في المكتب الدولي.</w:t>
            </w:r>
          </w:p>
        </w:tc>
      </w:tr>
    </w:tbl>
    <w:p w:rsidR="006D7321" w:rsidRPr="008954A8" w:rsidRDefault="006D7321" w:rsidP="002C3C33">
      <w:pPr>
        <w:tabs>
          <w:tab w:val="left" w:pos="567"/>
          <w:tab w:val="left" w:pos="1985"/>
        </w:tabs>
        <w:adjustRightInd w:val="0"/>
        <w:snapToGrid w:val="0"/>
        <w:spacing w:after="240" w:line="360" w:lineRule="exact"/>
        <w:rPr>
          <w:rFonts w:ascii="Arabic Typesetting" w:hAnsi="Arabic Typesetting" w:cs="Arabic Typesetting"/>
          <w:bCs/>
          <w:noProof/>
          <w:sz w:val="36"/>
          <w:szCs w:val="36"/>
          <w:rtl/>
        </w:rPr>
      </w:pPr>
    </w:p>
    <w:p w:rsidR="006D7321" w:rsidRPr="00077745" w:rsidRDefault="006D7321" w:rsidP="002C3C33">
      <w:pPr>
        <w:keepNext/>
        <w:autoSpaceDE w:val="0"/>
        <w:autoSpaceDN w:val="0"/>
        <w:adjustRightInd w:val="0"/>
        <w:snapToGrid w:val="0"/>
        <w:spacing w:after="240" w:line="360" w:lineRule="exact"/>
        <w:rPr>
          <w:rFonts w:ascii="Arabic Typesetting" w:hAnsi="Arabic Typesetting" w:cs="Arabic Typesetting"/>
          <w:noProof/>
          <w:color w:val="000000"/>
          <w:sz w:val="38"/>
          <w:szCs w:val="38"/>
        </w:rPr>
      </w:pPr>
      <w:r w:rsidRPr="00077745">
        <w:rPr>
          <w:rFonts w:ascii="Arabic Typesetting" w:hAnsi="Arabic Typesetting" w:cs="Arabic Typesetting"/>
          <w:noProof/>
          <w:color w:val="000000"/>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5"/>
        <w:gridCol w:w="2410"/>
        <w:gridCol w:w="2692"/>
        <w:gridCol w:w="2178"/>
      </w:tblGrid>
      <w:tr w:rsidR="006D7321" w:rsidRPr="008954A8" w:rsidTr="00302EBB">
        <w:trPr>
          <w:cantSplit/>
          <w:trHeight w:val="608"/>
          <w:tblHeader/>
        </w:trPr>
        <w:tc>
          <w:tcPr>
            <w:tcW w:w="1130" w:type="pct"/>
            <w:tcBorders>
              <w:top w:val="single" w:sz="4" w:space="0" w:color="auto"/>
              <w:bottom w:val="single" w:sz="4" w:space="0" w:color="auto"/>
            </w:tcBorders>
            <w:shd w:val="clear" w:color="auto" w:fill="C6D9F1"/>
            <w:vAlign w:val="center"/>
          </w:tcPr>
          <w:p w:rsidR="006D7321" w:rsidRPr="008954A8" w:rsidRDefault="006D7321" w:rsidP="00B9375E">
            <w:pPr>
              <w:adjustRightInd w:val="0"/>
              <w:snapToGrid w:val="0"/>
              <w:spacing w:before="40" w:after="40" w:line="300" w:lineRule="exact"/>
              <w:jc w:val="center"/>
              <w:rPr>
                <w:rFonts w:ascii="Arabic Typesetting" w:hAnsi="Arabic Typesetting" w:cs="Arabic Typesetting"/>
                <w:b/>
                <w:sz w:val="30"/>
                <w:szCs w:val="30"/>
              </w:rPr>
            </w:pPr>
            <w:r w:rsidRPr="008954A8">
              <w:rPr>
                <w:rFonts w:ascii="Arabic Typesetting" w:hAnsi="Arabic Typesetting" w:cs="Arabic Typesetting"/>
                <w:b/>
                <w:bCs/>
                <w:noProof/>
                <w:sz w:val="30"/>
                <w:szCs w:val="30"/>
                <w:rtl/>
              </w:rPr>
              <w:t>النتائج المرتقبة</w:t>
            </w:r>
          </w:p>
        </w:tc>
        <w:tc>
          <w:tcPr>
            <w:tcW w:w="1281" w:type="pct"/>
            <w:tcBorders>
              <w:top w:val="single" w:sz="4" w:space="0" w:color="auto"/>
              <w:bottom w:val="single" w:sz="4" w:space="0" w:color="auto"/>
            </w:tcBorders>
            <w:shd w:val="clear" w:color="auto" w:fill="C6D9F1"/>
            <w:tcMar>
              <w:top w:w="110" w:type="dxa"/>
            </w:tcMar>
            <w:vAlign w:val="center"/>
          </w:tcPr>
          <w:p w:rsidR="006D7321" w:rsidRPr="008954A8" w:rsidRDefault="006D7321" w:rsidP="00B9375E">
            <w:pPr>
              <w:adjustRightInd w:val="0"/>
              <w:snapToGrid w:val="0"/>
              <w:spacing w:before="40" w:after="40" w:line="300" w:lineRule="exact"/>
              <w:jc w:val="center"/>
              <w:rPr>
                <w:rFonts w:ascii="Arabic Typesetting" w:hAnsi="Arabic Typesetting" w:cs="Arabic Typesetting"/>
                <w:bCs/>
                <w:sz w:val="30"/>
                <w:szCs w:val="30"/>
                <w:rtl/>
              </w:rPr>
            </w:pPr>
            <w:r w:rsidRPr="008954A8">
              <w:rPr>
                <w:rFonts w:ascii="Arabic Typesetting" w:hAnsi="Arabic Typesetting" w:cs="Arabic Typesetting"/>
                <w:bCs/>
                <w:noProof/>
                <w:sz w:val="30"/>
                <w:szCs w:val="30"/>
                <w:rtl/>
              </w:rPr>
              <w:t>مؤشرات الأداء</w:t>
            </w:r>
          </w:p>
        </w:tc>
        <w:tc>
          <w:tcPr>
            <w:tcW w:w="1431" w:type="pct"/>
            <w:tcBorders>
              <w:top w:val="single" w:sz="4" w:space="0" w:color="auto"/>
              <w:bottom w:val="single" w:sz="4" w:space="0" w:color="auto"/>
            </w:tcBorders>
            <w:shd w:val="clear" w:color="auto" w:fill="C6D9F1"/>
            <w:tcMar>
              <w:top w:w="110" w:type="dxa"/>
            </w:tcMar>
            <w:vAlign w:val="center"/>
          </w:tcPr>
          <w:p w:rsidR="006D7321" w:rsidRPr="008954A8" w:rsidRDefault="006D7321" w:rsidP="00B9375E">
            <w:pPr>
              <w:adjustRightInd w:val="0"/>
              <w:snapToGrid w:val="0"/>
              <w:spacing w:before="40" w:after="40" w:line="300" w:lineRule="exact"/>
              <w:jc w:val="center"/>
              <w:rPr>
                <w:rFonts w:ascii="Arabic Typesetting" w:hAnsi="Arabic Typesetting" w:cs="Arabic Typesetting"/>
                <w:sz w:val="30"/>
                <w:szCs w:val="30"/>
              </w:rPr>
            </w:pPr>
            <w:r w:rsidRPr="008954A8">
              <w:rPr>
                <w:rFonts w:ascii="Arabic Typesetting" w:hAnsi="Arabic Typesetting" w:cs="Arabic Typesetting"/>
                <w:bCs/>
                <w:noProof/>
                <w:sz w:val="30"/>
                <w:szCs w:val="30"/>
                <w:rtl/>
              </w:rPr>
              <w:t>أسس المقارنة</w:t>
            </w:r>
          </w:p>
        </w:tc>
        <w:tc>
          <w:tcPr>
            <w:tcW w:w="1158" w:type="pct"/>
            <w:tcBorders>
              <w:top w:val="single" w:sz="4" w:space="0" w:color="auto"/>
              <w:bottom w:val="single" w:sz="4" w:space="0" w:color="auto"/>
            </w:tcBorders>
            <w:shd w:val="clear" w:color="auto" w:fill="C6D9F1"/>
            <w:tcMar>
              <w:top w:w="110" w:type="dxa"/>
            </w:tcMar>
            <w:vAlign w:val="center"/>
          </w:tcPr>
          <w:p w:rsidR="006D7321" w:rsidRPr="008954A8" w:rsidRDefault="006D7321" w:rsidP="00B9375E">
            <w:pPr>
              <w:keepNext/>
              <w:keepLines/>
              <w:tabs>
                <w:tab w:val="left" w:pos="1906"/>
              </w:tabs>
              <w:adjustRightInd w:val="0"/>
              <w:snapToGrid w:val="0"/>
              <w:spacing w:before="40" w:after="40" w:line="300" w:lineRule="exact"/>
              <w:jc w:val="center"/>
              <w:rPr>
                <w:rFonts w:ascii="Arabic Typesetting" w:hAnsi="Arabic Typesetting" w:cs="Arabic Typesetting"/>
                <w:b/>
                <w:sz w:val="30"/>
                <w:szCs w:val="30"/>
              </w:rPr>
            </w:pPr>
            <w:r w:rsidRPr="008954A8">
              <w:rPr>
                <w:rFonts w:ascii="Arabic Typesetting" w:hAnsi="Arabic Typesetting" w:cs="Arabic Typesetting"/>
                <w:b/>
                <w:bCs/>
                <w:noProof/>
                <w:sz w:val="30"/>
                <w:szCs w:val="30"/>
                <w:rtl/>
              </w:rPr>
              <w:t>الأهداف</w:t>
            </w:r>
          </w:p>
        </w:tc>
      </w:tr>
      <w:tr w:rsidR="006D7321" w:rsidRPr="008954A8" w:rsidTr="00302EBB">
        <w:trPr>
          <w:cantSplit/>
        </w:trPr>
        <w:tc>
          <w:tcPr>
            <w:tcW w:w="1130" w:type="pct"/>
            <w:tcBorders>
              <w:top w:val="single" w:sz="4" w:space="0" w:color="auto"/>
            </w:tcBorders>
          </w:tcPr>
          <w:p w:rsidR="006D7321" w:rsidRPr="008954A8" w:rsidRDefault="009800D4" w:rsidP="00B9375E">
            <w:pPr>
              <w:adjustRightInd w:val="0"/>
              <w:snapToGrid w:val="0"/>
              <w:spacing w:before="40" w:after="40" w:line="300" w:lineRule="exact"/>
              <w:rPr>
                <w:rFonts w:ascii="Arabic Typesetting" w:hAnsi="Arabic Typesetting" w:cs="Arabic Typesetting"/>
                <w:sz w:val="30"/>
                <w:szCs w:val="30"/>
                <w:rtl/>
              </w:rPr>
            </w:pPr>
            <w:r>
              <w:rPr>
                <w:rFonts w:ascii="Arabic Typesetting" w:hAnsi="Arabic Typesetting" w:cs="Arabic Typesetting"/>
                <w:noProof/>
                <w:sz w:val="30"/>
                <w:szCs w:val="30"/>
                <w:rtl/>
              </w:rPr>
              <w:t>ه</w:t>
            </w:r>
            <w:r w:rsidR="006D7321">
              <w:rPr>
                <w:rFonts w:ascii="Arabic Typesetting" w:hAnsi="Arabic Typesetting" w:cs="Arabic Typesetting" w:hint="cs"/>
                <w:noProof/>
                <w:sz w:val="30"/>
                <w:szCs w:val="30"/>
                <w:rtl/>
              </w:rPr>
              <w:t xml:space="preserve"> </w:t>
            </w:r>
            <w:r w:rsidR="00E84817">
              <w:rPr>
                <w:rFonts w:ascii="Arabic Typesetting" w:hAnsi="Arabic Typesetting" w:cs="Arabic Typesetting"/>
                <w:noProof/>
                <w:sz w:val="30"/>
                <w:szCs w:val="30"/>
                <w:rtl/>
              </w:rPr>
              <w:t>6.2 استخدام نظام</w:t>
            </w:r>
            <w:r w:rsidR="006D7321" w:rsidRPr="00414FF4">
              <w:rPr>
                <w:rFonts w:ascii="Arabic Typesetting" w:hAnsi="Arabic Typesetting" w:cs="Arabic Typesetting"/>
                <w:noProof/>
                <w:sz w:val="30"/>
                <w:szCs w:val="30"/>
                <w:rtl/>
              </w:rPr>
              <w:t xml:space="preserve"> مدريد على نطاق أوسع وبفعالية أكبر، بما في ذلك من قبل البلدان النامية والبلدان الأقل نموا</w:t>
            </w:r>
            <w:r w:rsidR="006D7321">
              <w:rPr>
                <w:rFonts w:ascii="Arabic Typesetting" w:hAnsi="Arabic Typesetting" w:cs="Arabic Typesetting" w:hint="cs"/>
                <w:sz w:val="30"/>
                <w:szCs w:val="30"/>
                <w:rtl/>
              </w:rPr>
              <w:t>ً</w:t>
            </w:r>
          </w:p>
        </w:tc>
        <w:tc>
          <w:tcPr>
            <w:tcW w:w="1281" w:type="pct"/>
            <w:tcBorders>
              <w:top w:val="single" w:sz="4" w:space="0" w:color="auto"/>
            </w:tcBorders>
            <w:tcMar>
              <w:top w:w="110" w:type="dxa"/>
            </w:tcMar>
          </w:tcPr>
          <w:p w:rsidR="006D7321" w:rsidRDefault="006D7321" w:rsidP="00B9375E">
            <w:pPr>
              <w:adjustRightInd w:val="0"/>
              <w:snapToGrid w:val="0"/>
              <w:spacing w:before="40" w:after="40" w:line="300" w:lineRule="exact"/>
              <w:rPr>
                <w:rFonts w:ascii="Arabic Typesetting" w:hAnsi="Arabic Typesetting" w:cs="Arabic Typesetting"/>
                <w:sz w:val="30"/>
                <w:szCs w:val="30"/>
                <w:rtl/>
              </w:rPr>
            </w:pPr>
            <w:r w:rsidRPr="00414FF4">
              <w:rPr>
                <w:rFonts w:ascii="Arabic Typesetting" w:hAnsi="Arabic Typesetting" w:cs="Arabic Typesetting"/>
                <w:noProof/>
                <w:sz w:val="30"/>
                <w:szCs w:val="30"/>
                <w:rtl/>
              </w:rPr>
              <w:t>إجمالي أعضاء نظام مدريد</w:t>
            </w:r>
          </w:p>
          <w:p w:rsidR="006D7321" w:rsidRDefault="006D7321" w:rsidP="00B9375E">
            <w:pPr>
              <w:adjustRightInd w:val="0"/>
              <w:snapToGrid w:val="0"/>
              <w:spacing w:before="40" w:after="40" w:line="300" w:lineRule="exact"/>
              <w:rPr>
                <w:rFonts w:ascii="Arabic Typesetting" w:hAnsi="Arabic Typesetting" w:cs="Arabic Typesetting"/>
                <w:sz w:val="30"/>
                <w:szCs w:val="30"/>
                <w:rtl/>
              </w:rPr>
            </w:pPr>
          </w:p>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tl/>
              </w:rPr>
            </w:pPr>
            <w:r w:rsidRPr="00414FF4">
              <w:rPr>
                <w:rFonts w:ascii="Arabic Typesetting" w:hAnsi="Arabic Typesetting" w:cs="Arabic Typesetting"/>
                <w:sz w:val="30"/>
                <w:szCs w:val="30"/>
                <w:rtl/>
              </w:rPr>
              <w:t>الحصة في السوق (أيْ المسار الوطني مقابل مسار مدريد)</w:t>
            </w:r>
            <w:r w:rsidR="002459CC">
              <w:rPr>
                <w:rFonts w:ascii="Arabic Typesetting" w:hAnsi="Arabic Typesetting" w:cs="Arabic Typesetting" w:hint="cs"/>
                <w:sz w:val="30"/>
                <w:szCs w:val="30"/>
                <w:rtl/>
              </w:rPr>
              <w:t xml:space="preserve"> (مدريد)</w:t>
            </w:r>
          </w:p>
        </w:tc>
        <w:tc>
          <w:tcPr>
            <w:tcW w:w="1431" w:type="pct"/>
            <w:tcBorders>
              <w:top w:val="single" w:sz="4" w:space="0" w:color="auto"/>
            </w:tcBorders>
            <w:shd w:val="clear" w:color="auto" w:fill="FFFFFF"/>
            <w:tcMar>
              <w:top w:w="110" w:type="dxa"/>
            </w:tcMar>
          </w:tcPr>
          <w:p w:rsidR="006D7321" w:rsidRDefault="006D7321" w:rsidP="00B9375E">
            <w:pPr>
              <w:adjustRightInd w:val="0"/>
              <w:snapToGrid w:val="0"/>
              <w:spacing w:before="40" w:after="40" w:line="300" w:lineRule="exact"/>
              <w:rPr>
                <w:rFonts w:ascii="Arabic Typesetting" w:hAnsi="Arabic Typesetting" w:cs="Arabic Typesetting"/>
                <w:sz w:val="30"/>
                <w:szCs w:val="30"/>
                <w:rtl/>
              </w:rPr>
            </w:pPr>
            <w:r w:rsidRPr="00F4348B">
              <w:rPr>
                <w:rFonts w:ascii="Arabic Typesetting" w:hAnsi="Arabic Typesetting" w:cs="Arabic Typesetting"/>
                <w:noProof/>
                <w:sz w:val="30"/>
                <w:szCs w:val="30"/>
                <w:rtl/>
              </w:rPr>
              <w:t>95 عضواً (كما في 15 أبريل 2015)</w:t>
            </w:r>
          </w:p>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tl/>
              </w:rPr>
            </w:pPr>
            <w:r w:rsidRPr="00F4348B">
              <w:rPr>
                <w:rFonts w:ascii="Arabic Typesetting" w:hAnsi="Arabic Typesetting" w:cs="Arabic Typesetting"/>
                <w:sz w:val="30"/>
                <w:szCs w:val="30"/>
                <w:rtl/>
              </w:rPr>
              <w:t>الحصة في السوق 63.4% (</w:t>
            </w:r>
            <w:r>
              <w:rPr>
                <w:rFonts w:ascii="Arabic Typesetting" w:hAnsi="Arabic Typesetting" w:cs="Arabic Typesetting" w:hint="cs"/>
                <w:sz w:val="30"/>
                <w:szCs w:val="30"/>
                <w:rtl/>
              </w:rPr>
              <w:t>في</w:t>
            </w:r>
            <w:r w:rsidRPr="00F4348B">
              <w:rPr>
                <w:rFonts w:ascii="Arabic Typesetting" w:hAnsi="Arabic Typesetting" w:cs="Arabic Typesetting"/>
                <w:sz w:val="30"/>
                <w:szCs w:val="30"/>
                <w:rtl/>
              </w:rPr>
              <w:t xml:space="preserve"> 31 ديسمبر 2012)</w:t>
            </w:r>
          </w:p>
        </w:tc>
        <w:tc>
          <w:tcPr>
            <w:tcW w:w="1158" w:type="pct"/>
            <w:tcBorders>
              <w:top w:val="single" w:sz="4" w:space="0" w:color="auto"/>
            </w:tcBorders>
            <w:tcMar>
              <w:top w:w="110" w:type="dxa"/>
            </w:tcMar>
          </w:tcPr>
          <w:p w:rsidR="006D7321"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F4348B">
              <w:rPr>
                <w:rFonts w:ascii="Arabic Typesetting" w:hAnsi="Arabic Typesetting" w:cs="Arabic Typesetting"/>
                <w:b/>
                <w:noProof/>
                <w:sz w:val="30"/>
                <w:szCs w:val="30"/>
                <w:rtl/>
              </w:rPr>
              <w:t>103</w:t>
            </w:r>
          </w:p>
          <w:p w:rsidR="006D7321"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p>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F4348B">
              <w:rPr>
                <w:rFonts w:ascii="Arabic Typesetting" w:hAnsi="Arabic Typesetting" w:cs="Arabic Typesetting"/>
                <w:b/>
                <w:sz w:val="30"/>
                <w:szCs w:val="30"/>
                <w:rtl/>
              </w:rPr>
              <w:t>زيادة حصته في السوق</w:t>
            </w:r>
          </w:p>
        </w:tc>
      </w:tr>
      <w:tr w:rsidR="006D7321" w:rsidRPr="008954A8" w:rsidTr="00302EBB">
        <w:trPr>
          <w:cantSplit/>
          <w:trHeight w:val="337"/>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F4348B">
              <w:rPr>
                <w:rFonts w:ascii="Arabic Typesetting" w:hAnsi="Arabic Typesetting" w:cs="Arabic Typesetting"/>
                <w:sz w:val="30"/>
                <w:szCs w:val="30"/>
                <w:rtl/>
              </w:rPr>
              <w:t>معدل الإيداع</w:t>
            </w:r>
            <w:r w:rsidR="002459CC">
              <w:rPr>
                <w:rFonts w:ascii="Arabic Typesetting" w:hAnsi="Arabic Typesetting" w:cs="Arabic Typesetting" w:hint="cs"/>
                <w:sz w:val="30"/>
                <w:szCs w:val="30"/>
                <w:rtl/>
              </w:rPr>
              <w:t xml:space="preserve"> (مدريد)</w:t>
            </w: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EB3FB4">
              <w:rPr>
                <w:rFonts w:ascii="Arabic Typesetting" w:hAnsi="Arabic Typesetting" w:cs="Arabic Typesetting"/>
                <w:sz w:val="30"/>
                <w:szCs w:val="30"/>
                <w:rtl/>
              </w:rPr>
              <w:t>885 47</w:t>
            </w:r>
            <w:r w:rsidRPr="00F4348B">
              <w:rPr>
                <w:rFonts w:ascii="Arabic Typesetting" w:hAnsi="Arabic Typesetting" w:cs="Arabic Typesetting"/>
                <w:sz w:val="30"/>
                <w:szCs w:val="30"/>
                <w:rtl/>
              </w:rPr>
              <w:t xml:space="preserve"> طلباً</w:t>
            </w:r>
            <w:r>
              <w:rPr>
                <w:rFonts w:ascii="Arabic Typesetting" w:hAnsi="Arabic Typesetting" w:cs="Arabic Typesetting"/>
                <w:sz w:val="30"/>
                <w:szCs w:val="30"/>
                <w:rtl/>
              </w:rPr>
              <w:br/>
            </w:r>
            <w:r w:rsidRPr="00F4348B">
              <w:rPr>
                <w:rFonts w:ascii="Arabic Typesetting" w:hAnsi="Arabic Typesetting" w:cs="Arabic Typesetting"/>
                <w:sz w:val="30"/>
                <w:szCs w:val="30"/>
                <w:rtl/>
              </w:rPr>
              <w:t>معدل الإيداع 2.3% (</w:t>
            </w:r>
            <w:r>
              <w:rPr>
                <w:rFonts w:ascii="Arabic Typesetting" w:hAnsi="Arabic Typesetting" w:cs="Arabic Typesetting" w:hint="cs"/>
                <w:sz w:val="30"/>
                <w:szCs w:val="30"/>
                <w:rtl/>
              </w:rPr>
              <w:t>في</w:t>
            </w:r>
            <w:r w:rsidRPr="00F4348B">
              <w:rPr>
                <w:rFonts w:ascii="Arabic Typesetting" w:hAnsi="Arabic Typesetting" w:cs="Arabic Typesetting"/>
                <w:sz w:val="30"/>
                <w:szCs w:val="30"/>
                <w:rtl/>
              </w:rPr>
              <w:t xml:space="preserve"> 31 ديسمبر 2014)</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Pr>
            </w:pPr>
            <w:r w:rsidRPr="00212013">
              <w:rPr>
                <w:rFonts w:ascii="Arabic Typesetting" w:hAnsi="Arabic Typesetting" w:cs="Arabic Typesetting"/>
                <w:b/>
                <w:sz w:val="30"/>
                <w:szCs w:val="30"/>
                <w:rtl/>
              </w:rPr>
              <w:t>2016: زيادة معدل الإيداع على 4.6%</w:t>
            </w:r>
            <w:r>
              <w:rPr>
                <w:rFonts w:ascii="Arabic Typesetting" w:hAnsi="Arabic Typesetting" w:cs="Arabic Typesetting"/>
                <w:b/>
                <w:sz w:val="30"/>
                <w:szCs w:val="30"/>
                <w:rtl/>
              </w:rPr>
              <w:br/>
            </w:r>
            <w:r w:rsidRPr="00212013">
              <w:rPr>
                <w:rFonts w:ascii="Arabic Typesetting" w:hAnsi="Arabic Typesetting" w:cs="Arabic Typesetting"/>
                <w:b/>
                <w:sz w:val="30"/>
                <w:szCs w:val="30"/>
                <w:rtl/>
              </w:rPr>
              <w:t>2017: زيادة معدل الإيداع على 2.3%</w:t>
            </w:r>
          </w:p>
        </w:tc>
      </w:tr>
      <w:tr w:rsidR="006D7321" w:rsidRPr="008954A8" w:rsidTr="00302EBB">
        <w:trPr>
          <w:cantSplit/>
          <w:trHeight w:val="605"/>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212013">
              <w:rPr>
                <w:rFonts w:ascii="Arabic Typesetting" w:hAnsi="Arabic Typesetting" w:cs="Arabic Typesetting"/>
                <w:noProof/>
                <w:sz w:val="30"/>
                <w:szCs w:val="30"/>
                <w:rtl/>
              </w:rPr>
              <w:t>التسجيلات</w:t>
            </w:r>
            <w:r w:rsidR="002459CC">
              <w:rPr>
                <w:rFonts w:ascii="Arabic Typesetting" w:hAnsi="Arabic Typesetting" w:cs="Arabic Typesetting" w:hint="cs"/>
                <w:noProof/>
                <w:sz w:val="30"/>
                <w:szCs w:val="30"/>
                <w:rtl/>
              </w:rPr>
              <w:t xml:space="preserve"> </w:t>
            </w:r>
            <w:r w:rsidR="002459CC">
              <w:rPr>
                <w:rFonts w:ascii="Arabic Typesetting" w:hAnsi="Arabic Typesetting" w:cs="Arabic Typesetting" w:hint="cs"/>
                <w:sz w:val="30"/>
                <w:szCs w:val="30"/>
                <w:rtl/>
              </w:rPr>
              <w:t>(مدريد)</w:t>
            </w: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F13B82">
              <w:rPr>
                <w:rFonts w:ascii="Arabic Typesetting" w:hAnsi="Arabic Typesetting" w:cs="Arabic Typesetting"/>
                <w:noProof/>
                <w:sz w:val="30"/>
                <w:szCs w:val="30"/>
                <w:rtl/>
              </w:rPr>
              <w:t>430 42</w:t>
            </w:r>
            <w:r w:rsidRPr="00212013">
              <w:rPr>
                <w:rFonts w:ascii="Arabic Typesetting" w:hAnsi="Arabic Typesetting" w:cs="Arabic Typesetting"/>
                <w:noProof/>
                <w:sz w:val="30"/>
                <w:szCs w:val="30"/>
                <w:rtl/>
              </w:rPr>
              <w:t xml:space="preserve"> (2014)</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F13B82">
              <w:rPr>
                <w:rFonts w:ascii="Arabic Typesetting" w:hAnsi="Arabic Typesetting" w:cs="Arabic Typesetting"/>
                <w:b/>
                <w:noProof/>
                <w:sz w:val="30"/>
                <w:szCs w:val="30"/>
                <w:rtl/>
              </w:rPr>
              <w:t>387 47</w:t>
            </w:r>
            <w:r w:rsidRPr="00212013">
              <w:rPr>
                <w:rFonts w:ascii="Arabic Typesetting" w:hAnsi="Arabic Typesetting" w:cs="Arabic Typesetting"/>
                <w:b/>
                <w:noProof/>
                <w:sz w:val="30"/>
                <w:szCs w:val="30"/>
                <w:rtl/>
              </w:rPr>
              <w:t xml:space="preserve"> (2016)</w:t>
            </w:r>
            <w:r>
              <w:rPr>
                <w:rFonts w:ascii="Arabic Typesetting" w:hAnsi="Arabic Typesetting" w:cs="Arabic Typesetting"/>
                <w:b/>
                <w:noProof/>
                <w:sz w:val="30"/>
                <w:szCs w:val="30"/>
                <w:rtl/>
              </w:rPr>
              <w:br/>
            </w:r>
            <w:r w:rsidRPr="00F13B82">
              <w:rPr>
                <w:rFonts w:ascii="Arabic Typesetting" w:hAnsi="Arabic Typesetting" w:cs="Arabic Typesetting"/>
                <w:b/>
                <w:noProof/>
                <w:sz w:val="30"/>
                <w:szCs w:val="30"/>
                <w:rtl/>
              </w:rPr>
              <w:t>652 48</w:t>
            </w:r>
            <w:r w:rsidRPr="00212013">
              <w:rPr>
                <w:rFonts w:ascii="Arabic Typesetting" w:hAnsi="Arabic Typesetting" w:cs="Arabic Typesetting"/>
                <w:b/>
                <w:noProof/>
                <w:sz w:val="30"/>
                <w:szCs w:val="30"/>
                <w:rtl/>
              </w:rPr>
              <w:t xml:space="preserve"> (2017)</w:t>
            </w:r>
            <w:r>
              <w:rPr>
                <w:rFonts w:ascii="Arabic Typesetting" w:hAnsi="Arabic Typesetting" w:cs="Arabic Typesetting"/>
                <w:b/>
                <w:noProof/>
                <w:sz w:val="30"/>
                <w:szCs w:val="30"/>
                <w:rtl/>
              </w:rPr>
              <w:br/>
            </w:r>
            <w:r w:rsidRPr="00F13B82">
              <w:rPr>
                <w:rFonts w:ascii="Arabic Typesetting" w:hAnsi="Arabic Typesetting" w:cs="Arabic Typesetting"/>
                <w:b/>
                <w:noProof/>
                <w:sz w:val="30"/>
                <w:szCs w:val="30"/>
                <w:rtl/>
              </w:rPr>
              <w:t>850 29</w:t>
            </w:r>
            <w:r w:rsidRPr="00212013">
              <w:rPr>
                <w:rFonts w:ascii="Arabic Typesetting" w:hAnsi="Arabic Typesetting" w:cs="Arabic Typesetting"/>
                <w:b/>
                <w:noProof/>
                <w:sz w:val="30"/>
                <w:szCs w:val="30"/>
                <w:rtl/>
              </w:rPr>
              <w:t xml:space="preserve"> (2016)</w:t>
            </w:r>
          </w:p>
        </w:tc>
      </w:tr>
      <w:tr w:rsidR="006D7321" w:rsidRPr="008954A8" w:rsidTr="00302EBB">
        <w:trPr>
          <w:cantSplit/>
          <w:trHeight w:val="439"/>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212013">
              <w:rPr>
                <w:rFonts w:ascii="Arabic Typesetting" w:hAnsi="Arabic Typesetting" w:cs="Arabic Typesetting"/>
                <w:noProof/>
                <w:sz w:val="30"/>
                <w:szCs w:val="30"/>
                <w:rtl/>
              </w:rPr>
              <w:t>التجديدات</w:t>
            </w:r>
            <w:r w:rsidR="002459CC">
              <w:rPr>
                <w:rFonts w:ascii="Arabic Typesetting" w:hAnsi="Arabic Typesetting" w:cs="Arabic Typesetting" w:hint="cs"/>
                <w:noProof/>
                <w:sz w:val="30"/>
                <w:szCs w:val="30"/>
                <w:rtl/>
              </w:rPr>
              <w:t xml:space="preserve"> </w:t>
            </w:r>
            <w:r w:rsidR="002459CC">
              <w:rPr>
                <w:rFonts w:ascii="Arabic Typesetting" w:hAnsi="Arabic Typesetting" w:cs="Arabic Typesetting" w:hint="cs"/>
                <w:sz w:val="30"/>
                <w:szCs w:val="30"/>
                <w:rtl/>
              </w:rPr>
              <w:t>(مدريد)</w:t>
            </w: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9A69E8">
              <w:rPr>
                <w:rFonts w:ascii="Arabic Typesetting" w:hAnsi="Arabic Typesetting" w:cs="Arabic Typesetting"/>
                <w:noProof/>
                <w:sz w:val="30"/>
                <w:szCs w:val="30"/>
                <w:rtl/>
              </w:rPr>
              <w:t>729 25</w:t>
            </w:r>
            <w:r w:rsidRPr="00212013">
              <w:rPr>
                <w:rFonts w:ascii="Arabic Typesetting" w:hAnsi="Arabic Typesetting" w:cs="Arabic Typesetting"/>
                <w:noProof/>
                <w:sz w:val="30"/>
                <w:szCs w:val="30"/>
                <w:rtl/>
              </w:rPr>
              <w:t xml:space="preserve"> (2014)</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sz w:val="30"/>
                <w:szCs w:val="30"/>
              </w:rPr>
            </w:pPr>
            <w:r w:rsidRPr="009A69E8">
              <w:rPr>
                <w:rFonts w:ascii="Arabic Typesetting" w:hAnsi="Arabic Typesetting" w:cs="Arabic Typesetting"/>
                <w:noProof/>
                <w:sz w:val="30"/>
                <w:szCs w:val="30"/>
                <w:rtl/>
              </w:rPr>
              <w:t>020 31</w:t>
            </w:r>
            <w:r w:rsidRPr="00B04C3E">
              <w:rPr>
                <w:rFonts w:ascii="Arabic Typesetting" w:hAnsi="Arabic Typesetting" w:cs="Arabic Typesetting"/>
                <w:noProof/>
                <w:sz w:val="30"/>
                <w:szCs w:val="30"/>
                <w:rtl/>
              </w:rPr>
              <w:t xml:space="preserve"> (2017)</w:t>
            </w:r>
          </w:p>
        </w:tc>
      </w:tr>
      <w:tr w:rsidR="006D7321" w:rsidRPr="008954A8" w:rsidTr="00302EBB">
        <w:trPr>
          <w:cantSplit/>
          <w:trHeight w:val="787"/>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B04C3E">
              <w:rPr>
                <w:rFonts w:ascii="Arabic Typesetting" w:hAnsi="Arabic Typesetting" w:cs="Arabic Typesetting"/>
                <w:noProof/>
                <w:sz w:val="30"/>
                <w:szCs w:val="30"/>
                <w:rtl/>
              </w:rPr>
              <w:t>إجمالي عدد التسجيلات</w:t>
            </w:r>
            <w:r w:rsidR="002459CC">
              <w:rPr>
                <w:rFonts w:ascii="Arabic Typesetting" w:hAnsi="Arabic Typesetting" w:cs="Arabic Typesetting" w:hint="cs"/>
                <w:noProof/>
                <w:sz w:val="30"/>
                <w:szCs w:val="30"/>
                <w:rtl/>
              </w:rPr>
              <w:t xml:space="preserve"> </w:t>
            </w:r>
            <w:r w:rsidR="002459CC">
              <w:rPr>
                <w:rFonts w:ascii="Arabic Typesetting" w:hAnsi="Arabic Typesetting" w:cs="Arabic Typesetting" w:hint="cs"/>
                <w:sz w:val="30"/>
                <w:szCs w:val="30"/>
                <w:rtl/>
              </w:rPr>
              <w:t>(مدريد)</w:t>
            </w: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9D42F2">
              <w:rPr>
                <w:rFonts w:ascii="Arabic Typesetting" w:hAnsi="Arabic Typesetting" w:cs="Arabic Typesetting"/>
                <w:noProof/>
                <w:sz w:val="30"/>
                <w:szCs w:val="30"/>
                <w:rtl/>
              </w:rPr>
              <w:t>477 594</w:t>
            </w:r>
            <w:r w:rsidRPr="00B04C3E">
              <w:rPr>
                <w:rFonts w:ascii="Arabic Typesetting" w:hAnsi="Arabic Typesetting" w:cs="Arabic Typesetting"/>
                <w:noProof/>
                <w:sz w:val="30"/>
                <w:szCs w:val="30"/>
                <w:rtl/>
              </w:rPr>
              <w:t xml:space="preserve"> تسجيلاً</w:t>
            </w:r>
            <w:r>
              <w:rPr>
                <w:rFonts w:ascii="Arabic Typesetting" w:hAnsi="Arabic Typesetting" w:cs="Arabic Typesetting" w:hint="cs"/>
                <w:sz w:val="30"/>
                <w:szCs w:val="30"/>
                <w:rtl/>
              </w:rPr>
              <w:t xml:space="preserve"> </w:t>
            </w:r>
            <w:r w:rsidRPr="00B04C3E">
              <w:rPr>
                <w:rFonts w:ascii="Arabic Typesetting" w:hAnsi="Arabic Typesetting" w:cs="Arabic Typesetting"/>
                <w:sz w:val="30"/>
                <w:szCs w:val="30"/>
                <w:rtl/>
              </w:rPr>
              <w:t>(</w:t>
            </w:r>
            <w:r>
              <w:rPr>
                <w:rFonts w:ascii="Arabic Typesetting" w:hAnsi="Arabic Typesetting" w:cs="Arabic Typesetting" w:hint="cs"/>
                <w:sz w:val="30"/>
                <w:szCs w:val="30"/>
                <w:rtl/>
              </w:rPr>
              <w:t>في</w:t>
            </w:r>
            <w:r w:rsidRPr="00F4348B">
              <w:rPr>
                <w:rFonts w:ascii="Arabic Typesetting" w:hAnsi="Arabic Typesetting" w:cs="Arabic Typesetting"/>
                <w:sz w:val="30"/>
                <w:szCs w:val="30"/>
                <w:rtl/>
              </w:rPr>
              <w:t xml:space="preserve"> </w:t>
            </w:r>
            <w:r w:rsidRPr="00B04C3E">
              <w:rPr>
                <w:rFonts w:ascii="Arabic Typesetting" w:hAnsi="Arabic Typesetting" w:cs="Arabic Typesetting"/>
                <w:sz w:val="30"/>
                <w:szCs w:val="30"/>
                <w:rtl/>
              </w:rPr>
              <w:t>31 ديسمبر 2014)</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Pr>
            </w:pPr>
            <w:r w:rsidRPr="00B04C3E">
              <w:rPr>
                <w:rFonts w:ascii="Arabic Typesetting" w:hAnsi="Arabic Typesetting" w:cs="Arabic Typesetting"/>
                <w:b/>
                <w:noProof/>
                <w:sz w:val="30"/>
                <w:szCs w:val="30"/>
                <w:rtl/>
              </w:rPr>
              <w:t xml:space="preserve">2016: </w:t>
            </w:r>
            <w:r w:rsidRPr="009D42F2">
              <w:rPr>
                <w:rFonts w:ascii="Arabic Typesetting" w:hAnsi="Arabic Typesetting" w:cs="Arabic Typesetting"/>
                <w:b/>
                <w:noProof/>
                <w:sz w:val="30"/>
                <w:szCs w:val="30"/>
                <w:rtl/>
              </w:rPr>
              <w:t>000 630</w:t>
            </w:r>
            <w:r w:rsidRPr="00B04C3E">
              <w:rPr>
                <w:rFonts w:ascii="Arabic Typesetting" w:hAnsi="Arabic Typesetting" w:cs="Arabic Typesetting"/>
                <w:b/>
                <w:noProof/>
                <w:sz w:val="30"/>
                <w:szCs w:val="30"/>
                <w:rtl/>
              </w:rPr>
              <w:t xml:space="preserve"> تسجيل</w:t>
            </w:r>
            <w:r>
              <w:rPr>
                <w:rFonts w:ascii="Arabic Typesetting" w:hAnsi="Arabic Typesetting" w:cs="Arabic Typesetting"/>
                <w:b/>
                <w:noProof/>
                <w:sz w:val="30"/>
                <w:szCs w:val="30"/>
                <w:rtl/>
              </w:rPr>
              <w:br/>
            </w:r>
            <w:r w:rsidRPr="00B04C3E">
              <w:rPr>
                <w:rFonts w:ascii="Arabic Typesetting" w:hAnsi="Arabic Typesetting" w:cs="Arabic Typesetting"/>
                <w:b/>
                <w:noProof/>
                <w:sz w:val="30"/>
                <w:szCs w:val="30"/>
                <w:rtl/>
              </w:rPr>
              <w:t xml:space="preserve">2017: </w:t>
            </w:r>
            <w:r w:rsidRPr="009D42F2">
              <w:rPr>
                <w:rFonts w:ascii="Arabic Typesetting" w:hAnsi="Arabic Typesetting" w:cs="Arabic Typesetting"/>
                <w:b/>
                <w:noProof/>
                <w:sz w:val="30"/>
                <w:szCs w:val="30"/>
                <w:rtl/>
              </w:rPr>
              <w:t>000 650</w:t>
            </w:r>
            <w:r w:rsidRPr="00B04C3E">
              <w:rPr>
                <w:rFonts w:ascii="Arabic Typesetting" w:hAnsi="Arabic Typesetting" w:cs="Arabic Typesetting"/>
                <w:b/>
                <w:noProof/>
                <w:sz w:val="30"/>
                <w:szCs w:val="30"/>
                <w:rtl/>
              </w:rPr>
              <w:t xml:space="preserve"> تسجيل</w:t>
            </w:r>
          </w:p>
        </w:tc>
      </w:tr>
      <w:tr w:rsidR="006D7321" w:rsidRPr="008954A8" w:rsidTr="00302EBB">
        <w:trPr>
          <w:cantSplit/>
          <w:trHeight w:val="790"/>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B04C3E">
              <w:rPr>
                <w:rFonts w:ascii="Arabic Typesetting" w:hAnsi="Arabic Typesetting" w:cs="Arabic Typesetting"/>
                <w:noProof/>
                <w:sz w:val="30"/>
                <w:szCs w:val="30"/>
                <w:rtl/>
              </w:rPr>
              <w:t>إجمالي عدد التسميات</w:t>
            </w:r>
            <w:r w:rsidR="002459CC">
              <w:rPr>
                <w:rFonts w:ascii="Arabic Typesetting" w:hAnsi="Arabic Typesetting" w:cs="Arabic Typesetting" w:hint="cs"/>
                <w:noProof/>
                <w:sz w:val="30"/>
                <w:szCs w:val="30"/>
                <w:rtl/>
              </w:rPr>
              <w:t xml:space="preserve"> </w:t>
            </w:r>
            <w:r w:rsidR="002459CC">
              <w:rPr>
                <w:rFonts w:ascii="Arabic Typesetting" w:hAnsi="Arabic Typesetting" w:cs="Arabic Typesetting" w:hint="cs"/>
                <w:sz w:val="30"/>
                <w:szCs w:val="30"/>
                <w:rtl/>
              </w:rPr>
              <w:t>(مدريد)</w:t>
            </w: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B04C3E">
              <w:rPr>
                <w:rFonts w:ascii="Arabic Typesetting" w:hAnsi="Arabic Typesetting" w:cs="Arabic Typesetting"/>
                <w:noProof/>
                <w:sz w:val="30"/>
                <w:szCs w:val="30"/>
                <w:rtl/>
              </w:rPr>
              <w:t>5.61 مليون تسمية (</w:t>
            </w:r>
            <w:r>
              <w:rPr>
                <w:rFonts w:ascii="Arabic Typesetting" w:hAnsi="Arabic Typesetting" w:cs="Arabic Typesetting" w:hint="cs"/>
                <w:sz w:val="30"/>
                <w:szCs w:val="30"/>
                <w:rtl/>
              </w:rPr>
              <w:t>في</w:t>
            </w:r>
            <w:r w:rsidRPr="00B04C3E">
              <w:rPr>
                <w:rFonts w:ascii="Arabic Typesetting" w:hAnsi="Arabic Typesetting" w:cs="Arabic Typesetting"/>
                <w:noProof/>
                <w:sz w:val="30"/>
                <w:szCs w:val="30"/>
                <w:rtl/>
              </w:rPr>
              <w:t xml:space="preserve"> 31 ديسمبر 2014)</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B04C3E">
              <w:rPr>
                <w:rFonts w:ascii="Arabic Typesetting" w:hAnsi="Arabic Typesetting" w:cs="Arabic Typesetting"/>
                <w:b/>
                <w:noProof/>
                <w:sz w:val="30"/>
                <w:szCs w:val="30"/>
                <w:rtl/>
              </w:rPr>
              <w:t>2016: 5.68 مليون تسمية</w:t>
            </w:r>
            <w:r>
              <w:rPr>
                <w:rFonts w:ascii="Arabic Typesetting" w:hAnsi="Arabic Typesetting" w:cs="Arabic Typesetting"/>
                <w:b/>
                <w:noProof/>
                <w:sz w:val="30"/>
                <w:szCs w:val="30"/>
                <w:rtl/>
              </w:rPr>
              <w:br/>
            </w:r>
            <w:r w:rsidRPr="00B04C3E">
              <w:rPr>
                <w:rFonts w:ascii="Arabic Typesetting" w:hAnsi="Arabic Typesetting" w:cs="Arabic Typesetting"/>
                <w:b/>
                <w:noProof/>
                <w:sz w:val="30"/>
                <w:szCs w:val="30"/>
                <w:rtl/>
              </w:rPr>
              <w:t>2017: 5.7 مليون تسمية</w:t>
            </w:r>
          </w:p>
        </w:tc>
      </w:tr>
      <w:tr w:rsidR="006D7321" w:rsidRPr="008954A8" w:rsidTr="00302EBB">
        <w:trPr>
          <w:cantSplit/>
          <w:trHeight w:val="615"/>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tl/>
              </w:rPr>
            </w:pPr>
            <w:r w:rsidRPr="00720FF3">
              <w:rPr>
                <w:rFonts w:ascii="Arabic Typesetting" w:hAnsi="Arabic Typesetting" w:cs="Arabic Typesetting"/>
                <w:noProof/>
                <w:sz w:val="30"/>
                <w:szCs w:val="30"/>
                <w:rtl/>
              </w:rPr>
              <w:t>معدل المخالفة (المادتان 12 و13)</w:t>
            </w:r>
            <w:r w:rsidR="002459CC">
              <w:rPr>
                <w:rFonts w:ascii="Arabic Typesetting" w:hAnsi="Arabic Typesetting" w:cs="Arabic Typesetting" w:hint="cs"/>
                <w:noProof/>
                <w:sz w:val="30"/>
                <w:szCs w:val="30"/>
                <w:rtl/>
              </w:rPr>
              <w:t xml:space="preserve"> </w:t>
            </w:r>
            <w:r w:rsidR="002459CC">
              <w:rPr>
                <w:rFonts w:ascii="Arabic Typesetting" w:hAnsi="Arabic Typesetting" w:cs="Arabic Typesetting" w:hint="cs"/>
                <w:sz w:val="30"/>
                <w:szCs w:val="30"/>
                <w:rtl/>
              </w:rPr>
              <w:t>(مدريد)</w:t>
            </w: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0A6D7B">
              <w:rPr>
                <w:rFonts w:ascii="Arabic Typesetting" w:hAnsi="Arabic Typesetting" w:cs="Arabic Typesetting"/>
                <w:sz w:val="30"/>
                <w:szCs w:val="30"/>
                <w:rtl/>
              </w:rPr>
              <w:t>معدل المخالفة 36% (</w:t>
            </w:r>
            <w:r>
              <w:rPr>
                <w:rFonts w:ascii="Arabic Typesetting" w:hAnsi="Arabic Typesetting" w:cs="Arabic Typesetting" w:hint="cs"/>
                <w:sz w:val="30"/>
                <w:szCs w:val="30"/>
                <w:rtl/>
              </w:rPr>
              <w:t>في</w:t>
            </w:r>
            <w:r w:rsidRPr="000A6D7B">
              <w:rPr>
                <w:rFonts w:ascii="Arabic Typesetting" w:hAnsi="Arabic Typesetting" w:cs="Arabic Typesetting"/>
                <w:sz w:val="30"/>
                <w:szCs w:val="30"/>
                <w:rtl/>
              </w:rPr>
              <w:t xml:space="preserve"> 31 ديسمبر 2014)</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sz w:val="30"/>
                <w:szCs w:val="30"/>
              </w:rPr>
            </w:pPr>
            <w:r>
              <w:rPr>
                <w:rFonts w:ascii="Arabic Typesetting" w:hAnsi="Arabic Typesetting" w:cs="Arabic Typesetting" w:hint="cs"/>
                <w:sz w:val="30"/>
                <w:szCs w:val="30"/>
                <w:rtl/>
              </w:rPr>
              <w:t>انخفاض</w:t>
            </w:r>
          </w:p>
        </w:tc>
      </w:tr>
      <w:tr w:rsidR="006D7321" w:rsidRPr="008954A8" w:rsidTr="00302EBB">
        <w:trPr>
          <w:cantSplit/>
          <w:trHeight w:val="606"/>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tl/>
              </w:rPr>
            </w:pPr>
            <w:r w:rsidRPr="006933BB">
              <w:rPr>
                <w:rFonts w:ascii="Arabic Typesetting" w:hAnsi="Arabic Typesetting" w:cs="Arabic Typesetting"/>
                <w:sz w:val="30"/>
                <w:szCs w:val="30"/>
                <w:rtl/>
              </w:rPr>
              <w:t>الشروط المقبولة في قاعدة بيانات إدارة السلع والخدمات في نظام مدريد (</w:t>
            </w:r>
            <w:r w:rsidRPr="006933BB">
              <w:rPr>
                <w:rFonts w:ascii="Arabic Typesetting" w:hAnsi="Arabic Typesetting" w:cs="Arabic Typesetting"/>
                <w:sz w:val="30"/>
                <w:szCs w:val="30"/>
              </w:rPr>
              <w:t>MGS</w:t>
            </w:r>
            <w:r w:rsidRPr="006933BB">
              <w:rPr>
                <w:rFonts w:ascii="Arabic Typesetting" w:hAnsi="Arabic Typesetting" w:cs="Arabic Typesetting"/>
                <w:sz w:val="30"/>
                <w:szCs w:val="30"/>
                <w:rtl/>
              </w:rPr>
              <w:t xml:space="preserve">) (باللغة الإنجليزية) </w:t>
            </w:r>
            <w:r w:rsidRPr="0092002E">
              <w:rPr>
                <w:rFonts w:ascii="Arabic Typesetting" w:hAnsi="Arabic Typesetting" w:cs="Arabic Typesetting"/>
                <w:sz w:val="30"/>
                <w:szCs w:val="30"/>
                <w:rtl/>
              </w:rPr>
              <w:t>050 67</w:t>
            </w:r>
            <w:r w:rsidRPr="006933BB">
              <w:rPr>
                <w:rFonts w:ascii="Arabic Typesetting" w:hAnsi="Arabic Typesetting" w:cs="Arabic Typesetting"/>
                <w:sz w:val="30"/>
                <w:szCs w:val="30"/>
                <w:rtl/>
              </w:rPr>
              <w:t xml:space="preserve"> (مايو 2015)</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92002E">
              <w:rPr>
                <w:rFonts w:ascii="Arabic Typesetting" w:hAnsi="Arabic Typesetting" w:cs="Arabic Typesetting"/>
                <w:b/>
                <w:sz w:val="30"/>
                <w:szCs w:val="30"/>
                <w:rtl/>
              </w:rPr>
              <w:t>000 80</w:t>
            </w:r>
          </w:p>
        </w:tc>
      </w:tr>
      <w:tr w:rsidR="006D7321" w:rsidRPr="008954A8" w:rsidTr="00302EBB">
        <w:trPr>
          <w:cantSplit/>
          <w:trHeight w:val="606"/>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إدخال </w:t>
            </w:r>
            <w:r w:rsidRPr="002D79BF">
              <w:rPr>
                <w:rFonts w:ascii="Arabic Typesetting" w:hAnsi="Arabic Typesetting" w:cs="Arabic Typesetting"/>
                <w:sz w:val="30"/>
                <w:szCs w:val="30"/>
                <w:rtl/>
              </w:rPr>
              <w:t xml:space="preserve">تحسينات وظيفية </w:t>
            </w:r>
            <w:r>
              <w:rPr>
                <w:rFonts w:ascii="Arabic Typesetting" w:hAnsi="Arabic Typesetting" w:cs="Arabic Typesetting" w:hint="cs"/>
                <w:sz w:val="30"/>
                <w:szCs w:val="30"/>
                <w:rtl/>
              </w:rPr>
              <w:t xml:space="preserve">على </w:t>
            </w:r>
            <w:r w:rsidRPr="002D79BF">
              <w:rPr>
                <w:rFonts w:ascii="Arabic Typesetting" w:hAnsi="Arabic Typesetting" w:cs="Arabic Typesetting"/>
                <w:sz w:val="30"/>
                <w:szCs w:val="30"/>
                <w:rtl/>
              </w:rPr>
              <w:t>نظام مدريد</w:t>
            </w:r>
          </w:p>
        </w:tc>
        <w:tc>
          <w:tcPr>
            <w:tcW w:w="1431" w:type="pct"/>
            <w:shd w:val="clear" w:color="auto" w:fill="FFFFFF"/>
            <w:tcMar>
              <w:top w:w="110" w:type="dxa"/>
            </w:tcMar>
          </w:tcPr>
          <w:p w:rsidR="006D7321" w:rsidRPr="002D79BF" w:rsidRDefault="006D7321" w:rsidP="00B9375E">
            <w:pPr>
              <w:adjustRightInd w:val="0"/>
              <w:snapToGrid w:val="0"/>
              <w:spacing w:before="40" w:after="40" w:line="300" w:lineRule="exact"/>
              <w:rPr>
                <w:rFonts w:ascii="Arabic Typesetting" w:hAnsi="Arabic Typesetting" w:cs="Arabic Typesetting"/>
                <w:sz w:val="30"/>
                <w:szCs w:val="30"/>
                <w:rtl/>
              </w:rPr>
            </w:pPr>
            <w:r w:rsidRPr="002D79BF">
              <w:rPr>
                <w:rFonts w:ascii="Arabic Typesetting" w:hAnsi="Arabic Typesetting" w:cs="Arabic Typesetting"/>
                <w:sz w:val="30"/>
                <w:szCs w:val="30"/>
                <w:rtl/>
              </w:rPr>
              <w:t xml:space="preserve">اللائحة التنفيذية المشتركة والتعليمات الإدارية </w:t>
            </w:r>
            <w:r>
              <w:rPr>
                <w:rFonts w:ascii="Arabic Typesetting" w:hAnsi="Arabic Typesetting" w:cs="Arabic Typesetting" w:hint="cs"/>
                <w:sz w:val="30"/>
                <w:szCs w:val="30"/>
                <w:rtl/>
              </w:rPr>
              <w:t>السارية</w:t>
            </w:r>
            <w:r w:rsidRPr="002D79BF">
              <w:rPr>
                <w:rFonts w:ascii="Arabic Typesetting" w:hAnsi="Arabic Typesetting" w:cs="Arabic Typesetting"/>
                <w:sz w:val="30"/>
                <w:szCs w:val="30"/>
                <w:rtl/>
              </w:rPr>
              <w:t xml:space="preserve"> في 31 ديسمبر 2014</w:t>
            </w:r>
          </w:p>
        </w:tc>
        <w:tc>
          <w:tcPr>
            <w:tcW w:w="1158" w:type="pct"/>
            <w:tcMar>
              <w:top w:w="110" w:type="dxa"/>
            </w:tcMar>
          </w:tcPr>
          <w:p w:rsidR="006D7321"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2D79BF">
              <w:rPr>
                <w:rFonts w:ascii="Arabic Typesetting" w:hAnsi="Arabic Typesetting" w:cs="Arabic Typesetting"/>
                <w:b/>
                <w:sz w:val="30"/>
                <w:szCs w:val="30"/>
                <w:rtl/>
              </w:rPr>
              <w:t>إدخال تعديلات على اللائحة التنفيذية المشتركة والتعليمات الإدارية</w:t>
            </w:r>
          </w:p>
        </w:tc>
      </w:tr>
      <w:tr w:rsidR="006D7321" w:rsidRPr="008954A8" w:rsidTr="00302EBB">
        <w:trPr>
          <w:cantSplit/>
          <w:trHeight w:val="1132"/>
        </w:trPr>
        <w:tc>
          <w:tcPr>
            <w:tcW w:w="1130" w:type="pct"/>
          </w:tcPr>
          <w:p w:rsidR="006D7321" w:rsidRPr="008954A8" w:rsidRDefault="009800D4" w:rsidP="00B9375E">
            <w:pPr>
              <w:tabs>
                <w:tab w:val="left" w:pos="1525"/>
                <w:tab w:val="right" w:pos="2835"/>
              </w:tabs>
              <w:adjustRightInd w:val="0"/>
              <w:snapToGrid w:val="0"/>
              <w:spacing w:before="40" w:after="40" w:line="300" w:lineRule="exact"/>
              <w:rPr>
                <w:rFonts w:ascii="Arabic Typesetting" w:hAnsi="Arabic Typesetting" w:cs="Arabic Typesetting"/>
                <w:sz w:val="30"/>
                <w:szCs w:val="30"/>
              </w:rPr>
            </w:pPr>
            <w:r>
              <w:rPr>
                <w:rFonts w:ascii="Arabic Typesetting" w:hAnsi="Arabic Typesetting" w:cs="Arabic Typesetting"/>
                <w:noProof/>
                <w:sz w:val="30"/>
                <w:szCs w:val="30"/>
                <w:rtl/>
              </w:rPr>
              <w:t>ه</w:t>
            </w:r>
            <w:r w:rsidR="006D7321">
              <w:rPr>
                <w:rFonts w:ascii="Arabic Typesetting" w:hAnsi="Arabic Typesetting" w:cs="Arabic Typesetting" w:hint="cs"/>
                <w:noProof/>
                <w:sz w:val="30"/>
                <w:szCs w:val="30"/>
                <w:rtl/>
              </w:rPr>
              <w:t xml:space="preserve"> </w:t>
            </w:r>
            <w:r w:rsidR="006D7321" w:rsidRPr="00823E6E">
              <w:rPr>
                <w:rFonts w:ascii="Arabic Typesetting" w:hAnsi="Arabic Typesetting" w:cs="Arabic Typesetting"/>
                <w:noProof/>
                <w:sz w:val="30"/>
                <w:szCs w:val="30"/>
                <w:rtl/>
              </w:rPr>
              <w:t>7.2 إنتاجية وج</w:t>
            </w:r>
            <w:r w:rsidR="00431FFB">
              <w:rPr>
                <w:rFonts w:ascii="Arabic Typesetting" w:hAnsi="Arabic Typesetting" w:cs="Arabic Typesetting"/>
                <w:noProof/>
                <w:sz w:val="30"/>
                <w:szCs w:val="30"/>
                <w:rtl/>
              </w:rPr>
              <w:t>ودة خدمات محسّنة في عمليات نظام</w:t>
            </w:r>
            <w:r w:rsidR="006D7321" w:rsidRPr="00823E6E">
              <w:rPr>
                <w:rFonts w:ascii="Arabic Typesetting" w:hAnsi="Arabic Typesetting" w:cs="Arabic Typesetting"/>
                <w:noProof/>
                <w:sz w:val="30"/>
                <w:szCs w:val="30"/>
                <w:rtl/>
              </w:rPr>
              <w:t xml:space="preserve"> مدريد</w:t>
            </w: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رضا الزبائن</w:t>
            </w:r>
            <w:r w:rsidR="009724F8">
              <w:rPr>
                <w:rFonts w:ascii="Arabic Typesetting" w:hAnsi="Arabic Typesetting" w:cs="Arabic Typesetting" w:hint="cs"/>
                <w:noProof/>
                <w:sz w:val="30"/>
                <w:szCs w:val="30"/>
                <w:rtl/>
              </w:rPr>
              <w:t xml:space="preserve"> (مدريد)</w:t>
            </w:r>
          </w:p>
        </w:tc>
        <w:tc>
          <w:tcPr>
            <w:tcW w:w="1431" w:type="pct"/>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FF1BE3">
              <w:rPr>
                <w:rFonts w:ascii="Arabic Typesetting" w:hAnsi="Arabic Typesetting" w:cs="Arabic Typesetting"/>
                <w:noProof/>
                <w:sz w:val="30"/>
                <w:szCs w:val="30"/>
                <w:rtl/>
              </w:rPr>
              <w:t>مؤشر التوجه نحو تقديم الخدمات في عام 2014 (39)</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FF1BE3">
              <w:rPr>
                <w:rFonts w:ascii="Arabic Typesetting" w:hAnsi="Arabic Typesetting" w:cs="Arabic Typesetting"/>
                <w:b/>
                <w:noProof/>
                <w:sz w:val="30"/>
                <w:szCs w:val="30"/>
                <w:rtl/>
              </w:rPr>
              <w:t>تحسن في المؤشر</w:t>
            </w:r>
          </w:p>
        </w:tc>
      </w:tr>
      <w:tr w:rsidR="006D7321" w:rsidRPr="008954A8" w:rsidTr="00302EBB">
        <w:trPr>
          <w:cantSplit/>
          <w:trHeight w:val="1469"/>
        </w:trPr>
        <w:tc>
          <w:tcPr>
            <w:tcW w:w="1130" w:type="pct"/>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tl/>
              </w:rPr>
            </w:pPr>
            <w:r w:rsidRPr="00FF1BE3">
              <w:rPr>
                <w:rFonts w:ascii="Arabic Typesetting" w:hAnsi="Arabic Typesetting" w:cs="Arabic Typesetting"/>
                <w:sz w:val="30"/>
                <w:szCs w:val="30"/>
                <w:rtl/>
              </w:rPr>
              <w:t>تكلفة الوحدة</w:t>
            </w:r>
            <w:r w:rsidR="00710960">
              <w:rPr>
                <w:rFonts w:ascii="Arabic Typesetting" w:hAnsi="Arabic Typesetting" w:cs="Arabic Typesetting" w:hint="cs"/>
                <w:sz w:val="30"/>
                <w:szCs w:val="30"/>
                <w:rtl/>
              </w:rPr>
              <w:t xml:space="preserve"> (مدريد)</w:t>
            </w:r>
          </w:p>
        </w:tc>
        <w:tc>
          <w:tcPr>
            <w:tcW w:w="1431" w:type="pct"/>
            <w:shd w:val="clear" w:color="auto" w:fill="FFFFFF"/>
            <w:tcMar>
              <w:top w:w="110" w:type="dxa"/>
            </w:tcMar>
          </w:tcPr>
          <w:p w:rsidR="006D7321" w:rsidRPr="00682F32" w:rsidRDefault="006D7321" w:rsidP="00B9375E">
            <w:pPr>
              <w:adjustRightInd w:val="0"/>
              <w:snapToGrid w:val="0"/>
              <w:spacing w:before="40" w:after="4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تكلفة </w:t>
            </w:r>
            <w:r w:rsidRPr="008954A8">
              <w:rPr>
                <w:rFonts w:ascii="Arabic Typesetting" w:hAnsi="Arabic Typesetting" w:cs="Arabic Typesetting"/>
                <w:sz w:val="30"/>
                <w:szCs w:val="30"/>
                <w:rtl/>
              </w:rPr>
              <w:t>التسجيل</w:t>
            </w:r>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ا</w:t>
            </w:r>
            <w:r w:rsidRPr="008954A8">
              <w:rPr>
                <w:rFonts w:ascii="Arabic Typesetting" w:hAnsi="Arabic Typesetting" w:cs="Arabic Typesetting"/>
                <w:sz w:val="30"/>
                <w:szCs w:val="30"/>
                <w:rtl/>
              </w:rPr>
              <w:t>لتجديد</w:t>
            </w:r>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837 فرنك</w:t>
            </w:r>
            <w:r w:rsidR="0010046E">
              <w:rPr>
                <w:rFonts w:ascii="Arabic Typesetting" w:hAnsi="Arabic Typesetting" w:cs="Arabic Typesetting" w:hint="cs"/>
                <w:sz w:val="30"/>
                <w:szCs w:val="30"/>
                <w:rtl/>
              </w:rPr>
              <w:t>ا</w:t>
            </w:r>
            <w:r>
              <w:rPr>
                <w:rFonts w:ascii="Arabic Typesetting" w:hAnsi="Arabic Typesetting" w:cs="Arabic Typesetting" w:hint="cs"/>
                <w:sz w:val="30"/>
                <w:szCs w:val="30"/>
                <w:rtl/>
              </w:rPr>
              <w:t xml:space="preserve"> سويسري</w:t>
            </w:r>
            <w:r w:rsidR="0010046E">
              <w:rPr>
                <w:rFonts w:ascii="Arabic Typesetting" w:hAnsi="Arabic Typesetting" w:cs="Arabic Typesetting" w:hint="cs"/>
                <w:sz w:val="30"/>
                <w:szCs w:val="30"/>
                <w:rtl/>
              </w:rPr>
              <w:t>ا</w:t>
            </w:r>
            <w:r>
              <w:rPr>
                <w:rFonts w:ascii="Arabic Typesetting" w:hAnsi="Arabic Typesetting" w:cs="Arabic Typesetting"/>
                <w:sz w:val="30"/>
                <w:szCs w:val="30"/>
                <w:rtl/>
              </w:rPr>
              <w:br/>
            </w:r>
            <w:r>
              <w:rPr>
                <w:rFonts w:ascii="Arabic Typesetting" w:hAnsi="Arabic Typesetting" w:cs="Arabic Typesetting" w:hint="cs"/>
                <w:sz w:val="30"/>
                <w:szCs w:val="30"/>
                <w:rtl/>
              </w:rPr>
              <w:t>تكلفة وحدة التدوين: 320 فرنك</w:t>
            </w:r>
            <w:r w:rsidR="0010046E">
              <w:rPr>
                <w:rFonts w:ascii="Arabic Typesetting" w:hAnsi="Arabic Typesetting" w:cs="Arabic Typesetting" w:hint="cs"/>
                <w:sz w:val="30"/>
                <w:szCs w:val="30"/>
                <w:rtl/>
              </w:rPr>
              <w:t>ا</w:t>
            </w:r>
            <w:r>
              <w:rPr>
                <w:rFonts w:ascii="Arabic Typesetting" w:hAnsi="Arabic Typesetting" w:cs="Arabic Typesetting" w:hint="cs"/>
                <w:sz w:val="30"/>
                <w:szCs w:val="30"/>
                <w:rtl/>
              </w:rPr>
              <w:t xml:space="preserve"> سويسري</w:t>
            </w:r>
            <w:r w:rsidR="0010046E">
              <w:rPr>
                <w:rFonts w:ascii="Arabic Typesetting" w:hAnsi="Arabic Typesetting" w:cs="Arabic Typesetting" w:hint="cs"/>
                <w:sz w:val="30"/>
                <w:szCs w:val="30"/>
                <w:rtl/>
              </w:rPr>
              <w:t>ا</w:t>
            </w:r>
          </w:p>
        </w:tc>
        <w:tc>
          <w:tcPr>
            <w:tcW w:w="1158" w:type="pct"/>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انخفاض في فئتي تكلفة الوحدة</w:t>
            </w:r>
          </w:p>
        </w:tc>
      </w:tr>
      <w:tr w:rsidR="006D7321" w:rsidRPr="008954A8" w:rsidTr="00302EBB">
        <w:trPr>
          <w:cantSplit/>
          <w:trHeight w:val="531"/>
        </w:trPr>
        <w:tc>
          <w:tcPr>
            <w:tcW w:w="1130" w:type="pct"/>
            <w:tcBorders>
              <w:bottom w:val="nil"/>
            </w:tcBorders>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Borders>
              <w:bottom w:val="nil"/>
            </w:tcBorders>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02209A">
              <w:rPr>
                <w:rFonts w:ascii="Arabic Typesetting" w:hAnsi="Arabic Typesetting" w:cs="Arabic Typesetting"/>
                <w:noProof/>
                <w:sz w:val="30"/>
                <w:szCs w:val="30"/>
                <w:rtl/>
              </w:rPr>
              <w:t>توقيت المعاملات (</w:t>
            </w:r>
            <w:r>
              <w:rPr>
                <w:rFonts w:ascii="Arabic Typesetting" w:hAnsi="Arabic Typesetting" w:cs="Arabic Typesetting" w:hint="cs"/>
                <w:noProof/>
                <w:sz w:val="30"/>
                <w:szCs w:val="30"/>
                <w:rtl/>
              </w:rPr>
              <w:t>بال</w:t>
            </w:r>
            <w:r w:rsidRPr="0002209A">
              <w:rPr>
                <w:rFonts w:ascii="Arabic Typesetting" w:hAnsi="Arabic Typesetting" w:cs="Arabic Typesetting"/>
                <w:noProof/>
                <w:sz w:val="30"/>
                <w:szCs w:val="30"/>
                <w:rtl/>
              </w:rPr>
              <w:t>أيام)</w:t>
            </w:r>
            <w:r w:rsidR="00710960">
              <w:rPr>
                <w:rFonts w:ascii="Arabic Typesetting" w:hAnsi="Arabic Typesetting" w:cs="Arabic Typesetting" w:hint="cs"/>
                <w:noProof/>
                <w:sz w:val="30"/>
                <w:szCs w:val="30"/>
                <w:rtl/>
              </w:rPr>
              <w:t xml:space="preserve"> (مدريد)</w:t>
            </w:r>
          </w:p>
        </w:tc>
        <w:tc>
          <w:tcPr>
            <w:tcW w:w="1431" w:type="pct"/>
            <w:tcBorders>
              <w:bottom w:val="nil"/>
            </w:tcBorders>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noProof/>
                <w:sz w:val="30"/>
                <w:szCs w:val="30"/>
              </w:rPr>
            </w:pPr>
            <w:r w:rsidRPr="0002209A">
              <w:rPr>
                <w:rFonts w:ascii="Arabic Typesetting" w:hAnsi="Arabic Typesetting" w:cs="Arabic Typesetting"/>
                <w:noProof/>
                <w:sz w:val="30"/>
                <w:szCs w:val="30"/>
                <w:rtl/>
              </w:rPr>
              <w:t>الطلبات: 70</w:t>
            </w:r>
            <w:r>
              <w:rPr>
                <w:rFonts w:ascii="Arabic Typesetting" w:hAnsi="Arabic Typesetting" w:cs="Arabic Typesetting"/>
                <w:noProof/>
                <w:sz w:val="30"/>
                <w:szCs w:val="30"/>
                <w:rtl/>
              </w:rPr>
              <w:br/>
            </w:r>
            <w:r w:rsidRPr="0002209A">
              <w:rPr>
                <w:rFonts w:ascii="Arabic Typesetting" w:hAnsi="Arabic Typesetting" w:cs="Arabic Typesetting"/>
                <w:noProof/>
                <w:sz w:val="30"/>
                <w:szCs w:val="30"/>
                <w:rtl/>
              </w:rPr>
              <w:t>التجديدات: 63</w:t>
            </w:r>
            <w:r>
              <w:rPr>
                <w:rFonts w:ascii="Arabic Typesetting" w:hAnsi="Arabic Typesetting" w:cs="Arabic Typesetting"/>
                <w:noProof/>
                <w:sz w:val="30"/>
                <w:szCs w:val="30"/>
                <w:rtl/>
              </w:rPr>
              <w:br/>
            </w:r>
            <w:r w:rsidRPr="0002209A">
              <w:rPr>
                <w:rFonts w:ascii="Arabic Typesetting" w:hAnsi="Arabic Typesetting" w:cs="Arabic Typesetting"/>
                <w:noProof/>
                <w:sz w:val="30"/>
                <w:szCs w:val="30"/>
                <w:rtl/>
              </w:rPr>
              <w:t>التسميات اللاحقة: 56</w:t>
            </w:r>
            <w:r>
              <w:rPr>
                <w:rFonts w:ascii="Arabic Typesetting" w:hAnsi="Arabic Typesetting" w:cs="Arabic Typesetting"/>
                <w:noProof/>
                <w:sz w:val="30"/>
                <w:szCs w:val="30"/>
                <w:rtl/>
              </w:rPr>
              <w:br/>
            </w:r>
            <w:r w:rsidRPr="0002209A">
              <w:rPr>
                <w:rFonts w:ascii="Arabic Typesetting" w:hAnsi="Arabic Typesetting" w:cs="Arabic Typesetting"/>
                <w:noProof/>
                <w:sz w:val="30"/>
                <w:szCs w:val="30"/>
                <w:rtl/>
              </w:rPr>
              <w:t>القرارات: 12</w:t>
            </w:r>
            <w:r>
              <w:rPr>
                <w:rFonts w:ascii="Arabic Typesetting" w:hAnsi="Arabic Typesetting" w:cs="Arabic Typesetting"/>
                <w:noProof/>
                <w:sz w:val="30"/>
                <w:szCs w:val="30"/>
                <w:rtl/>
              </w:rPr>
              <w:br/>
            </w:r>
            <w:r w:rsidRPr="0002209A">
              <w:rPr>
                <w:rFonts w:ascii="Arabic Typesetting" w:hAnsi="Arabic Typesetting" w:cs="Arabic Typesetting"/>
                <w:noProof/>
                <w:sz w:val="30"/>
                <w:szCs w:val="30"/>
                <w:rtl/>
              </w:rPr>
              <w:t>التعديلات: 79</w:t>
            </w:r>
            <w:r>
              <w:rPr>
                <w:rFonts w:ascii="Arabic Typesetting" w:hAnsi="Arabic Typesetting" w:cs="Arabic Typesetting"/>
                <w:noProof/>
                <w:sz w:val="30"/>
                <w:szCs w:val="30"/>
                <w:rtl/>
              </w:rPr>
              <w:br/>
            </w:r>
            <w:r w:rsidRPr="0002209A">
              <w:rPr>
                <w:rFonts w:ascii="Arabic Typesetting" w:hAnsi="Arabic Typesetting" w:cs="Arabic Typesetting"/>
                <w:noProof/>
                <w:sz w:val="30"/>
                <w:szCs w:val="30"/>
                <w:rtl/>
              </w:rPr>
              <w:t>التصحيحات: 232</w:t>
            </w:r>
            <w:r>
              <w:rPr>
                <w:rFonts w:ascii="Arabic Typesetting" w:hAnsi="Arabic Typesetting" w:cs="Arabic Typesetting"/>
                <w:noProof/>
                <w:sz w:val="30"/>
                <w:szCs w:val="30"/>
                <w:rtl/>
              </w:rPr>
              <w:br/>
            </w:r>
            <w:r w:rsidRPr="0002209A">
              <w:rPr>
                <w:rFonts w:ascii="Arabic Typesetting" w:hAnsi="Arabic Typesetting" w:cs="Arabic Typesetting"/>
                <w:noProof/>
                <w:sz w:val="30"/>
                <w:szCs w:val="30"/>
                <w:rtl/>
              </w:rPr>
              <w:t>(كما في 31 ديسمبر 2014)</w:t>
            </w:r>
          </w:p>
        </w:tc>
        <w:tc>
          <w:tcPr>
            <w:tcW w:w="1158" w:type="pct"/>
            <w:tcBorders>
              <w:bottom w:val="nil"/>
            </w:tcBorders>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02209A">
              <w:rPr>
                <w:rFonts w:ascii="Arabic Typesetting" w:hAnsi="Arabic Typesetting" w:cs="Arabic Typesetting"/>
                <w:b/>
                <w:noProof/>
                <w:sz w:val="30"/>
                <w:szCs w:val="30"/>
                <w:rtl/>
              </w:rPr>
              <w:t>تحسن في جميع المعاملات</w:t>
            </w:r>
          </w:p>
        </w:tc>
      </w:tr>
      <w:tr w:rsidR="006D7321" w:rsidRPr="008954A8" w:rsidTr="00302EBB">
        <w:trPr>
          <w:cantSplit/>
          <w:trHeight w:val="663"/>
        </w:trPr>
        <w:tc>
          <w:tcPr>
            <w:tcW w:w="1130" w:type="pct"/>
            <w:tcBorders>
              <w:top w:val="nil"/>
              <w:bottom w:val="nil"/>
            </w:tcBorders>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Borders>
              <w:top w:val="nil"/>
              <w:bottom w:val="nil"/>
            </w:tcBorders>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BB4036">
              <w:rPr>
                <w:rFonts w:ascii="Arabic Typesetting" w:hAnsi="Arabic Typesetting" w:cs="Arabic Typesetting"/>
                <w:noProof/>
                <w:sz w:val="30"/>
                <w:szCs w:val="30"/>
                <w:rtl/>
              </w:rPr>
              <w:t>الجودة</w:t>
            </w:r>
            <w:r w:rsidR="00710960">
              <w:rPr>
                <w:rFonts w:ascii="Arabic Typesetting" w:hAnsi="Arabic Typesetting" w:cs="Arabic Typesetting" w:hint="cs"/>
                <w:noProof/>
                <w:sz w:val="30"/>
                <w:szCs w:val="30"/>
                <w:rtl/>
              </w:rPr>
              <w:t xml:space="preserve"> (مدريد)</w:t>
            </w:r>
          </w:p>
        </w:tc>
        <w:tc>
          <w:tcPr>
            <w:tcW w:w="1431" w:type="pct"/>
            <w:tcBorders>
              <w:top w:val="nil"/>
              <w:bottom w:val="nil"/>
            </w:tcBorders>
            <w:shd w:val="clear" w:color="auto" w:fill="FFFFFF"/>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BB4036">
              <w:rPr>
                <w:rFonts w:ascii="Arabic Typesetting" w:hAnsi="Arabic Typesetting" w:cs="Arabic Typesetting"/>
                <w:sz w:val="30"/>
                <w:szCs w:val="30"/>
                <w:rtl/>
              </w:rPr>
              <w:t>تُحدَّد لاحقاً</w:t>
            </w:r>
          </w:p>
        </w:tc>
        <w:tc>
          <w:tcPr>
            <w:tcW w:w="1158" w:type="pct"/>
            <w:tcBorders>
              <w:top w:val="nil"/>
              <w:bottom w:val="nil"/>
            </w:tcBorders>
            <w:tcMar>
              <w:top w:w="110" w:type="dxa"/>
            </w:tcMar>
          </w:tcPr>
          <w:p w:rsidR="006D7321" w:rsidRPr="008954A8" w:rsidRDefault="006D7321" w:rsidP="00B9375E">
            <w:pPr>
              <w:keepNext/>
              <w:keepLines/>
              <w:adjustRightInd w:val="0"/>
              <w:snapToGrid w:val="0"/>
              <w:spacing w:before="40" w:after="40" w:line="300" w:lineRule="exact"/>
              <w:rPr>
                <w:rFonts w:ascii="Arabic Typesetting" w:hAnsi="Arabic Typesetting" w:cs="Arabic Typesetting"/>
                <w:bCs/>
                <w:sz w:val="30"/>
                <w:szCs w:val="30"/>
                <w:rtl/>
              </w:rPr>
            </w:pPr>
            <w:r w:rsidRPr="00BB4036">
              <w:rPr>
                <w:rFonts w:ascii="Arabic Typesetting" w:hAnsi="Arabic Typesetting" w:cs="Arabic Typesetting"/>
                <w:b/>
                <w:noProof/>
                <w:sz w:val="30"/>
                <w:szCs w:val="30"/>
                <w:rtl/>
              </w:rPr>
              <w:t>تُحدَّد لاحقاً</w:t>
            </w:r>
          </w:p>
        </w:tc>
      </w:tr>
      <w:tr w:rsidR="006D7321" w:rsidRPr="008954A8" w:rsidTr="00302EBB">
        <w:trPr>
          <w:cantSplit/>
          <w:trHeight w:val="946"/>
        </w:trPr>
        <w:tc>
          <w:tcPr>
            <w:tcW w:w="1130" w:type="pct"/>
            <w:tcBorders>
              <w:top w:val="nil"/>
              <w:bottom w:val="nil"/>
            </w:tcBorders>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Borders>
              <w:top w:val="nil"/>
              <w:bottom w:val="nil"/>
            </w:tcBorders>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tl/>
              </w:rPr>
            </w:pPr>
            <w:r w:rsidRPr="005A24AB">
              <w:rPr>
                <w:rFonts w:ascii="Arabic Typesetting" w:hAnsi="Arabic Typesetting" w:cs="Arabic Typesetting"/>
                <w:noProof/>
                <w:sz w:val="30"/>
                <w:szCs w:val="30"/>
                <w:rtl/>
              </w:rPr>
              <w:t>تحس</w:t>
            </w:r>
            <w:r>
              <w:rPr>
                <w:rFonts w:ascii="Arabic Typesetting" w:hAnsi="Arabic Typesetting" w:cs="Arabic Typesetting" w:hint="cs"/>
                <w:noProof/>
                <w:sz w:val="30"/>
                <w:szCs w:val="30"/>
                <w:rtl/>
              </w:rPr>
              <w:t>ُّ</w:t>
            </w:r>
            <w:r w:rsidRPr="005A24AB">
              <w:rPr>
                <w:rFonts w:ascii="Arabic Typesetting" w:hAnsi="Arabic Typesetting" w:cs="Arabic Typesetting"/>
                <w:noProof/>
                <w:sz w:val="30"/>
                <w:szCs w:val="30"/>
                <w:rtl/>
              </w:rPr>
              <w:t>ن سير عمل سجل مدريد، بما في ذلك العمليات والإجراءات الإلكترونية</w:t>
            </w:r>
            <w:r w:rsidR="00851382">
              <w:rPr>
                <w:rFonts w:ascii="Arabic Typesetting" w:hAnsi="Arabic Typesetting" w:cs="Arabic Typesetting" w:hint="cs"/>
                <w:noProof/>
                <w:sz w:val="30"/>
                <w:szCs w:val="30"/>
                <w:rtl/>
              </w:rPr>
              <w:t xml:space="preserve"> (مدريد)</w:t>
            </w:r>
          </w:p>
        </w:tc>
        <w:tc>
          <w:tcPr>
            <w:tcW w:w="1431" w:type="pct"/>
            <w:tcBorders>
              <w:top w:val="nil"/>
              <w:bottom w:val="nil"/>
            </w:tcBorders>
            <w:shd w:val="clear" w:color="auto" w:fill="FFFFFF"/>
            <w:tcMar>
              <w:top w:w="110" w:type="dxa"/>
            </w:tcMar>
          </w:tcPr>
          <w:p w:rsidR="006D7321" w:rsidRPr="005A24AB" w:rsidRDefault="006D7321" w:rsidP="00B9375E">
            <w:pPr>
              <w:adjustRightInd w:val="0"/>
              <w:snapToGrid w:val="0"/>
              <w:spacing w:before="40" w:after="40" w:line="300" w:lineRule="exact"/>
              <w:rPr>
                <w:rFonts w:ascii="Arabic Typesetting" w:hAnsi="Arabic Typesetting" w:cs="Arabic Typesetting"/>
                <w:sz w:val="30"/>
                <w:szCs w:val="30"/>
                <w:rtl/>
              </w:rPr>
            </w:pPr>
            <w:r w:rsidRPr="005A24AB">
              <w:rPr>
                <w:rFonts w:ascii="Arabic Typesetting" w:hAnsi="Arabic Typesetting" w:cs="Arabic Typesetting"/>
                <w:sz w:val="30"/>
                <w:szCs w:val="30"/>
                <w:rtl/>
              </w:rPr>
              <w:t>استلام 70% من الوثائق إلكترونياً</w:t>
            </w:r>
            <w:r>
              <w:rPr>
                <w:rFonts w:ascii="Arabic Typesetting" w:hAnsi="Arabic Typesetting" w:cs="Arabic Typesetting"/>
                <w:sz w:val="30"/>
                <w:szCs w:val="30"/>
                <w:rtl/>
              </w:rPr>
              <w:br/>
            </w:r>
            <w:r w:rsidRPr="001455A9">
              <w:rPr>
                <w:rFonts w:ascii="Arabic Typesetting" w:hAnsi="Arabic Typesetting" w:cs="Arabic Typesetting"/>
                <w:sz w:val="30"/>
                <w:szCs w:val="30"/>
                <w:rtl/>
              </w:rPr>
              <w:t>000 220</w:t>
            </w:r>
            <w:r w:rsidRPr="005A24AB">
              <w:rPr>
                <w:rFonts w:ascii="Arabic Typesetting" w:hAnsi="Arabic Typesetting" w:cs="Arabic Typesetting"/>
                <w:sz w:val="30"/>
                <w:szCs w:val="30"/>
                <w:rtl/>
              </w:rPr>
              <w:t xml:space="preserve"> إشعار بالبريد الالكتروني</w:t>
            </w:r>
            <w:r>
              <w:rPr>
                <w:rFonts w:ascii="Arabic Typesetting" w:hAnsi="Arabic Typesetting" w:cs="Arabic Typesetting"/>
                <w:sz w:val="30"/>
                <w:szCs w:val="30"/>
                <w:rtl/>
              </w:rPr>
              <w:br/>
            </w:r>
            <w:r w:rsidRPr="005A24AB">
              <w:rPr>
                <w:rFonts w:ascii="Arabic Typesetting" w:hAnsi="Arabic Typesetting" w:cs="Arabic Typesetting"/>
                <w:sz w:val="30"/>
                <w:szCs w:val="30"/>
                <w:rtl/>
              </w:rPr>
              <w:t xml:space="preserve">1800 </w:t>
            </w:r>
            <w:r>
              <w:rPr>
                <w:rFonts w:ascii="Arabic Typesetting" w:hAnsi="Arabic Typesetting" w:cs="Arabic Typesetting" w:hint="cs"/>
                <w:sz w:val="30"/>
                <w:szCs w:val="30"/>
                <w:rtl/>
              </w:rPr>
              <w:t>زبون</w:t>
            </w:r>
            <w:r w:rsidRPr="005A24AB">
              <w:rPr>
                <w:rFonts w:ascii="Arabic Typesetting" w:hAnsi="Arabic Typesetting" w:cs="Arabic Typesetting"/>
                <w:sz w:val="30"/>
                <w:szCs w:val="30"/>
                <w:rtl/>
              </w:rPr>
              <w:t xml:space="preserve"> يستخدم </w:t>
            </w:r>
            <w:r>
              <w:rPr>
                <w:rFonts w:ascii="Arabic Typesetting" w:hAnsi="Arabic Typesetting" w:cs="Arabic Typesetting" w:hint="cs"/>
                <w:sz w:val="30"/>
                <w:szCs w:val="30"/>
                <w:rtl/>
              </w:rPr>
              <w:t>أداة</w:t>
            </w:r>
            <w:r w:rsidRPr="005A24AB">
              <w:rPr>
                <w:rFonts w:ascii="Arabic Typesetting" w:hAnsi="Arabic Typesetting" w:cs="Arabic Typesetting"/>
                <w:sz w:val="30"/>
                <w:szCs w:val="30"/>
                <w:rtl/>
              </w:rPr>
              <w:t xml:space="preserve"> إدارة </w:t>
            </w:r>
            <w:r>
              <w:rPr>
                <w:rFonts w:ascii="Arabic Typesetting" w:hAnsi="Arabic Typesetting" w:cs="Arabic Typesetting" w:hint="cs"/>
                <w:sz w:val="30"/>
                <w:szCs w:val="30"/>
                <w:rtl/>
              </w:rPr>
              <w:t>المحفظات</w:t>
            </w:r>
            <w:r w:rsidRPr="005A24AB">
              <w:rPr>
                <w:rFonts w:ascii="Arabic Typesetting" w:hAnsi="Arabic Typesetting" w:cs="Arabic Typesetting"/>
                <w:sz w:val="30"/>
                <w:szCs w:val="30"/>
                <w:rtl/>
              </w:rPr>
              <w:t xml:space="preserve"> (</w:t>
            </w:r>
            <w:r w:rsidRPr="005A24AB">
              <w:rPr>
                <w:rFonts w:ascii="Arabic Typesetting" w:hAnsi="Arabic Typesetting" w:cs="Arabic Typesetting"/>
                <w:sz w:val="30"/>
                <w:szCs w:val="30"/>
              </w:rPr>
              <w:t>MPM</w:t>
            </w:r>
            <w:r w:rsidRPr="005A24AB">
              <w:rPr>
                <w:rFonts w:ascii="Arabic Typesetting" w:hAnsi="Arabic Typesetting" w:cs="Arabic Typesetting"/>
                <w:sz w:val="30"/>
                <w:szCs w:val="30"/>
                <w:rtl/>
              </w:rPr>
              <w:t>)</w:t>
            </w:r>
            <w:r>
              <w:rPr>
                <w:rFonts w:ascii="Arabic Typesetting" w:hAnsi="Arabic Typesetting" w:cs="Arabic Typesetting"/>
                <w:sz w:val="30"/>
                <w:szCs w:val="30"/>
                <w:rtl/>
              </w:rPr>
              <w:br/>
            </w:r>
            <w:r w:rsidRPr="005A24AB">
              <w:rPr>
                <w:rFonts w:ascii="Arabic Typesetting" w:hAnsi="Arabic Typesetting" w:cs="Arabic Typesetting"/>
                <w:sz w:val="30"/>
                <w:szCs w:val="30"/>
                <w:rtl/>
              </w:rPr>
              <w:t>17 مكتب</w:t>
            </w:r>
            <w:r>
              <w:rPr>
                <w:rFonts w:ascii="Arabic Typesetting" w:hAnsi="Arabic Typesetting" w:cs="Arabic Typesetting" w:hint="cs"/>
                <w:sz w:val="30"/>
                <w:szCs w:val="30"/>
                <w:rtl/>
              </w:rPr>
              <w:t>ا</w:t>
            </w:r>
            <w:r w:rsidRPr="005A24AB">
              <w:rPr>
                <w:rFonts w:ascii="Arabic Typesetting" w:hAnsi="Arabic Typesetting" w:cs="Arabic Typesetting"/>
                <w:sz w:val="30"/>
                <w:szCs w:val="30"/>
                <w:rtl/>
              </w:rPr>
              <w:t xml:space="preserve"> يرسل الطلبات بلغة الترميز الموسعة (</w:t>
            </w:r>
            <w:r w:rsidRPr="005A24AB">
              <w:rPr>
                <w:rFonts w:ascii="Arabic Typesetting" w:hAnsi="Arabic Typesetting" w:cs="Arabic Typesetting"/>
                <w:sz w:val="30"/>
                <w:szCs w:val="30"/>
              </w:rPr>
              <w:t>XML</w:t>
            </w:r>
            <w:r w:rsidRPr="005A24AB">
              <w:rPr>
                <w:rFonts w:ascii="Arabic Typesetting" w:hAnsi="Arabic Typesetting" w:cs="Arabic Typesetting"/>
                <w:sz w:val="30"/>
                <w:szCs w:val="30"/>
                <w:rtl/>
              </w:rPr>
              <w:t>)</w:t>
            </w:r>
            <w:r>
              <w:rPr>
                <w:rFonts w:ascii="Arabic Typesetting" w:hAnsi="Arabic Typesetting" w:cs="Arabic Typesetting"/>
                <w:sz w:val="30"/>
                <w:szCs w:val="30"/>
                <w:rtl/>
              </w:rPr>
              <w:br/>
            </w:r>
            <w:r>
              <w:rPr>
                <w:rFonts w:ascii="Arabic Typesetting" w:hAnsi="Arabic Typesetting" w:cs="Arabic Typesetting" w:hint="cs"/>
                <w:sz w:val="30"/>
                <w:szCs w:val="30"/>
                <w:rtl/>
              </w:rPr>
              <w:t>استمارة</w:t>
            </w:r>
            <w:r w:rsidRPr="005A24AB">
              <w:rPr>
                <w:rFonts w:ascii="Arabic Typesetting" w:hAnsi="Arabic Typesetting" w:cs="Arabic Typesetting"/>
                <w:sz w:val="30"/>
                <w:szCs w:val="30"/>
                <w:rtl/>
              </w:rPr>
              <w:t xml:space="preserve"> </w:t>
            </w:r>
            <w:r>
              <w:rPr>
                <w:rFonts w:ascii="Arabic Typesetting" w:hAnsi="Arabic Typesetting" w:cs="Arabic Typesetting" w:hint="cs"/>
                <w:sz w:val="30"/>
                <w:szCs w:val="30"/>
                <w:rtl/>
              </w:rPr>
              <w:t>شبكية</w:t>
            </w:r>
            <w:r>
              <w:rPr>
                <w:rFonts w:ascii="Arabic Typesetting" w:hAnsi="Arabic Typesetting" w:cs="Arabic Typesetting"/>
                <w:sz w:val="30"/>
                <w:szCs w:val="30"/>
                <w:rtl/>
              </w:rPr>
              <w:t xml:space="preserve"> ذك</w:t>
            </w:r>
            <w:r>
              <w:rPr>
                <w:rFonts w:ascii="Arabic Typesetting" w:hAnsi="Arabic Typesetting" w:cs="Arabic Typesetting" w:hint="cs"/>
                <w:sz w:val="30"/>
                <w:szCs w:val="30"/>
                <w:rtl/>
              </w:rPr>
              <w:t>ية واحدة</w:t>
            </w:r>
            <w:r>
              <w:rPr>
                <w:rFonts w:ascii="Arabic Typesetting" w:hAnsi="Arabic Typesetting" w:cs="Arabic Typesetting"/>
                <w:sz w:val="30"/>
                <w:szCs w:val="30"/>
                <w:rtl/>
              </w:rPr>
              <w:br/>
            </w:r>
            <w:r w:rsidRPr="000E4390">
              <w:rPr>
                <w:rFonts w:ascii="Arabic Typesetting" w:hAnsi="Arabic Typesetting" w:cs="Arabic Typesetting"/>
                <w:sz w:val="30"/>
                <w:szCs w:val="30"/>
                <w:rtl/>
              </w:rPr>
              <w:t>000 690</w:t>
            </w:r>
            <w:r w:rsidRPr="005A24AB">
              <w:rPr>
                <w:rFonts w:ascii="Arabic Typesetting" w:hAnsi="Arabic Typesetting" w:cs="Arabic Typesetting"/>
                <w:sz w:val="30"/>
                <w:szCs w:val="30"/>
                <w:rtl/>
              </w:rPr>
              <w:t xml:space="preserve"> وثيقة واردة</w:t>
            </w:r>
          </w:p>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0E4390">
              <w:rPr>
                <w:rFonts w:ascii="Arabic Typesetting" w:hAnsi="Arabic Typesetting" w:cs="Arabic Typesetting"/>
                <w:sz w:val="30"/>
                <w:szCs w:val="30"/>
                <w:rtl/>
              </w:rPr>
              <w:t>000 750 1</w:t>
            </w:r>
            <w:r w:rsidRPr="005A24AB">
              <w:rPr>
                <w:rFonts w:ascii="Arabic Typesetting" w:hAnsi="Arabic Typesetting" w:cs="Arabic Typesetting"/>
                <w:sz w:val="30"/>
                <w:szCs w:val="30"/>
                <w:rtl/>
              </w:rPr>
              <w:t xml:space="preserve"> وثيقة صادرة</w:t>
            </w:r>
          </w:p>
        </w:tc>
        <w:tc>
          <w:tcPr>
            <w:tcW w:w="1158" w:type="pct"/>
            <w:tcBorders>
              <w:top w:val="nil"/>
              <w:bottom w:val="nil"/>
            </w:tcBorders>
            <w:tcMar>
              <w:top w:w="110" w:type="dxa"/>
            </w:tcMar>
          </w:tcPr>
          <w:p w:rsidR="006D7321" w:rsidRPr="00D13C95" w:rsidRDefault="006D7321" w:rsidP="00B9375E">
            <w:pPr>
              <w:keepNext/>
              <w:keepLines/>
              <w:adjustRightInd w:val="0"/>
              <w:snapToGrid w:val="0"/>
              <w:spacing w:before="40" w:after="40" w:line="300" w:lineRule="exact"/>
              <w:rPr>
                <w:rFonts w:ascii="Arabic Typesetting" w:hAnsi="Arabic Typesetting" w:cs="Arabic Typesetting"/>
                <w:b/>
                <w:noProof/>
                <w:sz w:val="30"/>
                <w:szCs w:val="30"/>
                <w:rtl/>
              </w:rPr>
            </w:pPr>
            <w:r w:rsidRPr="00D13C95">
              <w:rPr>
                <w:rFonts w:ascii="Arabic Typesetting" w:hAnsi="Arabic Typesetting" w:cs="Arabic Typesetting"/>
                <w:b/>
                <w:noProof/>
                <w:sz w:val="30"/>
                <w:szCs w:val="30"/>
                <w:rtl/>
              </w:rPr>
              <w:t>استلام 7</w:t>
            </w:r>
            <w:r>
              <w:rPr>
                <w:rFonts w:ascii="Arabic Typesetting" w:hAnsi="Arabic Typesetting" w:cs="Arabic Typesetting" w:hint="cs"/>
                <w:b/>
                <w:noProof/>
                <w:sz w:val="30"/>
                <w:szCs w:val="30"/>
                <w:rtl/>
              </w:rPr>
              <w:t>5</w:t>
            </w:r>
            <w:r w:rsidRPr="00D13C95">
              <w:rPr>
                <w:rFonts w:ascii="Arabic Typesetting" w:hAnsi="Arabic Typesetting" w:cs="Arabic Typesetting"/>
                <w:b/>
                <w:noProof/>
                <w:sz w:val="30"/>
                <w:szCs w:val="30"/>
                <w:rtl/>
              </w:rPr>
              <w:t>% من الوثائق إلكترونياً</w:t>
            </w:r>
            <w:r>
              <w:rPr>
                <w:rFonts w:ascii="Arabic Typesetting" w:hAnsi="Arabic Typesetting" w:cs="Arabic Typesetting"/>
                <w:b/>
                <w:noProof/>
                <w:sz w:val="30"/>
                <w:szCs w:val="30"/>
                <w:rtl/>
              </w:rPr>
              <w:br/>
            </w:r>
            <w:r w:rsidRPr="002B5814">
              <w:rPr>
                <w:rFonts w:ascii="Arabic Typesetting" w:hAnsi="Arabic Typesetting" w:cs="Arabic Typesetting"/>
                <w:b/>
                <w:noProof/>
                <w:sz w:val="30"/>
                <w:szCs w:val="30"/>
                <w:rtl/>
              </w:rPr>
              <w:t>000 250</w:t>
            </w:r>
            <w:r w:rsidRPr="00D13C95">
              <w:rPr>
                <w:rFonts w:ascii="Arabic Typesetting" w:hAnsi="Arabic Typesetting" w:cs="Arabic Typesetting"/>
                <w:b/>
                <w:noProof/>
                <w:sz w:val="30"/>
                <w:szCs w:val="30"/>
                <w:rtl/>
              </w:rPr>
              <w:t xml:space="preserve"> إشعار بالبريد الالكتروني</w:t>
            </w:r>
            <w:r>
              <w:rPr>
                <w:rFonts w:ascii="Arabic Typesetting" w:hAnsi="Arabic Typesetting" w:cs="Arabic Typesetting"/>
                <w:b/>
                <w:noProof/>
                <w:sz w:val="30"/>
                <w:szCs w:val="30"/>
                <w:rtl/>
              </w:rPr>
              <w:br/>
            </w:r>
            <w:r>
              <w:rPr>
                <w:rFonts w:ascii="Arabic Typesetting" w:hAnsi="Arabic Typesetting" w:cs="Arabic Typesetting" w:hint="cs"/>
                <w:b/>
                <w:noProof/>
                <w:sz w:val="30"/>
                <w:szCs w:val="30"/>
                <w:rtl/>
              </w:rPr>
              <w:t>20</w:t>
            </w:r>
            <w:r w:rsidRPr="00D13C95">
              <w:rPr>
                <w:rFonts w:ascii="Arabic Typesetting" w:hAnsi="Arabic Typesetting" w:cs="Arabic Typesetting"/>
                <w:b/>
                <w:noProof/>
                <w:sz w:val="30"/>
                <w:szCs w:val="30"/>
                <w:rtl/>
              </w:rPr>
              <w:t xml:space="preserve">00 </w:t>
            </w:r>
            <w:r>
              <w:rPr>
                <w:rFonts w:ascii="Arabic Typesetting" w:hAnsi="Arabic Typesetting" w:cs="Arabic Typesetting" w:hint="cs"/>
                <w:b/>
                <w:noProof/>
                <w:sz w:val="30"/>
                <w:szCs w:val="30"/>
                <w:rtl/>
              </w:rPr>
              <w:t>زبون</w:t>
            </w:r>
            <w:r w:rsidRPr="00D13C95">
              <w:rPr>
                <w:rFonts w:ascii="Arabic Typesetting" w:hAnsi="Arabic Typesetting" w:cs="Arabic Typesetting"/>
                <w:b/>
                <w:noProof/>
                <w:sz w:val="30"/>
                <w:szCs w:val="30"/>
                <w:rtl/>
              </w:rPr>
              <w:t xml:space="preserve"> يستخدم </w:t>
            </w:r>
            <w:r>
              <w:rPr>
                <w:rFonts w:ascii="Arabic Typesetting" w:hAnsi="Arabic Typesetting" w:cs="Arabic Typesetting" w:hint="cs"/>
                <w:b/>
                <w:noProof/>
                <w:sz w:val="30"/>
                <w:szCs w:val="30"/>
                <w:rtl/>
              </w:rPr>
              <w:t>أداة</w:t>
            </w:r>
            <w:r w:rsidRPr="00D13C95">
              <w:rPr>
                <w:rFonts w:ascii="Arabic Typesetting" w:hAnsi="Arabic Typesetting" w:cs="Arabic Typesetting"/>
                <w:b/>
                <w:noProof/>
                <w:sz w:val="30"/>
                <w:szCs w:val="30"/>
                <w:rtl/>
              </w:rPr>
              <w:t xml:space="preserve"> إدارة </w:t>
            </w:r>
            <w:r>
              <w:rPr>
                <w:rFonts w:ascii="Arabic Typesetting" w:hAnsi="Arabic Typesetting" w:cs="Arabic Typesetting" w:hint="cs"/>
                <w:b/>
                <w:noProof/>
                <w:sz w:val="30"/>
                <w:szCs w:val="30"/>
                <w:rtl/>
              </w:rPr>
              <w:t>المحفظات</w:t>
            </w:r>
            <w:r w:rsidRPr="00D13C95">
              <w:rPr>
                <w:rFonts w:ascii="Arabic Typesetting" w:hAnsi="Arabic Typesetting" w:cs="Arabic Typesetting"/>
                <w:b/>
                <w:noProof/>
                <w:sz w:val="30"/>
                <w:szCs w:val="30"/>
                <w:rtl/>
              </w:rPr>
              <w:t xml:space="preserve"> (</w:t>
            </w:r>
            <w:r w:rsidRPr="00D13C95">
              <w:rPr>
                <w:rFonts w:ascii="Arabic Typesetting" w:hAnsi="Arabic Typesetting" w:cs="Arabic Typesetting"/>
                <w:bCs/>
                <w:noProof/>
                <w:sz w:val="30"/>
                <w:szCs w:val="30"/>
              </w:rPr>
              <w:t>MPM</w:t>
            </w:r>
            <w:r w:rsidRPr="00D13C95">
              <w:rPr>
                <w:rFonts w:ascii="Arabic Typesetting" w:hAnsi="Arabic Typesetting" w:cs="Arabic Typesetting"/>
                <w:b/>
                <w:noProof/>
                <w:sz w:val="30"/>
                <w:szCs w:val="30"/>
                <w:rtl/>
              </w:rPr>
              <w:t>)</w:t>
            </w:r>
            <w:r>
              <w:rPr>
                <w:rFonts w:ascii="Arabic Typesetting" w:hAnsi="Arabic Typesetting" w:cs="Arabic Typesetting"/>
                <w:b/>
                <w:noProof/>
                <w:sz w:val="30"/>
                <w:szCs w:val="30"/>
                <w:rtl/>
              </w:rPr>
              <w:br/>
            </w:r>
            <w:r>
              <w:rPr>
                <w:rFonts w:ascii="Arabic Typesetting" w:hAnsi="Arabic Typesetting" w:cs="Arabic Typesetting" w:hint="cs"/>
                <w:b/>
                <w:noProof/>
                <w:sz w:val="30"/>
                <w:szCs w:val="30"/>
                <w:rtl/>
              </w:rPr>
              <w:t>20</w:t>
            </w:r>
            <w:r w:rsidRPr="00D13C95">
              <w:rPr>
                <w:rFonts w:ascii="Arabic Typesetting" w:hAnsi="Arabic Typesetting" w:cs="Arabic Typesetting"/>
                <w:b/>
                <w:noProof/>
                <w:sz w:val="30"/>
                <w:szCs w:val="30"/>
                <w:rtl/>
              </w:rPr>
              <w:t xml:space="preserve"> مكتب</w:t>
            </w:r>
            <w:r>
              <w:rPr>
                <w:rFonts w:ascii="Arabic Typesetting" w:hAnsi="Arabic Typesetting" w:cs="Arabic Typesetting" w:hint="cs"/>
                <w:b/>
                <w:noProof/>
                <w:sz w:val="30"/>
                <w:szCs w:val="30"/>
                <w:rtl/>
              </w:rPr>
              <w:t>ا</w:t>
            </w:r>
            <w:r w:rsidRPr="00D13C95">
              <w:rPr>
                <w:rFonts w:ascii="Arabic Typesetting" w:hAnsi="Arabic Typesetting" w:cs="Arabic Typesetting"/>
                <w:b/>
                <w:noProof/>
                <w:sz w:val="30"/>
                <w:szCs w:val="30"/>
                <w:rtl/>
              </w:rPr>
              <w:t xml:space="preserve"> يرسل الطلبات بلغة الترميز الموسعة (</w:t>
            </w:r>
            <w:r w:rsidRPr="00D13C95">
              <w:rPr>
                <w:rFonts w:ascii="Arabic Typesetting" w:hAnsi="Arabic Typesetting" w:cs="Arabic Typesetting"/>
                <w:bCs/>
                <w:noProof/>
                <w:sz w:val="30"/>
                <w:szCs w:val="30"/>
              </w:rPr>
              <w:t>XML</w:t>
            </w:r>
            <w:r w:rsidRPr="00D13C95">
              <w:rPr>
                <w:rFonts w:ascii="Arabic Typesetting" w:hAnsi="Arabic Typesetting" w:cs="Arabic Typesetting"/>
                <w:b/>
                <w:noProof/>
                <w:sz w:val="30"/>
                <w:szCs w:val="30"/>
                <w:rtl/>
              </w:rPr>
              <w:t>)</w:t>
            </w:r>
            <w:r>
              <w:rPr>
                <w:rFonts w:ascii="Arabic Typesetting" w:hAnsi="Arabic Typesetting" w:cs="Arabic Typesetting"/>
                <w:b/>
                <w:noProof/>
                <w:sz w:val="30"/>
                <w:szCs w:val="30"/>
                <w:rtl/>
              </w:rPr>
              <w:br/>
            </w:r>
            <w:r>
              <w:rPr>
                <w:rFonts w:ascii="Arabic Typesetting" w:hAnsi="Arabic Typesetting" w:cs="Arabic Typesetting" w:hint="cs"/>
                <w:b/>
                <w:noProof/>
                <w:sz w:val="30"/>
                <w:szCs w:val="30"/>
                <w:rtl/>
              </w:rPr>
              <w:t>6</w:t>
            </w:r>
            <w:r w:rsidRPr="00D13C95">
              <w:rPr>
                <w:rFonts w:ascii="Arabic Typesetting" w:hAnsi="Arabic Typesetting" w:cs="Arabic Typesetting"/>
                <w:b/>
                <w:noProof/>
                <w:sz w:val="30"/>
                <w:szCs w:val="30"/>
                <w:rtl/>
              </w:rPr>
              <w:t xml:space="preserve"> </w:t>
            </w:r>
            <w:r>
              <w:rPr>
                <w:rFonts w:ascii="Arabic Typesetting" w:hAnsi="Arabic Typesetting" w:cs="Arabic Typesetting" w:hint="cs"/>
                <w:sz w:val="30"/>
                <w:szCs w:val="30"/>
                <w:rtl/>
              </w:rPr>
              <w:t>استمارات</w:t>
            </w:r>
            <w:r w:rsidRPr="005A24AB">
              <w:rPr>
                <w:rFonts w:ascii="Arabic Typesetting" w:hAnsi="Arabic Typesetting" w:cs="Arabic Typesetting"/>
                <w:sz w:val="30"/>
                <w:szCs w:val="30"/>
                <w:rtl/>
              </w:rPr>
              <w:t xml:space="preserve"> </w:t>
            </w:r>
            <w:r>
              <w:rPr>
                <w:rFonts w:ascii="Arabic Typesetting" w:hAnsi="Arabic Typesetting" w:cs="Arabic Typesetting" w:hint="cs"/>
                <w:sz w:val="30"/>
                <w:szCs w:val="30"/>
                <w:rtl/>
              </w:rPr>
              <w:t>شبكية</w:t>
            </w:r>
            <w:r>
              <w:rPr>
                <w:rFonts w:ascii="Arabic Typesetting" w:hAnsi="Arabic Typesetting" w:cs="Arabic Typesetting"/>
                <w:sz w:val="30"/>
                <w:szCs w:val="30"/>
                <w:rtl/>
              </w:rPr>
              <w:t xml:space="preserve"> ذك</w:t>
            </w:r>
            <w:r>
              <w:rPr>
                <w:rFonts w:ascii="Arabic Typesetting" w:hAnsi="Arabic Typesetting" w:cs="Arabic Typesetting" w:hint="cs"/>
                <w:sz w:val="30"/>
                <w:szCs w:val="30"/>
                <w:rtl/>
              </w:rPr>
              <w:t>ية</w:t>
            </w:r>
            <w:r>
              <w:rPr>
                <w:rFonts w:ascii="Arabic Typesetting" w:hAnsi="Arabic Typesetting" w:cs="Arabic Typesetting"/>
                <w:b/>
                <w:noProof/>
                <w:sz w:val="30"/>
                <w:szCs w:val="30"/>
                <w:rtl/>
              </w:rPr>
              <w:br/>
            </w:r>
            <w:r w:rsidRPr="000E4390">
              <w:rPr>
                <w:rFonts w:ascii="Arabic Typesetting" w:hAnsi="Arabic Typesetting" w:cs="Arabic Typesetting"/>
                <w:b/>
                <w:noProof/>
                <w:sz w:val="30"/>
                <w:szCs w:val="30"/>
                <w:rtl/>
              </w:rPr>
              <w:t>000 750</w:t>
            </w:r>
            <w:r w:rsidRPr="00D13C95">
              <w:rPr>
                <w:rFonts w:ascii="Arabic Typesetting" w:hAnsi="Arabic Typesetting" w:cs="Arabic Typesetting"/>
                <w:b/>
                <w:noProof/>
                <w:sz w:val="30"/>
                <w:szCs w:val="30"/>
                <w:rtl/>
              </w:rPr>
              <w:t xml:space="preserve"> وثيقة واردة</w:t>
            </w:r>
          </w:p>
          <w:p w:rsidR="006D7321" w:rsidRPr="008954A8"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sidRPr="000E4390">
              <w:rPr>
                <w:rFonts w:ascii="Arabic Typesetting" w:hAnsi="Arabic Typesetting" w:cs="Arabic Typesetting"/>
                <w:b/>
                <w:noProof/>
                <w:sz w:val="30"/>
                <w:szCs w:val="30"/>
                <w:rtl/>
              </w:rPr>
              <w:t>000 000 2</w:t>
            </w:r>
            <w:r w:rsidRPr="00D13C95">
              <w:rPr>
                <w:rFonts w:ascii="Arabic Typesetting" w:hAnsi="Arabic Typesetting" w:cs="Arabic Typesetting"/>
                <w:b/>
                <w:noProof/>
                <w:sz w:val="30"/>
                <w:szCs w:val="30"/>
                <w:rtl/>
              </w:rPr>
              <w:t xml:space="preserve"> وثيقة صادرة</w:t>
            </w:r>
          </w:p>
        </w:tc>
      </w:tr>
      <w:tr w:rsidR="006D7321" w:rsidRPr="008954A8" w:rsidTr="00302EBB">
        <w:trPr>
          <w:cantSplit/>
          <w:trHeight w:val="992"/>
        </w:trPr>
        <w:tc>
          <w:tcPr>
            <w:tcW w:w="1130" w:type="pct"/>
            <w:tcBorders>
              <w:top w:val="nil"/>
              <w:bottom w:val="nil"/>
            </w:tcBorders>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Borders>
              <w:top w:val="nil"/>
              <w:bottom w:val="nil"/>
            </w:tcBorders>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281871">
              <w:rPr>
                <w:rFonts w:ascii="Arabic Typesetting" w:hAnsi="Arabic Typesetting" w:cs="Arabic Typesetting"/>
                <w:noProof/>
                <w:sz w:val="30"/>
                <w:szCs w:val="30"/>
                <w:rtl/>
              </w:rPr>
              <w:t>التقديم المستقر لخدمات تكنولوجيا المعلومات المتطورة</w:t>
            </w:r>
            <w:r>
              <w:rPr>
                <w:rFonts w:ascii="Arabic Typesetting" w:hAnsi="Arabic Typesetting" w:cs="Arabic Typesetting" w:hint="cs"/>
                <w:noProof/>
                <w:sz w:val="30"/>
                <w:szCs w:val="30"/>
                <w:rtl/>
              </w:rPr>
              <w:t xml:space="preserve"> من قبل </w:t>
            </w:r>
            <w:r w:rsidRPr="00281871">
              <w:rPr>
                <w:rFonts w:ascii="Arabic Typesetting" w:hAnsi="Arabic Typesetting" w:cs="Arabic Typesetting"/>
                <w:noProof/>
                <w:sz w:val="30"/>
                <w:szCs w:val="30"/>
                <w:rtl/>
              </w:rPr>
              <w:t>مكاتب</w:t>
            </w:r>
            <w:r w:rsidRPr="00281871">
              <w:rPr>
                <w:rFonts w:ascii="Arabic Typesetting" w:hAnsi="Arabic Typesetting" w:cs="Arabic Typesetting" w:hint="cs"/>
                <w:noProof/>
                <w:sz w:val="30"/>
                <w:szCs w:val="30"/>
                <w:rtl/>
              </w:rPr>
              <w:t xml:space="preserve"> نظام</w:t>
            </w:r>
            <w:r w:rsidRPr="00281871">
              <w:rPr>
                <w:rFonts w:ascii="Arabic Typesetting" w:hAnsi="Arabic Typesetting" w:cs="Arabic Typesetting"/>
                <w:noProof/>
                <w:sz w:val="30"/>
                <w:szCs w:val="30"/>
                <w:rtl/>
              </w:rPr>
              <w:t xml:space="preserve"> مدريد</w:t>
            </w:r>
            <w:r w:rsidRPr="00281871">
              <w:rPr>
                <w:rFonts w:ascii="Arabic Typesetting" w:hAnsi="Arabic Typesetting" w:cs="Arabic Typesetting" w:hint="cs"/>
                <w:noProof/>
                <w:sz w:val="30"/>
                <w:szCs w:val="30"/>
                <w:rtl/>
              </w:rPr>
              <w:t xml:space="preserve"> الخلفية</w:t>
            </w:r>
          </w:p>
        </w:tc>
        <w:tc>
          <w:tcPr>
            <w:tcW w:w="1431" w:type="pct"/>
            <w:tcBorders>
              <w:top w:val="nil"/>
              <w:bottom w:val="nil"/>
            </w:tcBorders>
            <w:shd w:val="clear" w:color="auto" w:fill="FFFFFF"/>
            <w:tcMar>
              <w:top w:w="110" w:type="dxa"/>
            </w:tcMar>
          </w:tcPr>
          <w:p w:rsidR="006D7321" w:rsidRDefault="006D7321" w:rsidP="00B9375E">
            <w:pPr>
              <w:adjustRightInd w:val="0"/>
              <w:snapToGrid w:val="0"/>
              <w:spacing w:before="40" w:after="40" w:line="300" w:lineRule="exact"/>
              <w:rPr>
                <w:rFonts w:ascii="Arabic Typesetting" w:hAnsi="Arabic Typesetting" w:cs="Arabic Typesetting"/>
                <w:sz w:val="30"/>
                <w:szCs w:val="30"/>
                <w:rtl/>
              </w:rPr>
            </w:pPr>
            <w:r>
              <w:rPr>
                <w:rFonts w:ascii="Arabic Typesetting" w:hAnsi="Arabic Typesetting" w:cs="Arabic Typesetting"/>
                <w:noProof/>
                <w:sz w:val="30"/>
                <w:szCs w:val="30"/>
                <w:rtl/>
              </w:rPr>
              <w:t>عدم انقطاع الخدم</w:t>
            </w:r>
            <w:r>
              <w:rPr>
                <w:rFonts w:ascii="Arabic Typesetting" w:hAnsi="Arabic Typesetting" w:cs="Arabic Typesetting" w:hint="cs"/>
                <w:noProof/>
                <w:sz w:val="30"/>
                <w:szCs w:val="30"/>
                <w:rtl/>
              </w:rPr>
              <w:t>ات</w:t>
            </w:r>
            <w:r w:rsidRPr="00265C7A">
              <w:rPr>
                <w:rFonts w:ascii="Arabic Typesetting" w:hAnsi="Arabic Typesetting" w:cs="Arabic Typesetting"/>
                <w:noProof/>
                <w:sz w:val="30"/>
                <w:szCs w:val="30"/>
                <w:rtl/>
              </w:rPr>
              <w:t xml:space="preserve"> (عدد حوادث تكنولوجيا المعلومات والاتصالات)</w:t>
            </w:r>
          </w:p>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265C7A">
              <w:rPr>
                <w:rFonts w:ascii="Arabic Typesetting" w:hAnsi="Arabic Typesetting" w:cs="Arabic Typesetting"/>
                <w:sz w:val="30"/>
                <w:szCs w:val="30"/>
                <w:rtl/>
              </w:rPr>
              <w:t>تسليم التحسينات ونشرها في حينها</w:t>
            </w:r>
          </w:p>
        </w:tc>
        <w:tc>
          <w:tcPr>
            <w:tcW w:w="1158" w:type="pct"/>
            <w:tcBorders>
              <w:top w:val="nil"/>
              <w:bottom w:val="nil"/>
            </w:tcBorders>
            <w:tcMar>
              <w:top w:w="110" w:type="dxa"/>
            </w:tcMar>
          </w:tcPr>
          <w:p w:rsidR="006D7321" w:rsidRDefault="006D7321" w:rsidP="00B9375E">
            <w:pPr>
              <w:adjustRightInd w:val="0"/>
              <w:snapToGrid w:val="0"/>
              <w:spacing w:before="40" w:after="40" w:line="300" w:lineRule="exact"/>
              <w:rPr>
                <w:rFonts w:ascii="Arabic Typesetting" w:hAnsi="Arabic Typesetting" w:cs="Arabic Typesetting"/>
                <w:sz w:val="30"/>
                <w:szCs w:val="30"/>
                <w:rtl/>
              </w:rPr>
            </w:pPr>
            <w:r w:rsidRPr="00265C7A">
              <w:rPr>
                <w:rFonts w:ascii="Arabic Typesetting" w:hAnsi="Arabic Typesetting" w:cs="Arabic Typesetting"/>
                <w:noProof/>
                <w:sz w:val="30"/>
                <w:szCs w:val="30"/>
                <w:rtl/>
              </w:rPr>
              <w:t>عدم انقطاع الخدمة (عدد حوادث تكنولوجيا المعلومات والاتصالات)</w:t>
            </w:r>
          </w:p>
          <w:p w:rsidR="006D7321" w:rsidRPr="008954A8" w:rsidRDefault="006D7321" w:rsidP="00B9375E">
            <w:pPr>
              <w:keepNext/>
              <w:keepLines/>
              <w:adjustRightInd w:val="0"/>
              <w:snapToGrid w:val="0"/>
              <w:spacing w:before="40" w:after="40" w:line="300" w:lineRule="exact"/>
              <w:rPr>
                <w:rFonts w:ascii="Arabic Typesetting" w:hAnsi="Arabic Typesetting" w:cs="Arabic Typesetting"/>
                <w:sz w:val="30"/>
                <w:szCs w:val="30"/>
              </w:rPr>
            </w:pPr>
            <w:r w:rsidRPr="00265C7A">
              <w:rPr>
                <w:rFonts w:ascii="Arabic Typesetting" w:hAnsi="Arabic Typesetting" w:cs="Arabic Typesetting"/>
                <w:sz w:val="30"/>
                <w:szCs w:val="30"/>
                <w:rtl/>
              </w:rPr>
              <w:t>تسليم التحسينات ونشرها في حينها</w:t>
            </w:r>
          </w:p>
        </w:tc>
      </w:tr>
      <w:tr w:rsidR="006D7321" w:rsidRPr="008954A8" w:rsidTr="00302EBB">
        <w:trPr>
          <w:cantSplit/>
          <w:trHeight w:val="966"/>
        </w:trPr>
        <w:tc>
          <w:tcPr>
            <w:tcW w:w="1130" w:type="pct"/>
            <w:tcBorders>
              <w:top w:val="nil"/>
              <w:bottom w:val="single" w:sz="4" w:space="0" w:color="auto"/>
            </w:tcBorders>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p>
        </w:tc>
        <w:tc>
          <w:tcPr>
            <w:tcW w:w="1281" w:type="pct"/>
            <w:tcBorders>
              <w:top w:val="nil"/>
              <w:bottom w:val="single" w:sz="4" w:space="0" w:color="auto"/>
            </w:tcBorders>
            <w:tcMar>
              <w:top w:w="110" w:type="dxa"/>
            </w:tcMar>
          </w:tcPr>
          <w:p w:rsidR="006D7321" w:rsidRPr="008954A8" w:rsidRDefault="006D7321" w:rsidP="00B9375E">
            <w:pPr>
              <w:adjustRightInd w:val="0"/>
              <w:snapToGrid w:val="0"/>
              <w:spacing w:before="40" w:after="40" w:line="300" w:lineRule="exact"/>
              <w:rPr>
                <w:rFonts w:ascii="Arabic Typesetting" w:hAnsi="Arabic Typesetting" w:cs="Arabic Typesetting"/>
                <w:sz w:val="30"/>
                <w:szCs w:val="30"/>
              </w:rPr>
            </w:pPr>
            <w:r w:rsidRPr="005A32F4">
              <w:rPr>
                <w:rFonts w:ascii="Arabic Typesetting" w:hAnsi="Arabic Typesetting" w:cs="Arabic Typesetting"/>
                <w:noProof/>
                <w:sz w:val="30"/>
                <w:szCs w:val="30"/>
                <w:rtl/>
              </w:rPr>
              <w:t>نشر 3 إصدارات من</w:t>
            </w:r>
            <w:r>
              <w:rPr>
                <w:rFonts w:ascii="Arabic Typesetting" w:hAnsi="Arabic Typesetting" w:cs="Arabic Typesetting" w:hint="cs"/>
                <w:noProof/>
                <w:sz w:val="30"/>
                <w:szCs w:val="30"/>
                <w:rtl/>
              </w:rPr>
              <w:t xml:space="preserve"> نظام</w:t>
            </w:r>
            <w:r w:rsidRPr="005A32F4">
              <w:rPr>
                <w:rFonts w:ascii="Arabic Typesetting" w:hAnsi="Arabic Typesetting" w:cs="Arabic Typesetting"/>
                <w:noProof/>
                <w:sz w:val="30"/>
                <w:szCs w:val="30"/>
                <w:rtl/>
              </w:rPr>
              <w:t xml:space="preserve"> </w:t>
            </w:r>
            <w:r w:rsidRPr="0083710D">
              <w:rPr>
                <w:rFonts w:ascii="Arabic Typesetting" w:hAnsi="Arabic Typesetting" w:cs="Arabic Typesetting"/>
                <w:noProof/>
                <w:sz w:val="30"/>
                <w:szCs w:val="30"/>
              </w:rPr>
              <w:t>M-IRIS</w:t>
            </w:r>
            <w:r w:rsidRPr="005A32F4">
              <w:rPr>
                <w:rFonts w:ascii="Arabic Typesetting" w:hAnsi="Arabic Typesetting" w:cs="Arabic Typesetting"/>
                <w:noProof/>
                <w:sz w:val="30"/>
                <w:szCs w:val="30"/>
                <w:rtl/>
              </w:rPr>
              <w:t xml:space="preserve"> ونشر 3 إصدارات من</w:t>
            </w:r>
            <w:r>
              <w:rPr>
                <w:rFonts w:ascii="Arabic Typesetting" w:hAnsi="Arabic Typesetting" w:cs="Arabic Typesetting" w:hint="cs"/>
                <w:noProof/>
                <w:sz w:val="30"/>
                <w:szCs w:val="30"/>
                <w:rtl/>
              </w:rPr>
              <w:t xml:space="preserve"> خدمة الإيداع الإلكتروني في نظام مدريد </w:t>
            </w:r>
            <w:r w:rsidRPr="005A32F4">
              <w:rPr>
                <w:rFonts w:ascii="Arabic Typesetting" w:hAnsi="Arabic Typesetting" w:cs="Arabic Typesetting"/>
                <w:noProof/>
                <w:sz w:val="30"/>
                <w:szCs w:val="30"/>
              </w:rPr>
              <w:t>(IRPI)</w:t>
            </w:r>
          </w:p>
        </w:tc>
        <w:tc>
          <w:tcPr>
            <w:tcW w:w="1431" w:type="pct"/>
            <w:tcBorders>
              <w:top w:val="nil"/>
              <w:bottom w:val="single" w:sz="4" w:space="0" w:color="auto"/>
            </w:tcBorders>
            <w:shd w:val="clear" w:color="auto" w:fill="FFFFFF"/>
            <w:tcMar>
              <w:top w:w="110" w:type="dxa"/>
            </w:tcMar>
          </w:tcPr>
          <w:p w:rsidR="006D7321" w:rsidRPr="00224B95" w:rsidRDefault="006D7321" w:rsidP="00B9375E">
            <w:pPr>
              <w:adjustRightInd w:val="0"/>
              <w:snapToGrid w:val="0"/>
              <w:spacing w:before="40" w:after="40" w:line="300" w:lineRule="exact"/>
              <w:rPr>
                <w:rFonts w:ascii="Arabic Typesetting" w:hAnsi="Arabic Typesetting" w:cs="Arabic Typesetting"/>
                <w:noProof/>
                <w:sz w:val="30"/>
                <w:szCs w:val="30"/>
                <w:rtl/>
              </w:rPr>
            </w:pPr>
            <w:r w:rsidRPr="00224B95">
              <w:rPr>
                <w:rFonts w:ascii="Arabic Typesetting" w:hAnsi="Arabic Typesetting" w:cs="Arabic Typesetting"/>
                <w:noProof/>
                <w:sz w:val="30"/>
                <w:szCs w:val="30"/>
                <w:rtl/>
              </w:rPr>
              <w:t>نشر</w:t>
            </w:r>
            <w:r>
              <w:rPr>
                <w:rFonts w:ascii="Arabic Typesetting" w:hAnsi="Arabic Typesetting" w:cs="Arabic Typesetting" w:hint="cs"/>
                <w:noProof/>
                <w:sz w:val="30"/>
                <w:szCs w:val="30"/>
                <w:rtl/>
              </w:rPr>
              <w:t xml:space="preserve"> نظام</w:t>
            </w:r>
            <w:r w:rsidRPr="00224B95">
              <w:rPr>
                <w:rFonts w:ascii="Arabic Typesetting" w:hAnsi="Arabic Typesetting" w:cs="Arabic Typesetting"/>
                <w:noProof/>
                <w:sz w:val="30"/>
                <w:szCs w:val="30"/>
                <w:rtl/>
              </w:rPr>
              <w:t xml:space="preserve"> </w:t>
            </w:r>
            <w:r w:rsidRPr="00224B95">
              <w:rPr>
                <w:rFonts w:ascii="Arabic Typesetting" w:hAnsi="Arabic Typesetting" w:cs="Arabic Typesetting"/>
                <w:noProof/>
                <w:sz w:val="30"/>
                <w:szCs w:val="30"/>
              </w:rPr>
              <w:t>M-IRIS</w:t>
            </w:r>
          </w:p>
          <w:p w:rsidR="006D7321" w:rsidRPr="008954A8" w:rsidRDefault="006D7321" w:rsidP="00B9375E">
            <w:pPr>
              <w:adjustRightInd w:val="0"/>
              <w:snapToGrid w:val="0"/>
              <w:spacing w:before="40" w:after="40" w:line="300" w:lineRule="exact"/>
              <w:rPr>
                <w:rFonts w:ascii="Arabic Typesetting" w:hAnsi="Arabic Typesetting" w:cs="Arabic Typesetting"/>
                <w:noProof/>
                <w:sz w:val="30"/>
                <w:szCs w:val="30"/>
              </w:rPr>
            </w:pPr>
            <w:r w:rsidRPr="00224B95">
              <w:rPr>
                <w:rFonts w:ascii="Arabic Typesetting" w:hAnsi="Arabic Typesetting" w:cs="Arabic Typesetting"/>
                <w:noProof/>
                <w:sz w:val="30"/>
                <w:szCs w:val="30"/>
                <w:rtl/>
              </w:rPr>
              <w:t>نشر</w:t>
            </w:r>
            <w:r>
              <w:rPr>
                <w:rFonts w:ascii="Arabic Typesetting" w:hAnsi="Arabic Typesetting" w:cs="Arabic Typesetting" w:hint="cs"/>
                <w:noProof/>
                <w:sz w:val="30"/>
                <w:szCs w:val="30"/>
                <w:rtl/>
              </w:rPr>
              <w:t xml:space="preserve"> خدمة الإيداع الإلكتروني في نظام مدريد</w:t>
            </w:r>
          </w:p>
        </w:tc>
        <w:tc>
          <w:tcPr>
            <w:tcW w:w="1158" w:type="pct"/>
            <w:tcBorders>
              <w:top w:val="nil"/>
              <w:bottom w:val="single" w:sz="4" w:space="0" w:color="auto"/>
            </w:tcBorders>
            <w:tcMar>
              <w:top w:w="110" w:type="dxa"/>
            </w:tcMar>
          </w:tcPr>
          <w:p w:rsidR="006D7321" w:rsidRDefault="006D7321" w:rsidP="00B9375E">
            <w:pPr>
              <w:keepNext/>
              <w:keepLines/>
              <w:adjustRightInd w:val="0"/>
              <w:snapToGrid w:val="0"/>
              <w:spacing w:before="40" w:after="40" w:line="300" w:lineRule="exact"/>
              <w:rPr>
                <w:rFonts w:ascii="Arabic Typesetting" w:hAnsi="Arabic Typesetting" w:cs="Arabic Typesetting"/>
                <w:bCs/>
                <w:sz w:val="30"/>
                <w:szCs w:val="30"/>
                <w:rtl/>
              </w:rPr>
            </w:pPr>
            <w:r>
              <w:rPr>
                <w:rFonts w:ascii="Arabic Typesetting" w:hAnsi="Arabic Typesetting" w:cs="Arabic Typesetting" w:hint="cs"/>
                <w:b/>
                <w:noProof/>
                <w:sz w:val="30"/>
                <w:szCs w:val="30"/>
                <w:rtl/>
              </w:rPr>
              <w:t xml:space="preserve">3 إصدارات جديدة من نظام </w:t>
            </w:r>
            <w:r w:rsidRPr="00224B95">
              <w:rPr>
                <w:rFonts w:ascii="Arabic Typesetting" w:hAnsi="Arabic Typesetting" w:cs="Arabic Typesetting"/>
                <w:bCs/>
                <w:sz w:val="30"/>
                <w:szCs w:val="30"/>
              </w:rPr>
              <w:t>M-IRIS</w:t>
            </w:r>
            <w:r w:rsidRPr="00224B95">
              <w:rPr>
                <w:rFonts w:ascii="Arabic Typesetting" w:hAnsi="Arabic Typesetting" w:cs="Arabic Typesetting" w:hint="cs"/>
                <w:bCs/>
                <w:sz w:val="30"/>
                <w:szCs w:val="30"/>
                <w:rtl/>
              </w:rPr>
              <w:t>/</w:t>
            </w:r>
            <w:r w:rsidRPr="00224B95">
              <w:rPr>
                <w:rFonts w:ascii="Arabic Typesetting" w:hAnsi="Arabic Typesetting" w:cs="Arabic Typesetting"/>
                <w:bCs/>
                <w:sz w:val="30"/>
                <w:szCs w:val="30"/>
              </w:rPr>
              <w:t>D-IRIS</w:t>
            </w:r>
          </w:p>
          <w:p w:rsidR="006D7321" w:rsidRPr="00224B95" w:rsidRDefault="006D7321" w:rsidP="00B9375E">
            <w:pPr>
              <w:keepNext/>
              <w:keepLines/>
              <w:adjustRightInd w:val="0"/>
              <w:snapToGrid w:val="0"/>
              <w:spacing w:before="40" w:after="4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3 إصدارا</w:t>
            </w:r>
            <w:r>
              <w:rPr>
                <w:rFonts w:ascii="Arabic Typesetting" w:hAnsi="Arabic Typesetting" w:cs="Arabic Typesetting" w:hint="eastAsia"/>
                <w:b/>
                <w:sz w:val="30"/>
                <w:szCs w:val="30"/>
                <w:rtl/>
              </w:rPr>
              <w:t>ت</w:t>
            </w:r>
            <w:r w:rsidR="00EF5211">
              <w:rPr>
                <w:rFonts w:ascii="Arabic Typesetting" w:hAnsi="Arabic Typesetting" w:cs="Arabic Typesetting" w:hint="cs"/>
                <w:b/>
                <w:sz w:val="30"/>
                <w:szCs w:val="30"/>
                <w:rtl/>
              </w:rPr>
              <w:t xml:space="preserve"> جديدة لخدمة</w:t>
            </w:r>
            <w:r>
              <w:rPr>
                <w:rFonts w:ascii="Arabic Typesetting" w:hAnsi="Arabic Typesetting" w:cs="Arabic Typesetting" w:hint="cs"/>
                <w:b/>
                <w:sz w:val="30"/>
                <w:szCs w:val="30"/>
                <w:rtl/>
              </w:rPr>
              <w:t xml:space="preserve"> </w:t>
            </w:r>
            <w:r w:rsidR="00EF5211">
              <w:rPr>
                <w:rFonts w:ascii="Arabic Typesetting" w:hAnsi="Arabic Typesetting" w:cs="Arabic Typesetting" w:hint="cs"/>
                <w:b/>
                <w:sz w:val="30"/>
                <w:szCs w:val="30"/>
                <w:rtl/>
              </w:rPr>
              <w:t>الإيداع الإلكتروني في نظام</w:t>
            </w:r>
            <w:r w:rsidRPr="0083710D">
              <w:rPr>
                <w:rFonts w:ascii="Arabic Typesetting" w:hAnsi="Arabic Typesetting" w:cs="Arabic Typesetting" w:hint="cs"/>
                <w:b/>
                <w:sz w:val="30"/>
                <w:szCs w:val="30"/>
                <w:rtl/>
              </w:rPr>
              <w:t xml:space="preserve"> مدريد</w:t>
            </w:r>
          </w:p>
        </w:tc>
      </w:tr>
    </w:tbl>
    <w:p w:rsidR="006D7321" w:rsidRDefault="006D7321" w:rsidP="006D7321">
      <w:pPr>
        <w:keepNext/>
        <w:autoSpaceDE w:val="0"/>
        <w:autoSpaceDN w:val="0"/>
        <w:adjustRightInd w:val="0"/>
        <w:snapToGrid w:val="0"/>
        <w:spacing w:before="240" w:after="240" w:line="360" w:lineRule="exact"/>
        <w:rPr>
          <w:rFonts w:ascii="Arabic Typesetting" w:hAnsi="Arabic Typesetting" w:cs="Arabic Typesetting"/>
          <w:noProof/>
          <w:color w:val="000000"/>
          <w:sz w:val="38"/>
          <w:szCs w:val="38"/>
          <w:rtl/>
        </w:rPr>
      </w:pPr>
      <w:r w:rsidRPr="00CF0D8E">
        <w:rPr>
          <w:rFonts w:ascii="Arabic Typesetting" w:hAnsi="Arabic Typesetting" w:cs="Arabic Typesetting"/>
          <w:noProof/>
          <w:color w:val="000000"/>
          <w:sz w:val="38"/>
          <w:szCs w:val="38"/>
          <w:rtl/>
        </w:rPr>
        <w:t>الموارد المخصصة للبرنامج 6</w:t>
      </w:r>
    </w:p>
    <w:p w:rsidR="00431FFB" w:rsidRDefault="00431FFB" w:rsidP="00431FFB">
      <w:pPr>
        <w:numPr>
          <w:ilvl w:val="0"/>
          <w:numId w:val="18"/>
        </w:numPr>
        <w:adjustRightInd w:val="0"/>
        <w:snapToGrid w:val="0"/>
        <w:spacing w:after="120" w:line="340" w:lineRule="exact"/>
        <w:ind w:hanging="2"/>
        <w:jc w:val="both"/>
        <w:rPr>
          <w:rFonts w:ascii="Arabic Typesetting" w:hAnsi="Arabic Typesetting" w:cs="Arabic Typesetting"/>
          <w:noProof/>
          <w:color w:val="000000"/>
          <w:szCs w:val="34"/>
        </w:rPr>
      </w:pPr>
      <w:r>
        <w:rPr>
          <w:rFonts w:ascii="Arabic Typesetting" w:hAnsi="Arabic Typesetting" w:cs="Arabic Typesetting" w:hint="cs"/>
          <w:noProof/>
          <w:color w:val="000000"/>
          <w:szCs w:val="34"/>
          <w:rtl/>
        </w:rPr>
        <w:t>الموارد في هذا البرنامج تعكس فصل نظام لشبونة عن البرنامج 6 ونقله إلى البرنامج 32 وتحويل موارد الموظفين والموارد خلاف الموظفين المعنية، تبعا لذلك.</w:t>
      </w:r>
    </w:p>
    <w:p w:rsidR="006D7321" w:rsidRPr="00283876" w:rsidRDefault="006D7321" w:rsidP="00861CFF">
      <w:pPr>
        <w:numPr>
          <w:ilvl w:val="0"/>
          <w:numId w:val="18"/>
        </w:numPr>
        <w:adjustRightInd w:val="0"/>
        <w:snapToGrid w:val="0"/>
        <w:spacing w:after="120" w:line="340" w:lineRule="exact"/>
        <w:ind w:hanging="2"/>
        <w:jc w:val="both"/>
        <w:rPr>
          <w:rFonts w:ascii="Arabic Typesetting" w:hAnsi="Arabic Typesetting" w:cs="Arabic Typesetting"/>
          <w:noProof/>
          <w:color w:val="000000"/>
          <w:szCs w:val="34"/>
          <w:rtl/>
        </w:rPr>
      </w:pPr>
      <w:r>
        <w:rPr>
          <w:rFonts w:ascii="Arabic Typesetting" w:hAnsi="Arabic Typesetting" w:cs="Arabic Typesetting" w:hint="cs"/>
          <w:noProof/>
          <w:color w:val="000000"/>
          <w:szCs w:val="34"/>
          <w:rtl/>
        </w:rPr>
        <w:t xml:space="preserve">الزيادة المُسجلة في الموارد ضمن هذا البرنامج ناتجة عن توسع عضوية نظام مدريد وما يترتب على ذلك من زيادة متوقعة في الطلب على الخدمات والإمدادات من أجل تعزيز أوجه الكفاءة التشغيلية للنظام. والزيادة مُبلورة ضمن النتيجة المرتقبة </w:t>
      </w:r>
      <w:r w:rsidR="009800D4">
        <w:rPr>
          <w:rFonts w:ascii="Arabic Typesetting" w:hAnsi="Arabic Typesetting" w:cs="Arabic Typesetting"/>
          <w:noProof/>
          <w:color w:val="000000"/>
          <w:szCs w:val="34"/>
          <w:rtl/>
        </w:rPr>
        <w:t>ه</w:t>
      </w:r>
      <w:r w:rsidR="009800D4">
        <w:rPr>
          <w:rFonts w:ascii="Arabic Typesetting" w:hAnsi="Arabic Typesetting" w:cs="Arabic Typesetting" w:hint="cs"/>
          <w:noProof/>
          <w:color w:val="000000"/>
          <w:szCs w:val="34"/>
          <w:rtl/>
        </w:rPr>
        <w:t xml:space="preserve"> </w:t>
      </w:r>
      <w:r w:rsidRPr="00B42263">
        <w:rPr>
          <w:rFonts w:ascii="Arabic Typesetting" w:hAnsi="Arabic Typesetting" w:cs="Arabic Typesetting"/>
          <w:noProof/>
          <w:color w:val="000000"/>
          <w:szCs w:val="34"/>
          <w:rtl/>
        </w:rPr>
        <w:t>7.2</w:t>
      </w:r>
      <w:r>
        <w:rPr>
          <w:rFonts w:ascii="Arabic Typesetting" w:hAnsi="Arabic Typesetting" w:cs="Arabic Typesetting" w:hint="cs"/>
          <w:noProof/>
          <w:color w:val="000000"/>
          <w:szCs w:val="34"/>
          <w:rtl/>
        </w:rPr>
        <w:t>.</w:t>
      </w:r>
    </w:p>
    <w:p w:rsidR="006D7321" w:rsidRPr="008954A8" w:rsidRDefault="006D7321" w:rsidP="002C3C33">
      <w:pPr>
        <w:pStyle w:val="ARNormal"/>
        <w:keepNext/>
        <w:spacing w:after="0"/>
        <w:jc w:val="center"/>
        <w:rPr>
          <w:b/>
          <w:bCs/>
          <w:rtl/>
        </w:rPr>
      </w:pPr>
      <w:r w:rsidRPr="008954A8">
        <w:rPr>
          <w:rFonts w:hint="cs"/>
          <w:b/>
          <w:bCs/>
          <w:rtl/>
        </w:rPr>
        <w:lastRenderedPageBreak/>
        <w:t>البرنامج 6: الموارد بحسب كل نتيجة</w:t>
      </w:r>
    </w:p>
    <w:p w:rsidR="006D7321" w:rsidRPr="008954A8" w:rsidRDefault="006D7321" w:rsidP="008126A4">
      <w:pPr>
        <w:pStyle w:val="ARNormal"/>
        <w:keepNext/>
        <w:spacing w:after="0"/>
        <w:jc w:val="center"/>
        <w:rPr>
          <w:i/>
          <w:iCs/>
        </w:rPr>
      </w:pPr>
      <w:r w:rsidRPr="008954A8">
        <w:rPr>
          <w:rFonts w:hint="cs"/>
          <w:i/>
          <w:iCs/>
          <w:rtl/>
        </w:rPr>
        <w:t>(بآلاف الفرنكات السويسرية)</w:t>
      </w:r>
    </w:p>
    <w:p w:rsidR="006D7321" w:rsidRPr="008954A8" w:rsidRDefault="00B9375E" w:rsidP="00B9375E">
      <w:pPr>
        <w:adjustRightInd w:val="0"/>
        <w:snapToGrid w:val="0"/>
        <w:spacing w:after="120"/>
        <w:jc w:val="center"/>
        <w:rPr>
          <w:rFonts w:ascii="Arabic Typesetting" w:hAnsi="Arabic Typesetting" w:cs="Arabic Typesetting"/>
          <w:szCs w:val="34"/>
        </w:rPr>
      </w:pPr>
      <w:r w:rsidRPr="00B9375E">
        <w:rPr>
          <w:noProof/>
          <w:szCs w:val="20"/>
          <w:rtl/>
          <w:lang w:bidi="ar-SA"/>
        </w:rPr>
        <w:drawing>
          <wp:inline distT="0" distB="0" distL="0" distR="0" wp14:anchorId="2AF1497F" wp14:editId="059D47BC">
            <wp:extent cx="5676265" cy="1543685"/>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76265" cy="1543685"/>
                    </a:xfrm>
                    <a:prstGeom prst="rect">
                      <a:avLst/>
                    </a:prstGeom>
                    <a:noFill/>
                    <a:ln>
                      <a:noFill/>
                    </a:ln>
                  </pic:spPr>
                </pic:pic>
              </a:graphicData>
            </a:graphic>
          </wp:inline>
        </w:drawing>
      </w:r>
    </w:p>
    <w:p w:rsidR="006D7321" w:rsidRPr="008954A8" w:rsidRDefault="006D7321" w:rsidP="002C3C33">
      <w:pPr>
        <w:spacing w:after="60" w:line="180" w:lineRule="exact"/>
        <w:rPr>
          <w:rFonts w:ascii="Arabic Typesetting" w:hAnsi="Arabic Typesetting" w:cs="Arabic Typesetting"/>
          <w:sz w:val="24"/>
        </w:rPr>
      </w:pPr>
    </w:p>
    <w:p w:rsidR="006D7321" w:rsidRPr="008954A8" w:rsidRDefault="006D7321" w:rsidP="00B9375E">
      <w:pPr>
        <w:pStyle w:val="ARNormal"/>
        <w:spacing w:after="0"/>
        <w:ind w:left="720"/>
        <w:jc w:val="center"/>
        <w:rPr>
          <w:b/>
          <w:bCs/>
          <w:rtl/>
        </w:rPr>
      </w:pPr>
      <w:r w:rsidRPr="008954A8">
        <w:rPr>
          <w:rFonts w:hint="cs"/>
          <w:b/>
          <w:bCs/>
          <w:rtl/>
        </w:rPr>
        <w:t>البرنامج 6: الموارد بحسب غرض الإنفاق</w:t>
      </w:r>
    </w:p>
    <w:p w:rsidR="006D7321" w:rsidRPr="008954A8" w:rsidRDefault="006D7321" w:rsidP="00B9375E">
      <w:pPr>
        <w:pStyle w:val="ARNormal"/>
        <w:spacing w:after="0"/>
        <w:ind w:left="720"/>
        <w:jc w:val="center"/>
        <w:rPr>
          <w:i/>
          <w:iCs/>
        </w:rPr>
      </w:pPr>
      <w:r w:rsidRPr="008954A8">
        <w:rPr>
          <w:rFonts w:hint="cs"/>
          <w:i/>
          <w:iCs/>
          <w:rtl/>
        </w:rPr>
        <w:t>(بآلاف الفرنكات السويسرية)</w:t>
      </w:r>
    </w:p>
    <w:p w:rsidR="00851496" w:rsidRDefault="00B9375E" w:rsidP="00B9375E">
      <w:pPr>
        <w:adjustRightInd w:val="0"/>
        <w:snapToGrid w:val="0"/>
        <w:spacing w:after="120"/>
        <w:jc w:val="center"/>
        <w:rPr>
          <w:rFonts w:ascii="Arabic Typesetting" w:hAnsi="Arabic Typesetting" w:cs="Arabic Typesetting"/>
          <w:sz w:val="34"/>
          <w:szCs w:val="34"/>
          <w:rtl/>
          <w:lang w:val="fr-CH" w:bidi="ar-SA"/>
        </w:rPr>
      </w:pPr>
      <w:r w:rsidRPr="00B9375E">
        <w:rPr>
          <w:noProof/>
          <w:szCs w:val="20"/>
          <w:rtl/>
          <w:lang w:bidi="ar-SA"/>
        </w:rPr>
        <w:drawing>
          <wp:inline distT="0" distB="0" distL="0" distR="0" wp14:anchorId="7DD5AC6B" wp14:editId="09447CC3">
            <wp:extent cx="5509895" cy="62109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09895" cy="6210935"/>
                    </a:xfrm>
                    <a:prstGeom prst="rect">
                      <a:avLst/>
                    </a:prstGeom>
                    <a:noFill/>
                    <a:ln>
                      <a:noFill/>
                    </a:ln>
                  </pic:spPr>
                </pic:pic>
              </a:graphicData>
            </a:graphic>
          </wp:inline>
        </w:drawing>
      </w:r>
      <w:r w:rsidR="00851496">
        <w:rPr>
          <w:rtl/>
        </w:rPr>
        <w:br w:type="page"/>
      </w:r>
    </w:p>
    <w:p w:rsidR="00AA5376" w:rsidRPr="008954A8" w:rsidRDefault="00AA5376" w:rsidP="002C3C33">
      <w:pPr>
        <w:pStyle w:val="StyleStyleHeading3ComplexItalicLatin12pt"/>
        <w:tabs>
          <w:tab w:val="clear" w:pos="1985"/>
          <w:tab w:val="left" w:pos="1615"/>
        </w:tabs>
        <w:adjustRightInd w:val="0"/>
        <w:snapToGrid w:val="0"/>
        <w:spacing w:after="240" w:line="360" w:lineRule="exact"/>
        <w:rPr>
          <w:rFonts w:ascii="Arabic Typesetting" w:hAnsi="Arabic Typesetting" w:cs="Arabic Typesetting"/>
          <w:b w:val="0"/>
          <w:iCs w:val="0"/>
          <w:sz w:val="42"/>
          <w:szCs w:val="42"/>
        </w:rPr>
      </w:pPr>
      <w:bookmarkStart w:id="33" w:name="_Toc364355365"/>
      <w:bookmarkStart w:id="34" w:name="_Toc420595505"/>
      <w:r w:rsidRPr="008954A8">
        <w:rPr>
          <w:rFonts w:ascii="Arabic Typesetting" w:hAnsi="Arabic Typesetting" w:cs="Arabic Typesetting"/>
          <w:bCs/>
          <w:iCs w:val="0"/>
          <w:noProof/>
          <w:sz w:val="42"/>
          <w:szCs w:val="42"/>
          <w:rtl/>
        </w:rPr>
        <w:lastRenderedPageBreak/>
        <w:t>البرنامج 31</w:t>
      </w:r>
      <w:r w:rsidRPr="008954A8">
        <w:rPr>
          <w:rFonts w:ascii="Arabic Typesetting" w:hAnsi="Arabic Typesetting" w:cs="Arabic Typesetting"/>
          <w:b w:val="0"/>
          <w:iCs w:val="0"/>
          <w:sz w:val="42"/>
          <w:szCs w:val="42"/>
        </w:rPr>
        <w:tab/>
      </w:r>
      <w:r w:rsidRPr="008954A8">
        <w:rPr>
          <w:rFonts w:ascii="Arabic Typesetting" w:hAnsi="Arabic Typesetting" w:cs="Arabic Typesetting"/>
          <w:bCs/>
          <w:iCs w:val="0"/>
          <w:noProof/>
          <w:sz w:val="42"/>
          <w:szCs w:val="42"/>
          <w:rtl/>
        </w:rPr>
        <w:t>نظام لاهاي</w:t>
      </w:r>
      <w:bookmarkEnd w:id="33"/>
      <w:bookmarkEnd w:id="34"/>
    </w:p>
    <w:p w:rsidR="00AA5376" w:rsidRPr="008954A8" w:rsidRDefault="00AA537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8954A8">
        <w:rPr>
          <w:rFonts w:ascii="Arabic Typesetting" w:hAnsi="Arabic Typesetting" w:cs="Arabic Typesetting"/>
          <w:noProof/>
          <w:sz w:val="38"/>
          <w:szCs w:val="38"/>
          <w:rtl/>
        </w:rPr>
        <w:t>سياق التخطيط</w:t>
      </w:r>
    </w:p>
    <w:p w:rsidR="00AA5376" w:rsidRPr="008954A8" w:rsidRDefault="00AA5376" w:rsidP="00861CFF">
      <w:pPr>
        <w:keepNext/>
        <w:numPr>
          <w:ilvl w:val="0"/>
          <w:numId w:val="19"/>
        </w:numPr>
        <w:adjustRightInd w:val="0"/>
        <w:snapToGrid w:val="0"/>
        <w:spacing w:after="120" w:line="340" w:lineRule="exact"/>
        <w:rPr>
          <w:rFonts w:ascii="Arabic Typesetting" w:hAnsi="Arabic Typesetting" w:cs="Arabic Typesetting"/>
          <w:szCs w:val="34"/>
        </w:rPr>
      </w:pPr>
      <w:r w:rsidRPr="008954A8">
        <w:rPr>
          <w:rFonts w:ascii="Arabic Typesetting" w:hAnsi="Arabic Typesetting" w:cs="Arabic Typesetting"/>
          <w:noProof/>
          <w:szCs w:val="34"/>
          <w:rtl/>
        </w:rPr>
        <w:t>الجهود الرامية إلى توسيع النطاق الجغرافي لنظام لاهاي عن طريق تشجيع الانضمام إلى وثيقة جنيف لسنة 1999 لاتفاق لاهاي بدأت تؤتي ثمارها خلال الثنائية 20</w:t>
      </w:r>
      <w:r>
        <w:rPr>
          <w:rFonts w:ascii="Arabic Typesetting" w:hAnsi="Arabic Typesetting" w:cs="Arabic Typesetting" w:hint="cs"/>
          <w:noProof/>
          <w:szCs w:val="34"/>
          <w:rtl/>
        </w:rPr>
        <w:t>14</w:t>
      </w:r>
      <w:r w:rsidRPr="008954A8">
        <w:rPr>
          <w:rFonts w:ascii="Arabic Typesetting" w:hAnsi="Arabic Typesetting" w:cs="Arabic Typesetting"/>
          <w:noProof/>
          <w:szCs w:val="34"/>
          <w:rtl/>
        </w:rPr>
        <w:t>/</w:t>
      </w:r>
      <w:r>
        <w:rPr>
          <w:rFonts w:ascii="Arabic Typesetting" w:hAnsi="Arabic Typesetting" w:cs="Arabic Typesetting" w:hint="cs"/>
          <w:noProof/>
          <w:szCs w:val="34"/>
          <w:rtl/>
        </w:rPr>
        <w:t>15،</w:t>
      </w:r>
      <w:r w:rsidRPr="008954A8">
        <w:rPr>
          <w:rFonts w:ascii="Arabic Typesetting" w:hAnsi="Arabic Typesetting" w:cs="Arabic Typesetting"/>
          <w:noProof/>
          <w:szCs w:val="34"/>
          <w:rtl/>
        </w:rPr>
        <w:t xml:space="preserve"> </w:t>
      </w:r>
      <w:r>
        <w:rPr>
          <w:rFonts w:ascii="Arabic Typesetting" w:hAnsi="Arabic Typesetting" w:cs="Arabic Typesetting" w:hint="cs"/>
          <w:noProof/>
          <w:szCs w:val="34"/>
          <w:rtl/>
        </w:rPr>
        <w:t xml:space="preserve">بعد أن انضمت </w:t>
      </w:r>
      <w:r w:rsidRPr="00F9783E">
        <w:rPr>
          <w:rFonts w:ascii="Arabic Typesetting" w:hAnsi="Arabic Typesetting" w:cs="Arabic Typesetting"/>
          <w:noProof/>
          <w:szCs w:val="34"/>
          <w:rtl/>
        </w:rPr>
        <w:t>بلدان</w:t>
      </w:r>
      <w:r>
        <w:rPr>
          <w:rFonts w:ascii="Arabic Typesetting" w:hAnsi="Arabic Typesetting" w:cs="Arabic Typesetting" w:hint="cs"/>
          <w:noProof/>
          <w:szCs w:val="34"/>
          <w:rtl/>
        </w:rPr>
        <w:t xml:space="preserve"> معينة</w:t>
      </w:r>
      <w:r w:rsidRPr="00F9783E">
        <w:rPr>
          <w:rFonts w:ascii="Arabic Typesetting" w:hAnsi="Arabic Typesetting" w:cs="Arabic Typesetting"/>
          <w:noProof/>
          <w:szCs w:val="34"/>
          <w:rtl/>
        </w:rPr>
        <w:t xml:space="preserve"> تمثل بعض المناطق التجا</w:t>
      </w:r>
      <w:r>
        <w:rPr>
          <w:rFonts w:ascii="Arabic Typesetting" w:hAnsi="Arabic Typesetting" w:cs="Arabic Typesetting"/>
          <w:noProof/>
          <w:szCs w:val="34"/>
          <w:rtl/>
        </w:rPr>
        <w:t xml:space="preserve">رية الرئيسية في العالم </w:t>
      </w:r>
      <w:r>
        <w:rPr>
          <w:rFonts w:ascii="Arabic Typesetting" w:hAnsi="Arabic Typesetting" w:cs="Arabic Typesetting" w:hint="cs"/>
          <w:noProof/>
          <w:szCs w:val="34"/>
          <w:rtl/>
        </w:rPr>
        <w:t xml:space="preserve">أو أوشكت على </w:t>
      </w:r>
      <w:r w:rsidRPr="00F9783E">
        <w:rPr>
          <w:rFonts w:ascii="Arabic Typesetting" w:hAnsi="Arabic Typesetting" w:cs="Arabic Typesetting"/>
          <w:noProof/>
          <w:szCs w:val="34"/>
          <w:rtl/>
        </w:rPr>
        <w:t>الانضمام.</w:t>
      </w:r>
      <w:r>
        <w:rPr>
          <w:rFonts w:ascii="Arabic Typesetting" w:hAnsi="Arabic Typesetting" w:cs="Arabic Typesetting" w:hint="cs"/>
          <w:noProof/>
          <w:szCs w:val="34"/>
          <w:rtl/>
        </w:rPr>
        <w:t xml:space="preserve"> وبما أن هذه البلدان سوف تكون حديثة عهد ب</w:t>
      </w:r>
      <w:r w:rsidRPr="00B54AB5">
        <w:rPr>
          <w:rFonts w:ascii="Arabic Typesetting" w:hAnsi="Arabic Typesetting" w:cs="Arabic Typesetting"/>
          <w:noProof/>
          <w:szCs w:val="34"/>
          <w:rtl/>
        </w:rPr>
        <w:t xml:space="preserve">نظام لاهاي، </w:t>
      </w:r>
      <w:r>
        <w:rPr>
          <w:rFonts w:ascii="Arabic Typesetting" w:hAnsi="Arabic Typesetting" w:cs="Arabic Typesetting" w:hint="cs"/>
          <w:noProof/>
          <w:szCs w:val="34"/>
          <w:rtl/>
        </w:rPr>
        <w:t xml:space="preserve">فإنها تعد </w:t>
      </w:r>
      <w:r w:rsidRPr="00B54AB5">
        <w:rPr>
          <w:rFonts w:ascii="Arabic Typesetting" w:hAnsi="Arabic Typesetting" w:cs="Arabic Typesetting"/>
          <w:noProof/>
          <w:szCs w:val="34"/>
          <w:rtl/>
        </w:rPr>
        <w:t xml:space="preserve">من أكبر </w:t>
      </w:r>
      <w:r>
        <w:rPr>
          <w:rFonts w:ascii="Arabic Typesetting" w:hAnsi="Arabic Typesetting" w:cs="Arabic Typesetting" w:hint="cs"/>
          <w:noProof/>
          <w:szCs w:val="34"/>
          <w:rtl/>
        </w:rPr>
        <w:t>ال</w:t>
      </w:r>
      <w:r w:rsidRPr="00B54AB5">
        <w:rPr>
          <w:rFonts w:ascii="Arabic Typesetting" w:hAnsi="Arabic Typesetting" w:cs="Arabic Typesetting"/>
          <w:noProof/>
          <w:szCs w:val="34"/>
          <w:rtl/>
        </w:rPr>
        <w:t>مصادر</w:t>
      </w:r>
      <w:r>
        <w:rPr>
          <w:rFonts w:ascii="Arabic Typesetting" w:hAnsi="Arabic Typesetting" w:cs="Arabic Typesetting" w:hint="cs"/>
          <w:noProof/>
          <w:szCs w:val="34"/>
          <w:rtl/>
        </w:rPr>
        <w:t xml:space="preserve"> في العالم التي تودع طلبات التصاميم،</w:t>
      </w:r>
      <w:r w:rsidRPr="00B54AB5">
        <w:rPr>
          <w:rFonts w:ascii="Arabic Typesetting" w:hAnsi="Arabic Typesetting" w:cs="Arabic Typesetting"/>
          <w:noProof/>
          <w:szCs w:val="34"/>
          <w:rtl/>
        </w:rPr>
        <w:t xml:space="preserve"> </w:t>
      </w:r>
      <w:r>
        <w:rPr>
          <w:rFonts w:ascii="Arabic Typesetting" w:hAnsi="Arabic Typesetting" w:cs="Arabic Typesetting" w:hint="cs"/>
          <w:noProof/>
          <w:szCs w:val="34"/>
          <w:rtl/>
        </w:rPr>
        <w:t xml:space="preserve">ومن المرجح أن </w:t>
      </w:r>
      <w:r w:rsidRPr="00B54AB5">
        <w:rPr>
          <w:rFonts w:ascii="Arabic Typesetting" w:hAnsi="Arabic Typesetting" w:cs="Arabic Typesetting"/>
          <w:noProof/>
          <w:szCs w:val="34"/>
          <w:rtl/>
        </w:rPr>
        <w:t xml:space="preserve">تحفز </w:t>
      </w:r>
      <w:r>
        <w:rPr>
          <w:rFonts w:ascii="Arabic Typesetting" w:hAnsi="Arabic Typesetting" w:cs="Arabic Typesetting" w:hint="cs"/>
          <w:noProof/>
          <w:szCs w:val="34"/>
          <w:rtl/>
        </w:rPr>
        <w:t>أطرافاً أخرى على ال</w:t>
      </w:r>
      <w:r w:rsidRPr="00B54AB5">
        <w:rPr>
          <w:rFonts w:ascii="Arabic Typesetting" w:hAnsi="Arabic Typesetting" w:cs="Arabic Typesetting"/>
          <w:noProof/>
          <w:szCs w:val="34"/>
          <w:rtl/>
        </w:rPr>
        <w:t>انضمام</w:t>
      </w:r>
      <w:r w:rsidRPr="008954A8">
        <w:rPr>
          <w:rFonts w:ascii="Arabic Typesetting" w:hAnsi="Arabic Typesetting" w:cs="Arabic Typesetting"/>
          <w:noProof/>
          <w:szCs w:val="34"/>
          <w:rtl/>
        </w:rPr>
        <w:t>.</w:t>
      </w:r>
      <w:r w:rsidRPr="008954A8">
        <w:rPr>
          <w:rFonts w:ascii="Arabic Typesetting" w:hAnsi="Arabic Typesetting" w:cs="Arabic Typesetting"/>
          <w:szCs w:val="34"/>
          <w:rtl/>
        </w:rPr>
        <w:t xml:space="preserve"> </w:t>
      </w:r>
      <w:r w:rsidRPr="008954A8">
        <w:rPr>
          <w:rFonts w:ascii="Arabic Typesetting" w:hAnsi="Arabic Typesetting" w:cs="Arabic Typesetting"/>
          <w:noProof/>
          <w:szCs w:val="34"/>
          <w:rtl/>
        </w:rPr>
        <w:t>ولذلك من المتوقع أن يزداد عدد الطلبات الدولية المودعة خلال الثنائية 20</w:t>
      </w:r>
      <w:r>
        <w:rPr>
          <w:rFonts w:ascii="Arabic Typesetting" w:hAnsi="Arabic Typesetting" w:cs="Arabic Typesetting" w:hint="cs"/>
          <w:noProof/>
          <w:szCs w:val="34"/>
          <w:rtl/>
        </w:rPr>
        <w:t>16</w:t>
      </w:r>
      <w:r w:rsidRPr="008954A8">
        <w:rPr>
          <w:rFonts w:ascii="Arabic Typesetting" w:hAnsi="Arabic Typesetting" w:cs="Arabic Typesetting"/>
          <w:noProof/>
          <w:szCs w:val="34"/>
          <w:rtl/>
        </w:rPr>
        <w:t>/</w:t>
      </w:r>
      <w:r>
        <w:rPr>
          <w:rFonts w:ascii="Arabic Typesetting" w:hAnsi="Arabic Typesetting" w:cs="Arabic Typesetting" w:hint="cs"/>
          <w:noProof/>
          <w:szCs w:val="34"/>
          <w:rtl/>
        </w:rPr>
        <w:t>17</w:t>
      </w:r>
      <w:r w:rsidRPr="008954A8">
        <w:rPr>
          <w:rFonts w:ascii="Arabic Typesetting" w:hAnsi="Arabic Typesetting" w:cs="Arabic Typesetting"/>
          <w:noProof/>
          <w:szCs w:val="34"/>
          <w:rtl/>
        </w:rPr>
        <w:t xml:space="preserve"> زيادةً كبيرةً.</w:t>
      </w:r>
      <w:r w:rsidRPr="008954A8">
        <w:rPr>
          <w:rFonts w:ascii="Arabic Typesetting" w:hAnsi="Arabic Typesetting" w:cs="Arabic Typesetting"/>
          <w:szCs w:val="34"/>
          <w:rtl/>
        </w:rPr>
        <w:t xml:space="preserve"> </w:t>
      </w:r>
      <w:r w:rsidRPr="008954A8">
        <w:rPr>
          <w:rFonts w:ascii="Arabic Typesetting" w:hAnsi="Arabic Typesetting" w:cs="Arabic Typesetting"/>
          <w:noProof/>
          <w:szCs w:val="34"/>
          <w:rtl/>
        </w:rPr>
        <w:t>وعلاوة على ذلك، فإن بعض البلدان المتوقع أن تنضم هي تلك البلدان التي و</w:t>
      </w:r>
      <w:r>
        <w:rPr>
          <w:rFonts w:ascii="Arabic Typesetting" w:hAnsi="Arabic Typesetting" w:cs="Arabic Typesetting" w:hint="cs"/>
          <w:noProof/>
          <w:szCs w:val="34"/>
          <w:rtl/>
        </w:rPr>
        <w:t>ُ</w:t>
      </w:r>
      <w:r w:rsidRPr="008954A8">
        <w:rPr>
          <w:rFonts w:ascii="Arabic Typesetting" w:hAnsi="Arabic Typesetting" w:cs="Arabic Typesetting"/>
          <w:noProof/>
          <w:szCs w:val="34"/>
          <w:rtl/>
        </w:rPr>
        <w:t>ضع من أجلها عددٌ من خصائص وثيقة 1999، لا سيما بسبب فحص الجدة الشامل الذي تقوم بها مكاتبها.</w:t>
      </w:r>
      <w:r w:rsidRPr="008954A8">
        <w:rPr>
          <w:rFonts w:ascii="Arabic Typesetting" w:hAnsi="Arabic Typesetting" w:cs="Arabic Typesetting"/>
          <w:szCs w:val="34"/>
          <w:rtl/>
        </w:rPr>
        <w:t xml:space="preserve"> وهذه الخصائص من أكثر الخصائص تعقيداً، ولم </w:t>
      </w:r>
      <w:r w:rsidRPr="008954A8">
        <w:rPr>
          <w:rFonts w:ascii="Arabic Typesetting" w:hAnsi="Arabic Typesetting" w:cs="Arabic Typesetting" w:hint="cs"/>
          <w:szCs w:val="34"/>
          <w:rtl/>
        </w:rPr>
        <w:t>ت</w:t>
      </w:r>
      <w:r w:rsidRPr="008954A8">
        <w:rPr>
          <w:rFonts w:ascii="Arabic Typesetting" w:hAnsi="Arabic Typesetting" w:cs="Arabic Typesetting"/>
          <w:szCs w:val="34"/>
          <w:rtl/>
        </w:rPr>
        <w:t>تم تجربتها عملياً حتى الآن</w:t>
      </w:r>
      <w:r>
        <w:rPr>
          <w:rFonts w:ascii="Arabic Typesetting" w:hAnsi="Arabic Typesetting" w:cs="Arabic Typesetting"/>
          <w:noProof/>
          <w:szCs w:val="34"/>
          <w:rtl/>
        </w:rPr>
        <w:t>.</w:t>
      </w:r>
    </w:p>
    <w:p w:rsidR="00AA5376" w:rsidRPr="008954A8" w:rsidRDefault="00AA5376" w:rsidP="00861CFF">
      <w:pPr>
        <w:numPr>
          <w:ilvl w:val="0"/>
          <w:numId w:val="19"/>
        </w:numPr>
        <w:tabs>
          <w:tab w:val="clear" w:pos="680"/>
        </w:tabs>
        <w:adjustRightInd w:val="0"/>
        <w:snapToGrid w:val="0"/>
        <w:spacing w:after="120" w:line="340" w:lineRule="exact"/>
        <w:jc w:val="both"/>
        <w:rPr>
          <w:rFonts w:ascii="Arabic Typesetting" w:hAnsi="Arabic Typesetting" w:cs="Arabic Typesetting"/>
          <w:szCs w:val="34"/>
        </w:rPr>
      </w:pPr>
      <w:r w:rsidRPr="008954A8">
        <w:rPr>
          <w:rFonts w:ascii="Arabic Typesetting" w:hAnsi="Arabic Typesetting" w:cs="Arabic Typesetting"/>
          <w:noProof/>
          <w:szCs w:val="34"/>
          <w:rtl/>
        </w:rPr>
        <w:t>وبناء</w:t>
      </w:r>
      <w:r>
        <w:rPr>
          <w:rFonts w:ascii="Arabic Typesetting" w:hAnsi="Arabic Typesetting" w:cs="Arabic Typesetting" w:hint="cs"/>
          <w:noProof/>
          <w:szCs w:val="34"/>
          <w:rtl/>
        </w:rPr>
        <w:t>ً</w:t>
      </w:r>
      <w:r w:rsidRPr="008954A8">
        <w:rPr>
          <w:rFonts w:ascii="Arabic Typesetting" w:hAnsi="Arabic Typesetting" w:cs="Arabic Typesetting"/>
          <w:noProof/>
          <w:szCs w:val="34"/>
          <w:rtl/>
        </w:rPr>
        <w:t xml:space="preserve"> على ما تقدم، تكمن تحديات الثنائية 20</w:t>
      </w:r>
      <w:r>
        <w:rPr>
          <w:rFonts w:ascii="Arabic Typesetting" w:hAnsi="Arabic Typesetting" w:cs="Arabic Typesetting" w:hint="cs"/>
          <w:noProof/>
          <w:szCs w:val="34"/>
          <w:rtl/>
        </w:rPr>
        <w:t>16</w:t>
      </w:r>
      <w:r w:rsidRPr="008954A8">
        <w:rPr>
          <w:rFonts w:ascii="Arabic Typesetting" w:hAnsi="Arabic Typesetting" w:cs="Arabic Typesetting"/>
          <w:noProof/>
          <w:szCs w:val="34"/>
          <w:rtl/>
        </w:rPr>
        <w:t>/</w:t>
      </w:r>
      <w:r>
        <w:rPr>
          <w:rFonts w:ascii="Arabic Typesetting" w:hAnsi="Arabic Typesetting" w:cs="Arabic Typesetting" w:hint="cs"/>
          <w:noProof/>
          <w:szCs w:val="34"/>
          <w:rtl/>
        </w:rPr>
        <w:t>17</w:t>
      </w:r>
      <w:r w:rsidRPr="008954A8">
        <w:rPr>
          <w:rFonts w:ascii="Arabic Typesetting" w:hAnsi="Arabic Typesetting" w:cs="Arabic Typesetting"/>
          <w:noProof/>
          <w:szCs w:val="34"/>
          <w:rtl/>
        </w:rPr>
        <w:t xml:space="preserve"> في مواكبة النمو الم</w:t>
      </w:r>
      <w:r>
        <w:rPr>
          <w:rFonts w:ascii="Arabic Typesetting" w:hAnsi="Arabic Typesetting" w:cs="Arabic Typesetting" w:hint="cs"/>
          <w:noProof/>
          <w:szCs w:val="34"/>
          <w:rtl/>
        </w:rPr>
        <w:t>رتقب</w:t>
      </w:r>
      <w:r w:rsidRPr="008954A8">
        <w:rPr>
          <w:rFonts w:ascii="Arabic Typesetting" w:hAnsi="Arabic Typesetting" w:cs="Arabic Typesetting"/>
          <w:noProof/>
          <w:szCs w:val="34"/>
          <w:rtl/>
        </w:rPr>
        <w:t>، والنجاح في تنفيذ خصائص وثيقة جنيف التي لم ت</w:t>
      </w:r>
      <w:r>
        <w:rPr>
          <w:rFonts w:ascii="Arabic Typesetting" w:hAnsi="Arabic Typesetting" w:cs="Arabic Typesetting" w:hint="cs"/>
          <w:noProof/>
          <w:szCs w:val="34"/>
          <w:rtl/>
        </w:rPr>
        <w:t>ُ</w:t>
      </w:r>
      <w:r w:rsidRPr="008954A8">
        <w:rPr>
          <w:rFonts w:ascii="Arabic Typesetting" w:hAnsi="Arabic Typesetting" w:cs="Arabic Typesetting"/>
          <w:noProof/>
          <w:szCs w:val="34"/>
          <w:rtl/>
        </w:rPr>
        <w:t>طب</w:t>
      </w:r>
      <w:r>
        <w:rPr>
          <w:rFonts w:ascii="Arabic Typesetting" w:hAnsi="Arabic Typesetting" w:cs="Arabic Typesetting" w:hint="cs"/>
          <w:noProof/>
          <w:szCs w:val="34"/>
          <w:rtl/>
        </w:rPr>
        <w:t>َّ</w:t>
      </w:r>
      <w:r w:rsidRPr="008954A8">
        <w:rPr>
          <w:rFonts w:ascii="Arabic Typesetting" w:hAnsi="Arabic Typesetting" w:cs="Arabic Typesetting"/>
          <w:noProof/>
          <w:szCs w:val="34"/>
          <w:rtl/>
        </w:rPr>
        <w:t>ق عملياً بعد، والحرص على أن يظل النظام مغرياً لمستخدميه.</w:t>
      </w:r>
    </w:p>
    <w:p w:rsidR="00AA5376" w:rsidRPr="008954A8" w:rsidRDefault="00AA5376" w:rsidP="002C3C33">
      <w:pPr>
        <w:adjustRightInd w:val="0"/>
        <w:snapToGrid w:val="0"/>
        <w:spacing w:after="120" w:line="340" w:lineRule="exact"/>
        <w:jc w:val="both"/>
        <w:rPr>
          <w:rFonts w:ascii="Arabic Typesetting" w:hAnsi="Arabic Typesetting" w:cs="Arabic Typesetting"/>
          <w:szCs w:val="34"/>
        </w:rPr>
      </w:pPr>
    </w:p>
    <w:p w:rsidR="00AA5376" w:rsidRPr="008954A8" w:rsidRDefault="00AA5376" w:rsidP="002C3C33">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8954A8">
        <w:rPr>
          <w:rFonts w:ascii="Arabic Typesetting" w:hAnsi="Arabic Typesetting" w:cs="Arabic Typesetting"/>
          <w:noProof/>
          <w:sz w:val="38"/>
          <w:szCs w:val="38"/>
          <w:rtl/>
        </w:rPr>
        <w:t>استراتيجيات التنفيذ</w:t>
      </w:r>
    </w:p>
    <w:p w:rsidR="00AA5376" w:rsidRPr="008954A8" w:rsidRDefault="00AA5376" w:rsidP="00861CFF">
      <w:pPr>
        <w:keepNext/>
        <w:numPr>
          <w:ilvl w:val="0"/>
          <w:numId w:val="19"/>
        </w:numPr>
        <w:tabs>
          <w:tab w:val="clear" w:pos="680"/>
        </w:tabs>
        <w:adjustRightInd w:val="0"/>
        <w:snapToGrid w:val="0"/>
        <w:spacing w:after="120" w:line="340" w:lineRule="exact"/>
        <w:jc w:val="both"/>
        <w:rPr>
          <w:rFonts w:ascii="Arabic Typesetting" w:hAnsi="Arabic Typesetting" w:cs="Arabic Typesetting"/>
          <w:szCs w:val="34"/>
        </w:rPr>
      </w:pPr>
      <w:r w:rsidRPr="008954A8">
        <w:rPr>
          <w:rFonts w:ascii="Arabic Typesetting" w:hAnsi="Arabic Typesetting" w:cs="Arabic Typesetting"/>
          <w:noProof/>
          <w:szCs w:val="34"/>
          <w:rtl/>
        </w:rPr>
        <w:t>تهدف الويبو إلى جعل نظام لاهاي الخيار الأول للتسجيلات الخاصة بالتصاميم الصناعية.</w:t>
      </w:r>
      <w:r w:rsidRPr="008954A8">
        <w:rPr>
          <w:rFonts w:ascii="Arabic Typesetting" w:hAnsi="Arabic Typesetting" w:cs="Arabic Typesetting"/>
          <w:szCs w:val="34"/>
          <w:rtl/>
        </w:rPr>
        <w:t xml:space="preserve"> </w:t>
      </w:r>
      <w:r w:rsidRPr="008954A8">
        <w:rPr>
          <w:rFonts w:ascii="Arabic Typesetting" w:hAnsi="Arabic Typesetting" w:cs="Arabic Typesetting"/>
          <w:noProof/>
          <w:szCs w:val="34"/>
          <w:rtl/>
        </w:rPr>
        <w:t>ولتحقيق ذلك، سوف ت</w:t>
      </w:r>
      <w:r>
        <w:rPr>
          <w:rFonts w:ascii="Arabic Typesetting" w:hAnsi="Arabic Typesetting" w:cs="Arabic Typesetting" w:hint="cs"/>
          <w:noProof/>
          <w:szCs w:val="34"/>
          <w:rtl/>
        </w:rPr>
        <w:t>ُ</w:t>
      </w:r>
      <w:r w:rsidRPr="008954A8">
        <w:rPr>
          <w:rFonts w:ascii="Arabic Typesetting" w:hAnsi="Arabic Typesetting" w:cs="Arabic Typesetting"/>
          <w:noProof/>
          <w:szCs w:val="34"/>
          <w:rtl/>
        </w:rPr>
        <w:t>عز</w:t>
      </w:r>
      <w:r>
        <w:rPr>
          <w:rFonts w:ascii="Arabic Typesetting" w:hAnsi="Arabic Typesetting" w:cs="Arabic Typesetting" w:hint="cs"/>
          <w:noProof/>
          <w:szCs w:val="34"/>
          <w:rtl/>
        </w:rPr>
        <w:t>ِّ</w:t>
      </w:r>
      <w:r w:rsidRPr="008954A8">
        <w:rPr>
          <w:rFonts w:ascii="Arabic Typesetting" w:hAnsi="Arabic Typesetting" w:cs="Arabic Typesetting"/>
          <w:noProof/>
          <w:szCs w:val="34"/>
          <w:rtl/>
        </w:rPr>
        <w:t>ز الويبو الوعي بنظام لاهاي، وتشجع استخدامه على نحو أوسع وأفضل، وتُحسِّن، في الوقت نفسه، إدارته في ظل زيادة التعقيد وأعباء العمل.</w:t>
      </w:r>
    </w:p>
    <w:p w:rsidR="00AA5376" w:rsidRPr="008954A8" w:rsidRDefault="00AA5376" w:rsidP="00861CFF">
      <w:pPr>
        <w:numPr>
          <w:ilvl w:val="0"/>
          <w:numId w:val="19"/>
        </w:numPr>
        <w:tabs>
          <w:tab w:val="clear" w:pos="680"/>
        </w:tabs>
        <w:adjustRightInd w:val="0"/>
        <w:snapToGrid w:val="0"/>
        <w:spacing w:after="120" w:line="340" w:lineRule="exact"/>
        <w:jc w:val="both"/>
        <w:rPr>
          <w:rFonts w:ascii="Arabic Typesetting" w:hAnsi="Arabic Typesetting" w:cs="Arabic Typesetting"/>
          <w:szCs w:val="34"/>
        </w:rPr>
      </w:pPr>
      <w:r w:rsidRPr="008954A8">
        <w:rPr>
          <w:rFonts w:ascii="Arabic Typesetting" w:hAnsi="Arabic Typesetting" w:cs="Arabic Typesetting"/>
          <w:noProof/>
          <w:szCs w:val="34"/>
          <w:rtl/>
        </w:rPr>
        <w:t>وسوف تنجز أنشطة مُنسَّقة على ثلاث جبهات:</w:t>
      </w:r>
      <w:r w:rsidRPr="008954A8">
        <w:rPr>
          <w:rFonts w:ascii="Arabic Typesetting" w:hAnsi="Arabic Typesetting" w:cs="Arabic Typesetting"/>
          <w:szCs w:val="34"/>
          <w:rtl/>
        </w:rPr>
        <w:t xml:space="preserve"> صورة النظام، ونطاقه الجغرافي، وتطويره</w:t>
      </w:r>
      <w:r w:rsidRPr="008954A8">
        <w:rPr>
          <w:rFonts w:ascii="Arabic Typesetting" w:hAnsi="Arabic Typesetting" w:cs="Arabic Typesetting"/>
          <w:noProof/>
          <w:szCs w:val="34"/>
        </w:rPr>
        <w:t>.</w:t>
      </w:r>
    </w:p>
    <w:p w:rsidR="00AA5376" w:rsidRPr="008954A8" w:rsidRDefault="00AA5376" w:rsidP="002C3C33">
      <w:pPr>
        <w:tabs>
          <w:tab w:val="left" w:pos="1134"/>
        </w:tabs>
        <w:adjustRightInd w:val="0"/>
        <w:snapToGrid w:val="0"/>
        <w:spacing w:after="120" w:line="340" w:lineRule="exact"/>
        <w:ind w:left="668"/>
        <w:jc w:val="both"/>
        <w:rPr>
          <w:rFonts w:ascii="Arabic Typesetting" w:hAnsi="Arabic Typesetting" w:cs="Arabic Typesetting"/>
          <w:szCs w:val="34"/>
          <w:rtl/>
        </w:rPr>
      </w:pPr>
      <w:r w:rsidRPr="008954A8">
        <w:rPr>
          <w:rFonts w:ascii="Arabic Typesetting" w:hAnsi="Arabic Typesetting" w:cs="Arabic Typesetting" w:hint="cs"/>
          <w:sz w:val="34"/>
          <w:szCs w:val="34"/>
          <w:rtl/>
        </w:rPr>
        <w:t>"1"</w:t>
      </w:r>
      <w:r w:rsidRPr="008954A8">
        <w:rPr>
          <w:rFonts w:ascii="Arabic Typesetting" w:hAnsi="Arabic Typesetting" w:cs="Arabic Typesetting" w:hint="cs"/>
          <w:sz w:val="34"/>
          <w:szCs w:val="34"/>
          <w:rtl/>
        </w:rPr>
        <w:tab/>
      </w:r>
      <w:r w:rsidRPr="008954A8">
        <w:rPr>
          <w:rFonts w:ascii="Arabic Typesetting" w:hAnsi="Arabic Typesetting" w:cs="Arabic Typesetting"/>
          <w:bCs/>
          <w:noProof/>
          <w:szCs w:val="34"/>
          <w:rtl/>
        </w:rPr>
        <w:t>صورة النظام</w:t>
      </w:r>
      <w:r w:rsidRPr="008954A8">
        <w:rPr>
          <w:rFonts w:ascii="Arabic Typesetting" w:hAnsi="Arabic Typesetting" w:cs="Arabic Typesetting"/>
          <w:noProof/>
          <w:szCs w:val="34"/>
          <w:rtl/>
        </w:rPr>
        <w:t>:</w:t>
      </w:r>
      <w:r w:rsidRPr="008954A8">
        <w:rPr>
          <w:rFonts w:ascii="Arabic Typesetting" w:hAnsi="Arabic Typesetting" w:cs="Arabic Typesetting"/>
          <w:szCs w:val="34"/>
          <w:rtl/>
        </w:rPr>
        <w:t xml:space="preserve"> </w:t>
      </w:r>
      <w:r w:rsidRPr="008954A8">
        <w:rPr>
          <w:rFonts w:ascii="Arabic Typesetting" w:hAnsi="Arabic Typesetting" w:cs="Arabic Typesetting"/>
          <w:noProof/>
          <w:szCs w:val="34"/>
          <w:rtl/>
        </w:rPr>
        <w:t>سوف يستمر ترويج النظام بين الأعضاء الحاليين حيث توجد إمكانيات كبيرة غير مستغلة.</w:t>
      </w:r>
      <w:r>
        <w:rPr>
          <w:rFonts w:ascii="Arabic Typesetting" w:hAnsi="Arabic Typesetting" w:cs="Arabic Typesetting" w:hint="cs"/>
          <w:szCs w:val="34"/>
          <w:rtl/>
        </w:rPr>
        <w:t xml:space="preserve"> </w:t>
      </w:r>
      <w:r>
        <w:rPr>
          <w:rFonts w:ascii="Arabic Typesetting" w:hAnsi="Arabic Typesetting" w:cs="Arabic Typesetting"/>
          <w:szCs w:val="34"/>
          <w:rtl/>
        </w:rPr>
        <w:t>وسوف يبدأ الترويج أيضا</w:t>
      </w:r>
      <w:r>
        <w:rPr>
          <w:rFonts w:ascii="Arabic Typesetting" w:hAnsi="Arabic Typesetting" w:cs="Arabic Typesetting" w:hint="cs"/>
          <w:szCs w:val="34"/>
          <w:rtl/>
        </w:rPr>
        <w:t>ً</w:t>
      </w:r>
      <w:r w:rsidRPr="008954A8">
        <w:rPr>
          <w:rFonts w:ascii="Arabic Typesetting" w:hAnsi="Arabic Typesetting" w:cs="Arabic Typesetting"/>
          <w:szCs w:val="34"/>
          <w:rtl/>
        </w:rPr>
        <w:t xml:space="preserve"> في البلدان التي بات انضمامها وشيكاً، وذلك للتشجيع على الاستخدام الفوري للنظام بعد الانضمام</w:t>
      </w:r>
      <w:r>
        <w:rPr>
          <w:rFonts w:ascii="Arabic Typesetting" w:hAnsi="Arabic Typesetting" w:cs="Arabic Typesetting" w:hint="cs"/>
          <w:szCs w:val="34"/>
          <w:rtl/>
        </w:rPr>
        <w:t xml:space="preserve"> الفعلي</w:t>
      </w:r>
      <w:r>
        <w:rPr>
          <w:rFonts w:ascii="Arabic Typesetting" w:hAnsi="Arabic Typesetting" w:cs="Arabic Typesetting" w:hint="cs"/>
          <w:noProof/>
          <w:szCs w:val="34"/>
          <w:rtl/>
        </w:rPr>
        <w:t>.</w:t>
      </w:r>
    </w:p>
    <w:p w:rsidR="00AA5376" w:rsidRPr="008954A8" w:rsidRDefault="00AA5376" w:rsidP="002C3C33">
      <w:pPr>
        <w:tabs>
          <w:tab w:val="left" w:pos="1100"/>
        </w:tabs>
        <w:adjustRightInd w:val="0"/>
        <w:snapToGrid w:val="0"/>
        <w:spacing w:after="120" w:line="340" w:lineRule="exact"/>
        <w:ind w:left="668"/>
        <w:jc w:val="both"/>
        <w:rPr>
          <w:rFonts w:ascii="Arabic Typesetting" w:hAnsi="Arabic Typesetting" w:cs="Arabic Typesetting"/>
          <w:sz w:val="34"/>
          <w:szCs w:val="34"/>
          <w:rtl/>
        </w:rPr>
      </w:pPr>
      <w:r w:rsidRPr="008954A8">
        <w:rPr>
          <w:rFonts w:ascii="Arabic Typesetting" w:hAnsi="Arabic Typesetting" w:cs="Arabic Typesetting"/>
          <w:sz w:val="34"/>
          <w:szCs w:val="34"/>
        </w:rPr>
        <w:t>"</w:t>
      </w:r>
      <w:r w:rsidRPr="008954A8">
        <w:rPr>
          <w:rFonts w:ascii="Arabic Typesetting" w:hAnsi="Arabic Typesetting" w:cs="Arabic Typesetting"/>
          <w:sz w:val="34"/>
          <w:szCs w:val="34"/>
          <w:rtl/>
        </w:rPr>
        <w:t>2</w:t>
      </w:r>
      <w:r w:rsidRPr="008954A8">
        <w:rPr>
          <w:rFonts w:ascii="Arabic Typesetting" w:hAnsi="Arabic Typesetting" w:cs="Arabic Typesetting"/>
          <w:sz w:val="34"/>
          <w:szCs w:val="34"/>
        </w:rPr>
        <w:t>"</w:t>
      </w:r>
      <w:r w:rsidRPr="008954A8">
        <w:rPr>
          <w:rFonts w:ascii="Arabic Typesetting" w:hAnsi="Arabic Typesetting" w:cs="Arabic Typesetting"/>
          <w:sz w:val="34"/>
          <w:szCs w:val="34"/>
        </w:rPr>
        <w:tab/>
      </w:r>
      <w:r w:rsidRPr="008954A8">
        <w:rPr>
          <w:rFonts w:ascii="Arabic Typesetting" w:hAnsi="Arabic Typesetting" w:cs="Arabic Typesetting"/>
          <w:bCs/>
          <w:noProof/>
          <w:sz w:val="34"/>
          <w:szCs w:val="34"/>
          <w:rtl/>
        </w:rPr>
        <w:t>النطاق الجغرافي</w:t>
      </w:r>
      <w:r w:rsidRPr="008954A8">
        <w:rPr>
          <w:rFonts w:ascii="Arabic Typesetting" w:hAnsi="Arabic Typesetting" w:cs="Arabic Typesetting"/>
          <w:noProof/>
          <w:sz w:val="34"/>
          <w:szCs w:val="34"/>
          <w:rtl/>
        </w:rPr>
        <w:t>:</w:t>
      </w:r>
      <w:r w:rsidRPr="008954A8">
        <w:rPr>
          <w:rFonts w:ascii="Arabic Typesetting" w:hAnsi="Arabic Typesetting" w:cs="Arabic Typesetting"/>
          <w:sz w:val="34"/>
          <w:szCs w:val="34"/>
          <w:rtl/>
        </w:rPr>
        <w:t xml:space="preserve"> </w:t>
      </w:r>
      <w:r w:rsidRPr="008954A8">
        <w:rPr>
          <w:rFonts w:ascii="Arabic Typesetting" w:hAnsi="Arabic Typesetting" w:cs="Arabic Typesetting"/>
          <w:noProof/>
          <w:sz w:val="34"/>
          <w:szCs w:val="34"/>
          <w:rtl/>
        </w:rPr>
        <w:t>سوف يستمر كل من الترويج والمساعدة التقنية، بالتعاون مع البرامج ذات الصلة، لتعزيز توسيع نطاق نظام لاهاي من خلال انضمام أطراف جد</w:t>
      </w:r>
      <w:r w:rsidRPr="008954A8">
        <w:rPr>
          <w:rFonts w:ascii="Arabic Typesetting" w:hAnsi="Arabic Typesetting" w:cs="Arabic Typesetting" w:hint="cs"/>
          <w:noProof/>
          <w:sz w:val="34"/>
          <w:szCs w:val="34"/>
          <w:rtl/>
        </w:rPr>
        <w:t>ي</w:t>
      </w:r>
      <w:r w:rsidRPr="008954A8">
        <w:rPr>
          <w:rFonts w:ascii="Arabic Typesetting" w:hAnsi="Arabic Typesetting" w:cs="Arabic Typesetting"/>
          <w:noProof/>
          <w:sz w:val="34"/>
          <w:szCs w:val="34"/>
          <w:rtl/>
        </w:rPr>
        <w:t>د</w:t>
      </w:r>
      <w:r w:rsidRPr="008954A8">
        <w:rPr>
          <w:rFonts w:ascii="Arabic Typesetting" w:hAnsi="Arabic Typesetting" w:cs="Arabic Typesetting" w:hint="cs"/>
          <w:noProof/>
          <w:sz w:val="34"/>
          <w:szCs w:val="34"/>
          <w:rtl/>
        </w:rPr>
        <w:t>ة</w:t>
      </w:r>
      <w:r w:rsidRPr="008954A8">
        <w:rPr>
          <w:rFonts w:ascii="Arabic Typesetting" w:hAnsi="Arabic Typesetting" w:cs="Arabic Typesetting"/>
          <w:noProof/>
          <w:sz w:val="34"/>
          <w:szCs w:val="34"/>
          <w:rtl/>
        </w:rPr>
        <w:t xml:space="preserve"> إلى وثيقة جنيف.</w:t>
      </w:r>
      <w:r w:rsidRPr="008954A8">
        <w:rPr>
          <w:rFonts w:ascii="Arabic Typesetting" w:hAnsi="Arabic Typesetting" w:cs="Arabic Typesetting"/>
          <w:sz w:val="34"/>
          <w:szCs w:val="34"/>
          <w:rtl/>
        </w:rPr>
        <w:t xml:space="preserve"> وسوف تُمنح الأولوية للبلدان التي يحتمل أن يؤدي انضمامها إلى جعل النظام أكثر جذباً للمستخدمين أو إلى تعجيل انضمام أطراف أخرى</w:t>
      </w:r>
      <w:r w:rsidRPr="008954A8">
        <w:rPr>
          <w:rFonts w:ascii="Arabic Typesetting" w:hAnsi="Arabic Typesetting" w:cs="Arabic Typesetting"/>
          <w:noProof/>
          <w:sz w:val="34"/>
          <w:szCs w:val="34"/>
        </w:rPr>
        <w:t>.</w:t>
      </w:r>
    </w:p>
    <w:p w:rsidR="00AA5376" w:rsidRDefault="00AA5376" w:rsidP="002C3C33">
      <w:pPr>
        <w:tabs>
          <w:tab w:val="left" w:pos="1100"/>
        </w:tabs>
        <w:adjustRightInd w:val="0"/>
        <w:snapToGrid w:val="0"/>
        <w:spacing w:after="120" w:line="340" w:lineRule="exact"/>
        <w:ind w:left="668"/>
        <w:jc w:val="both"/>
        <w:rPr>
          <w:rFonts w:ascii="Arabic Typesetting" w:hAnsi="Arabic Typesetting" w:cs="Arabic Typesetting"/>
          <w:noProof/>
          <w:sz w:val="34"/>
          <w:szCs w:val="34"/>
          <w:rtl/>
        </w:rPr>
      </w:pPr>
      <w:r w:rsidRPr="008954A8">
        <w:rPr>
          <w:rFonts w:ascii="Arabic Typesetting" w:hAnsi="Arabic Typesetting" w:cs="Arabic Typesetting"/>
          <w:sz w:val="34"/>
          <w:szCs w:val="34"/>
        </w:rPr>
        <w:t>"</w:t>
      </w:r>
      <w:r w:rsidRPr="008954A8">
        <w:rPr>
          <w:rFonts w:ascii="Arabic Typesetting" w:hAnsi="Arabic Typesetting" w:cs="Arabic Typesetting" w:hint="cs"/>
          <w:sz w:val="34"/>
          <w:szCs w:val="34"/>
          <w:rtl/>
        </w:rPr>
        <w:t>3</w:t>
      </w:r>
      <w:r w:rsidRPr="008954A8">
        <w:rPr>
          <w:rFonts w:ascii="Arabic Typesetting" w:hAnsi="Arabic Typesetting" w:cs="Arabic Typesetting"/>
          <w:sz w:val="34"/>
          <w:szCs w:val="34"/>
        </w:rPr>
        <w:t>"</w:t>
      </w:r>
      <w:r w:rsidRPr="008954A8">
        <w:rPr>
          <w:rFonts w:ascii="Arabic Typesetting" w:hAnsi="Arabic Typesetting" w:cs="Arabic Typesetting"/>
          <w:sz w:val="34"/>
          <w:szCs w:val="34"/>
        </w:rPr>
        <w:tab/>
      </w:r>
      <w:r w:rsidRPr="008954A8">
        <w:rPr>
          <w:rFonts w:ascii="Arabic Typesetting" w:hAnsi="Arabic Typesetting" w:cs="Arabic Typesetting"/>
          <w:bCs/>
          <w:noProof/>
          <w:sz w:val="34"/>
          <w:szCs w:val="34"/>
          <w:rtl/>
        </w:rPr>
        <w:t>تطوير النظام</w:t>
      </w:r>
      <w:r w:rsidRPr="008954A8">
        <w:rPr>
          <w:rFonts w:ascii="Arabic Typesetting" w:hAnsi="Arabic Typesetting" w:cs="Arabic Typesetting"/>
          <w:noProof/>
          <w:sz w:val="34"/>
          <w:szCs w:val="34"/>
          <w:rtl/>
        </w:rPr>
        <w:t>:</w:t>
      </w:r>
      <w:r w:rsidRPr="008954A8">
        <w:rPr>
          <w:rFonts w:ascii="Arabic Typesetting" w:hAnsi="Arabic Typesetting" w:cs="Arabic Typesetting"/>
          <w:sz w:val="34"/>
          <w:szCs w:val="34"/>
          <w:rtl/>
        </w:rPr>
        <w:t xml:space="preserve"> </w:t>
      </w:r>
      <w:r w:rsidRPr="008954A8">
        <w:rPr>
          <w:rFonts w:ascii="Arabic Typesetting" w:hAnsi="Arabic Typesetting" w:cs="Arabic Typesetting"/>
          <w:noProof/>
          <w:sz w:val="34"/>
          <w:szCs w:val="34"/>
          <w:rtl/>
        </w:rPr>
        <w:t xml:space="preserve">مع نمو النظام، سوف تبرز الحاجة إلى زيادة خدمات الدعم </w:t>
      </w:r>
      <w:r w:rsidRPr="008954A8">
        <w:rPr>
          <w:rFonts w:ascii="Arabic Typesetting" w:hAnsi="Arabic Typesetting" w:cs="Arabic Typesetting" w:hint="cs"/>
          <w:noProof/>
          <w:sz w:val="34"/>
          <w:szCs w:val="34"/>
          <w:rtl/>
        </w:rPr>
        <w:t xml:space="preserve">المتقدمة </w:t>
      </w:r>
      <w:r w:rsidRPr="008954A8">
        <w:rPr>
          <w:rFonts w:ascii="Arabic Typesetting" w:hAnsi="Arabic Typesetting" w:cs="Arabic Typesetting"/>
          <w:noProof/>
          <w:sz w:val="34"/>
          <w:szCs w:val="34"/>
          <w:rtl/>
        </w:rPr>
        <w:t>المتعلقة بتكنولوجيا المعلومات من أجل تحقيق مستويات أعلى من الإنتاجية من خلال ما يُكتسب من كفاءة</w:t>
      </w:r>
      <w:r>
        <w:rPr>
          <w:rFonts w:ascii="Arabic Typesetting" w:hAnsi="Arabic Typesetting" w:cs="Arabic Typesetting" w:hint="cs"/>
          <w:noProof/>
          <w:sz w:val="34"/>
          <w:szCs w:val="34"/>
          <w:rtl/>
        </w:rPr>
        <w:t xml:space="preserve">، وتلبية </w:t>
      </w:r>
      <w:r w:rsidRPr="004E45DA">
        <w:rPr>
          <w:rFonts w:ascii="Arabic Typesetting" w:hAnsi="Arabic Typesetting" w:cs="Arabic Typesetting"/>
          <w:noProof/>
          <w:sz w:val="34"/>
          <w:szCs w:val="34"/>
          <w:rtl/>
        </w:rPr>
        <w:t xml:space="preserve">تطلعات </w:t>
      </w:r>
      <w:r>
        <w:rPr>
          <w:rFonts w:ascii="Arabic Typesetting" w:hAnsi="Arabic Typesetting" w:cs="Arabic Typesetting" w:hint="cs"/>
          <w:noProof/>
          <w:sz w:val="34"/>
          <w:szCs w:val="34"/>
          <w:rtl/>
        </w:rPr>
        <w:t>شتى</w:t>
      </w:r>
      <w:r w:rsidRPr="004E45DA">
        <w:rPr>
          <w:rFonts w:ascii="Arabic Typesetting" w:hAnsi="Arabic Typesetting" w:cs="Arabic Typesetting"/>
          <w:noProof/>
          <w:sz w:val="34"/>
          <w:szCs w:val="34"/>
          <w:rtl/>
        </w:rPr>
        <w:t xml:space="preserve"> أصحاب المص</w:t>
      </w:r>
      <w:r>
        <w:rPr>
          <w:rFonts w:ascii="Arabic Typesetting" w:hAnsi="Arabic Typesetting" w:cs="Arabic Typesetting" w:hint="cs"/>
          <w:noProof/>
          <w:sz w:val="34"/>
          <w:szCs w:val="34"/>
          <w:rtl/>
        </w:rPr>
        <w:t>ا</w:t>
      </w:r>
      <w:r w:rsidRPr="004E45DA">
        <w:rPr>
          <w:rFonts w:ascii="Arabic Typesetting" w:hAnsi="Arabic Typesetting" w:cs="Arabic Typesetting"/>
          <w:noProof/>
          <w:sz w:val="34"/>
          <w:szCs w:val="34"/>
          <w:rtl/>
        </w:rPr>
        <w:t xml:space="preserve">لح </w:t>
      </w:r>
      <w:r>
        <w:rPr>
          <w:rFonts w:ascii="Arabic Typesetting" w:hAnsi="Arabic Typesetting" w:cs="Arabic Typesetting" w:hint="cs"/>
          <w:noProof/>
          <w:sz w:val="34"/>
          <w:szCs w:val="34"/>
          <w:rtl/>
        </w:rPr>
        <w:t xml:space="preserve">في </w:t>
      </w:r>
      <w:r w:rsidRPr="004E45DA">
        <w:rPr>
          <w:rFonts w:ascii="Arabic Typesetting" w:hAnsi="Arabic Typesetting" w:cs="Arabic Typesetting"/>
          <w:noProof/>
          <w:sz w:val="34"/>
          <w:szCs w:val="34"/>
          <w:rtl/>
        </w:rPr>
        <w:t xml:space="preserve">نظام لاهاي، لا سيما إمكانية التفاعل </w:t>
      </w:r>
      <w:r w:rsidRPr="008D123F">
        <w:rPr>
          <w:rFonts w:ascii="Arabic Typesetting" w:hAnsi="Arabic Typesetting" w:cs="Arabic Typesetting"/>
          <w:noProof/>
          <w:sz w:val="34"/>
          <w:szCs w:val="34"/>
          <w:rtl/>
        </w:rPr>
        <w:t xml:space="preserve">بأمان مع </w:t>
      </w:r>
      <w:r w:rsidRPr="008D123F">
        <w:rPr>
          <w:rFonts w:ascii="Arabic Typesetting" w:hAnsi="Arabic Typesetting" w:cs="Arabic Typesetting" w:hint="cs"/>
          <w:noProof/>
          <w:sz w:val="34"/>
          <w:szCs w:val="34"/>
          <w:rtl/>
        </w:rPr>
        <w:t>ال</w:t>
      </w:r>
      <w:r w:rsidRPr="008D123F">
        <w:rPr>
          <w:rFonts w:ascii="Arabic Typesetting" w:hAnsi="Arabic Typesetting" w:cs="Arabic Typesetting"/>
          <w:noProof/>
          <w:sz w:val="34"/>
          <w:szCs w:val="34"/>
          <w:rtl/>
        </w:rPr>
        <w:t xml:space="preserve">سجل </w:t>
      </w:r>
      <w:r w:rsidRPr="008D123F">
        <w:rPr>
          <w:rFonts w:ascii="Arabic Typesetting" w:hAnsi="Arabic Typesetting" w:cs="Arabic Typesetting" w:hint="cs"/>
          <w:noProof/>
          <w:sz w:val="34"/>
          <w:szCs w:val="34"/>
          <w:rtl/>
        </w:rPr>
        <w:t>ال</w:t>
      </w:r>
      <w:r w:rsidRPr="008D123F">
        <w:rPr>
          <w:rFonts w:ascii="Arabic Typesetting" w:hAnsi="Arabic Typesetting" w:cs="Arabic Typesetting"/>
          <w:noProof/>
          <w:sz w:val="34"/>
          <w:szCs w:val="34"/>
          <w:rtl/>
        </w:rPr>
        <w:t>دولي ع</w:t>
      </w:r>
      <w:r w:rsidRPr="008D123F">
        <w:rPr>
          <w:rFonts w:ascii="Arabic Typesetting" w:hAnsi="Arabic Typesetting" w:cs="Arabic Typesetting" w:hint="cs"/>
          <w:noProof/>
          <w:sz w:val="34"/>
          <w:szCs w:val="34"/>
          <w:rtl/>
        </w:rPr>
        <w:t xml:space="preserve">بر شبكة </w:t>
      </w:r>
      <w:r w:rsidRPr="008D123F">
        <w:rPr>
          <w:rFonts w:ascii="Arabic Typesetting" w:hAnsi="Arabic Typesetting" w:cs="Arabic Typesetting"/>
          <w:noProof/>
          <w:sz w:val="34"/>
          <w:szCs w:val="34"/>
          <w:rtl/>
        </w:rPr>
        <w:t>ال</w:t>
      </w:r>
      <w:r w:rsidRPr="008D123F">
        <w:rPr>
          <w:rFonts w:ascii="Arabic Typesetting" w:hAnsi="Arabic Typesetting" w:cs="Arabic Typesetting" w:hint="cs"/>
          <w:noProof/>
          <w:sz w:val="34"/>
          <w:szCs w:val="34"/>
          <w:rtl/>
        </w:rPr>
        <w:t>إ</w:t>
      </w:r>
      <w:r w:rsidRPr="008D123F">
        <w:rPr>
          <w:rFonts w:ascii="Arabic Typesetting" w:hAnsi="Arabic Typesetting" w:cs="Arabic Typesetting"/>
          <w:noProof/>
          <w:sz w:val="34"/>
          <w:szCs w:val="34"/>
          <w:rtl/>
        </w:rPr>
        <w:t xml:space="preserve">نترنت </w:t>
      </w:r>
      <w:r w:rsidRPr="008D123F">
        <w:rPr>
          <w:rFonts w:ascii="Arabic Typesetting" w:hAnsi="Arabic Typesetting" w:cs="Arabic Typesetting" w:hint="cs"/>
          <w:noProof/>
          <w:sz w:val="34"/>
          <w:szCs w:val="34"/>
          <w:rtl/>
        </w:rPr>
        <w:t xml:space="preserve">بطريقة </w:t>
      </w:r>
      <w:r w:rsidRPr="008D123F">
        <w:rPr>
          <w:rFonts w:ascii="Arabic Typesetting" w:hAnsi="Arabic Typesetting" w:cs="Arabic Typesetting"/>
          <w:noProof/>
          <w:sz w:val="34"/>
          <w:szCs w:val="34"/>
          <w:rtl/>
        </w:rPr>
        <w:t xml:space="preserve">آنية </w:t>
      </w:r>
      <w:r w:rsidRPr="008D123F">
        <w:rPr>
          <w:rFonts w:ascii="Arabic Typesetting" w:hAnsi="Arabic Typesetting" w:cs="Arabic Typesetting" w:hint="cs"/>
          <w:noProof/>
          <w:sz w:val="34"/>
          <w:szCs w:val="34"/>
          <w:rtl/>
        </w:rPr>
        <w:t>في وضع ا</w:t>
      </w:r>
      <w:r w:rsidRPr="008D123F">
        <w:rPr>
          <w:rFonts w:ascii="Arabic Typesetting" w:hAnsi="Arabic Typesetting" w:cs="Arabic Typesetting"/>
          <w:noProof/>
          <w:sz w:val="34"/>
          <w:szCs w:val="34"/>
          <w:rtl/>
        </w:rPr>
        <w:t>لخدمة الذاتية</w:t>
      </w:r>
      <w:r w:rsidRPr="008954A8">
        <w:rPr>
          <w:rFonts w:ascii="Arabic Typesetting" w:hAnsi="Arabic Typesetting" w:cs="Arabic Typesetting"/>
          <w:noProof/>
          <w:sz w:val="34"/>
          <w:szCs w:val="34"/>
          <w:rtl/>
        </w:rPr>
        <w:t>.</w:t>
      </w:r>
      <w:r w:rsidRPr="008954A8">
        <w:rPr>
          <w:rFonts w:ascii="Arabic Typesetting" w:hAnsi="Arabic Typesetting" w:cs="Arabic Typesetting"/>
          <w:sz w:val="34"/>
          <w:szCs w:val="34"/>
          <w:rtl/>
        </w:rPr>
        <w:t xml:space="preserve"> </w:t>
      </w:r>
      <w:r w:rsidRPr="00BF65F8">
        <w:rPr>
          <w:rFonts w:ascii="Arabic Typesetting" w:hAnsi="Arabic Typesetting" w:cs="Arabic Typesetting"/>
          <w:noProof/>
          <w:sz w:val="34"/>
          <w:szCs w:val="34"/>
          <w:rtl/>
        </w:rPr>
        <w:t>وسوف يولى اهتمامٌ كبيرٌ لتقديم خدمات مُحسَّنة عبر الانترنت توفر خدمة مماثلة وأداء لجميع أصحاب المص</w:t>
      </w:r>
      <w:r>
        <w:rPr>
          <w:rFonts w:ascii="Arabic Typesetting" w:hAnsi="Arabic Typesetting" w:cs="Arabic Typesetting" w:hint="cs"/>
          <w:noProof/>
          <w:sz w:val="34"/>
          <w:szCs w:val="34"/>
          <w:rtl/>
        </w:rPr>
        <w:t>ا</w:t>
      </w:r>
      <w:r w:rsidRPr="00BF65F8">
        <w:rPr>
          <w:rFonts w:ascii="Arabic Typesetting" w:hAnsi="Arabic Typesetting" w:cs="Arabic Typesetting"/>
          <w:noProof/>
          <w:sz w:val="34"/>
          <w:szCs w:val="34"/>
          <w:rtl/>
        </w:rPr>
        <w:t>لح، بغض النظر عن الموقع الجغرافي.</w:t>
      </w:r>
      <w:r w:rsidRPr="008954A8">
        <w:rPr>
          <w:rFonts w:ascii="Arabic Typesetting" w:hAnsi="Arabic Typesetting" w:cs="Arabic Typesetting"/>
          <w:sz w:val="34"/>
          <w:szCs w:val="34"/>
          <w:rtl/>
        </w:rPr>
        <w:t xml:space="preserve"> </w:t>
      </w:r>
      <w:r w:rsidRPr="008954A8">
        <w:rPr>
          <w:rFonts w:ascii="Arabic Typesetting" w:hAnsi="Arabic Typesetting" w:cs="Arabic Typesetting"/>
          <w:noProof/>
          <w:sz w:val="34"/>
          <w:szCs w:val="34"/>
          <w:rtl/>
        </w:rPr>
        <w:t xml:space="preserve">وسوف يتعيَّن أيضاً </w:t>
      </w:r>
      <w:r>
        <w:rPr>
          <w:rFonts w:ascii="Arabic Typesetting" w:hAnsi="Arabic Typesetting" w:cs="Arabic Typesetting" w:hint="cs"/>
          <w:noProof/>
          <w:sz w:val="34"/>
          <w:szCs w:val="34"/>
          <w:rtl/>
        </w:rPr>
        <w:t xml:space="preserve">زيادة </w:t>
      </w:r>
      <w:r w:rsidRPr="008954A8">
        <w:rPr>
          <w:rFonts w:ascii="Arabic Typesetting" w:hAnsi="Arabic Typesetting" w:cs="Arabic Typesetting"/>
          <w:noProof/>
          <w:sz w:val="34"/>
          <w:szCs w:val="34"/>
          <w:rtl/>
        </w:rPr>
        <w:t xml:space="preserve">تطوير الإطار القانوني من أجل ضمان استمرار تماشيه مع </w:t>
      </w:r>
      <w:r>
        <w:rPr>
          <w:rFonts w:ascii="Arabic Typesetting" w:hAnsi="Arabic Typesetting" w:cs="Arabic Typesetting" w:hint="cs"/>
          <w:noProof/>
          <w:sz w:val="34"/>
          <w:szCs w:val="34"/>
          <w:rtl/>
        </w:rPr>
        <w:t>الأنظمة القانونية ل</w:t>
      </w:r>
      <w:r w:rsidRPr="008954A8">
        <w:rPr>
          <w:rFonts w:ascii="Arabic Typesetting" w:hAnsi="Arabic Typesetting" w:cs="Arabic Typesetting"/>
          <w:noProof/>
          <w:sz w:val="34"/>
          <w:szCs w:val="34"/>
          <w:rtl/>
        </w:rPr>
        <w:t>لأطراف المتعاقدة</w:t>
      </w:r>
      <w:r>
        <w:rPr>
          <w:rFonts w:ascii="Arabic Typesetting" w:hAnsi="Arabic Typesetting" w:cs="Arabic Typesetting" w:hint="cs"/>
          <w:noProof/>
          <w:sz w:val="34"/>
          <w:szCs w:val="34"/>
          <w:rtl/>
        </w:rPr>
        <w:t xml:space="preserve"> الجديدة</w:t>
      </w:r>
      <w:r w:rsidRPr="008954A8">
        <w:rPr>
          <w:rFonts w:ascii="Arabic Typesetting" w:hAnsi="Arabic Typesetting" w:cs="Arabic Typesetting"/>
          <w:noProof/>
          <w:sz w:val="34"/>
          <w:szCs w:val="34"/>
          <w:rtl/>
        </w:rPr>
        <w:t xml:space="preserve"> </w:t>
      </w:r>
      <w:r>
        <w:rPr>
          <w:rFonts w:ascii="Arabic Typesetting" w:hAnsi="Arabic Typesetting" w:cs="Arabic Typesetting" w:hint="cs"/>
          <w:noProof/>
          <w:sz w:val="34"/>
          <w:szCs w:val="34"/>
          <w:rtl/>
        </w:rPr>
        <w:t>و</w:t>
      </w:r>
      <w:r w:rsidRPr="008954A8">
        <w:rPr>
          <w:rFonts w:ascii="Arabic Typesetting" w:hAnsi="Arabic Typesetting" w:cs="Arabic Typesetting"/>
          <w:noProof/>
          <w:sz w:val="34"/>
          <w:szCs w:val="34"/>
          <w:rtl/>
        </w:rPr>
        <w:t>احتياجات المستخدمين.</w:t>
      </w:r>
      <w:r w:rsidRPr="008954A8">
        <w:rPr>
          <w:rFonts w:ascii="Arabic Typesetting" w:hAnsi="Arabic Typesetting" w:cs="Arabic Typesetting"/>
          <w:sz w:val="34"/>
          <w:szCs w:val="34"/>
          <w:rtl/>
        </w:rPr>
        <w:t xml:space="preserve"> وختاماً، يبدو أن ترك</w:t>
      </w:r>
      <w:r>
        <w:rPr>
          <w:rFonts w:ascii="Arabic Typesetting" w:hAnsi="Arabic Typesetting" w:cs="Arabic Typesetting" w:hint="cs"/>
          <w:sz w:val="34"/>
          <w:szCs w:val="34"/>
          <w:rtl/>
        </w:rPr>
        <w:t>ي</w:t>
      </w:r>
      <w:r w:rsidRPr="008954A8">
        <w:rPr>
          <w:rFonts w:ascii="Arabic Typesetting" w:hAnsi="Arabic Typesetting" w:cs="Arabic Typesetting"/>
          <w:sz w:val="34"/>
          <w:szCs w:val="34"/>
          <w:rtl/>
        </w:rPr>
        <w:t>ز النظام على وثيقة 1999 أمر</w:t>
      </w:r>
      <w:r w:rsidRPr="008954A8">
        <w:rPr>
          <w:rFonts w:ascii="Arabic Typesetting" w:hAnsi="Arabic Typesetting" w:cs="Arabic Typesetting" w:hint="cs"/>
          <w:sz w:val="34"/>
          <w:szCs w:val="34"/>
          <w:rtl/>
        </w:rPr>
        <w:t>ٌ</w:t>
      </w:r>
      <w:r w:rsidRPr="008954A8">
        <w:rPr>
          <w:rFonts w:ascii="Arabic Typesetting" w:hAnsi="Arabic Typesetting" w:cs="Arabic Typesetting"/>
          <w:sz w:val="34"/>
          <w:szCs w:val="34"/>
          <w:rtl/>
        </w:rPr>
        <w:t xml:space="preserve"> </w:t>
      </w:r>
      <w:r w:rsidRPr="008954A8">
        <w:rPr>
          <w:rFonts w:ascii="Arabic Typesetting" w:hAnsi="Arabic Typesetting" w:cs="Arabic Typesetting" w:hint="cs"/>
          <w:sz w:val="34"/>
          <w:szCs w:val="34"/>
          <w:rtl/>
        </w:rPr>
        <w:t>أساسيٌّ</w:t>
      </w:r>
      <w:r w:rsidRPr="008954A8">
        <w:rPr>
          <w:rFonts w:ascii="Arabic Typesetting" w:hAnsi="Arabic Typesetting" w:cs="Arabic Typesetting"/>
          <w:sz w:val="34"/>
          <w:szCs w:val="34"/>
          <w:rtl/>
        </w:rPr>
        <w:t xml:space="preserve"> بغية التبسيط، بدء</w:t>
      </w:r>
      <w:r w:rsidRPr="008954A8">
        <w:rPr>
          <w:rFonts w:ascii="Arabic Typesetting" w:hAnsi="Arabic Typesetting" w:cs="Arabic Typesetting" w:hint="cs"/>
          <w:sz w:val="34"/>
          <w:szCs w:val="34"/>
          <w:rtl/>
        </w:rPr>
        <w:t>اً</w:t>
      </w:r>
      <w:r w:rsidRPr="008954A8">
        <w:rPr>
          <w:rFonts w:ascii="Arabic Typesetting" w:hAnsi="Arabic Typesetting" w:cs="Arabic Typesetting"/>
          <w:sz w:val="34"/>
          <w:szCs w:val="34"/>
          <w:rtl/>
        </w:rPr>
        <w:t xml:space="preserve"> بالجهود المتواصلة لإنهاء العمل بوثيقة لندن (1934) </w:t>
      </w:r>
      <w:r>
        <w:rPr>
          <w:rFonts w:ascii="Arabic Typesetting" w:hAnsi="Arabic Typesetting" w:cs="Arabic Typesetting" w:hint="cs"/>
          <w:sz w:val="34"/>
          <w:szCs w:val="34"/>
          <w:rtl/>
        </w:rPr>
        <w:t>المهجورة</w:t>
      </w:r>
      <w:r w:rsidRPr="008954A8">
        <w:rPr>
          <w:rFonts w:ascii="Arabic Typesetting" w:hAnsi="Arabic Typesetting" w:cs="Arabic Typesetting"/>
          <w:noProof/>
          <w:sz w:val="34"/>
          <w:szCs w:val="34"/>
        </w:rPr>
        <w:t>.</w:t>
      </w:r>
    </w:p>
    <w:p w:rsidR="00AA5376" w:rsidRDefault="00AA5376">
      <w:pPr>
        <w:bidi w:val="0"/>
        <w:rPr>
          <w:rFonts w:ascii="Arabic Typesetting" w:hAnsi="Arabic Typesetting" w:cs="Arabic Typesetting"/>
          <w:noProof/>
          <w:szCs w:val="34"/>
          <w:rtl/>
        </w:rPr>
      </w:pPr>
      <w:r>
        <w:rPr>
          <w:rFonts w:ascii="Arabic Typesetting" w:hAnsi="Arabic Typesetting" w:cs="Arabic Typesetting"/>
          <w:noProof/>
          <w:szCs w:val="34"/>
          <w:rtl/>
        </w:rPr>
        <w:br w:type="page"/>
      </w:r>
    </w:p>
    <w:p w:rsidR="00AA5376" w:rsidRPr="004F74B4" w:rsidRDefault="00AA5376" w:rsidP="00861CFF">
      <w:pPr>
        <w:numPr>
          <w:ilvl w:val="0"/>
          <w:numId w:val="19"/>
        </w:numPr>
        <w:tabs>
          <w:tab w:val="clear" w:pos="680"/>
        </w:tabs>
        <w:adjustRightInd w:val="0"/>
        <w:snapToGrid w:val="0"/>
        <w:spacing w:after="120" w:line="340" w:lineRule="exact"/>
        <w:jc w:val="both"/>
        <w:rPr>
          <w:rFonts w:ascii="Arabic Typesetting" w:hAnsi="Arabic Typesetting" w:cs="Arabic Typesetting"/>
          <w:noProof/>
          <w:szCs w:val="34"/>
          <w:rtl/>
        </w:rPr>
      </w:pPr>
      <w:r>
        <w:rPr>
          <w:rFonts w:ascii="Arabic Typesetting" w:hAnsi="Arabic Typesetting" w:cs="Arabic Typesetting" w:hint="cs"/>
          <w:noProof/>
          <w:szCs w:val="34"/>
          <w:rtl/>
        </w:rPr>
        <w:lastRenderedPageBreak/>
        <w:t>ويتعاون البرنامج 31 في الأساس مع البرامج الأخرى على النحو المبيّن أدناه:</w:t>
      </w:r>
    </w:p>
    <w:p w:rsidR="00AA5376" w:rsidRDefault="00AA5376" w:rsidP="002C3C33">
      <w:pPr>
        <w:adjustRightInd w:val="0"/>
        <w:snapToGrid w:val="0"/>
        <w:spacing w:after="240" w:line="360" w:lineRule="exact"/>
        <w:jc w:val="both"/>
        <w:rPr>
          <w:rFonts w:ascii="Arabic Typesetting" w:hAnsi="Arabic Typesetting" w:cs="Arabic Typesetting"/>
          <w:b/>
          <w:i/>
          <w:sz w:val="38"/>
          <w:szCs w:val="38"/>
          <w:rtl/>
        </w:rPr>
      </w:pPr>
      <w:r>
        <w:rPr>
          <w:noProof/>
          <w:lang w:bidi="ar-SA"/>
        </w:rPr>
        <w:drawing>
          <wp:anchor distT="0" distB="0" distL="114300" distR="114300" simplePos="0" relativeHeight="251664384" behindDoc="0" locked="0" layoutInCell="1" allowOverlap="1" wp14:anchorId="2372E9EE" wp14:editId="0A8525EF">
            <wp:simplePos x="0" y="0"/>
            <wp:positionH relativeFrom="column">
              <wp:posOffset>364490</wp:posOffset>
            </wp:positionH>
            <wp:positionV relativeFrom="paragraph">
              <wp:posOffset>213360</wp:posOffset>
            </wp:positionV>
            <wp:extent cx="5486400" cy="1657350"/>
            <wp:effectExtent l="0" t="19050" r="0" b="0"/>
            <wp:wrapTopAndBottom/>
            <wp:docPr id="232" name="Diagram 2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14:sizeRelH relativeFrom="page">
              <wp14:pctWidth>0</wp14:pctWidth>
            </wp14:sizeRelH>
            <wp14:sizeRelV relativeFrom="page">
              <wp14:pctHeight>0</wp14:pctHeight>
            </wp14:sizeRelV>
          </wp:anchor>
        </w:drawing>
      </w:r>
    </w:p>
    <w:p w:rsidR="00AA5376" w:rsidRPr="004F74B4" w:rsidRDefault="00AA5376" w:rsidP="002C3C33">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4F74B4">
        <w:rPr>
          <w:rFonts w:ascii="Arabic Typesetting" w:hAnsi="Arabic Typesetting" w:cs="Arabic Typesetting"/>
          <w:noProof/>
          <w:sz w:val="38"/>
          <w:szCs w:val="38"/>
          <w:rtl/>
        </w:rPr>
        <w:t>المخاطر واستراتيجيات التخفيف</w:t>
      </w:r>
      <w:r w:rsidRPr="004F74B4">
        <w:rPr>
          <w:rFonts w:ascii="Arabic Typesetting" w:hAnsi="Arabic Typesetting" w:cs="Arabic Typesetting" w:hint="cs"/>
          <w:noProof/>
          <w:sz w:val="38"/>
          <w:szCs w:val="38"/>
          <w:rtl/>
        </w:rPr>
        <w:t xml:space="preserve"> منها</w:t>
      </w:r>
    </w:p>
    <w:tbl>
      <w:tblPr>
        <w:bidiVisual/>
        <w:tblW w:w="949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76"/>
        <w:gridCol w:w="4820"/>
      </w:tblGrid>
      <w:tr w:rsidR="00AA5376" w:rsidRPr="008954A8" w:rsidTr="002C3C33">
        <w:trPr>
          <w:trHeight w:val="478"/>
        </w:trPr>
        <w:tc>
          <w:tcPr>
            <w:tcW w:w="4676" w:type="dxa"/>
            <w:tcBorders>
              <w:top w:val="single" w:sz="4" w:space="0" w:color="auto"/>
              <w:bottom w:val="single" w:sz="4" w:space="0" w:color="auto"/>
            </w:tcBorders>
            <w:shd w:val="clear" w:color="auto" w:fill="C6D9F1"/>
            <w:tcMar>
              <w:top w:w="113" w:type="dxa"/>
              <w:bottom w:w="85" w:type="dxa"/>
            </w:tcMar>
            <w:vAlign w:val="center"/>
          </w:tcPr>
          <w:p w:rsidR="00AA5376" w:rsidRPr="008954A8" w:rsidRDefault="00AA5376"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Pr>
                <w:rFonts w:ascii="Arabic Typesetting" w:hAnsi="Arabic Typesetting" w:cs="Arabic Typesetting"/>
                <w:b/>
                <w:bCs/>
                <w:i/>
                <w:sz w:val="30"/>
                <w:szCs w:val="30"/>
                <w:rtl/>
              </w:rPr>
              <w:t>المخاطر</w:t>
            </w:r>
          </w:p>
        </w:tc>
        <w:tc>
          <w:tcPr>
            <w:tcW w:w="4820" w:type="dxa"/>
            <w:tcBorders>
              <w:top w:val="single" w:sz="4" w:space="0" w:color="auto"/>
              <w:bottom w:val="single" w:sz="4" w:space="0" w:color="auto"/>
            </w:tcBorders>
            <w:shd w:val="clear" w:color="auto" w:fill="C6D9F1"/>
            <w:tcMar>
              <w:top w:w="113" w:type="dxa"/>
              <w:bottom w:w="85" w:type="dxa"/>
            </w:tcMar>
            <w:vAlign w:val="center"/>
          </w:tcPr>
          <w:p w:rsidR="00AA5376" w:rsidRPr="008954A8" w:rsidRDefault="00AA5376"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Pr>
                <w:rFonts w:ascii="Arabic Typesetting" w:hAnsi="Arabic Typesetting" w:cs="Arabic Typesetting"/>
                <w:b/>
                <w:bCs/>
                <w:i/>
                <w:sz w:val="30"/>
                <w:szCs w:val="30"/>
                <w:rtl/>
              </w:rPr>
              <w:t>التخفيف منها</w:t>
            </w:r>
          </w:p>
        </w:tc>
      </w:tr>
      <w:tr w:rsidR="00AA5376" w:rsidRPr="008954A8" w:rsidTr="002C3C33">
        <w:trPr>
          <w:trHeight w:val="1051"/>
        </w:trPr>
        <w:tc>
          <w:tcPr>
            <w:tcW w:w="4676" w:type="dxa"/>
            <w:tcBorders>
              <w:top w:val="single" w:sz="4" w:space="0" w:color="auto"/>
            </w:tcBorders>
            <w:shd w:val="clear" w:color="auto" w:fill="auto"/>
            <w:tcMar>
              <w:top w:w="113" w:type="dxa"/>
              <w:bottom w:w="85" w:type="dxa"/>
            </w:tcMar>
          </w:tcPr>
          <w:p w:rsidR="00AA5376" w:rsidRPr="008954A8" w:rsidRDefault="00AA5376" w:rsidP="002C3C33">
            <w:pPr>
              <w:keepNext/>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lang w:eastAsia="zh-CN"/>
              </w:rPr>
              <w:t>انخفاض مستوى رضا العملاء بسبب وجود صعوبات في التعامل مع تزايد عدد الإيداعات وطلبات المعلومات وبسبب تزايد تعقُّد النظام نتيجةً لتنفيذ خصائص تدعم فحص الجدة في بعض المكاتب</w:t>
            </w:r>
            <w:r w:rsidRPr="008954A8">
              <w:rPr>
                <w:rFonts w:ascii="Arabic Typesetting" w:hAnsi="Arabic Typesetting" w:cs="Arabic Typesetting" w:hint="cs"/>
                <w:sz w:val="30"/>
                <w:szCs w:val="30"/>
                <w:rtl/>
                <w:lang w:eastAsia="zh-CN"/>
              </w:rPr>
              <w:t> </w:t>
            </w:r>
            <w:r w:rsidRPr="008954A8">
              <w:rPr>
                <w:rFonts w:ascii="Arabic Typesetting" w:hAnsi="Arabic Typesetting" w:cs="Arabic Typesetting"/>
                <w:sz w:val="30"/>
                <w:szCs w:val="30"/>
                <w:rtl/>
                <w:lang w:eastAsia="zh-CN"/>
              </w:rPr>
              <w:t>المعيّنة</w:t>
            </w:r>
            <w:r w:rsidRPr="008954A8">
              <w:rPr>
                <w:rFonts w:ascii="Arabic Typesetting" w:hAnsi="Arabic Typesetting" w:cs="Arabic Typesetting"/>
                <w:sz w:val="30"/>
                <w:szCs w:val="30"/>
                <w:lang w:eastAsia="zh-CN"/>
              </w:rPr>
              <w:t>.</w:t>
            </w:r>
          </w:p>
        </w:tc>
        <w:tc>
          <w:tcPr>
            <w:tcW w:w="4820" w:type="dxa"/>
            <w:tcBorders>
              <w:top w:val="single" w:sz="4" w:space="0" w:color="auto"/>
            </w:tcBorders>
            <w:shd w:val="clear" w:color="auto" w:fill="auto"/>
            <w:tcMar>
              <w:top w:w="113" w:type="dxa"/>
              <w:bottom w:w="85" w:type="dxa"/>
            </w:tcMar>
          </w:tcPr>
          <w:p w:rsidR="00AA5376" w:rsidRPr="008954A8" w:rsidRDefault="00AA5376" w:rsidP="002C3C33">
            <w:pPr>
              <w:adjustRightInd w:val="0"/>
              <w:snapToGrid w:val="0"/>
              <w:spacing w:before="60" w:after="60" w:line="300" w:lineRule="exact"/>
              <w:jc w:val="both"/>
              <w:rPr>
                <w:rFonts w:ascii="Arabic Typesetting" w:hAnsi="Arabic Typesetting" w:cs="Arabic Typesetting"/>
                <w:sz w:val="30"/>
                <w:szCs w:val="30"/>
                <w:rtl/>
              </w:rPr>
            </w:pPr>
            <w:r w:rsidRPr="008954A8">
              <w:rPr>
                <w:rFonts w:ascii="Arabic Typesetting" w:hAnsi="Arabic Typesetting" w:cs="Arabic Typesetting"/>
                <w:sz w:val="30"/>
                <w:szCs w:val="30"/>
                <w:rtl/>
              </w:rPr>
              <w:t>تعزيز الكفاءة والفعالية في جميع جوانب إدارة النظام، وتشجيع أفضل الممارسات والتقارب بين المكاتب المعنية</w:t>
            </w:r>
            <w:r w:rsidRPr="008954A8">
              <w:rPr>
                <w:rFonts w:ascii="Arabic Typesetting" w:hAnsi="Arabic Typesetting" w:cs="Arabic Typesetting" w:hint="cs"/>
                <w:sz w:val="30"/>
                <w:szCs w:val="30"/>
                <w:rtl/>
              </w:rPr>
              <w:t>؛</w:t>
            </w:r>
            <w:r w:rsidRPr="008954A8">
              <w:rPr>
                <w:rFonts w:ascii="Arabic Typesetting" w:hAnsi="Arabic Typesetting" w:cs="Arabic Typesetting"/>
                <w:sz w:val="30"/>
                <w:szCs w:val="30"/>
                <w:rtl/>
              </w:rPr>
              <w:t xml:space="preserve"> وتطوير حلول تكنولوجيا المعلومات لمساعدة المستخدمين والفاحصين في المكاتب والمكتب</w:t>
            </w:r>
            <w:r w:rsidRPr="008954A8">
              <w:rPr>
                <w:rFonts w:ascii="Arabic Typesetting" w:hAnsi="Arabic Typesetting" w:cs="Arabic Typesetting" w:hint="cs"/>
                <w:sz w:val="30"/>
                <w:szCs w:val="30"/>
                <w:rtl/>
              </w:rPr>
              <w:t> </w:t>
            </w:r>
            <w:r w:rsidRPr="008954A8">
              <w:rPr>
                <w:rFonts w:ascii="Arabic Typesetting" w:hAnsi="Arabic Typesetting" w:cs="Arabic Typesetting"/>
                <w:sz w:val="30"/>
                <w:szCs w:val="30"/>
                <w:rtl/>
              </w:rPr>
              <w:t>الدولي</w:t>
            </w:r>
            <w:r w:rsidRPr="008954A8">
              <w:rPr>
                <w:rFonts w:ascii="Arabic Typesetting" w:hAnsi="Arabic Typesetting" w:cs="Arabic Typesetting"/>
                <w:sz w:val="30"/>
                <w:szCs w:val="30"/>
              </w:rPr>
              <w:t>.</w:t>
            </w:r>
          </w:p>
        </w:tc>
      </w:tr>
    </w:tbl>
    <w:p w:rsidR="00AA5376" w:rsidRPr="008954A8" w:rsidRDefault="00AA5376" w:rsidP="002C3C33">
      <w:pPr>
        <w:tabs>
          <w:tab w:val="left" w:pos="567"/>
          <w:tab w:val="left" w:pos="1985"/>
        </w:tabs>
        <w:adjustRightInd w:val="0"/>
        <w:snapToGrid w:val="0"/>
        <w:spacing w:after="240" w:line="360" w:lineRule="exact"/>
        <w:jc w:val="both"/>
        <w:rPr>
          <w:rFonts w:ascii="Arabic Typesetting" w:hAnsi="Arabic Typesetting" w:cs="Arabic Typesetting"/>
          <w:bCs/>
          <w:szCs w:val="34"/>
        </w:rPr>
      </w:pPr>
    </w:p>
    <w:p w:rsidR="00AA5376" w:rsidRPr="004F74B4" w:rsidRDefault="00AA5376" w:rsidP="002C3C33">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4F74B4">
        <w:rPr>
          <w:rFonts w:ascii="Arabic Typesetting" w:hAnsi="Arabic Typesetting" w:cs="Arabic Typesetting"/>
          <w:noProof/>
          <w:sz w:val="38"/>
          <w:szCs w:val="38"/>
          <w:rtl/>
        </w:rPr>
        <w:t>إطار النتائج</w:t>
      </w:r>
    </w:p>
    <w:tbl>
      <w:tblPr>
        <w:bidiVisual/>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96"/>
        <w:gridCol w:w="2732"/>
        <w:gridCol w:w="2060"/>
        <w:gridCol w:w="2019"/>
      </w:tblGrid>
      <w:tr w:rsidR="00AA5376" w:rsidRPr="008954A8" w:rsidTr="00C436DF">
        <w:trPr>
          <w:trHeight w:val="426"/>
          <w:tblHeader/>
        </w:trPr>
        <w:tc>
          <w:tcPr>
            <w:tcW w:w="1380" w:type="pct"/>
            <w:tcBorders>
              <w:top w:val="single" w:sz="4" w:space="0" w:color="auto"/>
              <w:bottom w:val="single" w:sz="4" w:space="0" w:color="auto"/>
            </w:tcBorders>
            <w:shd w:val="clear" w:color="auto" w:fill="C6D9F1"/>
            <w:tcMar>
              <w:top w:w="113" w:type="dxa"/>
            </w:tcMar>
            <w:vAlign w:val="center"/>
          </w:tcPr>
          <w:p w:rsidR="00AA5376" w:rsidRPr="008954A8" w:rsidRDefault="00AA5376" w:rsidP="002C3C33">
            <w:pPr>
              <w:keepNext/>
              <w:adjustRightInd w:val="0"/>
              <w:snapToGrid w:val="0"/>
              <w:spacing w:beforeLines="60" w:before="144" w:afterLines="60" w:after="144" w:line="300" w:lineRule="exact"/>
              <w:jc w:val="center"/>
              <w:rPr>
                <w:rFonts w:ascii="Arabic Typesetting" w:hAnsi="Arabic Typesetting" w:cs="Arabic Typesetting"/>
                <w:b/>
                <w:bCs/>
                <w:sz w:val="30"/>
                <w:szCs w:val="30"/>
                <w:rtl/>
              </w:rPr>
            </w:pPr>
            <w:r w:rsidRPr="008954A8">
              <w:rPr>
                <w:rFonts w:ascii="Arabic Typesetting" w:hAnsi="Arabic Typesetting" w:cs="Arabic Typesetting"/>
                <w:b/>
                <w:bCs/>
                <w:sz w:val="30"/>
                <w:szCs w:val="30"/>
                <w:rtl/>
              </w:rPr>
              <w:t>النتائج المرتقبة</w:t>
            </w:r>
          </w:p>
        </w:tc>
        <w:tc>
          <w:tcPr>
            <w:tcW w:w="1452" w:type="pct"/>
            <w:tcBorders>
              <w:top w:val="single" w:sz="4" w:space="0" w:color="auto"/>
              <w:bottom w:val="single" w:sz="4" w:space="0" w:color="auto"/>
            </w:tcBorders>
            <w:shd w:val="clear" w:color="auto" w:fill="C6D9F1"/>
            <w:tcMar>
              <w:top w:w="113" w:type="dxa"/>
            </w:tcMar>
            <w:vAlign w:val="center"/>
          </w:tcPr>
          <w:p w:rsidR="00AA5376" w:rsidRPr="008954A8" w:rsidRDefault="00AA5376" w:rsidP="002C3C33">
            <w:pPr>
              <w:keepNext/>
              <w:adjustRightInd w:val="0"/>
              <w:snapToGrid w:val="0"/>
              <w:spacing w:beforeLines="60" w:before="144" w:afterLines="60" w:after="144" w:line="300" w:lineRule="exact"/>
              <w:jc w:val="center"/>
              <w:rPr>
                <w:rFonts w:ascii="Arabic Typesetting" w:hAnsi="Arabic Typesetting" w:cs="Arabic Typesetting"/>
                <w:bCs/>
                <w:sz w:val="30"/>
                <w:szCs w:val="30"/>
              </w:rPr>
            </w:pPr>
            <w:r w:rsidRPr="008954A8">
              <w:rPr>
                <w:rFonts w:ascii="Arabic Typesetting" w:hAnsi="Arabic Typesetting" w:cs="Arabic Typesetting"/>
                <w:bCs/>
                <w:sz w:val="30"/>
                <w:szCs w:val="30"/>
                <w:rtl/>
              </w:rPr>
              <w:t>مؤشرات الأداء</w:t>
            </w:r>
          </w:p>
        </w:tc>
        <w:tc>
          <w:tcPr>
            <w:tcW w:w="1095" w:type="pct"/>
            <w:tcBorders>
              <w:top w:val="single" w:sz="4" w:space="0" w:color="auto"/>
              <w:bottom w:val="single" w:sz="4" w:space="0" w:color="auto"/>
            </w:tcBorders>
            <w:shd w:val="clear" w:color="auto" w:fill="C6D9F1"/>
            <w:tcMar>
              <w:top w:w="113" w:type="dxa"/>
            </w:tcMar>
            <w:vAlign w:val="center"/>
          </w:tcPr>
          <w:p w:rsidR="00AA5376" w:rsidRPr="008954A8" w:rsidRDefault="00AA5376" w:rsidP="002C3C33">
            <w:pPr>
              <w:keepNext/>
              <w:adjustRightInd w:val="0"/>
              <w:snapToGrid w:val="0"/>
              <w:spacing w:beforeLines="60" w:before="144" w:afterLines="60" w:after="144" w:line="300" w:lineRule="exact"/>
              <w:jc w:val="center"/>
              <w:rPr>
                <w:rFonts w:ascii="Arabic Typesetting" w:hAnsi="Arabic Typesetting" w:cs="Arabic Typesetting"/>
                <w:sz w:val="30"/>
                <w:szCs w:val="30"/>
              </w:rPr>
            </w:pPr>
            <w:r w:rsidRPr="008954A8">
              <w:rPr>
                <w:rFonts w:ascii="Arabic Typesetting" w:hAnsi="Arabic Typesetting" w:cs="Arabic Typesetting"/>
                <w:b/>
                <w:bCs/>
                <w:sz w:val="30"/>
                <w:szCs w:val="30"/>
                <w:rtl/>
              </w:rPr>
              <w:t>أسس المقارنة</w:t>
            </w:r>
          </w:p>
        </w:tc>
        <w:tc>
          <w:tcPr>
            <w:tcW w:w="1073" w:type="pct"/>
            <w:tcBorders>
              <w:top w:val="single" w:sz="4" w:space="0" w:color="auto"/>
              <w:bottom w:val="single" w:sz="4" w:space="0" w:color="auto"/>
            </w:tcBorders>
            <w:shd w:val="clear" w:color="auto" w:fill="C6D9F1"/>
            <w:tcMar>
              <w:top w:w="113" w:type="dxa"/>
            </w:tcMar>
            <w:vAlign w:val="center"/>
          </w:tcPr>
          <w:p w:rsidR="00AA5376" w:rsidRPr="008954A8" w:rsidRDefault="00AA5376" w:rsidP="002C3C33">
            <w:pPr>
              <w:keepNext/>
              <w:tabs>
                <w:tab w:val="left" w:pos="1543"/>
                <w:tab w:val="left" w:pos="1623"/>
                <w:tab w:val="left" w:pos="1733"/>
              </w:tabs>
              <w:adjustRightInd w:val="0"/>
              <w:snapToGrid w:val="0"/>
              <w:spacing w:beforeLines="60" w:before="144" w:afterLines="60" w:after="144"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الأهداف</w:t>
            </w:r>
          </w:p>
        </w:tc>
      </w:tr>
      <w:tr w:rsidR="00AA5376" w:rsidRPr="008954A8" w:rsidTr="00C436DF">
        <w:trPr>
          <w:trHeight w:val="232"/>
        </w:trPr>
        <w:tc>
          <w:tcPr>
            <w:tcW w:w="1380" w:type="pct"/>
            <w:vMerge w:val="restart"/>
            <w:tcBorders>
              <w:top w:val="single" w:sz="4" w:space="0" w:color="auto"/>
            </w:tcBorders>
            <w:shd w:val="clear" w:color="auto" w:fill="auto"/>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ه 4.2</w:t>
            </w:r>
            <w:r w:rsidRPr="008954A8">
              <w:rPr>
                <w:rFonts w:ascii="Arabic Typesetting" w:hAnsi="Arabic Typesetting" w:cs="Arabic Typesetting"/>
                <w:sz w:val="30"/>
                <w:szCs w:val="30"/>
                <w:rtl/>
              </w:rPr>
              <w:t xml:space="preserve"> </w:t>
            </w:r>
            <w:r w:rsidRPr="005D0CAA">
              <w:rPr>
                <w:rFonts w:ascii="Arabic Typesetting" w:hAnsi="Arabic Typesetting" w:cs="Arabic Typesetting"/>
                <w:sz w:val="30"/>
                <w:szCs w:val="30"/>
                <w:rtl/>
              </w:rPr>
              <w:t>استخدام نظ</w:t>
            </w:r>
            <w:r>
              <w:rPr>
                <w:rFonts w:ascii="Arabic Typesetting" w:hAnsi="Arabic Typesetting" w:cs="Arabic Typesetting"/>
                <w:sz w:val="30"/>
                <w:szCs w:val="30"/>
                <w:rtl/>
              </w:rPr>
              <w:t>ام لاهاي على نطاق أوسع و</w:t>
            </w:r>
            <w:r>
              <w:rPr>
                <w:rFonts w:ascii="Arabic Typesetting" w:hAnsi="Arabic Typesetting" w:cs="Arabic Typesetting" w:hint="cs"/>
                <w:sz w:val="30"/>
                <w:szCs w:val="30"/>
                <w:rtl/>
              </w:rPr>
              <w:t>بفعالية أكبر</w:t>
            </w:r>
            <w:r w:rsidRPr="005D0CAA">
              <w:rPr>
                <w:rFonts w:ascii="Arabic Typesetting" w:hAnsi="Arabic Typesetting" w:cs="Arabic Typesetting"/>
                <w:sz w:val="30"/>
                <w:szCs w:val="30"/>
                <w:rtl/>
              </w:rPr>
              <w:t>، بما في ذلك من قبل البلدان النامية والبلدان الأقل نموا</w:t>
            </w:r>
          </w:p>
        </w:tc>
        <w:tc>
          <w:tcPr>
            <w:tcW w:w="1452" w:type="pct"/>
            <w:tcBorders>
              <w:top w:val="single" w:sz="4" w:space="0" w:color="auto"/>
            </w:tcBorders>
            <w:shd w:val="clear" w:color="auto" w:fill="auto"/>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مجموع أعضاء وثيقة جنيف (1999)</w:t>
            </w:r>
          </w:p>
        </w:tc>
        <w:tc>
          <w:tcPr>
            <w:tcW w:w="1095" w:type="pct"/>
            <w:tcBorders>
              <w:top w:val="single" w:sz="4" w:space="0" w:color="auto"/>
            </w:tcBorders>
            <w:shd w:val="clear" w:color="auto" w:fill="FFFFFF"/>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sz w:val="30"/>
                <w:szCs w:val="30"/>
                <w:lang w:bidi="th-TH"/>
              </w:rPr>
            </w:pPr>
            <w:r w:rsidRPr="008954A8">
              <w:rPr>
                <w:rFonts w:ascii="Arabic Typesetting" w:hAnsi="Arabic Typesetting" w:cs="Arabic Typesetting"/>
                <w:sz w:val="30"/>
                <w:szCs w:val="30"/>
                <w:rtl/>
              </w:rPr>
              <w:t>4</w:t>
            </w:r>
            <w:r>
              <w:rPr>
                <w:rFonts w:ascii="Arabic Typesetting" w:hAnsi="Arabic Typesetting" w:cs="Arabic Typesetting" w:hint="cs"/>
                <w:sz w:val="30"/>
                <w:szCs w:val="30"/>
                <w:rtl/>
              </w:rPr>
              <w:t>9</w:t>
            </w:r>
            <w:r w:rsidRPr="008954A8">
              <w:rPr>
                <w:rFonts w:ascii="Arabic Typesetting" w:hAnsi="Arabic Typesetting" w:cs="Arabic Typesetting"/>
                <w:sz w:val="30"/>
                <w:szCs w:val="30"/>
                <w:rtl/>
              </w:rPr>
              <w:t xml:space="preserve"> طرف</w:t>
            </w:r>
            <w:r w:rsidRPr="008954A8">
              <w:rPr>
                <w:rFonts w:ascii="Arabic Typesetting" w:hAnsi="Arabic Typesetting" w:cs="Arabic Typesetting" w:hint="cs"/>
                <w:sz w:val="30"/>
                <w:szCs w:val="30"/>
                <w:rtl/>
              </w:rPr>
              <w:t>اً</w:t>
            </w:r>
            <w:r w:rsidRPr="008954A8">
              <w:rPr>
                <w:rFonts w:ascii="Arabic Typesetting" w:hAnsi="Arabic Typesetting" w:cs="Arabic Typesetting"/>
                <w:sz w:val="30"/>
                <w:szCs w:val="30"/>
                <w:rtl/>
              </w:rPr>
              <w:t xml:space="preserve"> متعاقد</w:t>
            </w:r>
            <w:r w:rsidRPr="008954A8">
              <w:rPr>
                <w:rFonts w:ascii="Arabic Typesetting" w:hAnsi="Arabic Typesetting" w:cs="Arabic Typesetting" w:hint="cs"/>
                <w:sz w:val="30"/>
                <w:szCs w:val="30"/>
                <w:rtl/>
              </w:rPr>
              <w:t>اً</w:t>
            </w:r>
            <w:r>
              <w:rPr>
                <w:rFonts w:ascii="Arabic Typesetting" w:hAnsi="Arabic Typesetting" w:cs="Arabic Typesetting" w:hint="cs"/>
                <w:sz w:val="30"/>
                <w:szCs w:val="30"/>
                <w:rtl/>
              </w:rPr>
              <w:t xml:space="preserve"> في 13 فبراير 2015</w:t>
            </w:r>
          </w:p>
        </w:tc>
        <w:tc>
          <w:tcPr>
            <w:tcW w:w="1073" w:type="pct"/>
            <w:tcBorders>
              <w:top w:val="single" w:sz="4" w:space="0" w:color="auto"/>
            </w:tcBorders>
            <w:shd w:val="clear" w:color="auto" w:fill="auto"/>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60</w:t>
            </w:r>
            <w:r w:rsidRPr="008954A8">
              <w:rPr>
                <w:rFonts w:ascii="Arabic Typesetting" w:hAnsi="Arabic Typesetting" w:cs="Arabic Typesetting"/>
                <w:b/>
                <w:sz w:val="30"/>
                <w:szCs w:val="30"/>
                <w:rtl/>
              </w:rPr>
              <w:t xml:space="preserve"> طرف</w:t>
            </w:r>
            <w:r w:rsidRPr="008954A8">
              <w:rPr>
                <w:rFonts w:ascii="Arabic Typesetting" w:hAnsi="Arabic Typesetting" w:cs="Arabic Typesetting" w:hint="cs"/>
                <w:b/>
                <w:sz w:val="30"/>
                <w:szCs w:val="30"/>
                <w:rtl/>
              </w:rPr>
              <w:t>اً</w:t>
            </w:r>
            <w:r w:rsidRPr="008954A8">
              <w:rPr>
                <w:rFonts w:ascii="Arabic Typesetting" w:hAnsi="Arabic Typesetting" w:cs="Arabic Typesetting"/>
                <w:b/>
                <w:sz w:val="30"/>
                <w:szCs w:val="30"/>
                <w:rtl/>
              </w:rPr>
              <w:t xml:space="preserve"> متعاقد</w:t>
            </w:r>
            <w:r w:rsidRPr="008954A8">
              <w:rPr>
                <w:rFonts w:ascii="Arabic Typesetting" w:hAnsi="Arabic Typesetting" w:cs="Arabic Typesetting" w:hint="cs"/>
                <w:b/>
                <w:sz w:val="30"/>
                <w:szCs w:val="30"/>
                <w:rtl/>
              </w:rPr>
              <w:t>اً</w:t>
            </w:r>
          </w:p>
        </w:tc>
      </w:tr>
      <w:tr w:rsidR="00AA5376" w:rsidRPr="008954A8" w:rsidTr="00C436DF">
        <w:trPr>
          <w:trHeight w:val="713"/>
        </w:trPr>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حصة المكاتب المعنية التي ت</w:t>
            </w:r>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قد</w:t>
            </w:r>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م معلومات عن نظام لاهاي</w:t>
            </w:r>
            <w:r>
              <w:rPr>
                <w:rFonts w:ascii="Arabic Typesetting" w:hAnsi="Arabic Typesetting" w:cs="Arabic Typesetting" w:hint="cs"/>
                <w:sz w:val="30"/>
                <w:szCs w:val="30"/>
                <w:rtl/>
              </w:rPr>
              <w:t xml:space="preserve"> إلى المستخدمين</w:t>
            </w:r>
            <w:r>
              <w:rPr>
                <w:rFonts w:ascii="Arabic Typesetting" w:hAnsi="Arabic Typesetting" w:cs="Arabic Typesetting"/>
                <w:sz w:val="30"/>
                <w:szCs w:val="30"/>
              </w:rPr>
              <w:t>.</w:t>
            </w:r>
          </w:p>
        </w:tc>
        <w:tc>
          <w:tcPr>
            <w:tcW w:w="1095" w:type="pct"/>
            <w:shd w:val="clear" w:color="auto" w:fill="FFFFFF"/>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كان </w:t>
            </w:r>
            <w:r w:rsidRPr="006D296F">
              <w:rPr>
                <w:rFonts w:ascii="Arabic Typesetting" w:hAnsi="Arabic Typesetting" w:cs="Arabic Typesetting"/>
                <w:sz w:val="30"/>
                <w:szCs w:val="30"/>
                <w:rtl/>
              </w:rPr>
              <w:t>38 مكتب</w:t>
            </w:r>
            <w:r>
              <w:rPr>
                <w:rFonts w:ascii="Arabic Typesetting" w:hAnsi="Arabic Typesetting" w:cs="Arabic Typesetting" w:hint="cs"/>
                <w:sz w:val="30"/>
                <w:szCs w:val="30"/>
                <w:rtl/>
              </w:rPr>
              <w:t>اً</w:t>
            </w:r>
            <w:r w:rsidRPr="006D296F">
              <w:rPr>
                <w:rFonts w:ascii="Arabic Typesetting" w:hAnsi="Arabic Typesetting" w:cs="Arabic Typesetting"/>
                <w:sz w:val="30"/>
                <w:szCs w:val="30"/>
                <w:rtl/>
              </w:rPr>
              <w:t xml:space="preserve"> وطني</w:t>
            </w:r>
            <w:r>
              <w:rPr>
                <w:rFonts w:ascii="Arabic Typesetting" w:hAnsi="Arabic Typesetting" w:cs="Arabic Typesetting" w:hint="cs"/>
                <w:sz w:val="30"/>
                <w:szCs w:val="30"/>
                <w:rtl/>
              </w:rPr>
              <w:t>اً</w:t>
            </w:r>
            <w:r w:rsidRPr="006D296F">
              <w:rPr>
                <w:rFonts w:ascii="Arabic Typesetting" w:hAnsi="Arabic Typesetting" w:cs="Arabic Typesetting"/>
                <w:sz w:val="30"/>
                <w:szCs w:val="30"/>
                <w:rtl/>
              </w:rPr>
              <w:t xml:space="preserve"> أو إقليمي</w:t>
            </w:r>
            <w:r>
              <w:rPr>
                <w:rFonts w:ascii="Arabic Typesetting" w:hAnsi="Arabic Typesetting" w:cs="Arabic Typesetting" w:hint="cs"/>
                <w:sz w:val="30"/>
                <w:szCs w:val="30"/>
                <w:rtl/>
              </w:rPr>
              <w:t>اً</w:t>
            </w:r>
            <w:r w:rsidRPr="006D296F">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يُقدِّم </w:t>
            </w:r>
            <w:r w:rsidRPr="006D296F">
              <w:rPr>
                <w:rFonts w:ascii="Arabic Typesetting" w:hAnsi="Arabic Typesetting" w:cs="Arabic Typesetting"/>
                <w:sz w:val="30"/>
                <w:szCs w:val="30"/>
                <w:rtl/>
              </w:rPr>
              <w:t>معلومات عن نظام لاهاي. عشرة مكاتب ليس لها موقع على شبكة الإنترنت (نهاية 2014)</w:t>
            </w:r>
          </w:p>
        </w:tc>
        <w:tc>
          <w:tcPr>
            <w:tcW w:w="1073" w:type="pct"/>
            <w:shd w:val="clear" w:color="auto" w:fill="auto"/>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8954A8">
              <w:rPr>
                <w:rFonts w:ascii="Arabic Typesetting" w:hAnsi="Arabic Typesetting" w:cs="Arabic Typesetting"/>
                <w:b/>
                <w:sz w:val="30"/>
                <w:szCs w:val="30"/>
                <w:rtl/>
              </w:rPr>
              <w:t>زيادة حصة</w:t>
            </w:r>
            <w:r>
              <w:rPr>
                <w:rFonts w:ascii="Arabic Typesetting" w:hAnsi="Arabic Typesetting" w:cs="Arabic Typesetting" w:hint="cs"/>
                <w:b/>
                <w:sz w:val="30"/>
                <w:szCs w:val="30"/>
                <w:rtl/>
              </w:rPr>
              <w:t xml:space="preserve"> المكاتب التي تُقدِّم معلومات عن نظام لاهاي </w:t>
            </w:r>
          </w:p>
        </w:tc>
      </w:tr>
      <w:tr w:rsidR="00AA5376" w:rsidRPr="008954A8" w:rsidTr="00BE48BA">
        <w:trPr>
          <w:trHeight w:val="1090"/>
        </w:trPr>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 xml:space="preserve">إيداعات </w:t>
            </w:r>
            <w:r>
              <w:rPr>
                <w:rFonts w:ascii="Arabic Typesetting" w:hAnsi="Arabic Typesetting" w:cs="Arabic Typesetting"/>
                <w:sz w:val="30"/>
                <w:szCs w:val="30"/>
                <w:rtl/>
              </w:rPr>
              <w:t>وتجديدات</w:t>
            </w:r>
            <w:r>
              <w:rPr>
                <w:rFonts w:ascii="Arabic Typesetting" w:hAnsi="Arabic Typesetting" w:cs="Arabic Typesetting" w:hint="cs"/>
                <w:sz w:val="30"/>
                <w:szCs w:val="30"/>
                <w:rtl/>
              </w:rPr>
              <w:t xml:space="preserve"> في</w:t>
            </w:r>
            <w:r w:rsidRPr="008954A8">
              <w:rPr>
                <w:rFonts w:ascii="Arabic Typesetting" w:hAnsi="Arabic Typesetting" w:cs="Arabic Typesetting"/>
                <w:sz w:val="30"/>
                <w:szCs w:val="30"/>
                <w:rtl/>
              </w:rPr>
              <w:t xml:space="preserve"> نظام لاهاي</w:t>
            </w:r>
          </w:p>
        </w:tc>
        <w:tc>
          <w:tcPr>
            <w:tcW w:w="1095" w:type="pct"/>
            <w:shd w:val="clear" w:color="auto" w:fill="FFFFFF"/>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lang w:bidi="th-TH"/>
              </w:rPr>
            </w:pPr>
            <w:r w:rsidRPr="008954A8">
              <w:rPr>
                <w:rFonts w:ascii="Arabic Typesetting" w:hAnsi="Arabic Typesetting" w:cs="Arabic Typesetting"/>
                <w:sz w:val="30"/>
                <w:szCs w:val="30"/>
                <w:rtl/>
              </w:rPr>
              <w:t xml:space="preserve">الطلبات: </w:t>
            </w:r>
            <w:r>
              <w:rPr>
                <w:rFonts w:ascii="Arabic Typesetting" w:hAnsi="Arabic Typesetting" w:cs="Arabic Typesetting" w:hint="cs"/>
                <w:sz w:val="30"/>
                <w:szCs w:val="30"/>
                <w:rtl/>
              </w:rPr>
              <w:t>92</w:t>
            </w:r>
            <w:r w:rsidRPr="008954A8">
              <w:rPr>
                <w:rFonts w:ascii="Arabic Typesetting" w:hAnsi="Arabic Typesetting" w:cs="Arabic Typesetting"/>
                <w:sz w:val="30"/>
                <w:szCs w:val="30"/>
                <w:rtl/>
              </w:rPr>
              <w:t>4 2</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 xml:space="preserve">التصاميم الواردة: </w:t>
            </w:r>
            <w:r>
              <w:rPr>
                <w:rFonts w:ascii="Arabic Typesetting" w:hAnsi="Arabic Typesetting" w:cs="Arabic Typesetting" w:hint="cs"/>
                <w:sz w:val="30"/>
                <w:szCs w:val="30"/>
                <w:rtl/>
              </w:rPr>
              <w:t>441</w:t>
            </w:r>
            <w:r w:rsidRPr="008954A8">
              <w:rPr>
                <w:rFonts w:ascii="Arabic Typesetting" w:hAnsi="Arabic Typesetting" w:cs="Arabic Typesetting"/>
                <w:sz w:val="30"/>
                <w:szCs w:val="30"/>
                <w:rtl/>
              </w:rPr>
              <w:t xml:space="preserve"> 1</w:t>
            </w:r>
            <w:r>
              <w:rPr>
                <w:rFonts w:ascii="Arabic Typesetting" w:hAnsi="Arabic Typesetting" w:cs="Arabic Typesetting" w:hint="cs"/>
                <w:sz w:val="30"/>
                <w:szCs w:val="30"/>
                <w:rtl/>
              </w:rPr>
              <w:t>4</w:t>
            </w:r>
            <w:r w:rsidRPr="008954A8">
              <w:rPr>
                <w:rFonts w:ascii="Arabic Typesetting" w:hAnsi="Arabic Typesetting" w:cs="Arabic Typesetting"/>
                <w:sz w:val="30"/>
                <w:szCs w:val="30"/>
                <w:lang w:bidi="th-TH"/>
              </w:rPr>
              <w:t xml:space="preserve"> </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 xml:space="preserve">التجديدات: </w:t>
            </w:r>
            <w:r>
              <w:rPr>
                <w:rFonts w:ascii="Arabic Typesetting" w:hAnsi="Arabic Typesetting" w:cs="Arabic Typesetting" w:hint="cs"/>
                <w:sz w:val="30"/>
                <w:szCs w:val="30"/>
                <w:rtl/>
              </w:rPr>
              <w:t>73</w:t>
            </w:r>
            <w:r w:rsidRPr="008954A8">
              <w:rPr>
                <w:rFonts w:ascii="Arabic Typesetting" w:hAnsi="Arabic Typesetting" w:cs="Arabic Typesetting"/>
                <w:sz w:val="30"/>
                <w:szCs w:val="30"/>
                <w:rtl/>
              </w:rPr>
              <w:t xml:space="preserve">0 </w:t>
            </w:r>
            <w:r>
              <w:rPr>
                <w:rFonts w:ascii="Arabic Typesetting" w:hAnsi="Arabic Typesetting" w:cs="Arabic Typesetting" w:hint="cs"/>
                <w:sz w:val="30"/>
                <w:szCs w:val="30"/>
                <w:rtl/>
              </w:rPr>
              <w:t>2</w:t>
            </w:r>
            <w:r w:rsidRPr="008954A8">
              <w:rPr>
                <w:rFonts w:ascii="Arabic Typesetting" w:hAnsi="Arabic Typesetting" w:cs="Arabic Typesetting"/>
                <w:sz w:val="30"/>
                <w:szCs w:val="30"/>
                <w:rtl/>
              </w:rPr>
              <w:t xml:space="preserve"> (201</w:t>
            </w:r>
            <w:r>
              <w:rPr>
                <w:rFonts w:ascii="Arabic Typesetting" w:hAnsi="Arabic Typesetting" w:cs="Arabic Typesetting" w:hint="cs"/>
                <w:sz w:val="30"/>
                <w:szCs w:val="30"/>
                <w:rtl/>
              </w:rPr>
              <w:t>4</w:t>
            </w:r>
            <w:r w:rsidRPr="008954A8">
              <w:rPr>
                <w:rFonts w:ascii="Arabic Typesetting" w:hAnsi="Arabic Typesetting" w:cs="Arabic Typesetting"/>
                <w:sz w:val="30"/>
                <w:szCs w:val="30"/>
                <w:lang w:bidi="th-TH"/>
              </w:rPr>
              <w:t>(</w:t>
            </w:r>
          </w:p>
        </w:tc>
        <w:tc>
          <w:tcPr>
            <w:tcW w:w="1073" w:type="pct"/>
            <w:shd w:val="clear" w:color="auto" w:fill="auto"/>
            <w:tcMar>
              <w:top w:w="113" w:type="dxa"/>
            </w:tcMar>
          </w:tcPr>
          <w:p w:rsidR="00AA5376" w:rsidRPr="008954A8" w:rsidRDefault="00AA5376" w:rsidP="002C3C33">
            <w:pPr>
              <w:keepNext/>
              <w:keepLines/>
              <w:adjustRightInd w:val="0"/>
              <w:snapToGrid w:val="0"/>
              <w:spacing w:beforeLines="60" w:before="144"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u w:val="single"/>
                <w:rtl/>
              </w:rPr>
              <w:t>201</w:t>
            </w:r>
            <w:r>
              <w:rPr>
                <w:rFonts w:ascii="Arabic Typesetting" w:hAnsi="Arabic Typesetting" w:cs="Arabic Typesetting" w:hint="cs"/>
                <w:b/>
                <w:sz w:val="30"/>
                <w:szCs w:val="30"/>
                <w:u w:val="single"/>
                <w:rtl/>
              </w:rPr>
              <w:t>6</w:t>
            </w:r>
            <w:r w:rsidRPr="008954A8">
              <w:rPr>
                <w:rFonts w:ascii="Arabic Typesetting" w:hAnsi="Arabic Typesetting" w:cs="Arabic Typesetting"/>
                <w:b/>
                <w:sz w:val="30"/>
                <w:szCs w:val="30"/>
                <w:u w:val="single"/>
                <w:rtl/>
              </w:rPr>
              <w:t>:</w:t>
            </w:r>
            <w:r>
              <w:rPr>
                <w:rFonts w:ascii="Arabic Typesetting" w:hAnsi="Arabic Typesetting" w:cs="Arabic Typesetting" w:hint="cs"/>
                <w:b/>
                <w:sz w:val="30"/>
                <w:szCs w:val="30"/>
                <w:u w:val="single"/>
                <w:rtl/>
              </w:rPr>
              <w:br/>
            </w:r>
            <w:r w:rsidRPr="008954A8">
              <w:rPr>
                <w:rFonts w:ascii="Arabic Typesetting" w:hAnsi="Arabic Typesetting" w:cs="Arabic Typesetting"/>
                <w:b/>
                <w:sz w:val="30"/>
                <w:szCs w:val="30"/>
                <w:rtl/>
              </w:rPr>
              <w:t xml:space="preserve">الطلبات: </w:t>
            </w:r>
            <w:r>
              <w:rPr>
                <w:rFonts w:ascii="Arabic Typesetting" w:hAnsi="Arabic Typesetting" w:cs="Arabic Typesetting" w:hint="cs"/>
                <w:sz w:val="30"/>
                <w:szCs w:val="30"/>
                <w:rtl/>
              </w:rPr>
              <w:t>940</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4</w:t>
            </w:r>
            <w:r>
              <w:rPr>
                <w:rFonts w:ascii="Arabic Typesetting" w:hAnsi="Arabic Typesetting" w:cs="Arabic Typesetting"/>
                <w:sz w:val="30"/>
                <w:szCs w:val="30"/>
                <w:rtl/>
              </w:rPr>
              <w:br/>
            </w:r>
            <w:r w:rsidRPr="008954A8">
              <w:rPr>
                <w:rFonts w:ascii="Arabic Typesetting" w:hAnsi="Arabic Typesetting" w:cs="Arabic Typesetting"/>
                <w:b/>
                <w:sz w:val="30"/>
                <w:szCs w:val="30"/>
                <w:rtl/>
              </w:rPr>
              <w:t xml:space="preserve">التصاميم الواردة: </w:t>
            </w:r>
            <w:r>
              <w:rPr>
                <w:rFonts w:ascii="Arabic Typesetting" w:hAnsi="Arabic Typesetting" w:cs="Arabic Typesetting" w:hint="cs"/>
                <w:sz w:val="30"/>
                <w:szCs w:val="30"/>
                <w:rtl/>
              </w:rPr>
              <w:t>730</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22</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 xml:space="preserve">التجديدات: </w:t>
            </w:r>
            <w:r>
              <w:rPr>
                <w:rFonts w:ascii="Arabic Typesetting" w:hAnsi="Arabic Typesetting" w:cs="Arabic Typesetting" w:hint="cs"/>
                <w:sz w:val="30"/>
                <w:szCs w:val="30"/>
                <w:rtl/>
              </w:rPr>
              <w:t>830</w:t>
            </w:r>
            <w:r w:rsidRPr="008954A8">
              <w:rPr>
                <w:rFonts w:ascii="Arabic Typesetting" w:hAnsi="Arabic Typesetting" w:cs="Arabic Typesetting"/>
                <w:sz w:val="30"/>
                <w:szCs w:val="30"/>
                <w:rtl/>
              </w:rPr>
              <w:t xml:space="preserve"> 2</w:t>
            </w:r>
            <w:r>
              <w:rPr>
                <w:rFonts w:ascii="Arabic Typesetting" w:hAnsi="Arabic Typesetting" w:cs="Arabic Typesetting" w:hint="cs"/>
                <w:sz w:val="30"/>
                <w:szCs w:val="30"/>
                <w:rtl/>
              </w:rPr>
              <w:br/>
            </w:r>
            <w:r>
              <w:rPr>
                <w:rFonts w:ascii="Arabic Typesetting" w:hAnsi="Arabic Typesetting" w:cs="Arabic Typesetting" w:hint="cs"/>
                <w:b/>
                <w:sz w:val="30"/>
                <w:szCs w:val="30"/>
                <w:rtl/>
              </w:rPr>
              <w:t>(</w:t>
            </w:r>
            <w:r w:rsidRPr="003D3218">
              <w:rPr>
                <w:rFonts w:ascii="Arabic Typesetting" w:hAnsi="Arabic Typesetting" w:cs="Arabic Typesetting"/>
                <w:b/>
                <w:sz w:val="30"/>
                <w:szCs w:val="30"/>
                <w:rtl/>
              </w:rPr>
              <w:t>-</w:t>
            </w:r>
            <w:r>
              <w:rPr>
                <w:rFonts w:ascii="Arabic Typesetting" w:hAnsi="Arabic Typesetting" w:cs="Arabic Typesetting" w:hint="cs"/>
                <w:b/>
                <w:sz w:val="30"/>
                <w:szCs w:val="30"/>
                <w:rtl/>
              </w:rPr>
              <w:t xml:space="preserve"> </w:t>
            </w:r>
            <w:r w:rsidRPr="003D3218">
              <w:rPr>
                <w:rFonts w:ascii="Arabic Typesetting" w:hAnsi="Arabic Typesetting" w:cs="Arabic Typesetting"/>
                <w:b/>
                <w:sz w:val="30"/>
                <w:szCs w:val="30"/>
                <w:rtl/>
              </w:rPr>
              <w:t>1.0%</w:t>
            </w:r>
            <w:r>
              <w:rPr>
                <w:rFonts w:ascii="Arabic Typesetting" w:hAnsi="Arabic Typesetting" w:cs="Arabic Typesetting" w:hint="cs"/>
                <w:b/>
                <w:sz w:val="30"/>
                <w:szCs w:val="30"/>
                <w:rtl/>
              </w:rPr>
              <w:t>)</w:t>
            </w:r>
          </w:p>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bCs/>
                <w:sz w:val="30"/>
                <w:szCs w:val="30"/>
                <w:rtl/>
              </w:rPr>
            </w:pPr>
            <w:r w:rsidRPr="008954A8">
              <w:rPr>
                <w:rFonts w:ascii="Arabic Typesetting" w:hAnsi="Arabic Typesetting" w:cs="Arabic Typesetting"/>
                <w:b/>
                <w:sz w:val="30"/>
                <w:szCs w:val="30"/>
                <w:u w:val="single"/>
                <w:rtl/>
              </w:rPr>
              <w:t>201</w:t>
            </w:r>
            <w:r>
              <w:rPr>
                <w:rFonts w:ascii="Arabic Typesetting" w:hAnsi="Arabic Typesetting" w:cs="Arabic Typesetting" w:hint="cs"/>
                <w:b/>
                <w:sz w:val="30"/>
                <w:szCs w:val="30"/>
                <w:u w:val="single"/>
                <w:rtl/>
              </w:rPr>
              <w:t>7</w:t>
            </w:r>
            <w:r w:rsidRPr="008954A8">
              <w:rPr>
                <w:rFonts w:ascii="Arabic Typesetting" w:hAnsi="Arabic Typesetting" w:cs="Arabic Typesetting"/>
                <w:b/>
                <w:sz w:val="30"/>
                <w:szCs w:val="30"/>
                <w:u w:val="single"/>
                <w:rtl/>
              </w:rPr>
              <w:t>:</w:t>
            </w:r>
            <w:r>
              <w:rPr>
                <w:rFonts w:ascii="Arabic Typesetting" w:hAnsi="Arabic Typesetting" w:cs="Arabic Typesetting" w:hint="cs"/>
                <w:b/>
                <w:sz w:val="30"/>
                <w:szCs w:val="30"/>
                <w:u w:val="single"/>
                <w:rtl/>
              </w:rPr>
              <w:br/>
            </w:r>
            <w:r w:rsidRPr="008954A8">
              <w:rPr>
                <w:rFonts w:ascii="Arabic Typesetting" w:hAnsi="Arabic Typesetting" w:cs="Arabic Typesetting"/>
                <w:b/>
                <w:sz w:val="30"/>
                <w:szCs w:val="30"/>
                <w:rtl/>
              </w:rPr>
              <w:t xml:space="preserve">الطلبات: </w:t>
            </w:r>
            <w:r>
              <w:rPr>
                <w:rFonts w:ascii="Arabic Typesetting" w:hAnsi="Arabic Typesetting" w:cs="Arabic Typesetting" w:hint="cs"/>
                <w:sz w:val="30"/>
                <w:szCs w:val="30"/>
                <w:rtl/>
              </w:rPr>
              <w:t>710</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5</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lastRenderedPageBreak/>
              <w:t xml:space="preserve">التصاميم الواردة: </w:t>
            </w:r>
            <w:r>
              <w:rPr>
                <w:rFonts w:ascii="Arabic Typesetting" w:hAnsi="Arabic Typesetting" w:cs="Arabic Typesetting" w:hint="cs"/>
                <w:sz w:val="30"/>
                <w:szCs w:val="30"/>
                <w:rtl/>
              </w:rPr>
              <w:t>140</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26</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 xml:space="preserve">التجديدات: </w:t>
            </w:r>
            <w:r>
              <w:rPr>
                <w:rFonts w:ascii="Arabic Typesetting" w:hAnsi="Arabic Typesetting" w:cs="Arabic Typesetting" w:hint="cs"/>
                <w:sz w:val="30"/>
                <w:szCs w:val="30"/>
                <w:rtl/>
              </w:rPr>
              <w:t>940</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2</w:t>
            </w:r>
            <w:r>
              <w:rPr>
                <w:rFonts w:ascii="Arabic Typesetting" w:hAnsi="Arabic Typesetting" w:cs="Arabic Typesetting"/>
                <w:bCs/>
                <w:sz w:val="30"/>
                <w:szCs w:val="30"/>
                <w:rtl/>
              </w:rPr>
              <w:br/>
            </w:r>
            <w:r w:rsidRPr="00372C48">
              <w:rPr>
                <w:rFonts w:ascii="Arabic Typesetting" w:hAnsi="Arabic Typesetting" w:cs="Arabic Typesetting" w:hint="cs"/>
                <w:b/>
                <w:sz w:val="30"/>
                <w:szCs w:val="30"/>
                <w:rtl/>
              </w:rPr>
              <w:t>(</w:t>
            </w:r>
            <w:r w:rsidRPr="00372C48">
              <w:rPr>
                <w:rFonts w:ascii="Arabic Typesetting" w:hAnsi="Arabic Typesetting" w:cs="Arabic Typesetting"/>
                <w:b/>
                <w:sz w:val="30"/>
                <w:szCs w:val="30"/>
                <w:rtl/>
              </w:rPr>
              <w:t>+ 3.9%</w:t>
            </w:r>
            <w:r w:rsidRPr="00372C48">
              <w:rPr>
                <w:rFonts w:ascii="Arabic Typesetting" w:hAnsi="Arabic Typesetting" w:cs="Arabic Typesetting" w:hint="cs"/>
                <w:b/>
                <w:sz w:val="30"/>
                <w:szCs w:val="30"/>
                <w:rtl/>
              </w:rPr>
              <w:t>)</w:t>
            </w:r>
          </w:p>
        </w:tc>
      </w:tr>
      <w:tr w:rsidR="00AA5376" w:rsidRPr="008954A8" w:rsidTr="00C436DF">
        <w:tc>
          <w:tcPr>
            <w:tcW w:w="1380" w:type="pct"/>
            <w:vMerge w:val="restar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lastRenderedPageBreak/>
              <w:t>ه 5.2</w:t>
            </w:r>
            <w:r w:rsidRPr="008954A8">
              <w:rPr>
                <w:rFonts w:ascii="Arabic Typesetting" w:hAnsi="Arabic Typesetting" w:cs="Arabic Typesetting"/>
                <w:sz w:val="30"/>
                <w:szCs w:val="30"/>
                <w:rtl/>
              </w:rPr>
              <w:t xml:space="preserve"> </w:t>
            </w:r>
            <w:r w:rsidRPr="00227236">
              <w:rPr>
                <w:rFonts w:ascii="Arabic Typesetting" w:hAnsi="Arabic Typesetting" w:cs="Arabic Typesetting"/>
                <w:sz w:val="30"/>
                <w:szCs w:val="30"/>
                <w:rtl/>
              </w:rPr>
              <w:t>إنتاجية وجودة خدمات محسّنة في عمليات نظام لاهاي</w:t>
            </w: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هيمنة وثيقة جنيف (1999) في نظام لاهاي</w:t>
            </w:r>
          </w:p>
        </w:tc>
        <w:tc>
          <w:tcPr>
            <w:tcW w:w="1095" w:type="pct"/>
            <w:shd w:val="clear" w:color="auto" w:fill="FFFFFF"/>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10</w:t>
            </w:r>
            <w:r w:rsidRPr="008954A8">
              <w:rPr>
                <w:rFonts w:ascii="Arabic Typesetting" w:hAnsi="Arabic Typesetting" w:cs="Arabic Typesetting"/>
                <w:sz w:val="30"/>
                <w:szCs w:val="30"/>
                <w:rtl/>
              </w:rPr>
              <w:t xml:space="preserve"> موافقات على إنهاء العمل بوثيقة 1934 (</w:t>
            </w:r>
            <w:r>
              <w:rPr>
                <w:rFonts w:ascii="Arabic Typesetting" w:hAnsi="Arabic Typesetting" w:cs="Arabic Typesetting" w:hint="cs"/>
                <w:sz w:val="30"/>
                <w:szCs w:val="30"/>
                <w:rtl/>
              </w:rPr>
              <w:t>ينقص 3 موافقات</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t xml:space="preserve">. </w:t>
            </w:r>
            <w:r w:rsidRPr="00F7092D">
              <w:rPr>
                <w:rFonts w:ascii="Arabic Typesetting" w:hAnsi="Arabic Typesetting" w:cs="Arabic Typesetting"/>
                <w:sz w:val="30"/>
                <w:szCs w:val="30"/>
                <w:rtl/>
              </w:rPr>
              <w:t>4 أطراف متعاقد</w:t>
            </w:r>
            <w:r>
              <w:rPr>
                <w:rFonts w:ascii="Arabic Typesetting" w:hAnsi="Arabic Typesetting" w:cs="Arabic Typesetting" w:hint="cs"/>
                <w:sz w:val="30"/>
                <w:szCs w:val="30"/>
                <w:rtl/>
              </w:rPr>
              <w:t>ة</w:t>
            </w:r>
            <w:r w:rsidRPr="00F7092D">
              <w:rPr>
                <w:rFonts w:ascii="Arabic Typesetting" w:hAnsi="Arabic Typesetting" w:cs="Arabic Typesetting"/>
                <w:sz w:val="30"/>
                <w:szCs w:val="30"/>
                <w:rtl/>
              </w:rPr>
              <w:t xml:space="preserve"> مُلزَ</w:t>
            </w:r>
            <w:r>
              <w:rPr>
                <w:rFonts w:ascii="Arabic Typesetting" w:hAnsi="Arabic Typesetting" w:cs="Arabic Typesetting" w:hint="cs"/>
                <w:sz w:val="30"/>
                <w:szCs w:val="30"/>
                <w:rtl/>
              </w:rPr>
              <w:t>مة</w:t>
            </w:r>
            <w:r>
              <w:rPr>
                <w:rFonts w:ascii="Arabic Typesetting" w:hAnsi="Arabic Typesetting" w:cs="Arabic Typesetting"/>
                <w:sz w:val="30"/>
                <w:szCs w:val="30"/>
                <w:rtl/>
              </w:rPr>
              <w:t xml:space="preserve"> بوثيقة 1960 فقط (ليس</w:t>
            </w:r>
            <w:r>
              <w:rPr>
                <w:rFonts w:ascii="Arabic Typesetting" w:hAnsi="Arabic Typesetting" w:cs="Arabic Typesetting" w:hint="cs"/>
                <w:sz w:val="30"/>
                <w:szCs w:val="30"/>
                <w:rtl/>
              </w:rPr>
              <w:t>ت</w:t>
            </w:r>
            <w:r w:rsidRPr="00F7092D">
              <w:rPr>
                <w:rFonts w:ascii="Arabic Typesetting" w:hAnsi="Arabic Typesetting" w:cs="Arabic Typesetting"/>
                <w:sz w:val="30"/>
                <w:szCs w:val="30"/>
                <w:rtl/>
              </w:rPr>
              <w:t xml:space="preserve"> أعضاء في منظمة</w:t>
            </w:r>
            <w:r>
              <w:rPr>
                <w:rFonts w:ascii="Arabic Typesetting" w:hAnsi="Arabic Typesetting" w:cs="Arabic Typesetting" w:hint="cs"/>
                <w:sz w:val="30"/>
                <w:szCs w:val="30"/>
                <w:rtl/>
              </w:rPr>
              <w:t xml:space="preserve"> حكومية</w:t>
            </w:r>
            <w:r w:rsidRPr="00F7092D">
              <w:rPr>
                <w:rFonts w:ascii="Arabic Typesetting" w:hAnsi="Arabic Typesetting" w:cs="Arabic Typesetting"/>
                <w:sz w:val="30"/>
                <w:szCs w:val="30"/>
                <w:rtl/>
              </w:rPr>
              <w:t xml:space="preserve"> دولية طرف في وثيقة 1999).</w:t>
            </w:r>
          </w:p>
        </w:tc>
        <w:tc>
          <w:tcPr>
            <w:tcW w:w="1073" w:type="pct"/>
            <w:shd w:val="clear" w:color="auto" w:fill="auto"/>
            <w:tcMar>
              <w:top w:w="113" w:type="dxa"/>
            </w:tcMar>
          </w:tcPr>
          <w:p w:rsidR="00AA5376" w:rsidRPr="008954A8" w:rsidRDefault="00AA5376" w:rsidP="002C3C33">
            <w:pPr>
              <w:keepNext/>
              <w:keepLines/>
              <w:tabs>
                <w:tab w:val="left" w:pos="2051"/>
              </w:tabs>
              <w:adjustRightInd w:val="0"/>
              <w:snapToGrid w:val="0"/>
              <w:spacing w:beforeLines="60" w:before="144" w:afterLines="60" w:after="144" w:line="300" w:lineRule="exact"/>
              <w:rPr>
                <w:rFonts w:ascii="Arabic Typesetting" w:hAnsi="Arabic Typesetting" w:cs="Arabic Typesetting"/>
                <w:b/>
                <w:sz w:val="30"/>
                <w:szCs w:val="30"/>
              </w:rPr>
            </w:pPr>
            <w:r w:rsidRPr="008954A8">
              <w:rPr>
                <w:rFonts w:ascii="Arabic Typesetting" w:hAnsi="Arabic Typesetting" w:cs="Arabic Typesetting"/>
                <w:b/>
                <w:sz w:val="30"/>
                <w:szCs w:val="30"/>
                <w:rtl/>
              </w:rPr>
              <w:t>استلام جميع الموافقات (</w:t>
            </w:r>
            <w:r>
              <w:rPr>
                <w:rFonts w:ascii="Arabic Typesetting" w:hAnsi="Arabic Typesetting" w:cs="Arabic Typesetting" w:hint="cs"/>
                <w:b/>
                <w:sz w:val="30"/>
                <w:szCs w:val="30"/>
                <w:rtl/>
              </w:rPr>
              <w:t>13</w:t>
            </w:r>
            <w:r w:rsidRPr="008954A8">
              <w:rPr>
                <w:rFonts w:ascii="Arabic Typesetting" w:hAnsi="Arabic Typesetting" w:cs="Arabic Typesetting"/>
                <w:b/>
                <w:sz w:val="30"/>
                <w:szCs w:val="30"/>
                <w:rtl/>
              </w:rPr>
              <w:t>) على إنهاء العمل بوثيقة 1934</w:t>
            </w:r>
            <w:r>
              <w:rPr>
                <w:rFonts w:ascii="Arabic Typesetting" w:hAnsi="Arabic Typesetting" w:cs="Arabic Typesetting" w:hint="cs"/>
                <w:b/>
                <w:sz w:val="30"/>
                <w:szCs w:val="30"/>
                <w:rtl/>
              </w:rPr>
              <w:t>. التزام جميع الأطراف المتعاقدة بوثيقة 1999 (أو تكون أعضاء في منظمة حكومية دولية طرف في وثيقة 1999).</w:t>
            </w:r>
          </w:p>
        </w:tc>
      </w:tr>
      <w:tr w:rsidR="00AA5376" w:rsidRPr="008954A8" w:rsidTr="00C436DF">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2567CA">
              <w:rPr>
                <w:rFonts w:ascii="Arabic Typesetting" w:hAnsi="Arabic Typesetting" w:cs="Arabic Typesetting"/>
                <w:sz w:val="30"/>
                <w:szCs w:val="30"/>
                <w:rtl/>
              </w:rPr>
              <w:t xml:space="preserve">العمليات والإجراءات </w:t>
            </w:r>
            <w:r>
              <w:rPr>
                <w:rFonts w:ascii="Arabic Typesetting" w:hAnsi="Arabic Typesetting" w:cs="Arabic Typesetting" w:hint="cs"/>
                <w:sz w:val="30"/>
                <w:szCs w:val="30"/>
                <w:rtl/>
              </w:rPr>
              <w:t xml:space="preserve">مكيفة </w:t>
            </w:r>
            <w:r w:rsidRPr="002567CA">
              <w:rPr>
                <w:rFonts w:ascii="Arabic Typesetting" w:hAnsi="Arabic Typesetting" w:cs="Arabic Typesetting"/>
                <w:sz w:val="30"/>
                <w:szCs w:val="30"/>
                <w:rtl/>
              </w:rPr>
              <w:t>مع التطور الجغرافي والقانوني للنظام</w:t>
            </w:r>
          </w:p>
        </w:tc>
        <w:tc>
          <w:tcPr>
            <w:tcW w:w="1095" w:type="pct"/>
            <w:shd w:val="clear" w:color="auto" w:fill="FFFFFF"/>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2567CA">
              <w:rPr>
                <w:rFonts w:ascii="Arabic Typesetting" w:hAnsi="Arabic Typesetting" w:cs="Arabic Typesetting"/>
                <w:sz w:val="30"/>
                <w:szCs w:val="30"/>
                <w:rtl/>
              </w:rPr>
              <w:t>العمليات والإجراءات</w:t>
            </w:r>
            <w:r>
              <w:rPr>
                <w:rFonts w:ascii="Arabic Typesetting" w:hAnsi="Arabic Typesetting" w:cs="Arabic Typesetting" w:hint="cs"/>
                <w:sz w:val="30"/>
                <w:szCs w:val="30"/>
                <w:rtl/>
              </w:rPr>
              <w:t xml:space="preserve"> مكيفة</w:t>
            </w:r>
          </w:p>
        </w:tc>
        <w:tc>
          <w:tcPr>
            <w:tcW w:w="1073" w:type="pct"/>
            <w:shd w:val="clear" w:color="auto" w:fill="auto"/>
            <w:tcMar>
              <w:top w:w="113" w:type="dxa"/>
            </w:tcMar>
          </w:tcPr>
          <w:p w:rsidR="00AA5376" w:rsidRPr="008954A8" w:rsidRDefault="00AA5376" w:rsidP="002C3C33">
            <w:pPr>
              <w:keepNext/>
              <w:keepLines/>
              <w:tabs>
                <w:tab w:val="left" w:pos="2051"/>
              </w:tabs>
              <w:adjustRightInd w:val="0"/>
              <w:snapToGrid w:val="0"/>
              <w:spacing w:beforeLines="60" w:before="144" w:afterLines="60" w:after="144" w:line="300" w:lineRule="exact"/>
              <w:rPr>
                <w:rFonts w:ascii="Arabic Typesetting" w:hAnsi="Arabic Typesetting" w:cs="Arabic Typesetting"/>
                <w:b/>
                <w:sz w:val="30"/>
                <w:szCs w:val="30"/>
                <w:rtl/>
              </w:rPr>
            </w:pPr>
            <w:r w:rsidRPr="002567CA">
              <w:rPr>
                <w:rFonts w:ascii="Arabic Typesetting" w:hAnsi="Arabic Typesetting" w:cs="Arabic Typesetting"/>
                <w:b/>
                <w:sz w:val="30"/>
                <w:szCs w:val="30"/>
                <w:rtl/>
              </w:rPr>
              <w:t>العمليات والإجراءات</w:t>
            </w:r>
            <w:r>
              <w:rPr>
                <w:rFonts w:ascii="Arabic Typesetting" w:hAnsi="Arabic Typesetting" w:cs="Arabic Typesetting" w:hint="cs"/>
                <w:b/>
                <w:sz w:val="30"/>
                <w:szCs w:val="30"/>
                <w:rtl/>
              </w:rPr>
              <w:t xml:space="preserve"> مكيفة</w:t>
            </w:r>
          </w:p>
        </w:tc>
      </w:tr>
      <w:tr w:rsidR="00AA5376" w:rsidRPr="008954A8" w:rsidTr="00C436DF">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تقدم محرز نحو تعزيز الإطار القانوني</w:t>
            </w:r>
          </w:p>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095" w:type="pct"/>
            <w:shd w:val="clear" w:color="auto" w:fill="FFFFFF"/>
            <w:tcMar>
              <w:top w:w="113" w:type="dxa"/>
            </w:tcMar>
          </w:tcPr>
          <w:p w:rsidR="00AA5376" w:rsidRPr="00362AB4"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r w:rsidRPr="00362AB4">
              <w:rPr>
                <w:rFonts w:ascii="Arabic Typesetting" w:hAnsi="Arabic Typesetting" w:cs="Arabic Typesetting"/>
                <w:sz w:val="30"/>
                <w:szCs w:val="30"/>
                <w:rtl/>
              </w:rPr>
              <w:t>تعديلات على اللائحة التنفيذية المشتركة (</w:t>
            </w:r>
            <w:r>
              <w:rPr>
                <w:rFonts w:ascii="Arabic Typesetting" w:hAnsi="Arabic Typesetting" w:cs="Arabic Typesetting" w:hint="cs"/>
                <w:sz w:val="30"/>
                <w:szCs w:val="30"/>
                <w:rtl/>
              </w:rPr>
              <w:t>نافذة</w:t>
            </w:r>
            <w:r w:rsidRPr="00362AB4">
              <w:rPr>
                <w:rFonts w:ascii="Arabic Typesetting" w:hAnsi="Arabic Typesetting" w:cs="Arabic Typesetting"/>
                <w:sz w:val="30"/>
                <w:szCs w:val="30"/>
                <w:rtl/>
              </w:rPr>
              <w:t xml:space="preserve"> ف</w:t>
            </w:r>
            <w:r w:rsidRPr="00362AB4">
              <w:rPr>
                <w:rFonts w:ascii="Arabic Typesetting" w:hAnsi="Arabic Typesetting" w:cs="Arabic Typesetting" w:hint="cs"/>
                <w:sz w:val="30"/>
                <w:szCs w:val="30"/>
                <w:rtl/>
              </w:rPr>
              <w:t>ي 1/1/2015</w:t>
            </w:r>
            <w:r w:rsidRPr="00362AB4">
              <w:rPr>
                <w:rFonts w:ascii="Arabic Typesetting" w:hAnsi="Arabic Typesetting" w:cs="Arabic Typesetting"/>
                <w:sz w:val="30"/>
                <w:szCs w:val="30"/>
                <w:rtl/>
              </w:rPr>
              <w:t>) والتعليمات الإدارية (</w:t>
            </w:r>
            <w:r>
              <w:rPr>
                <w:rFonts w:ascii="Arabic Typesetting" w:hAnsi="Arabic Typesetting" w:cs="Arabic Typesetting" w:hint="cs"/>
                <w:sz w:val="30"/>
                <w:szCs w:val="30"/>
                <w:rtl/>
              </w:rPr>
              <w:t>نافذة</w:t>
            </w:r>
            <w:r w:rsidRPr="00362AB4">
              <w:rPr>
                <w:rFonts w:ascii="Arabic Typesetting" w:hAnsi="Arabic Typesetting" w:cs="Arabic Typesetting"/>
                <w:sz w:val="30"/>
                <w:szCs w:val="30"/>
                <w:rtl/>
              </w:rPr>
              <w:t xml:space="preserve"> في</w:t>
            </w:r>
            <w:r w:rsidRPr="00362AB4">
              <w:rPr>
                <w:rFonts w:ascii="Arabic Typesetting" w:hAnsi="Arabic Typesetting" w:cs="Arabic Typesetting" w:hint="cs"/>
                <w:sz w:val="30"/>
                <w:szCs w:val="30"/>
                <w:rtl/>
              </w:rPr>
              <w:t xml:space="preserve"> 1/7/2014</w:t>
            </w:r>
            <w:r w:rsidRPr="00362AB4">
              <w:rPr>
                <w:rFonts w:ascii="Arabic Typesetting" w:hAnsi="Arabic Typesetting" w:cs="Arabic Typesetting"/>
                <w:sz w:val="30"/>
                <w:szCs w:val="30"/>
                <w:rtl/>
              </w:rPr>
              <w:t xml:space="preserve">) لتكييف نظام لاهاي مع </w:t>
            </w:r>
            <w:r w:rsidRPr="00362AB4">
              <w:rPr>
                <w:rFonts w:ascii="Arabic Typesetting" w:hAnsi="Arabic Typesetting" w:cs="Arabic Typesetting" w:hint="cs"/>
                <w:sz w:val="30"/>
                <w:szCs w:val="30"/>
                <w:rtl/>
              </w:rPr>
              <w:t>اتساع نطاقه</w:t>
            </w:r>
            <w:r w:rsidRPr="00362AB4">
              <w:rPr>
                <w:rFonts w:ascii="Arabic Typesetting" w:hAnsi="Arabic Typesetting" w:cs="Arabic Typesetting"/>
                <w:sz w:val="30"/>
                <w:szCs w:val="30"/>
                <w:rtl/>
              </w:rPr>
              <w:t xml:space="preserve"> الجغرافي ليشمل أطراف متعاقدة جديدة ومرتقبة مع أنظمة الفحص.</w:t>
            </w:r>
          </w:p>
        </w:tc>
        <w:tc>
          <w:tcPr>
            <w:tcW w:w="1073" w:type="pct"/>
            <w:shd w:val="clear" w:color="auto" w:fill="auto"/>
            <w:tcMar>
              <w:top w:w="113" w:type="dxa"/>
            </w:tcMar>
          </w:tcPr>
          <w:p w:rsidR="00AA5376" w:rsidRPr="008954A8" w:rsidRDefault="00AA5376" w:rsidP="002C3C33">
            <w:pPr>
              <w:pStyle w:val="PlainText"/>
              <w:adjustRightInd w:val="0"/>
              <w:snapToGrid w:val="0"/>
              <w:spacing w:beforeLines="60" w:before="144" w:afterLines="60" w:after="144" w:line="300" w:lineRule="exact"/>
              <w:rPr>
                <w:rFonts w:ascii="Arabic Typesetting" w:hAnsi="Arabic Typesetting" w:cs="Arabic Typesetting"/>
                <w:color w:val="000000"/>
                <w:sz w:val="30"/>
                <w:szCs w:val="30"/>
              </w:rPr>
            </w:pPr>
            <w:r w:rsidRPr="008954A8">
              <w:rPr>
                <w:rFonts w:ascii="Arabic Typesetting" w:hAnsi="Arabic Typesetting" w:cs="Arabic Typesetting"/>
                <w:sz w:val="30"/>
                <w:szCs w:val="30"/>
                <w:rtl/>
              </w:rPr>
              <w:t>ت</w:t>
            </w:r>
            <w:r>
              <w:rPr>
                <w:rFonts w:ascii="Arabic Typesetting" w:hAnsi="Arabic Typesetting" w:cs="Arabic Typesetting" w:hint="cs"/>
                <w:sz w:val="30"/>
                <w:szCs w:val="30"/>
                <w:rtl/>
              </w:rPr>
              <w:t xml:space="preserve">حديث الإطار القانوني لنظام </w:t>
            </w:r>
            <w:r w:rsidRPr="008954A8">
              <w:rPr>
                <w:rFonts w:ascii="Arabic Typesetting" w:hAnsi="Arabic Typesetting" w:cs="Arabic Typesetting"/>
                <w:sz w:val="30"/>
                <w:szCs w:val="30"/>
                <w:rtl/>
              </w:rPr>
              <w:t xml:space="preserve">لاهاي </w:t>
            </w:r>
            <w:r w:rsidRPr="007C3D0D">
              <w:rPr>
                <w:rFonts w:ascii="Arabic Typesetting" w:hAnsi="Arabic Typesetting" w:cs="Arabic Typesetting"/>
                <w:color w:val="000000"/>
                <w:sz w:val="30"/>
                <w:szCs w:val="30"/>
                <w:rtl/>
              </w:rPr>
              <w:t xml:space="preserve">لمواكبة </w:t>
            </w:r>
            <w:r>
              <w:rPr>
                <w:rFonts w:ascii="Arabic Typesetting" w:hAnsi="Arabic Typesetting" w:cs="Arabic Typesetting" w:hint="cs"/>
                <w:color w:val="000000"/>
                <w:sz w:val="30"/>
                <w:szCs w:val="30"/>
                <w:rtl/>
              </w:rPr>
              <w:t xml:space="preserve">التطور </w:t>
            </w:r>
            <w:r w:rsidRPr="007C3D0D">
              <w:rPr>
                <w:rFonts w:ascii="Arabic Typesetting" w:hAnsi="Arabic Typesetting" w:cs="Arabic Typesetting"/>
                <w:color w:val="000000"/>
                <w:sz w:val="30"/>
                <w:szCs w:val="30"/>
                <w:rtl/>
              </w:rPr>
              <w:t>في مجال التص</w:t>
            </w:r>
            <w:r>
              <w:rPr>
                <w:rFonts w:ascii="Arabic Typesetting" w:hAnsi="Arabic Typesetting" w:cs="Arabic Typesetting" w:hint="cs"/>
                <w:color w:val="000000"/>
                <w:sz w:val="30"/>
                <w:szCs w:val="30"/>
                <w:rtl/>
              </w:rPr>
              <w:t>ا</w:t>
            </w:r>
            <w:r w:rsidRPr="007C3D0D">
              <w:rPr>
                <w:rFonts w:ascii="Arabic Typesetting" w:hAnsi="Arabic Typesetting" w:cs="Arabic Typesetting"/>
                <w:color w:val="000000"/>
                <w:sz w:val="30"/>
                <w:szCs w:val="30"/>
                <w:rtl/>
              </w:rPr>
              <w:t>ميم في جميع أنحاء العالم</w:t>
            </w:r>
            <w:r>
              <w:rPr>
                <w:rFonts w:ascii="Arabic Typesetting" w:hAnsi="Arabic Typesetting" w:cs="Arabic Typesetting" w:hint="cs"/>
                <w:color w:val="000000"/>
                <w:sz w:val="30"/>
                <w:szCs w:val="30"/>
                <w:rtl/>
              </w:rPr>
              <w:t>.</w:t>
            </w:r>
          </w:p>
        </w:tc>
      </w:tr>
      <w:tr w:rsidR="00AA5376" w:rsidRPr="008954A8" w:rsidTr="00C436DF">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E34920">
              <w:rPr>
                <w:rFonts w:ascii="Arabic Typesetting" w:hAnsi="Arabic Typesetting" w:cs="Arabic Typesetting"/>
                <w:sz w:val="30"/>
                <w:szCs w:val="30"/>
                <w:rtl/>
              </w:rPr>
              <w:t>تحس</w:t>
            </w:r>
            <w:r>
              <w:rPr>
                <w:rFonts w:ascii="Arabic Typesetting" w:hAnsi="Arabic Typesetting" w:cs="Arabic Typesetting" w:hint="cs"/>
                <w:sz w:val="30"/>
                <w:szCs w:val="30"/>
                <w:rtl/>
              </w:rPr>
              <w:t>ّ</w:t>
            </w:r>
            <w:r w:rsidRPr="00E34920">
              <w:rPr>
                <w:rFonts w:ascii="Arabic Typesetting" w:hAnsi="Arabic Typesetting" w:cs="Arabic Typesetting"/>
                <w:sz w:val="30"/>
                <w:szCs w:val="30"/>
                <w:rtl/>
              </w:rPr>
              <w:t>ن سير عمل سجل لاهاي، بما في ذلك العمليات والإجراءات الإلكترونية</w:t>
            </w:r>
          </w:p>
        </w:tc>
        <w:tc>
          <w:tcPr>
            <w:tcW w:w="1095" w:type="pct"/>
            <w:shd w:val="clear" w:color="auto" w:fill="FFFFFF"/>
            <w:tcMar>
              <w:top w:w="113" w:type="dxa"/>
            </w:tcMar>
          </w:tcPr>
          <w:p w:rsidR="00AA5376" w:rsidRPr="002567CA" w:rsidRDefault="00AA5376" w:rsidP="002C3C33">
            <w:pPr>
              <w:adjustRightInd w:val="0"/>
              <w:snapToGrid w:val="0"/>
              <w:spacing w:beforeLines="60" w:before="144" w:afterLines="60" w:after="144" w:line="300" w:lineRule="exact"/>
              <w:rPr>
                <w:rFonts w:ascii="Arabic Typesetting" w:hAnsi="Arabic Typesetting" w:cs="Arabic Typesetting"/>
                <w:sz w:val="30"/>
                <w:szCs w:val="30"/>
                <w:highlight w:val="yellow"/>
                <w:rtl/>
              </w:rPr>
            </w:pPr>
            <w:r w:rsidRPr="00E34920">
              <w:rPr>
                <w:rFonts w:ascii="Arabic Typesetting" w:hAnsi="Arabic Typesetting" w:cs="Arabic Typesetting"/>
                <w:sz w:val="30"/>
                <w:szCs w:val="30"/>
                <w:rtl/>
              </w:rPr>
              <w:t>واجهتان إلكترونيتان لنظام لاهاي</w:t>
            </w:r>
          </w:p>
        </w:tc>
        <w:tc>
          <w:tcPr>
            <w:tcW w:w="1073" w:type="pct"/>
            <w:shd w:val="clear" w:color="auto" w:fill="auto"/>
            <w:tcMar>
              <w:top w:w="113" w:type="dxa"/>
            </w:tcMar>
          </w:tcPr>
          <w:p w:rsidR="00AA5376" w:rsidRPr="008954A8" w:rsidRDefault="00AA5376" w:rsidP="002C3C33">
            <w:pPr>
              <w:pStyle w:val="PlainT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6 واجهات إلكترونية لنظام لاهاي</w:t>
            </w:r>
          </w:p>
        </w:tc>
      </w:tr>
      <w:tr w:rsidR="00AA5376" w:rsidRPr="008954A8" w:rsidTr="00C436DF">
        <w:trPr>
          <w:trHeight w:val="687"/>
        </w:trPr>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لا انقطاع في </w:t>
            </w:r>
            <w:r w:rsidRPr="00CA366C">
              <w:rPr>
                <w:rFonts w:ascii="Arabic Typesetting" w:hAnsi="Arabic Typesetting" w:cs="Arabic Typesetting"/>
                <w:sz w:val="30"/>
                <w:szCs w:val="30"/>
                <w:rtl/>
              </w:rPr>
              <w:t xml:space="preserve">خدمات تكنولوجيا المعلومات الخاصة </w:t>
            </w:r>
            <w:r>
              <w:rPr>
                <w:rFonts w:ascii="Arabic Typesetting" w:hAnsi="Arabic Typesetting" w:cs="Arabic Typesetting" w:hint="cs"/>
                <w:sz w:val="30"/>
                <w:szCs w:val="30"/>
                <w:rtl/>
              </w:rPr>
              <w:t>بنظام</w:t>
            </w:r>
            <w:r w:rsidRPr="00CA366C">
              <w:rPr>
                <w:rFonts w:ascii="Arabic Typesetting" w:hAnsi="Arabic Typesetting" w:cs="Arabic Typesetting"/>
                <w:sz w:val="30"/>
                <w:szCs w:val="30"/>
                <w:rtl/>
              </w:rPr>
              <w:t xml:space="preserve"> لاهاي</w:t>
            </w:r>
          </w:p>
        </w:tc>
        <w:tc>
          <w:tcPr>
            <w:tcW w:w="1095" w:type="pct"/>
            <w:shd w:val="clear" w:color="auto" w:fill="FFFFFF"/>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لا انقطاع في الخدمات </w:t>
            </w:r>
            <w:r>
              <w:rPr>
                <w:rFonts w:ascii="Arabic Typesetting" w:hAnsi="Arabic Typesetting" w:cs="Arabic Typesetting"/>
                <w:sz w:val="30"/>
                <w:szCs w:val="30"/>
                <w:rtl/>
              </w:rPr>
              <w:br/>
            </w:r>
            <w:r>
              <w:rPr>
                <w:rFonts w:ascii="Arabic Typesetting" w:hAnsi="Arabic Typesetting" w:cs="Arabic Typesetting" w:hint="cs"/>
                <w:sz w:val="30"/>
                <w:szCs w:val="30"/>
                <w:rtl/>
              </w:rPr>
              <w:t>و</w:t>
            </w:r>
            <w:r w:rsidRPr="00414929">
              <w:rPr>
                <w:rFonts w:ascii="Arabic Typesetting" w:hAnsi="Arabic Typesetting" w:cs="Arabic Typesetting"/>
                <w:sz w:val="30"/>
                <w:szCs w:val="30"/>
                <w:rtl/>
              </w:rPr>
              <w:t xml:space="preserve">تحسينات </w:t>
            </w:r>
            <w:r>
              <w:rPr>
                <w:rFonts w:ascii="Arabic Typesetting" w:hAnsi="Arabic Typesetting" w:cs="Arabic Typesetting" w:hint="cs"/>
                <w:sz w:val="30"/>
                <w:szCs w:val="30"/>
                <w:rtl/>
              </w:rPr>
              <w:t>منفذة</w:t>
            </w:r>
            <w:r w:rsidRPr="00414929">
              <w:rPr>
                <w:rFonts w:ascii="Arabic Typesetting" w:hAnsi="Arabic Typesetting" w:cs="Arabic Typesetting"/>
                <w:sz w:val="30"/>
                <w:szCs w:val="30"/>
                <w:rtl/>
              </w:rPr>
              <w:t xml:space="preserve"> في </w:t>
            </w:r>
            <w:r>
              <w:rPr>
                <w:rFonts w:ascii="Arabic Typesetting" w:hAnsi="Arabic Typesetting" w:cs="Arabic Typesetting" w:hint="cs"/>
                <w:sz w:val="30"/>
                <w:szCs w:val="30"/>
                <w:rtl/>
              </w:rPr>
              <w:t>موعدها</w:t>
            </w:r>
          </w:p>
        </w:tc>
        <w:tc>
          <w:tcPr>
            <w:tcW w:w="1073" w:type="pct"/>
            <w:shd w:val="clear" w:color="auto" w:fill="auto"/>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 xml:space="preserve">لا انقطاع في الخدمات </w:t>
            </w:r>
            <w:r>
              <w:rPr>
                <w:rFonts w:ascii="Arabic Typesetting" w:hAnsi="Arabic Typesetting" w:cs="Arabic Typesetting"/>
                <w:sz w:val="30"/>
                <w:szCs w:val="30"/>
                <w:rtl/>
              </w:rPr>
              <w:br/>
            </w:r>
            <w:r>
              <w:rPr>
                <w:rFonts w:ascii="Arabic Typesetting" w:hAnsi="Arabic Typesetting" w:cs="Arabic Typesetting" w:hint="cs"/>
                <w:sz w:val="30"/>
                <w:szCs w:val="30"/>
                <w:rtl/>
              </w:rPr>
              <w:t>و</w:t>
            </w:r>
            <w:r w:rsidRPr="00414929">
              <w:rPr>
                <w:rFonts w:ascii="Arabic Typesetting" w:hAnsi="Arabic Typesetting" w:cs="Arabic Typesetting"/>
                <w:sz w:val="30"/>
                <w:szCs w:val="30"/>
                <w:rtl/>
              </w:rPr>
              <w:t xml:space="preserve">تحسينات </w:t>
            </w:r>
            <w:r>
              <w:rPr>
                <w:rFonts w:ascii="Arabic Typesetting" w:hAnsi="Arabic Typesetting" w:cs="Arabic Typesetting" w:hint="cs"/>
                <w:sz w:val="30"/>
                <w:szCs w:val="30"/>
                <w:rtl/>
              </w:rPr>
              <w:t>منفذة</w:t>
            </w:r>
            <w:r w:rsidRPr="00414929">
              <w:rPr>
                <w:rFonts w:ascii="Arabic Typesetting" w:hAnsi="Arabic Typesetting" w:cs="Arabic Typesetting"/>
                <w:sz w:val="30"/>
                <w:szCs w:val="30"/>
                <w:rtl/>
              </w:rPr>
              <w:t xml:space="preserve"> في </w:t>
            </w:r>
            <w:r>
              <w:rPr>
                <w:rFonts w:ascii="Arabic Typesetting" w:hAnsi="Arabic Typesetting" w:cs="Arabic Typesetting" w:hint="cs"/>
                <w:sz w:val="30"/>
                <w:szCs w:val="30"/>
                <w:rtl/>
              </w:rPr>
              <w:t>موعدها</w:t>
            </w:r>
          </w:p>
        </w:tc>
      </w:tr>
      <w:tr w:rsidR="00AA5376" w:rsidRPr="008954A8" w:rsidTr="00C436DF">
        <w:trPr>
          <w:trHeight w:val="687"/>
        </w:trPr>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836A81">
              <w:rPr>
                <w:rFonts w:ascii="Arabic Typesetting" w:hAnsi="Arabic Typesetting" w:cs="Arabic Typesetting"/>
                <w:sz w:val="30"/>
                <w:szCs w:val="30"/>
                <w:rtl/>
              </w:rPr>
              <w:t xml:space="preserve">مرونة البيانات </w:t>
            </w:r>
            <w:r>
              <w:rPr>
                <w:rFonts w:ascii="Arabic Typesetting" w:hAnsi="Arabic Typesetting" w:cs="Arabic Typesetting" w:hint="cs"/>
                <w:sz w:val="30"/>
                <w:szCs w:val="30"/>
                <w:rtl/>
              </w:rPr>
              <w:t>المدونة</w:t>
            </w:r>
            <w:r w:rsidRPr="00836A81">
              <w:rPr>
                <w:rFonts w:ascii="Arabic Typesetting" w:hAnsi="Arabic Typesetting" w:cs="Arabic Typesetting"/>
                <w:sz w:val="30"/>
                <w:szCs w:val="30"/>
                <w:rtl/>
              </w:rPr>
              <w:t xml:space="preserve"> في السجل الدولي</w:t>
            </w:r>
          </w:p>
        </w:tc>
        <w:tc>
          <w:tcPr>
            <w:tcW w:w="1095" w:type="pct"/>
            <w:shd w:val="clear" w:color="auto" w:fill="FFFFFF"/>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836A81">
              <w:rPr>
                <w:rFonts w:ascii="Arabic Typesetting" w:hAnsi="Arabic Typesetting" w:cs="Arabic Typesetting"/>
                <w:sz w:val="30"/>
                <w:szCs w:val="30"/>
                <w:rtl/>
              </w:rPr>
              <w:t xml:space="preserve">بعد إدخال تعديلات على الإطار القانوني لنظام لاهاي، يمكن </w:t>
            </w:r>
            <w:r>
              <w:rPr>
                <w:rFonts w:ascii="Arabic Typesetting" w:hAnsi="Arabic Typesetting" w:cs="Arabic Typesetting" w:hint="cs"/>
                <w:sz w:val="30"/>
                <w:szCs w:val="30"/>
                <w:rtl/>
              </w:rPr>
              <w:t>بيان</w:t>
            </w:r>
            <w:r w:rsidRPr="00836A81">
              <w:rPr>
                <w:rFonts w:ascii="Arabic Typesetting" w:hAnsi="Arabic Typesetting" w:cs="Arabic Typesetting"/>
                <w:sz w:val="30"/>
                <w:szCs w:val="30"/>
                <w:rtl/>
              </w:rPr>
              <w:t xml:space="preserve"> مزيد من المرونة بشأن المحتويات الاختيارية</w:t>
            </w:r>
            <w:r>
              <w:rPr>
                <w:rFonts w:ascii="Arabic Typesetting" w:hAnsi="Arabic Typesetting" w:cs="Arabic Typesetting" w:hint="cs"/>
                <w:sz w:val="30"/>
                <w:szCs w:val="30"/>
                <w:rtl/>
              </w:rPr>
              <w:t xml:space="preserve"> في </w:t>
            </w:r>
            <w:r w:rsidRPr="00836A81">
              <w:rPr>
                <w:rFonts w:ascii="Arabic Typesetting" w:hAnsi="Arabic Typesetting" w:cs="Arabic Typesetting"/>
                <w:sz w:val="30"/>
                <w:szCs w:val="30"/>
                <w:rtl/>
              </w:rPr>
              <w:t xml:space="preserve">طلب دولي </w:t>
            </w:r>
            <w:r>
              <w:rPr>
                <w:rFonts w:ascii="Arabic Typesetting" w:hAnsi="Arabic Typesetting" w:cs="Arabic Typesetting" w:hint="cs"/>
                <w:sz w:val="30"/>
                <w:szCs w:val="30"/>
                <w:rtl/>
              </w:rPr>
              <w:t>وتدوينها</w:t>
            </w:r>
            <w:r w:rsidRPr="00836A81">
              <w:rPr>
                <w:rFonts w:ascii="Arabic Typesetting" w:hAnsi="Arabic Typesetting" w:cs="Arabic Typesetting"/>
                <w:sz w:val="30"/>
                <w:szCs w:val="30"/>
                <w:rtl/>
              </w:rPr>
              <w:t xml:space="preserve"> في السجل الدولي</w:t>
            </w:r>
          </w:p>
        </w:tc>
        <w:tc>
          <w:tcPr>
            <w:tcW w:w="1073" w:type="pct"/>
            <w:shd w:val="clear" w:color="auto" w:fill="auto"/>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FD2095">
              <w:rPr>
                <w:rFonts w:ascii="Arabic Typesetting" w:hAnsi="Arabic Typesetting" w:cs="Arabic Typesetting"/>
                <w:b/>
                <w:sz w:val="30"/>
                <w:szCs w:val="30"/>
                <w:rtl/>
              </w:rPr>
              <w:t xml:space="preserve">مرونة البيانات </w:t>
            </w:r>
            <w:r>
              <w:rPr>
                <w:rFonts w:ascii="Arabic Typesetting" w:hAnsi="Arabic Typesetting" w:cs="Arabic Typesetting" w:hint="cs"/>
                <w:b/>
                <w:sz w:val="30"/>
                <w:szCs w:val="30"/>
                <w:rtl/>
              </w:rPr>
              <w:t>المدونة</w:t>
            </w:r>
            <w:r w:rsidRPr="00FD2095">
              <w:rPr>
                <w:rFonts w:ascii="Arabic Typesetting" w:hAnsi="Arabic Typesetting" w:cs="Arabic Typesetting"/>
                <w:b/>
                <w:sz w:val="30"/>
                <w:szCs w:val="30"/>
                <w:rtl/>
              </w:rPr>
              <w:t xml:space="preserve"> في السجل الدولي </w:t>
            </w:r>
            <w:r>
              <w:rPr>
                <w:rFonts w:ascii="Arabic Typesetting" w:hAnsi="Arabic Typesetting" w:cs="Arabic Typesetting" w:hint="cs"/>
                <w:b/>
                <w:sz w:val="30"/>
                <w:szCs w:val="30"/>
                <w:rtl/>
              </w:rPr>
              <w:t>وتحديد</w:t>
            </w:r>
            <w:r w:rsidRPr="00FD2095">
              <w:rPr>
                <w:rFonts w:ascii="Arabic Typesetting" w:hAnsi="Arabic Typesetting" w:cs="Arabic Typesetting"/>
                <w:b/>
                <w:sz w:val="30"/>
                <w:szCs w:val="30"/>
                <w:rtl/>
              </w:rPr>
              <w:t xml:space="preserve"> </w:t>
            </w:r>
            <w:r>
              <w:rPr>
                <w:rFonts w:ascii="Arabic Typesetting" w:hAnsi="Arabic Typesetting" w:cs="Arabic Typesetting"/>
                <w:b/>
                <w:sz w:val="30"/>
                <w:szCs w:val="30"/>
                <w:rtl/>
              </w:rPr>
              <w:t>ممكن</w:t>
            </w:r>
            <w:r>
              <w:rPr>
                <w:rFonts w:ascii="Arabic Typesetting" w:hAnsi="Arabic Typesetting" w:cs="Arabic Typesetting" w:hint="cs"/>
                <w:b/>
                <w:sz w:val="30"/>
                <w:szCs w:val="30"/>
                <w:rtl/>
              </w:rPr>
              <w:t xml:space="preserve"> </w:t>
            </w:r>
            <w:r w:rsidRPr="00FD2095">
              <w:rPr>
                <w:rFonts w:ascii="Arabic Typesetting" w:hAnsi="Arabic Typesetting" w:cs="Arabic Typesetting"/>
                <w:b/>
                <w:sz w:val="30"/>
                <w:szCs w:val="30"/>
                <w:rtl/>
              </w:rPr>
              <w:t>للمحتويات الاختياري</w:t>
            </w:r>
            <w:r>
              <w:rPr>
                <w:rFonts w:ascii="Arabic Typesetting" w:hAnsi="Arabic Typesetting" w:cs="Arabic Typesetting" w:hint="cs"/>
                <w:b/>
                <w:sz w:val="30"/>
                <w:szCs w:val="30"/>
                <w:rtl/>
              </w:rPr>
              <w:t>ة</w:t>
            </w:r>
            <w:r w:rsidRPr="00FD2095">
              <w:rPr>
                <w:rFonts w:ascii="Arabic Typesetting" w:hAnsi="Arabic Typesetting" w:cs="Arabic Typesetting"/>
                <w:b/>
                <w:sz w:val="30"/>
                <w:szCs w:val="30"/>
                <w:rtl/>
              </w:rPr>
              <w:t xml:space="preserve"> الإضافية التي </w:t>
            </w:r>
            <w:r>
              <w:rPr>
                <w:rFonts w:ascii="Arabic Typesetting" w:hAnsi="Arabic Typesetting" w:cs="Arabic Typesetting" w:hint="cs"/>
                <w:b/>
                <w:sz w:val="30"/>
                <w:szCs w:val="30"/>
                <w:rtl/>
              </w:rPr>
              <w:t>ستدوّن</w:t>
            </w:r>
            <w:r w:rsidRPr="00FD2095">
              <w:rPr>
                <w:rFonts w:ascii="Arabic Typesetting" w:hAnsi="Arabic Typesetting" w:cs="Arabic Typesetting"/>
                <w:b/>
                <w:sz w:val="30"/>
                <w:szCs w:val="30"/>
                <w:rtl/>
              </w:rPr>
              <w:t xml:space="preserve"> في السجل الدولي.</w:t>
            </w:r>
          </w:p>
        </w:tc>
      </w:tr>
      <w:tr w:rsidR="00C436DF" w:rsidRPr="008954A8" w:rsidTr="00C436DF">
        <w:trPr>
          <w:trHeight w:val="687"/>
        </w:trPr>
        <w:tc>
          <w:tcPr>
            <w:tcW w:w="1380" w:type="pct"/>
            <w:vMerge/>
            <w:shd w:val="clear" w:color="auto" w:fill="auto"/>
            <w:tcMar>
              <w:top w:w="113" w:type="dxa"/>
            </w:tcMar>
          </w:tcPr>
          <w:p w:rsidR="00C436DF" w:rsidRPr="008954A8" w:rsidRDefault="00C436DF"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C436DF" w:rsidRPr="00836A81" w:rsidRDefault="00C436DF" w:rsidP="002C3C33">
            <w:pPr>
              <w:adjustRightInd w:val="0"/>
              <w:snapToGrid w:val="0"/>
              <w:spacing w:beforeLines="60" w:before="144" w:afterLines="60" w:after="144" w:line="300" w:lineRule="exact"/>
              <w:rPr>
                <w:rFonts w:ascii="Arabic Typesetting" w:hAnsi="Arabic Typesetting" w:cs="Arabic Typesetting"/>
                <w:sz w:val="30"/>
                <w:szCs w:val="30"/>
                <w:rtl/>
              </w:rPr>
            </w:pPr>
          </w:p>
        </w:tc>
        <w:tc>
          <w:tcPr>
            <w:tcW w:w="1095" w:type="pct"/>
            <w:shd w:val="clear" w:color="auto" w:fill="FFFFFF"/>
            <w:tcMar>
              <w:top w:w="113" w:type="dxa"/>
            </w:tcMar>
          </w:tcPr>
          <w:p w:rsidR="00C436DF" w:rsidRPr="00836A81" w:rsidRDefault="00C436DF" w:rsidP="002C3C33">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عجز عن</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تدوين</w:t>
            </w:r>
            <w:r w:rsidRPr="008954A8">
              <w:rPr>
                <w:rFonts w:ascii="Arabic Typesetting" w:hAnsi="Arabic Typesetting" w:cs="Arabic Typesetting"/>
                <w:sz w:val="30"/>
                <w:szCs w:val="30"/>
                <w:rtl/>
              </w:rPr>
              <w:t xml:space="preserve"> معلومات تفصيلية عن التصاميم</w:t>
            </w:r>
          </w:p>
        </w:tc>
        <w:tc>
          <w:tcPr>
            <w:tcW w:w="1073" w:type="pct"/>
            <w:shd w:val="clear" w:color="auto" w:fill="auto"/>
            <w:tcMar>
              <w:top w:w="113" w:type="dxa"/>
            </w:tcMar>
          </w:tcPr>
          <w:p w:rsidR="00C436DF" w:rsidRPr="00FD2095" w:rsidRDefault="00C436DF"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rtl/>
              </w:rPr>
              <w:t xml:space="preserve">قدرة على </w:t>
            </w:r>
            <w:r>
              <w:rPr>
                <w:rFonts w:ascii="Arabic Typesetting" w:hAnsi="Arabic Typesetting" w:cs="Arabic Typesetting" w:hint="cs"/>
                <w:b/>
                <w:sz w:val="30"/>
                <w:szCs w:val="30"/>
                <w:rtl/>
              </w:rPr>
              <w:t>تدوين</w:t>
            </w:r>
            <w:r w:rsidRPr="008954A8">
              <w:rPr>
                <w:rFonts w:ascii="Arabic Typesetting" w:hAnsi="Arabic Typesetting" w:cs="Arabic Typesetting"/>
                <w:b/>
                <w:sz w:val="30"/>
                <w:szCs w:val="30"/>
                <w:rtl/>
              </w:rPr>
              <w:t xml:space="preserve"> معلومات تفصيلية عن التصاميم</w:t>
            </w:r>
          </w:p>
        </w:tc>
      </w:tr>
      <w:tr w:rsidR="00AA5376" w:rsidRPr="008954A8" w:rsidTr="00C436DF">
        <w:trPr>
          <w:trHeight w:val="414"/>
        </w:trPr>
        <w:tc>
          <w:tcPr>
            <w:tcW w:w="1380" w:type="pct"/>
            <w:vMerge/>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452" w:type="pct"/>
            <w:shd w:val="clear" w:color="auto" w:fill="auto"/>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063FDA">
              <w:rPr>
                <w:rFonts w:ascii="Arabic Typesetting" w:hAnsi="Arabic Typesetting" w:cs="Arabic Typesetting"/>
                <w:sz w:val="30"/>
                <w:szCs w:val="30"/>
                <w:rtl/>
              </w:rPr>
              <w:t>3</w:t>
            </w:r>
            <w:r>
              <w:rPr>
                <w:rFonts w:ascii="Arabic Typesetting" w:hAnsi="Arabic Typesetting" w:cs="Arabic Typesetting"/>
                <w:sz w:val="30"/>
                <w:szCs w:val="30"/>
                <w:rtl/>
              </w:rPr>
              <w:t xml:space="preserve"> إصدارات من نظام معلومات السجل الدولي</w:t>
            </w:r>
            <w:r w:rsidRPr="00063FDA">
              <w:rPr>
                <w:rFonts w:ascii="Arabic Typesetting" w:hAnsi="Arabic Typesetting" w:cs="Arabic Typesetting"/>
                <w:sz w:val="30"/>
                <w:szCs w:val="30"/>
                <w:rtl/>
              </w:rPr>
              <w:t xml:space="preserve"> للتصاميم (</w:t>
            </w:r>
            <w:r w:rsidRPr="00063FDA">
              <w:rPr>
                <w:rFonts w:ascii="Arabic Typesetting" w:hAnsi="Arabic Typesetting" w:cs="Arabic Typesetting"/>
                <w:sz w:val="30"/>
                <w:szCs w:val="30"/>
              </w:rPr>
              <w:t>DIRIS</w:t>
            </w:r>
            <w:r w:rsidRPr="00063FDA">
              <w:rPr>
                <w:rFonts w:ascii="Arabic Typesetting" w:hAnsi="Arabic Typesetting" w:cs="Arabic Typesetting"/>
                <w:sz w:val="30"/>
                <w:szCs w:val="30"/>
                <w:rtl/>
              </w:rPr>
              <w:t xml:space="preserve">) </w:t>
            </w:r>
            <w:r>
              <w:rPr>
                <w:rFonts w:ascii="Arabic Typesetting" w:hAnsi="Arabic Typesetting" w:cs="Arabic Typesetting" w:hint="cs"/>
                <w:sz w:val="30"/>
                <w:szCs w:val="30"/>
                <w:rtl/>
              </w:rPr>
              <w:t>منشورة، و</w:t>
            </w:r>
            <w:r w:rsidRPr="00063FDA">
              <w:rPr>
                <w:rFonts w:ascii="Arabic Typesetting" w:hAnsi="Arabic Typesetting" w:cs="Arabic Typesetting"/>
                <w:sz w:val="30"/>
                <w:szCs w:val="30"/>
                <w:rtl/>
              </w:rPr>
              <w:t>3 إصدارات من نظام لاهاي للإيداع الإلكتروني</w:t>
            </w:r>
            <w:r>
              <w:rPr>
                <w:rFonts w:ascii="Arabic Typesetting" w:hAnsi="Arabic Typesetting" w:cs="Arabic Typesetting" w:hint="cs"/>
                <w:sz w:val="30"/>
                <w:szCs w:val="30"/>
                <w:rtl/>
              </w:rPr>
              <w:t xml:space="preserve"> منشورة</w:t>
            </w:r>
          </w:p>
        </w:tc>
        <w:tc>
          <w:tcPr>
            <w:tcW w:w="1095" w:type="pct"/>
            <w:shd w:val="clear" w:color="auto" w:fill="FFFFFF"/>
            <w:tcMar>
              <w:top w:w="113" w:type="dxa"/>
            </w:tcMar>
          </w:tcPr>
          <w:p w:rsidR="00AA5376" w:rsidRPr="008954A8" w:rsidRDefault="00AA5376" w:rsidP="002C3C33">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ال</w:t>
            </w:r>
            <w:r>
              <w:rPr>
                <w:rFonts w:ascii="Arabic Typesetting" w:hAnsi="Arabic Typesetting" w:cs="Arabic Typesetting"/>
                <w:sz w:val="30"/>
                <w:szCs w:val="30"/>
                <w:rtl/>
              </w:rPr>
              <w:t xml:space="preserve">نظام </w:t>
            </w:r>
            <w:r w:rsidRPr="00F66BA5">
              <w:rPr>
                <w:rFonts w:ascii="Arabic Typesetting" w:hAnsi="Arabic Typesetting" w:cs="Arabic Typesetting"/>
                <w:sz w:val="30"/>
                <w:szCs w:val="30"/>
                <w:rtl/>
              </w:rPr>
              <w:t>(</w:t>
            </w:r>
            <w:r w:rsidRPr="00F66BA5">
              <w:rPr>
                <w:rFonts w:ascii="Arabic Typesetting" w:hAnsi="Arabic Typesetting" w:cs="Arabic Typesetting"/>
                <w:sz w:val="30"/>
                <w:szCs w:val="30"/>
              </w:rPr>
              <w:t>DIRIS</w:t>
            </w:r>
            <w:r w:rsidRPr="00F66BA5">
              <w:rPr>
                <w:rFonts w:ascii="Arabic Typesetting" w:hAnsi="Arabic Typesetting" w:cs="Arabic Typesetting"/>
                <w:sz w:val="30"/>
                <w:szCs w:val="30"/>
                <w:rtl/>
              </w:rPr>
              <w:t>)</w:t>
            </w:r>
            <w:r>
              <w:rPr>
                <w:rFonts w:ascii="Arabic Typesetting" w:hAnsi="Arabic Typesetting" w:cs="Arabic Typesetting" w:hint="cs"/>
                <w:sz w:val="30"/>
                <w:szCs w:val="30"/>
                <w:rtl/>
              </w:rPr>
              <w:t xml:space="preserve"> غير منشور</w:t>
            </w:r>
            <w:r w:rsidRPr="00F66BA5">
              <w:rPr>
                <w:rFonts w:ascii="Arabic Typesetting" w:hAnsi="Arabic Typesetting" w:cs="Arabic Typesetting"/>
                <w:sz w:val="30"/>
                <w:szCs w:val="30"/>
                <w:rtl/>
              </w:rPr>
              <w:t>،</w:t>
            </w:r>
            <w:r>
              <w:rPr>
                <w:rFonts w:ascii="Arabic Typesetting" w:hAnsi="Arabic Typesetting" w:cs="Arabic Typesetting" w:hint="cs"/>
                <w:sz w:val="30"/>
                <w:szCs w:val="30"/>
                <w:rtl/>
              </w:rPr>
              <w:t xml:space="preserve"> نظام الإيداع الإلكتروني</w:t>
            </w:r>
            <w:r>
              <w:rPr>
                <w:rFonts w:ascii="Arabic Typesetting" w:hAnsi="Arabic Typesetting" w:cs="Arabic Typesetting"/>
                <w:sz w:val="30"/>
                <w:szCs w:val="30"/>
                <w:rtl/>
              </w:rPr>
              <w:br/>
            </w:r>
            <w:r>
              <w:rPr>
                <w:rFonts w:ascii="Arabic Typesetting" w:hAnsi="Arabic Typesetting" w:cs="Arabic Typesetting"/>
                <w:sz w:val="30"/>
                <w:szCs w:val="30"/>
              </w:rPr>
              <w:t>(</w:t>
            </w:r>
            <w:r w:rsidRPr="00F66BA5">
              <w:rPr>
                <w:rFonts w:ascii="Arabic Typesetting" w:hAnsi="Arabic Typesetting" w:cs="Arabic Typesetting"/>
                <w:sz w:val="30"/>
                <w:szCs w:val="30"/>
              </w:rPr>
              <w:t>e-Filing HPM</w:t>
            </w:r>
            <w:r>
              <w:rPr>
                <w:rFonts w:ascii="Arabic Typesetting" w:hAnsi="Arabic Typesetting" w:cs="Arabic Typesetting"/>
                <w:sz w:val="30"/>
                <w:szCs w:val="30"/>
              </w:rPr>
              <w:t>)</w:t>
            </w:r>
            <w:r>
              <w:rPr>
                <w:rFonts w:ascii="Arabic Typesetting" w:hAnsi="Arabic Typesetting" w:cs="Arabic Typesetting" w:hint="cs"/>
                <w:sz w:val="30"/>
                <w:szCs w:val="30"/>
                <w:rtl/>
              </w:rPr>
              <w:t xml:space="preserve"> قيد الإنتاج</w:t>
            </w:r>
            <w:r w:rsidRPr="00F66BA5">
              <w:rPr>
                <w:rFonts w:ascii="Arabic Typesetting" w:hAnsi="Arabic Typesetting" w:cs="Arabic Typesetting"/>
                <w:sz w:val="30"/>
                <w:szCs w:val="30"/>
                <w:rtl/>
              </w:rPr>
              <w:t>، والتصميم الحالي لقاعدة البيانات لا يعكس التفاصيل المطلوبة حديثاً، والإيداع الإلكتروني لا يسمح بالرد الإلكتروني على خطابات المخالفات</w:t>
            </w:r>
          </w:p>
        </w:tc>
        <w:tc>
          <w:tcPr>
            <w:tcW w:w="1073" w:type="pct"/>
            <w:shd w:val="clear" w:color="auto" w:fill="auto"/>
            <w:tcMar>
              <w:top w:w="113" w:type="dxa"/>
            </w:tcMar>
          </w:tcPr>
          <w:p w:rsidR="00AA5376" w:rsidRPr="008954A8" w:rsidRDefault="00AA5376" w:rsidP="002C3C33">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F66BA5">
              <w:rPr>
                <w:rFonts w:ascii="Arabic Typesetting" w:hAnsi="Arabic Typesetting" w:cs="Arabic Typesetting"/>
                <w:b/>
                <w:sz w:val="30"/>
                <w:szCs w:val="30"/>
                <w:rtl/>
              </w:rPr>
              <w:t xml:space="preserve">3 إصدارات جديدة من </w:t>
            </w:r>
            <w:r>
              <w:rPr>
                <w:rFonts w:ascii="Arabic Typesetting" w:hAnsi="Arabic Typesetting" w:cs="Arabic Typesetting" w:hint="cs"/>
                <w:b/>
                <w:sz w:val="30"/>
                <w:szCs w:val="30"/>
                <w:rtl/>
              </w:rPr>
              <w:t>ال</w:t>
            </w:r>
            <w:r w:rsidRPr="00F66BA5">
              <w:rPr>
                <w:rFonts w:ascii="Arabic Typesetting" w:hAnsi="Arabic Typesetting" w:cs="Arabic Typesetting"/>
                <w:b/>
                <w:sz w:val="30"/>
                <w:szCs w:val="30"/>
                <w:rtl/>
              </w:rPr>
              <w:t>نظام (</w:t>
            </w:r>
            <w:r w:rsidRPr="00F66BA5">
              <w:rPr>
                <w:rFonts w:ascii="Arabic Typesetting" w:hAnsi="Arabic Typesetting" w:cs="Arabic Typesetting"/>
                <w:sz w:val="30"/>
                <w:szCs w:val="30"/>
              </w:rPr>
              <w:t>DIRIS</w:t>
            </w:r>
            <w:r w:rsidRPr="00F66BA5">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منشورة و</w:t>
            </w:r>
            <w:r w:rsidRPr="00F66BA5">
              <w:rPr>
                <w:rFonts w:ascii="Arabic Typesetting" w:hAnsi="Arabic Typesetting" w:cs="Arabic Typesetting"/>
                <w:b/>
                <w:sz w:val="30"/>
                <w:szCs w:val="30"/>
                <w:rtl/>
              </w:rPr>
              <w:t xml:space="preserve">3 إصدارات مُحدَّثة من نظام </w:t>
            </w:r>
            <w:r>
              <w:rPr>
                <w:rFonts w:ascii="Arabic Typesetting" w:hAnsi="Arabic Typesetting" w:cs="Arabic Typesetting" w:hint="cs"/>
                <w:b/>
                <w:sz w:val="30"/>
                <w:szCs w:val="30"/>
                <w:rtl/>
              </w:rPr>
              <w:t>ا</w:t>
            </w:r>
            <w:r w:rsidRPr="00F66BA5">
              <w:rPr>
                <w:rFonts w:ascii="Arabic Typesetting" w:hAnsi="Arabic Typesetting" w:cs="Arabic Typesetting"/>
                <w:b/>
                <w:sz w:val="30"/>
                <w:szCs w:val="30"/>
                <w:rtl/>
              </w:rPr>
              <w:t>لإيداع الإلكتروني</w:t>
            </w:r>
            <w:r>
              <w:rPr>
                <w:rFonts w:ascii="Arabic Typesetting" w:hAnsi="Arabic Typesetting" w:cs="Arabic Typesetting" w:hint="cs"/>
                <w:b/>
                <w:sz w:val="30"/>
                <w:szCs w:val="30"/>
                <w:rtl/>
              </w:rPr>
              <w:t xml:space="preserve"> منشورة</w:t>
            </w:r>
            <w:r w:rsidRPr="00F66BA5">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و</w:t>
            </w:r>
            <w:r w:rsidRPr="00F66BA5">
              <w:rPr>
                <w:rFonts w:ascii="Arabic Typesetting" w:hAnsi="Arabic Typesetting" w:cs="Arabic Typesetting"/>
                <w:b/>
                <w:sz w:val="30"/>
                <w:szCs w:val="30"/>
                <w:rtl/>
              </w:rPr>
              <w:t>الرد الإلكتروني على المخالفات</w:t>
            </w:r>
            <w:r>
              <w:rPr>
                <w:rFonts w:ascii="Arabic Typesetting" w:hAnsi="Arabic Typesetting" w:cs="Arabic Typesetting" w:hint="cs"/>
                <w:b/>
                <w:sz w:val="30"/>
                <w:szCs w:val="30"/>
                <w:rtl/>
              </w:rPr>
              <w:t xml:space="preserve"> ممكن</w:t>
            </w:r>
            <w:r w:rsidRPr="00F66BA5">
              <w:rPr>
                <w:rFonts w:ascii="Arabic Typesetting" w:hAnsi="Arabic Typesetting" w:cs="Arabic Typesetting"/>
                <w:b/>
                <w:sz w:val="30"/>
                <w:szCs w:val="30"/>
                <w:rtl/>
              </w:rPr>
              <w:t>، وتصميم منطقي م</w:t>
            </w:r>
            <w:r>
              <w:rPr>
                <w:rFonts w:ascii="Arabic Typesetting" w:hAnsi="Arabic Typesetting" w:cs="Arabic Typesetting" w:hint="cs"/>
                <w:b/>
                <w:sz w:val="30"/>
                <w:szCs w:val="30"/>
                <w:rtl/>
              </w:rPr>
              <w:t>ُ</w:t>
            </w:r>
            <w:r w:rsidRPr="00F66BA5">
              <w:rPr>
                <w:rFonts w:ascii="Arabic Typesetting" w:hAnsi="Arabic Typesetting" w:cs="Arabic Typesetting"/>
                <w:b/>
                <w:sz w:val="30"/>
                <w:szCs w:val="30"/>
                <w:rtl/>
              </w:rPr>
              <w:t>نق</w:t>
            </w:r>
            <w:r>
              <w:rPr>
                <w:rFonts w:ascii="Arabic Typesetting" w:hAnsi="Arabic Typesetting" w:cs="Arabic Typesetting" w:hint="cs"/>
                <w:b/>
                <w:sz w:val="30"/>
                <w:szCs w:val="30"/>
                <w:rtl/>
              </w:rPr>
              <w:t>َّ</w:t>
            </w:r>
            <w:r w:rsidRPr="00F66BA5">
              <w:rPr>
                <w:rFonts w:ascii="Arabic Typesetting" w:hAnsi="Arabic Typesetting" w:cs="Arabic Typesetting"/>
                <w:b/>
                <w:sz w:val="30"/>
                <w:szCs w:val="30"/>
                <w:rtl/>
              </w:rPr>
              <w:t>ح لقاعدة البيانات</w:t>
            </w:r>
          </w:p>
        </w:tc>
      </w:tr>
    </w:tbl>
    <w:p w:rsidR="00AA5376" w:rsidRPr="008954A8" w:rsidRDefault="00AA5376" w:rsidP="002C3C33">
      <w:pPr>
        <w:adjustRightInd w:val="0"/>
        <w:snapToGrid w:val="0"/>
        <w:spacing w:after="240" w:line="360" w:lineRule="exact"/>
        <w:rPr>
          <w:rFonts w:ascii="Arabic Typesetting" w:hAnsi="Arabic Typesetting" w:cs="Arabic Typesetting"/>
          <w:szCs w:val="34"/>
        </w:rPr>
      </w:pPr>
    </w:p>
    <w:p w:rsidR="00AA5376" w:rsidRDefault="00AA5376" w:rsidP="002C3C33">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954A8">
        <w:rPr>
          <w:rFonts w:ascii="Arabic Typesetting" w:hAnsi="Arabic Typesetting" w:cs="Arabic Typesetting"/>
          <w:noProof/>
          <w:sz w:val="38"/>
          <w:szCs w:val="38"/>
          <w:rtl/>
        </w:rPr>
        <w:t>الموارد المخصصة للبرنامج 31</w:t>
      </w:r>
    </w:p>
    <w:p w:rsidR="00AA5376" w:rsidRDefault="00AA5376" w:rsidP="00861CFF">
      <w:pPr>
        <w:numPr>
          <w:ilvl w:val="0"/>
          <w:numId w:val="19"/>
        </w:numPr>
        <w:tabs>
          <w:tab w:val="clear" w:pos="680"/>
        </w:tabs>
        <w:adjustRightInd w:val="0"/>
        <w:snapToGrid w:val="0"/>
        <w:spacing w:after="120" w:line="340" w:lineRule="exact"/>
        <w:jc w:val="both"/>
        <w:rPr>
          <w:rFonts w:ascii="Arabic Typesetting" w:hAnsi="Arabic Typesetting" w:cs="Arabic Typesetting"/>
          <w:noProof/>
          <w:szCs w:val="34"/>
        </w:rPr>
      </w:pPr>
      <w:r>
        <w:rPr>
          <w:rFonts w:ascii="Arabic Typesetting" w:hAnsi="Arabic Typesetting" w:cs="Arabic Typesetting" w:hint="cs"/>
          <w:noProof/>
          <w:szCs w:val="34"/>
          <w:rtl/>
        </w:rPr>
        <w:t xml:space="preserve">يُلاحظ انخفاض طفيف في إجمالي الموارد المخصصة لنظام لاهاي في الثنائية 2016/17 مقارنة بميزانية 2014/15 بعد التحويلات. ويُعزى الانخفاض في موارد الموظفين إلى تغير </w:t>
      </w:r>
      <w:r w:rsidRPr="00E85C5E">
        <w:rPr>
          <w:rFonts w:ascii="Arabic Typesetting" w:hAnsi="Arabic Typesetting" w:cs="Arabic Typesetting" w:hint="cs"/>
          <w:noProof/>
          <w:szCs w:val="34"/>
          <w:rtl/>
        </w:rPr>
        <w:t>في منهجية حساب التكاليف الخاصة بموارد الموظفين في الثنائية</w:t>
      </w:r>
      <w:r>
        <w:rPr>
          <w:rFonts w:ascii="Arabic Typesetting" w:hAnsi="Arabic Typesetting" w:cs="Arabic Typesetting" w:hint="eastAsia"/>
          <w:noProof/>
          <w:szCs w:val="34"/>
          <w:rtl/>
        </w:rPr>
        <w:t> </w:t>
      </w:r>
      <w:r w:rsidRPr="00E85C5E">
        <w:rPr>
          <w:rFonts w:ascii="Arabic Typesetting" w:hAnsi="Arabic Typesetting" w:cs="Arabic Typesetting" w:hint="cs"/>
          <w:noProof/>
          <w:szCs w:val="34"/>
          <w:rtl/>
        </w:rPr>
        <w:t>2016/17 استنادا إلى المبالغ الفعلية</w:t>
      </w:r>
      <w:r>
        <w:rPr>
          <w:rFonts w:ascii="Arabic Typesetting" w:hAnsi="Arabic Typesetting" w:cs="Arabic Typesetting" w:hint="cs"/>
          <w:noProof/>
          <w:szCs w:val="34"/>
          <w:rtl/>
        </w:rPr>
        <w:t>. وأعيدت تسوية خلاف موارد الموظفين للبرنامج استنادا إلى أنماط الإنفاق في الثنائية</w:t>
      </w:r>
      <w:r>
        <w:rPr>
          <w:rFonts w:ascii="Arabic Typesetting" w:hAnsi="Arabic Typesetting" w:cs="Arabic Typesetting" w:hint="eastAsia"/>
          <w:noProof/>
          <w:szCs w:val="34"/>
          <w:rtl/>
        </w:rPr>
        <w:t> </w:t>
      </w:r>
      <w:r>
        <w:rPr>
          <w:rFonts w:ascii="Arabic Typesetting" w:hAnsi="Arabic Typesetting" w:cs="Arabic Typesetting" w:hint="cs"/>
          <w:noProof/>
          <w:szCs w:val="34"/>
          <w:rtl/>
        </w:rPr>
        <w:t>2014/15.</w:t>
      </w:r>
    </w:p>
    <w:p w:rsidR="00AA5376" w:rsidRPr="0055018B" w:rsidRDefault="00AA5376" w:rsidP="002C3C33">
      <w:pPr>
        <w:pStyle w:val="ARNormal"/>
        <w:keepNext/>
        <w:spacing w:after="0"/>
        <w:jc w:val="center"/>
        <w:rPr>
          <w:b/>
          <w:bCs/>
          <w:rtl/>
        </w:rPr>
      </w:pPr>
      <w:r w:rsidRPr="0055018B">
        <w:rPr>
          <w:b/>
          <w:bCs/>
          <w:rtl/>
        </w:rPr>
        <w:t xml:space="preserve">البرنامج </w:t>
      </w:r>
      <w:r>
        <w:rPr>
          <w:rFonts w:hint="cs"/>
          <w:b/>
          <w:bCs/>
          <w:rtl/>
        </w:rPr>
        <w:t>31</w:t>
      </w:r>
      <w:r w:rsidRPr="0055018B">
        <w:rPr>
          <w:b/>
          <w:bCs/>
          <w:rtl/>
        </w:rPr>
        <w:t>: الموارد بحسب كل نتيجة</w:t>
      </w:r>
    </w:p>
    <w:p w:rsidR="00AA5376" w:rsidRDefault="00AA5376" w:rsidP="002C3C33">
      <w:pPr>
        <w:pStyle w:val="ARNormal"/>
        <w:spacing w:after="0"/>
        <w:jc w:val="center"/>
        <w:rPr>
          <w:i/>
          <w:iCs/>
          <w:rtl/>
        </w:rPr>
      </w:pPr>
      <w:r w:rsidRPr="0055018B">
        <w:rPr>
          <w:i/>
          <w:iCs/>
          <w:rtl/>
        </w:rPr>
        <w:t>(بآلاف الفرنكات السويسرية)</w:t>
      </w:r>
    </w:p>
    <w:p w:rsidR="00AA5376" w:rsidRDefault="00AA5376" w:rsidP="00AA5376">
      <w:pPr>
        <w:spacing w:after="240"/>
        <w:jc w:val="center"/>
        <w:rPr>
          <w:rFonts w:ascii="Arabic Typesetting" w:hAnsi="Arabic Typesetting" w:cs="Arabic Typesetting"/>
          <w:sz w:val="34"/>
          <w:szCs w:val="34"/>
          <w:rtl/>
        </w:rPr>
      </w:pPr>
      <w:r w:rsidRPr="00AA5376">
        <w:rPr>
          <w:noProof/>
          <w:szCs w:val="20"/>
          <w:rtl/>
          <w:lang w:bidi="ar-SA"/>
        </w:rPr>
        <w:drawing>
          <wp:inline distT="0" distB="0" distL="0" distR="0" wp14:anchorId="310CE677" wp14:editId="56F23640">
            <wp:extent cx="5676900" cy="146685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76900" cy="1466850"/>
                    </a:xfrm>
                    <a:prstGeom prst="rect">
                      <a:avLst/>
                    </a:prstGeom>
                    <a:noFill/>
                    <a:ln>
                      <a:noFill/>
                    </a:ln>
                  </pic:spPr>
                </pic:pic>
              </a:graphicData>
            </a:graphic>
          </wp:inline>
        </w:drawing>
      </w:r>
    </w:p>
    <w:p w:rsidR="00AA5376" w:rsidRDefault="00AA5376">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AA5376" w:rsidRPr="00E41DA4" w:rsidRDefault="00AA5376" w:rsidP="002C3C33">
      <w:pPr>
        <w:pStyle w:val="ARNormal"/>
        <w:keepNext/>
        <w:spacing w:after="0"/>
        <w:jc w:val="center"/>
        <w:rPr>
          <w:b/>
          <w:bCs/>
          <w:rtl/>
        </w:rPr>
      </w:pPr>
      <w:r w:rsidRPr="00E41DA4">
        <w:rPr>
          <w:rFonts w:hint="cs"/>
          <w:b/>
          <w:bCs/>
          <w:rtl/>
        </w:rPr>
        <w:lastRenderedPageBreak/>
        <w:t xml:space="preserve">البرنامج </w:t>
      </w:r>
      <w:r>
        <w:rPr>
          <w:rFonts w:hint="cs"/>
          <w:b/>
          <w:bCs/>
          <w:rtl/>
        </w:rPr>
        <w:t>31</w:t>
      </w:r>
      <w:r w:rsidRPr="00E41DA4">
        <w:rPr>
          <w:rFonts w:hint="cs"/>
          <w:b/>
          <w:bCs/>
          <w:rtl/>
        </w:rPr>
        <w:t>: الموارد بحسب غرض الإنفاق</w:t>
      </w:r>
    </w:p>
    <w:p w:rsidR="00AA5376" w:rsidRPr="00E41DA4" w:rsidRDefault="00AA5376" w:rsidP="002C3C33">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AA5376" w:rsidRPr="0055018B" w:rsidRDefault="00AA5376" w:rsidP="00AA5376">
      <w:pPr>
        <w:spacing w:after="240"/>
        <w:jc w:val="center"/>
        <w:rPr>
          <w:rFonts w:ascii="Arabic Typesetting" w:hAnsi="Arabic Typesetting" w:cs="Arabic Typesetting"/>
          <w:sz w:val="34"/>
          <w:szCs w:val="34"/>
          <w:rtl/>
        </w:rPr>
      </w:pPr>
      <w:r w:rsidRPr="00AA5376">
        <w:rPr>
          <w:noProof/>
          <w:szCs w:val="20"/>
          <w:rtl/>
          <w:lang w:bidi="ar-SA"/>
        </w:rPr>
        <w:drawing>
          <wp:inline distT="0" distB="0" distL="0" distR="0" wp14:anchorId="251818FB" wp14:editId="288325F5">
            <wp:extent cx="5514975" cy="635317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lang w:bidi="ar-EG"/>
        </w:rPr>
      </w:pPr>
    </w:p>
    <w:p w:rsidR="00431FFB" w:rsidRDefault="00431FFB">
      <w:pPr>
        <w:bidi w:val="0"/>
        <w:rPr>
          <w:rFonts w:ascii="Arabic Typesetting" w:hAnsi="Arabic Typesetting" w:cs="Arabic Typesetting"/>
          <w:sz w:val="34"/>
          <w:szCs w:val="34"/>
          <w:rtl/>
          <w:lang w:val="fr-CH"/>
        </w:rPr>
      </w:pPr>
      <w:r>
        <w:rPr>
          <w:rtl/>
        </w:rPr>
        <w:br w:type="page"/>
      </w:r>
    </w:p>
    <w:p w:rsidR="00431FFB" w:rsidRPr="00431FFB" w:rsidRDefault="005135F6" w:rsidP="00431FFB">
      <w:pPr>
        <w:pStyle w:val="StyleStyleHeading3ComplexItalicLatin12pt"/>
        <w:tabs>
          <w:tab w:val="clear" w:pos="1985"/>
          <w:tab w:val="left" w:pos="1615"/>
        </w:tabs>
        <w:adjustRightInd w:val="0"/>
        <w:snapToGrid w:val="0"/>
        <w:spacing w:after="240" w:line="360" w:lineRule="exact"/>
        <w:rPr>
          <w:rFonts w:ascii="Arabic Typesetting" w:hAnsi="Arabic Typesetting" w:cs="Arabic Typesetting"/>
          <w:bCs/>
          <w:iCs w:val="0"/>
          <w:noProof/>
          <w:sz w:val="42"/>
          <w:szCs w:val="42"/>
          <w:rtl/>
        </w:rPr>
      </w:pPr>
      <w:r>
        <w:rPr>
          <w:rFonts w:ascii="Arabic Typesetting" w:hAnsi="Arabic Typesetting" w:cs="Arabic Typesetting" w:hint="cs"/>
          <w:bCs/>
          <w:iCs w:val="0"/>
          <w:noProof/>
          <w:sz w:val="42"/>
          <w:szCs w:val="42"/>
          <w:rtl/>
        </w:rPr>
        <w:lastRenderedPageBreak/>
        <w:t>البرنامج 32</w:t>
      </w:r>
      <w:r>
        <w:rPr>
          <w:rFonts w:ascii="Arabic Typesetting" w:hAnsi="Arabic Typesetting" w:cs="Arabic Typesetting" w:hint="cs"/>
          <w:bCs/>
          <w:iCs w:val="0"/>
          <w:noProof/>
          <w:sz w:val="42"/>
          <w:szCs w:val="42"/>
          <w:rtl/>
        </w:rPr>
        <w:tab/>
      </w:r>
      <w:r w:rsidR="00431FFB" w:rsidRPr="00431FFB">
        <w:rPr>
          <w:rFonts w:ascii="Arabic Typesetting" w:hAnsi="Arabic Typesetting" w:cs="Arabic Typesetting"/>
          <w:bCs/>
          <w:iCs w:val="0"/>
          <w:noProof/>
          <w:sz w:val="42"/>
          <w:szCs w:val="42"/>
          <w:rtl/>
        </w:rPr>
        <w:t>نظام لشبونة</w:t>
      </w:r>
    </w:p>
    <w:p w:rsidR="00431FFB" w:rsidRPr="00431FFB" w:rsidRDefault="00431FFB" w:rsidP="00431FF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31FFB">
        <w:rPr>
          <w:rFonts w:ascii="Arabic Typesetting" w:hAnsi="Arabic Typesetting" w:cs="Arabic Typesetting"/>
          <w:noProof/>
          <w:sz w:val="38"/>
          <w:szCs w:val="38"/>
          <w:rtl/>
        </w:rPr>
        <w:t>سياق التخطيط</w:t>
      </w:r>
    </w:p>
    <w:p w:rsidR="00431FFB" w:rsidRPr="00431FFB" w:rsidRDefault="00431FFB" w:rsidP="00431FFB">
      <w:pPr>
        <w:numPr>
          <w:ilvl w:val="0"/>
          <w:numId w:val="61"/>
        </w:numPr>
        <w:adjustRightInd w:val="0"/>
        <w:snapToGrid w:val="0"/>
        <w:spacing w:after="120" w:line="340" w:lineRule="exact"/>
        <w:jc w:val="both"/>
        <w:rPr>
          <w:rFonts w:ascii="Arabic Typesetting" w:hAnsi="Arabic Typesetting" w:cs="Arabic Typesetting"/>
          <w:noProof/>
          <w:szCs w:val="34"/>
          <w:rtl/>
        </w:rPr>
      </w:pPr>
      <w:r w:rsidRPr="00431FFB">
        <w:rPr>
          <w:rFonts w:ascii="Arabic Typesetting" w:hAnsi="Arabic Typesetting" w:cs="Arabic Typesetting"/>
          <w:noProof/>
          <w:szCs w:val="34"/>
          <w:rtl/>
        </w:rPr>
        <w:t>سوف ينصب التركيز الرئيسي فيما يتعلق بنظام لشبونة على الإدارة الفعالة للسجل الدولي لتسميات المنشأ، والاستعداد لاحتمال دخول وثيقة جنيف لاتفاق لشبونة بشأن تسميات المنشأ والبيانات الجغرافية ("وثيقة جنيف") حيز النفاذ.</w:t>
      </w:r>
    </w:p>
    <w:p w:rsidR="00431FFB" w:rsidRPr="00431FFB" w:rsidRDefault="00431FFB" w:rsidP="00302EBB">
      <w:pPr>
        <w:pStyle w:val="BodyTextIndent"/>
        <w:keepNext/>
        <w:bidi/>
        <w:adjustRightInd w:val="0"/>
        <w:snapToGrid w:val="0"/>
        <w:spacing w:before="240" w:after="240" w:line="360" w:lineRule="exact"/>
        <w:ind w:left="0"/>
        <w:jc w:val="both"/>
        <w:rPr>
          <w:rFonts w:ascii="Arabic Typesetting" w:hAnsi="Arabic Typesetting" w:cs="Arabic Typesetting"/>
          <w:noProof/>
          <w:sz w:val="38"/>
          <w:szCs w:val="38"/>
          <w:rtl/>
        </w:rPr>
      </w:pPr>
      <w:r w:rsidRPr="00431FFB">
        <w:rPr>
          <w:rFonts w:ascii="Arabic Typesetting" w:hAnsi="Arabic Typesetting" w:cs="Arabic Typesetting"/>
          <w:noProof/>
          <w:sz w:val="38"/>
          <w:szCs w:val="38"/>
          <w:rtl/>
        </w:rPr>
        <w:t>استراتيجيات التنفيذ</w:t>
      </w:r>
    </w:p>
    <w:p w:rsidR="00431FFB" w:rsidRPr="00431FFB" w:rsidRDefault="00431FFB" w:rsidP="00431FFB">
      <w:pPr>
        <w:numPr>
          <w:ilvl w:val="0"/>
          <w:numId w:val="61"/>
        </w:numPr>
        <w:adjustRightInd w:val="0"/>
        <w:snapToGrid w:val="0"/>
        <w:spacing w:after="120" w:line="340" w:lineRule="exact"/>
        <w:jc w:val="both"/>
        <w:rPr>
          <w:rFonts w:ascii="Arabic Typesetting" w:hAnsi="Arabic Typesetting" w:cs="Arabic Typesetting"/>
          <w:noProof/>
          <w:szCs w:val="34"/>
          <w:rtl/>
        </w:rPr>
      </w:pPr>
      <w:r w:rsidRPr="00431FFB">
        <w:rPr>
          <w:rFonts w:ascii="Arabic Typesetting" w:hAnsi="Arabic Typesetting" w:cs="Arabic Typesetting"/>
          <w:noProof/>
          <w:szCs w:val="34"/>
          <w:rtl/>
        </w:rPr>
        <w:t>من المتوقع أن تُمهِّد وثيقة جنيف الطريقَ لزيادةٍ كبيرةٍ في أعضاء اتحاد لشبونة. ورغم أن معدل الانضمام يصعب التنبؤ به، فإن دخول وثيقة جنيف حيز النفاذ قد يحدث بالفعل خلال هذه الثنائية أو بعدها بوقت قصير. ولذلك لا بد من القيام بتحضيرات اعتماد اللائحة التنفيذية المشتركة بمقتضى الصكين، لأن وثيقة جنيف سوف توجد جنباً إلى جنب مع اتفاق لشبونة الحالي ما دامت جميع الدول الأعضاء في اتفاق لشبونة الحالي لم تنضم إلى وثيقة جنيف.</w:t>
      </w:r>
    </w:p>
    <w:p w:rsidR="00431FFB" w:rsidRPr="00431FFB" w:rsidRDefault="00431FFB" w:rsidP="00431FFB">
      <w:pPr>
        <w:numPr>
          <w:ilvl w:val="0"/>
          <w:numId w:val="61"/>
        </w:numPr>
        <w:adjustRightInd w:val="0"/>
        <w:snapToGrid w:val="0"/>
        <w:spacing w:after="120" w:line="340" w:lineRule="exact"/>
        <w:jc w:val="both"/>
        <w:rPr>
          <w:rFonts w:ascii="Arabic Typesetting" w:hAnsi="Arabic Typesetting" w:cs="Arabic Typesetting"/>
          <w:noProof/>
          <w:szCs w:val="34"/>
          <w:rtl/>
        </w:rPr>
      </w:pPr>
      <w:r w:rsidRPr="00431FFB">
        <w:rPr>
          <w:rFonts w:ascii="Arabic Typesetting" w:hAnsi="Arabic Typesetting" w:cs="Arabic Typesetting"/>
          <w:noProof/>
          <w:szCs w:val="34"/>
          <w:rtl/>
        </w:rPr>
        <w:t>وإعداد لائحة تنفيذية مشتركة مستقبلية سوف يوفر أيضاً فرصةً لمراجعة الإجراءات الإدارية الحالية مراجعةً نقديةً ومواصلة تطوير أدوات الإخطار والنشر الإلكترونية لتحقيق أقصى قدر من الكفاءة.</w:t>
      </w:r>
    </w:p>
    <w:p w:rsidR="00431FFB" w:rsidRPr="00431FFB" w:rsidRDefault="00431FFB" w:rsidP="00431FFB">
      <w:pPr>
        <w:numPr>
          <w:ilvl w:val="0"/>
          <w:numId w:val="61"/>
        </w:numPr>
        <w:adjustRightInd w:val="0"/>
        <w:snapToGrid w:val="0"/>
        <w:spacing w:after="120" w:line="340" w:lineRule="exact"/>
        <w:jc w:val="both"/>
        <w:rPr>
          <w:rFonts w:ascii="Arabic Typesetting" w:hAnsi="Arabic Typesetting" w:cs="Arabic Typesetting"/>
          <w:noProof/>
          <w:szCs w:val="34"/>
          <w:rtl/>
        </w:rPr>
      </w:pPr>
      <w:r w:rsidRPr="00431FFB">
        <w:rPr>
          <w:rFonts w:ascii="Arabic Typesetting" w:hAnsi="Arabic Typesetting" w:cs="Arabic Typesetting"/>
          <w:noProof/>
          <w:szCs w:val="34"/>
          <w:rtl/>
        </w:rPr>
        <w:t>وإضافةً إلى ذلك، سوف تُقدَّم المساعدة التقنية إلى الدول الأعضاء والمنظمات الإقليمية ذات الصلة – لا سيما إلى البلدان النامية والبلدان الأقل نمواً – المهتمة بالانضمام إلى نظام لشبونة. وفي هذا السياق أيضاً، سوف تُقام أنشطة التوعية والأنشطة التدريبية الإضافية لمواصلة الترويج لاستخدام النظام.</w:t>
      </w:r>
    </w:p>
    <w:p w:rsidR="00431FFB" w:rsidRDefault="00431FFB" w:rsidP="00431FFB">
      <w:pPr>
        <w:numPr>
          <w:ilvl w:val="0"/>
          <w:numId w:val="61"/>
        </w:numPr>
        <w:adjustRightInd w:val="0"/>
        <w:snapToGrid w:val="0"/>
        <w:spacing w:after="120" w:line="340" w:lineRule="exact"/>
        <w:jc w:val="both"/>
        <w:rPr>
          <w:rFonts w:ascii="Arabic Typesetting" w:hAnsi="Arabic Typesetting" w:cs="Arabic Typesetting"/>
          <w:noProof/>
          <w:szCs w:val="34"/>
        </w:rPr>
      </w:pPr>
      <w:r w:rsidRPr="00431FFB">
        <w:rPr>
          <w:rFonts w:ascii="Arabic Typesetting" w:hAnsi="Arabic Typesetting" w:cs="Arabic Typesetting"/>
          <w:noProof/>
          <w:szCs w:val="34"/>
          <w:rtl/>
        </w:rPr>
        <w:t>وقد بلغ متوسط عدد الطلبات الدولية وغيرها من التماسات القيد في السجل الدولي بمقتضى نظام لشبونة منذ عام 1967 ما يقرب من 25 معاملةً من ذلك القبيل سنوياً، وإن كانت هناك تفاوتات كبيرة بين السنوات (على سبيل المثال، وردت سبعة التماسات لقيد المعاملات في عام 2009 و596 التماساً في عام 2007). وارتفع عدد المعاملات ارتفاعاً كبيراً في عام 2014 (121)، ومن المتوقع أيضاً أن يكون أعلى من المتوسط في عام 2015. وتشير التقديرات إلى أن ارتفاع مستوى نشاط التسجيل سوف يستمر في السنوات القادمة؛ نظراً لاحتمال دخول وثيقة جنيف حيز النفاذ وانضمام مزيد من البلدان.</w:t>
      </w:r>
    </w:p>
    <w:p w:rsidR="005135F6" w:rsidRDefault="005135F6" w:rsidP="005135F6">
      <w:pPr>
        <w:numPr>
          <w:ilvl w:val="0"/>
          <w:numId w:val="61"/>
        </w:numPr>
        <w:adjustRightInd w:val="0"/>
        <w:snapToGrid w:val="0"/>
        <w:spacing w:after="120" w:line="340" w:lineRule="exact"/>
        <w:jc w:val="both"/>
        <w:rPr>
          <w:rFonts w:ascii="Arabic Typesetting" w:hAnsi="Arabic Typesetting" w:cs="Arabic Typesetting"/>
          <w:noProof/>
          <w:szCs w:val="34"/>
        </w:rPr>
      </w:pPr>
      <w:r w:rsidRPr="005135F6">
        <w:rPr>
          <w:rFonts w:ascii="Arabic Typesetting" w:hAnsi="Arabic Typesetting" w:cs="Arabic Typesetting"/>
          <w:noProof/>
          <w:szCs w:val="34"/>
          <w:rtl/>
        </w:rPr>
        <w:t xml:space="preserve">ويتعاون </w:t>
      </w:r>
      <w:r>
        <w:rPr>
          <w:rFonts w:ascii="Arabic Typesetting" w:hAnsi="Arabic Typesetting" w:cs="Arabic Typesetting" w:hint="cs"/>
          <w:noProof/>
          <w:szCs w:val="34"/>
          <w:rtl/>
        </w:rPr>
        <w:t xml:space="preserve">البرنامج 32 </w:t>
      </w:r>
      <w:r w:rsidRPr="005135F6">
        <w:rPr>
          <w:rFonts w:ascii="Arabic Typesetting" w:hAnsi="Arabic Typesetting" w:cs="Arabic Typesetting"/>
          <w:noProof/>
          <w:szCs w:val="34"/>
          <w:rtl/>
        </w:rPr>
        <w:t>في الأساس مع البرامج الأخرى على النحو المبيّن أدناه:</w:t>
      </w:r>
    </w:p>
    <w:p w:rsidR="005135F6" w:rsidRDefault="005F3D2A" w:rsidP="005135F6">
      <w:pPr>
        <w:adjustRightInd w:val="0"/>
        <w:snapToGrid w:val="0"/>
        <w:spacing w:after="120"/>
        <w:jc w:val="both"/>
        <w:rPr>
          <w:rFonts w:ascii="Arabic Typesetting" w:hAnsi="Arabic Typesetting" w:cs="Arabic Typesetting"/>
          <w:noProof/>
          <w:szCs w:val="34"/>
        </w:rPr>
      </w:pPr>
      <w:r>
        <w:rPr>
          <w:noProof/>
          <w:lang w:bidi="ar-SA"/>
        </w:rPr>
        <w:drawing>
          <wp:inline distT="0" distB="0" distL="0" distR="0" wp14:anchorId="4A53FA80" wp14:editId="12BDD9D1">
            <wp:extent cx="5939790" cy="1479871"/>
            <wp:effectExtent l="0" t="0" r="60960" b="0"/>
            <wp:docPr id="14"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rsidR="005135F6" w:rsidRPr="005135F6" w:rsidRDefault="005135F6" w:rsidP="005135F6">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5135F6">
        <w:rPr>
          <w:rFonts w:ascii="Arabic Typesetting" w:hAnsi="Arabic Typesetting" w:cs="Arabic Typesetting" w:hint="cs"/>
          <w:noProof/>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32"/>
        <w:gridCol w:w="2769"/>
        <w:gridCol w:w="2126"/>
        <w:gridCol w:w="2178"/>
      </w:tblGrid>
      <w:tr w:rsidR="005135F6" w:rsidRPr="008954A8" w:rsidTr="00D7216C">
        <w:trPr>
          <w:cantSplit/>
          <w:trHeight w:val="608"/>
          <w:tblHeader/>
        </w:trPr>
        <w:tc>
          <w:tcPr>
            <w:tcW w:w="1240" w:type="pct"/>
            <w:tcBorders>
              <w:top w:val="single" w:sz="4" w:space="0" w:color="auto"/>
              <w:bottom w:val="single" w:sz="4" w:space="0" w:color="auto"/>
            </w:tcBorders>
            <w:shd w:val="clear" w:color="auto" w:fill="C6D9F1"/>
            <w:vAlign w:val="center"/>
          </w:tcPr>
          <w:p w:rsidR="005135F6" w:rsidRPr="008954A8" w:rsidRDefault="005135F6" w:rsidP="00D7216C">
            <w:pPr>
              <w:keepNext/>
              <w:adjustRightInd w:val="0"/>
              <w:snapToGrid w:val="0"/>
              <w:spacing w:line="280" w:lineRule="exact"/>
              <w:rPr>
                <w:rFonts w:ascii="Arabic Typesetting" w:hAnsi="Arabic Typesetting" w:cs="Arabic Typesetting"/>
                <w:b/>
                <w:sz w:val="30"/>
                <w:szCs w:val="30"/>
              </w:rPr>
            </w:pPr>
            <w:r w:rsidRPr="008954A8">
              <w:rPr>
                <w:rFonts w:ascii="Arabic Typesetting" w:hAnsi="Arabic Typesetting" w:cs="Arabic Typesetting"/>
                <w:b/>
                <w:bCs/>
                <w:noProof/>
                <w:sz w:val="30"/>
                <w:szCs w:val="30"/>
                <w:rtl/>
              </w:rPr>
              <w:t>النتائج المرتقبة</w:t>
            </w:r>
          </w:p>
        </w:tc>
        <w:tc>
          <w:tcPr>
            <w:tcW w:w="1472" w:type="pct"/>
            <w:tcBorders>
              <w:top w:val="single" w:sz="4" w:space="0" w:color="auto"/>
              <w:bottom w:val="single" w:sz="4" w:space="0" w:color="auto"/>
            </w:tcBorders>
            <w:shd w:val="clear" w:color="auto" w:fill="C6D9F1"/>
            <w:tcMar>
              <w:top w:w="110" w:type="dxa"/>
            </w:tcMar>
            <w:vAlign w:val="center"/>
          </w:tcPr>
          <w:p w:rsidR="005135F6" w:rsidRPr="008954A8" w:rsidRDefault="005135F6" w:rsidP="00D7216C">
            <w:pPr>
              <w:keepNext/>
              <w:adjustRightInd w:val="0"/>
              <w:snapToGrid w:val="0"/>
              <w:spacing w:line="280" w:lineRule="exact"/>
              <w:rPr>
                <w:rFonts w:ascii="Arabic Typesetting" w:hAnsi="Arabic Typesetting" w:cs="Arabic Typesetting"/>
                <w:bCs/>
                <w:sz w:val="30"/>
                <w:szCs w:val="30"/>
                <w:rtl/>
              </w:rPr>
            </w:pPr>
            <w:r w:rsidRPr="008954A8">
              <w:rPr>
                <w:rFonts w:ascii="Arabic Typesetting" w:hAnsi="Arabic Typesetting" w:cs="Arabic Typesetting"/>
                <w:bCs/>
                <w:noProof/>
                <w:sz w:val="30"/>
                <w:szCs w:val="30"/>
                <w:rtl/>
              </w:rPr>
              <w:t>مؤشرات الأداء</w:t>
            </w:r>
          </w:p>
        </w:tc>
        <w:tc>
          <w:tcPr>
            <w:tcW w:w="1130" w:type="pct"/>
            <w:tcBorders>
              <w:top w:val="single" w:sz="4" w:space="0" w:color="auto"/>
              <w:bottom w:val="single" w:sz="4" w:space="0" w:color="auto"/>
            </w:tcBorders>
            <w:shd w:val="clear" w:color="auto" w:fill="C6D9F1"/>
            <w:tcMar>
              <w:top w:w="110" w:type="dxa"/>
            </w:tcMar>
            <w:vAlign w:val="center"/>
          </w:tcPr>
          <w:p w:rsidR="005135F6" w:rsidRPr="008954A8" w:rsidRDefault="005135F6" w:rsidP="00D7216C">
            <w:pPr>
              <w:keepNext/>
              <w:adjustRightInd w:val="0"/>
              <w:snapToGrid w:val="0"/>
              <w:spacing w:line="280" w:lineRule="exact"/>
              <w:rPr>
                <w:rFonts w:ascii="Arabic Typesetting" w:hAnsi="Arabic Typesetting" w:cs="Arabic Typesetting"/>
                <w:sz w:val="30"/>
                <w:szCs w:val="30"/>
              </w:rPr>
            </w:pPr>
            <w:r w:rsidRPr="008954A8">
              <w:rPr>
                <w:rFonts w:ascii="Arabic Typesetting" w:hAnsi="Arabic Typesetting" w:cs="Arabic Typesetting"/>
                <w:bCs/>
                <w:noProof/>
                <w:sz w:val="30"/>
                <w:szCs w:val="30"/>
                <w:rtl/>
              </w:rPr>
              <w:t>أسس المقارنة</w:t>
            </w:r>
          </w:p>
        </w:tc>
        <w:tc>
          <w:tcPr>
            <w:tcW w:w="1158" w:type="pct"/>
            <w:tcBorders>
              <w:top w:val="single" w:sz="4" w:space="0" w:color="auto"/>
              <w:bottom w:val="single" w:sz="4" w:space="0" w:color="auto"/>
            </w:tcBorders>
            <w:shd w:val="clear" w:color="auto" w:fill="C6D9F1"/>
            <w:tcMar>
              <w:top w:w="110" w:type="dxa"/>
            </w:tcMar>
            <w:vAlign w:val="center"/>
          </w:tcPr>
          <w:p w:rsidR="005135F6" w:rsidRPr="008954A8" w:rsidRDefault="005135F6" w:rsidP="00D7216C">
            <w:pPr>
              <w:keepNext/>
              <w:keepLines/>
              <w:tabs>
                <w:tab w:val="left" w:pos="1906"/>
              </w:tabs>
              <w:adjustRightInd w:val="0"/>
              <w:snapToGrid w:val="0"/>
              <w:spacing w:line="280" w:lineRule="exact"/>
              <w:rPr>
                <w:rFonts w:ascii="Arabic Typesetting" w:hAnsi="Arabic Typesetting" w:cs="Arabic Typesetting"/>
                <w:b/>
                <w:sz w:val="30"/>
                <w:szCs w:val="30"/>
              </w:rPr>
            </w:pPr>
            <w:r w:rsidRPr="008954A8">
              <w:rPr>
                <w:rFonts w:ascii="Arabic Typesetting" w:hAnsi="Arabic Typesetting" w:cs="Arabic Typesetting"/>
                <w:b/>
                <w:bCs/>
                <w:noProof/>
                <w:sz w:val="30"/>
                <w:szCs w:val="30"/>
                <w:rtl/>
              </w:rPr>
              <w:t>الأهداف</w:t>
            </w:r>
          </w:p>
        </w:tc>
      </w:tr>
      <w:tr w:rsidR="005135F6" w:rsidRPr="008954A8" w:rsidTr="00D7216C">
        <w:trPr>
          <w:cantSplit/>
          <w:trHeight w:val="606"/>
        </w:trPr>
        <w:tc>
          <w:tcPr>
            <w:tcW w:w="1240" w:type="pct"/>
          </w:tcPr>
          <w:p w:rsidR="005135F6" w:rsidRPr="008954A8" w:rsidRDefault="005135F6" w:rsidP="005135F6">
            <w:pPr>
              <w:adjustRightInd w:val="0"/>
              <w:snapToGrid w:val="0"/>
              <w:spacing w:line="280" w:lineRule="exact"/>
              <w:rPr>
                <w:rFonts w:ascii="Arabic Typesetting" w:hAnsi="Arabic Typesetting" w:cs="Arabic Typesetting"/>
                <w:sz w:val="30"/>
                <w:szCs w:val="30"/>
                <w:rtl/>
              </w:rPr>
            </w:pPr>
            <w:r w:rsidRPr="00414FF4">
              <w:rPr>
                <w:rFonts w:ascii="Arabic Typesetting" w:hAnsi="Arabic Typesetting" w:cs="Arabic Typesetting"/>
                <w:noProof/>
                <w:sz w:val="30"/>
                <w:szCs w:val="30"/>
                <w:rtl/>
              </w:rPr>
              <w:t>ھ</w:t>
            </w:r>
            <w:r>
              <w:rPr>
                <w:rFonts w:ascii="Arabic Typesetting" w:hAnsi="Arabic Typesetting" w:cs="Arabic Typesetting" w:hint="cs"/>
                <w:noProof/>
                <w:sz w:val="30"/>
                <w:szCs w:val="30"/>
                <w:rtl/>
              </w:rPr>
              <w:t xml:space="preserve"> 10.2</w:t>
            </w:r>
            <w:r>
              <w:rPr>
                <w:rFonts w:ascii="Arabic Typesetting" w:hAnsi="Arabic Typesetting" w:cs="Arabic Typesetting"/>
                <w:noProof/>
                <w:sz w:val="30"/>
                <w:szCs w:val="30"/>
                <w:rtl/>
              </w:rPr>
              <w:t xml:space="preserve"> استخدام نظام</w:t>
            </w:r>
            <w:r w:rsidRPr="00414FF4">
              <w:rPr>
                <w:rFonts w:ascii="Arabic Typesetting" w:hAnsi="Arabic Typesetting" w:cs="Arabic Typesetting"/>
                <w:noProof/>
                <w:sz w:val="30"/>
                <w:szCs w:val="30"/>
                <w:rtl/>
              </w:rPr>
              <w:t xml:space="preserve"> لشبونة على نطاق أوسع وبفعالية أكبر، بما في ذلك من قبل البلدان النامية والبلدان الأقل نموا</w:t>
            </w:r>
            <w:r>
              <w:rPr>
                <w:rFonts w:ascii="Arabic Typesetting" w:hAnsi="Arabic Typesetting" w:cs="Arabic Typesetting" w:hint="cs"/>
                <w:sz w:val="30"/>
                <w:szCs w:val="30"/>
                <w:rtl/>
              </w:rPr>
              <w:t>ً</w:t>
            </w:r>
          </w:p>
        </w:tc>
        <w:tc>
          <w:tcPr>
            <w:tcW w:w="1472" w:type="pct"/>
            <w:tcMar>
              <w:top w:w="110" w:type="dxa"/>
            </w:tcMar>
          </w:tcPr>
          <w:p w:rsidR="005135F6" w:rsidRPr="008954A8" w:rsidRDefault="005135F6" w:rsidP="00D7216C">
            <w:pPr>
              <w:adjustRightInd w:val="0"/>
              <w:snapToGrid w:val="0"/>
              <w:spacing w:line="280" w:lineRule="exact"/>
              <w:rPr>
                <w:rFonts w:ascii="Arabic Typesetting" w:hAnsi="Arabic Typesetting" w:cs="Arabic Typesetting"/>
                <w:sz w:val="30"/>
                <w:szCs w:val="30"/>
              </w:rPr>
            </w:pPr>
            <w:r w:rsidRPr="009330BB">
              <w:rPr>
                <w:rFonts w:ascii="Arabic Typesetting" w:hAnsi="Arabic Typesetting" w:cs="Arabic Typesetting"/>
                <w:sz w:val="30"/>
                <w:szCs w:val="30"/>
                <w:rtl/>
              </w:rPr>
              <w:t>توسيع نطاق التغطية الجغرافية لنظام لشبونة</w:t>
            </w:r>
          </w:p>
        </w:tc>
        <w:tc>
          <w:tcPr>
            <w:tcW w:w="1130" w:type="pct"/>
            <w:shd w:val="clear" w:color="auto" w:fill="FFFFFF"/>
            <w:tcMar>
              <w:top w:w="110" w:type="dxa"/>
            </w:tcMar>
          </w:tcPr>
          <w:p w:rsidR="005135F6" w:rsidRPr="006933BB" w:rsidRDefault="005135F6" w:rsidP="00D7216C">
            <w:pPr>
              <w:adjustRightInd w:val="0"/>
              <w:snapToGrid w:val="0"/>
              <w:spacing w:line="280" w:lineRule="exact"/>
              <w:rPr>
                <w:rFonts w:ascii="Arabic Typesetting" w:hAnsi="Arabic Typesetting" w:cs="Arabic Typesetting"/>
                <w:sz w:val="30"/>
                <w:szCs w:val="30"/>
                <w:rtl/>
              </w:rPr>
            </w:pPr>
            <w:r w:rsidRPr="009330BB">
              <w:rPr>
                <w:rFonts w:ascii="Arabic Typesetting" w:hAnsi="Arabic Typesetting" w:cs="Arabic Typesetting"/>
                <w:sz w:val="30"/>
                <w:szCs w:val="30"/>
                <w:rtl/>
              </w:rPr>
              <w:t>عدد الأطراف المتعاقدة في الوثيقة الجديد في نهاية عام 2015</w:t>
            </w:r>
          </w:p>
        </w:tc>
        <w:tc>
          <w:tcPr>
            <w:tcW w:w="1158" w:type="pct"/>
            <w:tcMar>
              <w:top w:w="110" w:type="dxa"/>
            </w:tcMar>
          </w:tcPr>
          <w:p w:rsidR="005135F6" w:rsidRDefault="005135F6" w:rsidP="00D7216C">
            <w:pPr>
              <w:keepNext/>
              <w:keepLines/>
              <w:adjustRightInd w:val="0"/>
              <w:snapToGrid w:val="0"/>
              <w:spacing w:line="280" w:lineRule="exact"/>
              <w:rPr>
                <w:rFonts w:ascii="Arabic Typesetting" w:hAnsi="Arabic Typesetting" w:cs="Arabic Typesetting"/>
                <w:b/>
                <w:sz w:val="30"/>
                <w:szCs w:val="30"/>
                <w:rtl/>
              </w:rPr>
            </w:pPr>
            <w:r w:rsidRPr="009330BB">
              <w:rPr>
                <w:rFonts w:ascii="Arabic Typesetting" w:hAnsi="Arabic Typesetting" w:cs="Arabic Typesetting"/>
                <w:b/>
                <w:sz w:val="30"/>
                <w:szCs w:val="30"/>
                <w:rtl/>
              </w:rPr>
              <w:t xml:space="preserve">ما يصل إلى 5 أطراف متعاقدة </w:t>
            </w:r>
            <w:r>
              <w:rPr>
                <w:rFonts w:ascii="Arabic Typesetting" w:hAnsi="Arabic Typesetting" w:cs="Arabic Typesetting" w:hint="cs"/>
                <w:b/>
                <w:sz w:val="30"/>
                <w:szCs w:val="30"/>
                <w:rtl/>
              </w:rPr>
              <w:t>بموجب</w:t>
            </w:r>
            <w:r w:rsidRPr="009330BB">
              <w:rPr>
                <w:rFonts w:ascii="Arabic Typesetting" w:hAnsi="Arabic Typesetting" w:cs="Arabic Typesetting"/>
                <w:b/>
                <w:sz w:val="30"/>
                <w:szCs w:val="30"/>
                <w:rtl/>
              </w:rPr>
              <w:t xml:space="preserve"> الوثيقة الجديدة بحلول نهاية عام 2017</w:t>
            </w:r>
          </w:p>
        </w:tc>
      </w:tr>
      <w:tr w:rsidR="005135F6" w:rsidRPr="008954A8" w:rsidTr="00D7216C">
        <w:trPr>
          <w:cantSplit/>
          <w:trHeight w:val="606"/>
        </w:trPr>
        <w:tc>
          <w:tcPr>
            <w:tcW w:w="1240" w:type="pct"/>
          </w:tcPr>
          <w:p w:rsidR="005135F6" w:rsidRPr="008954A8" w:rsidRDefault="005135F6" w:rsidP="00D7216C">
            <w:pPr>
              <w:adjustRightInd w:val="0"/>
              <w:snapToGrid w:val="0"/>
              <w:spacing w:line="280" w:lineRule="exact"/>
              <w:rPr>
                <w:rFonts w:ascii="Arabic Typesetting" w:hAnsi="Arabic Typesetting" w:cs="Arabic Typesetting"/>
                <w:sz w:val="30"/>
                <w:szCs w:val="30"/>
              </w:rPr>
            </w:pPr>
          </w:p>
        </w:tc>
        <w:tc>
          <w:tcPr>
            <w:tcW w:w="1472" w:type="pct"/>
            <w:tcMar>
              <w:top w:w="110" w:type="dxa"/>
            </w:tcMar>
          </w:tcPr>
          <w:p w:rsidR="005135F6" w:rsidRPr="008954A8" w:rsidRDefault="005135F6" w:rsidP="00D7216C">
            <w:pPr>
              <w:adjustRightInd w:val="0"/>
              <w:snapToGrid w:val="0"/>
              <w:spacing w:line="280" w:lineRule="exact"/>
              <w:rPr>
                <w:rFonts w:ascii="Arabic Typesetting" w:hAnsi="Arabic Typesetting" w:cs="Arabic Typesetting"/>
                <w:sz w:val="30"/>
                <w:szCs w:val="30"/>
              </w:rPr>
            </w:pPr>
            <w:r w:rsidRPr="00AE2A0A">
              <w:rPr>
                <w:rFonts w:ascii="Arabic Typesetting" w:hAnsi="Arabic Typesetting" w:cs="Arabic Typesetting"/>
                <w:sz w:val="30"/>
                <w:szCs w:val="30"/>
                <w:rtl/>
              </w:rPr>
              <w:t xml:space="preserve">النسبة المئوية للمشاركين في </w:t>
            </w:r>
            <w:r>
              <w:rPr>
                <w:rFonts w:ascii="Arabic Typesetting" w:hAnsi="Arabic Typesetting" w:cs="Arabic Typesetting" w:hint="cs"/>
                <w:sz w:val="30"/>
                <w:szCs w:val="30"/>
                <w:rtl/>
              </w:rPr>
              <w:t>تظاهرات</w:t>
            </w:r>
            <w:r w:rsidRPr="00AE2A0A">
              <w:rPr>
                <w:rFonts w:ascii="Arabic Typesetting" w:hAnsi="Arabic Typesetting" w:cs="Arabic Typesetting"/>
                <w:sz w:val="30"/>
                <w:szCs w:val="30"/>
                <w:rtl/>
              </w:rPr>
              <w:t xml:space="preserve"> نظام لشبونة الذين يعبرون عن رضاهم ويبلغون عن </w:t>
            </w:r>
            <w:r>
              <w:rPr>
                <w:rFonts w:ascii="Arabic Typesetting" w:hAnsi="Arabic Typesetting" w:cs="Arabic Typesetting" w:hint="cs"/>
                <w:sz w:val="30"/>
                <w:szCs w:val="30"/>
                <w:rtl/>
              </w:rPr>
              <w:t>زيادة</w:t>
            </w:r>
            <w:r w:rsidRPr="00AE2A0A">
              <w:rPr>
                <w:rFonts w:ascii="Arabic Typesetting" w:hAnsi="Arabic Typesetting" w:cs="Arabic Typesetting"/>
                <w:sz w:val="30"/>
                <w:szCs w:val="30"/>
                <w:rtl/>
              </w:rPr>
              <w:t xml:space="preserve"> وعيهم بعد حضور </w:t>
            </w:r>
            <w:r>
              <w:rPr>
                <w:rFonts w:ascii="Arabic Typesetting" w:hAnsi="Arabic Typesetting" w:cs="Arabic Typesetting" w:hint="cs"/>
                <w:sz w:val="30"/>
                <w:szCs w:val="30"/>
                <w:rtl/>
              </w:rPr>
              <w:t>التظاهرة</w:t>
            </w:r>
          </w:p>
        </w:tc>
        <w:tc>
          <w:tcPr>
            <w:tcW w:w="1130" w:type="pct"/>
            <w:shd w:val="clear" w:color="auto" w:fill="FFFFFF"/>
            <w:tcMar>
              <w:top w:w="110" w:type="dxa"/>
            </w:tcMar>
          </w:tcPr>
          <w:p w:rsidR="005135F6" w:rsidRPr="006933BB" w:rsidRDefault="005135F6" w:rsidP="00D7216C">
            <w:pPr>
              <w:adjustRightInd w:val="0"/>
              <w:snapToGrid w:val="0"/>
              <w:spacing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84% من المشاركين راضون (2014) في 5 تظاهرات</w:t>
            </w:r>
          </w:p>
        </w:tc>
        <w:tc>
          <w:tcPr>
            <w:tcW w:w="1158" w:type="pct"/>
            <w:tcMar>
              <w:top w:w="110" w:type="dxa"/>
            </w:tcMar>
          </w:tcPr>
          <w:p w:rsidR="005135F6" w:rsidRDefault="005135F6" w:rsidP="00D7216C">
            <w:pPr>
              <w:keepNext/>
              <w:keepLines/>
              <w:adjustRightInd w:val="0"/>
              <w:snapToGrid w:val="0"/>
              <w:spacing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85% من المشاركين راضون</w:t>
            </w:r>
          </w:p>
        </w:tc>
      </w:tr>
      <w:tr w:rsidR="005135F6" w:rsidRPr="008954A8" w:rsidTr="00D7216C">
        <w:trPr>
          <w:cantSplit/>
          <w:trHeight w:val="606"/>
        </w:trPr>
        <w:tc>
          <w:tcPr>
            <w:tcW w:w="1240" w:type="pct"/>
          </w:tcPr>
          <w:p w:rsidR="005135F6" w:rsidRPr="008954A8" w:rsidRDefault="005135F6" w:rsidP="00D7216C">
            <w:pPr>
              <w:adjustRightInd w:val="0"/>
              <w:snapToGrid w:val="0"/>
              <w:spacing w:line="280" w:lineRule="exact"/>
              <w:rPr>
                <w:rFonts w:ascii="Arabic Typesetting" w:hAnsi="Arabic Typesetting" w:cs="Arabic Typesetting"/>
                <w:sz w:val="30"/>
                <w:szCs w:val="30"/>
              </w:rPr>
            </w:pPr>
          </w:p>
        </w:tc>
        <w:tc>
          <w:tcPr>
            <w:tcW w:w="1472" w:type="pct"/>
            <w:tcMar>
              <w:top w:w="110" w:type="dxa"/>
            </w:tcMar>
          </w:tcPr>
          <w:p w:rsidR="005135F6" w:rsidRPr="00AE2A0A" w:rsidRDefault="005135F6" w:rsidP="00D7216C">
            <w:pPr>
              <w:adjustRightInd w:val="0"/>
              <w:snapToGrid w:val="0"/>
              <w:spacing w:line="280" w:lineRule="exact"/>
              <w:rPr>
                <w:rFonts w:ascii="Arabic Typesetting" w:hAnsi="Arabic Typesetting" w:cs="Arabic Typesetting"/>
                <w:sz w:val="30"/>
                <w:szCs w:val="30"/>
                <w:rtl/>
              </w:rPr>
            </w:pPr>
            <w:r w:rsidRPr="00006A2B">
              <w:rPr>
                <w:rFonts w:ascii="Arabic Typesetting" w:hAnsi="Arabic Typesetting" w:cs="Arabic Typesetting"/>
                <w:sz w:val="30"/>
                <w:szCs w:val="30"/>
                <w:rtl/>
              </w:rPr>
              <w:t>عدد الطلبات الدولية وغيرها من المعاملات</w:t>
            </w:r>
            <w:r>
              <w:rPr>
                <w:rFonts w:ascii="Arabic Typesetting" w:hAnsi="Arabic Typesetting" w:cs="Arabic Typesetting" w:hint="cs"/>
                <w:sz w:val="30"/>
                <w:szCs w:val="30"/>
                <w:rtl/>
              </w:rPr>
              <w:t xml:space="preserve"> (لشبونة)</w:t>
            </w:r>
          </w:p>
        </w:tc>
        <w:tc>
          <w:tcPr>
            <w:tcW w:w="1130" w:type="pct"/>
            <w:shd w:val="clear" w:color="auto" w:fill="FFFFFF"/>
            <w:tcMar>
              <w:top w:w="110" w:type="dxa"/>
            </w:tcMar>
          </w:tcPr>
          <w:p w:rsidR="005135F6" w:rsidRDefault="005135F6" w:rsidP="00D7216C">
            <w:pPr>
              <w:adjustRightInd w:val="0"/>
              <w:snapToGrid w:val="0"/>
              <w:spacing w:line="280" w:lineRule="exact"/>
              <w:rPr>
                <w:rFonts w:ascii="Arabic Typesetting" w:hAnsi="Arabic Typesetting" w:cs="Arabic Typesetting"/>
                <w:sz w:val="30"/>
                <w:szCs w:val="30"/>
                <w:rtl/>
              </w:rPr>
            </w:pPr>
            <w:r w:rsidRPr="00006A2B">
              <w:rPr>
                <w:rFonts w:ascii="Arabic Typesetting" w:hAnsi="Arabic Typesetting" w:cs="Arabic Typesetting"/>
                <w:sz w:val="30"/>
                <w:szCs w:val="30"/>
                <w:rtl/>
              </w:rPr>
              <w:t>121 معاملة في عام 2014:</w:t>
            </w:r>
            <w:r>
              <w:rPr>
                <w:rFonts w:ascii="Arabic Typesetting" w:hAnsi="Arabic Typesetting" w:cs="Arabic Typesetting"/>
                <w:sz w:val="30"/>
                <w:szCs w:val="30"/>
                <w:rtl/>
              </w:rPr>
              <w:br/>
            </w:r>
            <w:r w:rsidRPr="00006A2B">
              <w:rPr>
                <w:rFonts w:ascii="Arabic Typesetting" w:hAnsi="Arabic Typesetting" w:cs="Arabic Typesetting"/>
                <w:sz w:val="30"/>
                <w:szCs w:val="30"/>
                <w:rtl/>
              </w:rPr>
              <w:t>- 80 طلباً دولياً</w:t>
            </w:r>
            <w:r>
              <w:rPr>
                <w:rFonts w:ascii="Arabic Typesetting" w:hAnsi="Arabic Typesetting" w:cs="Arabic Typesetting"/>
                <w:sz w:val="30"/>
                <w:szCs w:val="30"/>
                <w:rtl/>
              </w:rPr>
              <w:br/>
            </w:r>
            <w:r w:rsidRPr="00006A2B">
              <w:rPr>
                <w:rFonts w:ascii="Arabic Typesetting" w:hAnsi="Arabic Typesetting" w:cs="Arabic Typesetting"/>
                <w:sz w:val="30"/>
                <w:szCs w:val="30"/>
                <w:rtl/>
              </w:rPr>
              <w:t xml:space="preserve">- 26 بيان </w:t>
            </w:r>
            <w:r>
              <w:rPr>
                <w:rFonts w:ascii="Arabic Typesetting" w:hAnsi="Arabic Typesetting" w:cs="Arabic Typesetting" w:hint="cs"/>
                <w:sz w:val="30"/>
                <w:szCs w:val="30"/>
                <w:rtl/>
              </w:rPr>
              <w:t>م</w:t>
            </w:r>
            <w:r w:rsidRPr="00006A2B">
              <w:rPr>
                <w:rFonts w:ascii="Arabic Typesetting" w:hAnsi="Arabic Typesetting" w:cs="Arabic Typesetting"/>
                <w:sz w:val="30"/>
                <w:szCs w:val="30"/>
                <w:rtl/>
              </w:rPr>
              <w:t>نح حماية</w:t>
            </w:r>
            <w:r>
              <w:rPr>
                <w:rFonts w:ascii="Arabic Typesetting" w:hAnsi="Arabic Typesetting" w:cs="Arabic Typesetting"/>
                <w:sz w:val="30"/>
                <w:szCs w:val="30"/>
                <w:rtl/>
              </w:rPr>
              <w:br/>
            </w:r>
            <w:r w:rsidRPr="00006A2B">
              <w:rPr>
                <w:rFonts w:ascii="Arabic Typesetting" w:hAnsi="Arabic Typesetting" w:cs="Arabic Typesetting"/>
                <w:sz w:val="30"/>
                <w:szCs w:val="30"/>
                <w:rtl/>
              </w:rPr>
              <w:t>- 15 إعلان رفض</w:t>
            </w:r>
          </w:p>
        </w:tc>
        <w:tc>
          <w:tcPr>
            <w:tcW w:w="1158" w:type="pct"/>
            <w:tcMar>
              <w:top w:w="110" w:type="dxa"/>
            </w:tcMar>
          </w:tcPr>
          <w:p w:rsidR="005135F6" w:rsidRDefault="005135F6" w:rsidP="00D7216C">
            <w:pPr>
              <w:keepNext/>
              <w:keepLines/>
              <w:adjustRightInd w:val="0"/>
              <w:snapToGrid w:val="0"/>
              <w:spacing w:line="280" w:lineRule="exact"/>
              <w:rPr>
                <w:rFonts w:ascii="Arabic Typesetting" w:hAnsi="Arabic Typesetting" w:cs="Arabic Typesetting"/>
                <w:b/>
                <w:sz w:val="30"/>
                <w:szCs w:val="30"/>
                <w:rtl/>
              </w:rPr>
            </w:pPr>
            <w:r w:rsidRPr="00F621FD">
              <w:rPr>
                <w:rFonts w:ascii="Arabic Typesetting" w:hAnsi="Arabic Typesetting" w:cs="Arabic Typesetting"/>
                <w:b/>
                <w:sz w:val="30"/>
                <w:szCs w:val="30"/>
                <w:rtl/>
              </w:rPr>
              <w:t>100 معاملة في الثنائية 2016/17</w:t>
            </w:r>
            <w:r>
              <w:rPr>
                <w:rFonts w:ascii="Arabic Typesetting" w:hAnsi="Arabic Typesetting" w:cs="Arabic Typesetting"/>
                <w:b/>
                <w:sz w:val="30"/>
                <w:szCs w:val="30"/>
                <w:rtl/>
              </w:rPr>
              <w:br/>
            </w:r>
            <w:r w:rsidRPr="00F621FD">
              <w:rPr>
                <w:rFonts w:ascii="Arabic Typesetting" w:hAnsi="Arabic Typesetting" w:cs="Arabic Typesetting"/>
                <w:b/>
                <w:sz w:val="30"/>
                <w:szCs w:val="30"/>
                <w:rtl/>
              </w:rPr>
              <w:t>- 20 طلباً دولياً جديداً</w:t>
            </w:r>
            <w:r>
              <w:rPr>
                <w:rFonts w:ascii="Arabic Typesetting" w:hAnsi="Arabic Typesetting" w:cs="Arabic Typesetting"/>
                <w:b/>
                <w:sz w:val="30"/>
                <w:szCs w:val="30"/>
                <w:rtl/>
              </w:rPr>
              <w:br/>
            </w:r>
            <w:r w:rsidRPr="00F621FD">
              <w:rPr>
                <w:rFonts w:ascii="Arabic Typesetting" w:hAnsi="Arabic Typesetting" w:cs="Arabic Typesetting"/>
                <w:b/>
                <w:sz w:val="30"/>
                <w:szCs w:val="30"/>
                <w:rtl/>
              </w:rPr>
              <w:t>- 60 بيان منح حماية</w:t>
            </w:r>
            <w:r>
              <w:rPr>
                <w:rFonts w:ascii="Arabic Typesetting" w:hAnsi="Arabic Typesetting" w:cs="Arabic Typesetting"/>
                <w:b/>
                <w:sz w:val="30"/>
                <w:szCs w:val="30"/>
                <w:rtl/>
              </w:rPr>
              <w:br/>
            </w:r>
            <w:r w:rsidRPr="00F621FD">
              <w:rPr>
                <w:rFonts w:ascii="Arabic Typesetting" w:hAnsi="Arabic Typesetting" w:cs="Arabic Typesetting"/>
                <w:b/>
                <w:sz w:val="30"/>
                <w:szCs w:val="30"/>
                <w:rtl/>
              </w:rPr>
              <w:t>- 20 إعلان رفض</w:t>
            </w:r>
          </w:p>
        </w:tc>
      </w:tr>
      <w:tr w:rsidR="005135F6" w:rsidRPr="008954A8" w:rsidTr="00D7216C">
        <w:trPr>
          <w:cantSplit/>
          <w:trHeight w:val="606"/>
        </w:trPr>
        <w:tc>
          <w:tcPr>
            <w:tcW w:w="1240" w:type="pct"/>
          </w:tcPr>
          <w:p w:rsidR="005135F6" w:rsidRPr="008954A8" w:rsidRDefault="005135F6" w:rsidP="00D7216C">
            <w:pPr>
              <w:adjustRightInd w:val="0"/>
              <w:snapToGrid w:val="0"/>
              <w:spacing w:line="280" w:lineRule="exact"/>
              <w:rPr>
                <w:rFonts w:ascii="Arabic Typesetting" w:hAnsi="Arabic Typesetting" w:cs="Arabic Typesetting"/>
                <w:sz w:val="30"/>
                <w:szCs w:val="30"/>
              </w:rPr>
            </w:pPr>
          </w:p>
        </w:tc>
        <w:tc>
          <w:tcPr>
            <w:tcW w:w="1472" w:type="pct"/>
            <w:tcMar>
              <w:top w:w="110" w:type="dxa"/>
            </w:tcMar>
          </w:tcPr>
          <w:p w:rsidR="005135F6" w:rsidRPr="00006A2B" w:rsidRDefault="005135F6" w:rsidP="00D7216C">
            <w:pPr>
              <w:adjustRightInd w:val="0"/>
              <w:snapToGrid w:val="0"/>
              <w:spacing w:line="280" w:lineRule="exact"/>
              <w:rPr>
                <w:rFonts w:ascii="Arabic Typesetting" w:hAnsi="Arabic Typesetting" w:cs="Arabic Typesetting"/>
                <w:sz w:val="30"/>
                <w:szCs w:val="30"/>
                <w:rtl/>
              </w:rPr>
            </w:pPr>
            <w:r w:rsidRPr="00823E6E">
              <w:rPr>
                <w:rFonts w:ascii="Arabic Typesetting" w:hAnsi="Arabic Typesetting" w:cs="Arabic Typesetting"/>
                <w:sz w:val="30"/>
                <w:szCs w:val="30"/>
                <w:rtl/>
              </w:rPr>
              <w:t>عدد التسجيلات الدولية من البلدان النامية والبلدان الأقل نموا</w:t>
            </w:r>
            <w:r>
              <w:rPr>
                <w:rFonts w:ascii="Arabic Typesetting" w:hAnsi="Arabic Typesetting" w:cs="Arabic Typesetting" w:hint="cs"/>
                <w:sz w:val="30"/>
                <w:szCs w:val="30"/>
                <w:rtl/>
              </w:rPr>
              <w:t>ً</w:t>
            </w:r>
            <w:r w:rsidRPr="00823E6E">
              <w:rPr>
                <w:rFonts w:ascii="Arabic Typesetting" w:hAnsi="Arabic Typesetting" w:cs="Arabic Typesetting"/>
                <w:sz w:val="30"/>
                <w:szCs w:val="30"/>
                <w:rtl/>
              </w:rPr>
              <w:t xml:space="preserve"> </w:t>
            </w:r>
            <w:r>
              <w:rPr>
                <w:rFonts w:ascii="Arabic Typesetting" w:hAnsi="Arabic Typesetting" w:cs="Arabic Typesetting" w:hint="cs"/>
                <w:sz w:val="30"/>
                <w:szCs w:val="30"/>
                <w:rtl/>
              </w:rPr>
              <w:t>السارية</w:t>
            </w:r>
            <w:r w:rsidRPr="00823E6E">
              <w:rPr>
                <w:rFonts w:ascii="Arabic Typesetting" w:hAnsi="Arabic Typesetting" w:cs="Arabic Typesetting"/>
                <w:sz w:val="30"/>
                <w:szCs w:val="30"/>
                <w:rtl/>
              </w:rPr>
              <w:t xml:space="preserve"> </w:t>
            </w:r>
            <w:r>
              <w:rPr>
                <w:rFonts w:ascii="Arabic Typesetting" w:hAnsi="Arabic Typesetting" w:cs="Arabic Typesetting" w:hint="cs"/>
                <w:sz w:val="30"/>
                <w:szCs w:val="30"/>
                <w:rtl/>
              </w:rPr>
              <w:t>بموجب</w:t>
            </w:r>
            <w:r>
              <w:rPr>
                <w:rFonts w:ascii="Arabic Typesetting" w:hAnsi="Arabic Typesetting" w:cs="Arabic Typesetting"/>
                <w:sz w:val="30"/>
                <w:szCs w:val="30"/>
                <w:rtl/>
              </w:rPr>
              <w:t xml:space="preserve"> </w:t>
            </w:r>
            <w:r w:rsidRPr="00823E6E">
              <w:rPr>
                <w:rFonts w:ascii="Arabic Typesetting" w:hAnsi="Arabic Typesetting" w:cs="Arabic Typesetting"/>
                <w:sz w:val="30"/>
                <w:szCs w:val="30"/>
                <w:rtl/>
              </w:rPr>
              <w:t>نظام لشبونة (</w:t>
            </w:r>
            <w:r>
              <w:rPr>
                <w:rFonts w:ascii="Arabic Typesetting" w:hAnsi="Arabic Typesetting" w:cs="Arabic Typesetting" w:hint="cs"/>
                <w:sz w:val="30"/>
                <w:szCs w:val="30"/>
                <w:rtl/>
              </w:rPr>
              <w:t>بالنسبة ل</w:t>
            </w:r>
            <w:r w:rsidRPr="00823E6E">
              <w:rPr>
                <w:rFonts w:ascii="Arabic Typesetting" w:hAnsi="Arabic Typesetting" w:cs="Arabic Typesetting"/>
                <w:sz w:val="30"/>
                <w:szCs w:val="30"/>
                <w:rtl/>
              </w:rPr>
              <w:t>لرقم الكلي)</w:t>
            </w:r>
          </w:p>
        </w:tc>
        <w:tc>
          <w:tcPr>
            <w:tcW w:w="1130" w:type="pct"/>
            <w:shd w:val="clear" w:color="auto" w:fill="FFFFFF"/>
            <w:tcMar>
              <w:top w:w="110" w:type="dxa"/>
            </w:tcMar>
          </w:tcPr>
          <w:p w:rsidR="005135F6" w:rsidRPr="00006A2B" w:rsidRDefault="005135F6" w:rsidP="00D7216C">
            <w:pPr>
              <w:adjustRightInd w:val="0"/>
              <w:snapToGrid w:val="0"/>
              <w:spacing w:line="280" w:lineRule="exact"/>
              <w:rPr>
                <w:rFonts w:ascii="Arabic Typesetting" w:hAnsi="Arabic Typesetting" w:cs="Arabic Typesetting"/>
                <w:sz w:val="30"/>
                <w:szCs w:val="30"/>
                <w:rtl/>
              </w:rPr>
            </w:pPr>
            <w:r w:rsidRPr="00823E6E">
              <w:rPr>
                <w:rFonts w:ascii="Arabic Typesetting" w:hAnsi="Arabic Typesetting" w:cs="Arabic Typesetting"/>
                <w:sz w:val="30"/>
                <w:szCs w:val="30"/>
                <w:rtl/>
              </w:rPr>
              <w:t>78 (من أصل 896)</w:t>
            </w:r>
            <w:r>
              <w:rPr>
                <w:rFonts w:ascii="Arabic Typesetting" w:hAnsi="Arabic Typesetting" w:cs="Arabic Typesetting"/>
                <w:sz w:val="30"/>
                <w:szCs w:val="30"/>
                <w:rtl/>
              </w:rPr>
              <w:br/>
            </w:r>
            <w:r w:rsidRPr="00823E6E">
              <w:rPr>
                <w:rFonts w:ascii="Arabic Typesetting" w:hAnsi="Arabic Typesetting" w:cs="Arabic Typesetting"/>
                <w:sz w:val="30"/>
                <w:szCs w:val="30"/>
                <w:rtl/>
              </w:rPr>
              <w:t>(مارس 2015)</w:t>
            </w:r>
          </w:p>
        </w:tc>
        <w:tc>
          <w:tcPr>
            <w:tcW w:w="1158" w:type="pct"/>
            <w:tcMar>
              <w:top w:w="110" w:type="dxa"/>
            </w:tcMar>
          </w:tcPr>
          <w:p w:rsidR="005135F6" w:rsidRPr="00F621FD" w:rsidRDefault="005135F6" w:rsidP="00D7216C">
            <w:pPr>
              <w:keepNext/>
              <w:keepLines/>
              <w:adjustRightInd w:val="0"/>
              <w:snapToGrid w:val="0"/>
              <w:spacing w:line="280" w:lineRule="exact"/>
              <w:rPr>
                <w:rFonts w:ascii="Arabic Typesetting" w:hAnsi="Arabic Typesetting" w:cs="Arabic Typesetting"/>
                <w:b/>
                <w:sz w:val="30"/>
                <w:szCs w:val="30"/>
                <w:rtl/>
              </w:rPr>
            </w:pPr>
            <w:r w:rsidRPr="00823E6E">
              <w:rPr>
                <w:rFonts w:ascii="Arabic Typesetting" w:hAnsi="Arabic Typesetting" w:cs="Arabic Typesetting"/>
                <w:b/>
                <w:sz w:val="30"/>
                <w:szCs w:val="30"/>
                <w:rtl/>
              </w:rPr>
              <w:t>90 (من أصل 950)</w:t>
            </w:r>
          </w:p>
        </w:tc>
      </w:tr>
      <w:tr w:rsidR="005135F6" w:rsidRPr="008954A8" w:rsidTr="00D7216C">
        <w:trPr>
          <w:cantSplit/>
          <w:trHeight w:val="966"/>
        </w:trPr>
        <w:tc>
          <w:tcPr>
            <w:tcW w:w="1240" w:type="pct"/>
            <w:tcBorders>
              <w:top w:val="nil"/>
              <w:bottom w:val="nil"/>
            </w:tcBorders>
          </w:tcPr>
          <w:p w:rsidR="005135F6" w:rsidRPr="008954A8" w:rsidRDefault="005135F6" w:rsidP="005135F6">
            <w:pPr>
              <w:tabs>
                <w:tab w:val="left" w:pos="1525"/>
                <w:tab w:val="right" w:pos="2835"/>
              </w:tabs>
              <w:adjustRightInd w:val="0"/>
              <w:snapToGrid w:val="0"/>
              <w:spacing w:line="280" w:lineRule="exact"/>
              <w:rPr>
                <w:rFonts w:ascii="Arabic Typesetting" w:hAnsi="Arabic Typesetting" w:cs="Arabic Typesetting"/>
                <w:sz w:val="30"/>
                <w:szCs w:val="30"/>
              </w:rPr>
            </w:pPr>
            <w:r w:rsidRPr="00823E6E">
              <w:rPr>
                <w:rFonts w:ascii="Arabic Typesetting" w:hAnsi="Arabic Typesetting" w:cs="Arabic Typesetting"/>
                <w:noProof/>
                <w:sz w:val="30"/>
                <w:szCs w:val="30"/>
                <w:rtl/>
              </w:rPr>
              <w:t>ھ</w:t>
            </w:r>
            <w:r>
              <w:rPr>
                <w:rFonts w:ascii="Arabic Typesetting" w:hAnsi="Arabic Typesetting" w:cs="Arabic Typesetting" w:hint="cs"/>
                <w:noProof/>
                <w:sz w:val="30"/>
                <w:szCs w:val="30"/>
                <w:rtl/>
              </w:rPr>
              <w:t xml:space="preserve"> 11.2</w:t>
            </w:r>
            <w:r w:rsidRPr="00823E6E">
              <w:rPr>
                <w:rFonts w:ascii="Arabic Typesetting" w:hAnsi="Arabic Typesetting" w:cs="Arabic Typesetting"/>
                <w:noProof/>
                <w:sz w:val="30"/>
                <w:szCs w:val="30"/>
                <w:rtl/>
              </w:rPr>
              <w:t xml:space="preserve"> إنتاجية وج</w:t>
            </w:r>
            <w:r>
              <w:rPr>
                <w:rFonts w:ascii="Arabic Typesetting" w:hAnsi="Arabic Typesetting" w:cs="Arabic Typesetting"/>
                <w:noProof/>
                <w:sz w:val="30"/>
                <w:szCs w:val="30"/>
                <w:rtl/>
              </w:rPr>
              <w:t>ودة خدمات محسّنة في عمليات نظام</w:t>
            </w:r>
            <w:r w:rsidRPr="00823E6E">
              <w:rPr>
                <w:rFonts w:ascii="Arabic Typesetting" w:hAnsi="Arabic Typesetting" w:cs="Arabic Typesetting"/>
                <w:noProof/>
                <w:sz w:val="30"/>
                <w:szCs w:val="30"/>
                <w:rtl/>
              </w:rPr>
              <w:t xml:space="preserve"> لشبونة</w:t>
            </w:r>
          </w:p>
        </w:tc>
        <w:tc>
          <w:tcPr>
            <w:tcW w:w="1472" w:type="pct"/>
            <w:tcBorders>
              <w:top w:val="nil"/>
              <w:bottom w:val="nil"/>
            </w:tcBorders>
            <w:tcMar>
              <w:top w:w="110" w:type="dxa"/>
            </w:tcMar>
          </w:tcPr>
          <w:p w:rsidR="005135F6" w:rsidRPr="005A32F4" w:rsidRDefault="005135F6" w:rsidP="00D7216C">
            <w:pPr>
              <w:keepNext/>
              <w:adjustRightInd w:val="0"/>
              <w:snapToGrid w:val="0"/>
              <w:spacing w:line="280" w:lineRule="exact"/>
              <w:rPr>
                <w:rFonts w:ascii="Arabic Typesetting" w:hAnsi="Arabic Typesetting" w:cs="Arabic Typesetting"/>
                <w:noProof/>
                <w:sz w:val="30"/>
                <w:szCs w:val="30"/>
                <w:rtl/>
              </w:rPr>
            </w:pPr>
            <w:r w:rsidRPr="00BB4907">
              <w:rPr>
                <w:rFonts w:ascii="Arabic Typesetting" w:hAnsi="Arabic Typesetting" w:cs="Arabic Typesetting"/>
                <w:noProof/>
                <w:sz w:val="30"/>
                <w:szCs w:val="30"/>
                <w:rtl/>
              </w:rPr>
              <w:t>اعتماد أحكام تبسيط الإطار القانوني لنظام لشبونة</w:t>
            </w:r>
          </w:p>
        </w:tc>
        <w:tc>
          <w:tcPr>
            <w:tcW w:w="1130" w:type="pct"/>
            <w:tcBorders>
              <w:top w:val="nil"/>
              <w:bottom w:val="nil"/>
            </w:tcBorders>
            <w:shd w:val="clear" w:color="auto" w:fill="FFFFFF"/>
            <w:tcMar>
              <w:top w:w="110" w:type="dxa"/>
            </w:tcMar>
          </w:tcPr>
          <w:p w:rsidR="005135F6" w:rsidRPr="00224B95" w:rsidRDefault="005135F6" w:rsidP="00D7216C">
            <w:pPr>
              <w:keepNext/>
              <w:adjustRightInd w:val="0"/>
              <w:snapToGrid w:val="0"/>
              <w:spacing w:line="280" w:lineRule="exact"/>
              <w:rPr>
                <w:rFonts w:ascii="Arabic Typesetting" w:hAnsi="Arabic Typesetting" w:cs="Arabic Typesetting"/>
                <w:noProof/>
                <w:sz w:val="30"/>
                <w:szCs w:val="30"/>
                <w:rtl/>
              </w:rPr>
            </w:pPr>
            <w:r w:rsidRPr="00F67FD0">
              <w:rPr>
                <w:rFonts w:ascii="Arabic Typesetting" w:hAnsi="Arabic Typesetting" w:cs="Arabic Typesetting"/>
                <w:noProof/>
                <w:sz w:val="30"/>
                <w:szCs w:val="30"/>
                <w:rtl/>
              </w:rPr>
              <w:t xml:space="preserve">الإطار القانوني الحالي والإطار القانوني </w:t>
            </w:r>
            <w:r>
              <w:rPr>
                <w:rFonts w:ascii="Arabic Typesetting" w:hAnsi="Arabic Typesetting" w:cs="Arabic Typesetting" w:hint="cs"/>
                <w:noProof/>
                <w:sz w:val="30"/>
                <w:szCs w:val="30"/>
                <w:rtl/>
              </w:rPr>
              <w:t xml:space="preserve">لوثيقة جنيف </w:t>
            </w:r>
            <w:r w:rsidRPr="00F67FD0">
              <w:rPr>
                <w:rFonts w:ascii="Arabic Typesetting" w:hAnsi="Arabic Typesetting" w:cs="Arabic Typesetting"/>
                <w:noProof/>
                <w:sz w:val="30"/>
                <w:szCs w:val="30"/>
                <w:rtl/>
              </w:rPr>
              <w:t>في مايو 2015</w:t>
            </w:r>
          </w:p>
        </w:tc>
        <w:tc>
          <w:tcPr>
            <w:tcW w:w="1158" w:type="pct"/>
            <w:tcBorders>
              <w:top w:val="nil"/>
              <w:bottom w:val="nil"/>
            </w:tcBorders>
            <w:tcMar>
              <w:top w:w="110" w:type="dxa"/>
            </w:tcMar>
          </w:tcPr>
          <w:p w:rsidR="005135F6" w:rsidRDefault="005135F6" w:rsidP="00D7216C">
            <w:pPr>
              <w:keepNext/>
              <w:keepLines/>
              <w:adjustRightInd w:val="0"/>
              <w:snapToGrid w:val="0"/>
              <w:spacing w:line="280" w:lineRule="exact"/>
              <w:rPr>
                <w:rFonts w:ascii="Arabic Typesetting" w:hAnsi="Arabic Typesetting" w:cs="Arabic Typesetting"/>
                <w:b/>
                <w:noProof/>
                <w:sz w:val="30"/>
                <w:szCs w:val="30"/>
                <w:rtl/>
              </w:rPr>
            </w:pPr>
            <w:r w:rsidRPr="00F67FD0">
              <w:rPr>
                <w:rFonts w:ascii="Arabic Typesetting" w:hAnsi="Arabic Typesetting" w:cs="Arabic Typesetting"/>
                <w:b/>
                <w:noProof/>
                <w:sz w:val="30"/>
                <w:szCs w:val="30"/>
                <w:rtl/>
              </w:rPr>
              <w:t xml:space="preserve">اعتماد اللائحة التنفيذية المشتركة بمقتضى اتفاق لشبونة </w:t>
            </w:r>
            <w:r>
              <w:rPr>
                <w:rFonts w:ascii="Arabic Typesetting" w:hAnsi="Arabic Typesetting" w:cs="Arabic Typesetting" w:hint="cs"/>
                <w:b/>
                <w:noProof/>
                <w:sz w:val="30"/>
                <w:szCs w:val="30"/>
                <w:rtl/>
              </w:rPr>
              <w:t>ووثيقة جنيف</w:t>
            </w:r>
          </w:p>
        </w:tc>
      </w:tr>
      <w:tr w:rsidR="005135F6" w:rsidRPr="008954A8" w:rsidTr="00D7216C">
        <w:trPr>
          <w:cantSplit/>
          <w:trHeight w:val="386"/>
        </w:trPr>
        <w:tc>
          <w:tcPr>
            <w:tcW w:w="1240" w:type="pct"/>
            <w:tcBorders>
              <w:top w:val="nil"/>
              <w:bottom w:val="nil"/>
            </w:tcBorders>
          </w:tcPr>
          <w:p w:rsidR="005135F6" w:rsidRPr="008954A8" w:rsidRDefault="005135F6" w:rsidP="00D7216C">
            <w:pPr>
              <w:adjustRightInd w:val="0"/>
              <w:snapToGrid w:val="0"/>
              <w:spacing w:line="280" w:lineRule="exact"/>
              <w:rPr>
                <w:rFonts w:ascii="Arabic Typesetting" w:hAnsi="Arabic Typesetting" w:cs="Arabic Typesetting"/>
                <w:sz w:val="30"/>
                <w:szCs w:val="30"/>
              </w:rPr>
            </w:pPr>
          </w:p>
        </w:tc>
        <w:tc>
          <w:tcPr>
            <w:tcW w:w="1472" w:type="pct"/>
            <w:tcBorders>
              <w:top w:val="nil"/>
              <w:bottom w:val="nil"/>
            </w:tcBorders>
            <w:tcMar>
              <w:top w:w="110" w:type="dxa"/>
            </w:tcMar>
          </w:tcPr>
          <w:p w:rsidR="005135F6" w:rsidRPr="00BB4907" w:rsidRDefault="005135F6" w:rsidP="00D7216C">
            <w:pPr>
              <w:adjustRightInd w:val="0"/>
              <w:snapToGrid w:val="0"/>
              <w:spacing w:line="280" w:lineRule="exact"/>
              <w:rPr>
                <w:rFonts w:ascii="Arabic Typesetting" w:hAnsi="Arabic Typesetting" w:cs="Arabic Typesetting"/>
                <w:noProof/>
                <w:sz w:val="30"/>
                <w:szCs w:val="30"/>
                <w:rtl/>
              </w:rPr>
            </w:pPr>
            <w:r w:rsidRPr="00001C2A">
              <w:rPr>
                <w:rFonts w:ascii="Arabic Typesetting" w:hAnsi="Arabic Typesetting" w:cs="Arabic Typesetting"/>
                <w:noProof/>
                <w:sz w:val="30"/>
                <w:szCs w:val="30"/>
                <w:rtl/>
              </w:rPr>
              <w:t>زيادة استخدام الوسائل الإلكترونية لإيداع ومعالجة الطلبات الدولية وغيرها من المعاملات</w:t>
            </w:r>
            <w:r>
              <w:rPr>
                <w:rFonts w:ascii="Arabic Typesetting" w:hAnsi="Arabic Typesetting" w:cs="Arabic Typesetting" w:hint="cs"/>
                <w:noProof/>
                <w:sz w:val="30"/>
                <w:szCs w:val="30"/>
                <w:rtl/>
              </w:rPr>
              <w:t xml:space="preserve"> </w:t>
            </w:r>
            <w:r>
              <w:rPr>
                <w:rFonts w:ascii="Arabic Typesetting" w:hAnsi="Arabic Typesetting" w:cs="Arabic Typesetting" w:hint="cs"/>
                <w:sz w:val="30"/>
                <w:szCs w:val="30"/>
                <w:rtl/>
              </w:rPr>
              <w:t>(لشبونة)</w:t>
            </w:r>
          </w:p>
        </w:tc>
        <w:tc>
          <w:tcPr>
            <w:tcW w:w="1130" w:type="pct"/>
            <w:tcBorders>
              <w:top w:val="nil"/>
              <w:bottom w:val="nil"/>
            </w:tcBorders>
            <w:shd w:val="clear" w:color="auto" w:fill="FFFFFF"/>
            <w:tcMar>
              <w:top w:w="110" w:type="dxa"/>
            </w:tcMar>
          </w:tcPr>
          <w:p w:rsidR="005135F6" w:rsidRDefault="005135F6" w:rsidP="005135F6">
            <w:pPr>
              <w:adjustRightInd w:val="0"/>
              <w:snapToGrid w:val="0"/>
              <w:spacing w:after="60" w:line="280" w:lineRule="exact"/>
              <w:rPr>
                <w:rFonts w:ascii="Arabic Typesetting" w:hAnsi="Arabic Typesetting" w:cs="Arabic Typesetting"/>
                <w:noProof/>
                <w:sz w:val="30"/>
                <w:szCs w:val="30"/>
                <w:rtl/>
              </w:rPr>
            </w:pPr>
            <w:r w:rsidRPr="00001C2A">
              <w:rPr>
                <w:rFonts w:ascii="Arabic Typesetting" w:hAnsi="Arabic Typesetting" w:cs="Arabic Typesetting"/>
                <w:noProof/>
                <w:sz w:val="30"/>
                <w:szCs w:val="30"/>
                <w:rtl/>
              </w:rPr>
              <w:t>الأداة الحالية لإدخال البيانات</w:t>
            </w:r>
          </w:p>
          <w:p w:rsidR="005135F6" w:rsidRPr="00F67FD0" w:rsidRDefault="005135F6" w:rsidP="005135F6">
            <w:pPr>
              <w:adjustRightInd w:val="0"/>
              <w:snapToGrid w:val="0"/>
              <w:spacing w:after="60" w:line="280" w:lineRule="exact"/>
              <w:rPr>
                <w:rFonts w:ascii="Arabic Typesetting" w:hAnsi="Arabic Typesetting" w:cs="Arabic Typesetting"/>
                <w:noProof/>
                <w:sz w:val="30"/>
                <w:szCs w:val="30"/>
                <w:rtl/>
              </w:rPr>
            </w:pPr>
            <w:r>
              <w:rPr>
                <w:rFonts w:ascii="Arabic Typesetting" w:hAnsi="Arabic Typesetting" w:cs="Arabic Typesetting" w:hint="cs"/>
                <w:noProof/>
                <w:sz w:val="30"/>
                <w:szCs w:val="30"/>
                <w:rtl/>
              </w:rPr>
              <w:t>قاعدة البيانات والنشرة الحالية</w:t>
            </w:r>
          </w:p>
        </w:tc>
        <w:tc>
          <w:tcPr>
            <w:tcW w:w="1158" w:type="pct"/>
            <w:tcBorders>
              <w:top w:val="nil"/>
              <w:bottom w:val="nil"/>
            </w:tcBorders>
            <w:tcMar>
              <w:top w:w="110" w:type="dxa"/>
            </w:tcMar>
          </w:tcPr>
          <w:p w:rsidR="005135F6" w:rsidRPr="008A47EF" w:rsidRDefault="005135F6" w:rsidP="005135F6">
            <w:pPr>
              <w:adjustRightInd w:val="0"/>
              <w:snapToGrid w:val="0"/>
              <w:spacing w:after="60" w:line="280" w:lineRule="exact"/>
              <w:rPr>
                <w:rFonts w:ascii="Arabic Typesetting" w:hAnsi="Arabic Typesetting" w:cs="Arabic Typesetting"/>
                <w:b/>
                <w:noProof/>
                <w:sz w:val="30"/>
                <w:szCs w:val="30"/>
                <w:rtl/>
              </w:rPr>
            </w:pPr>
            <w:r w:rsidRPr="008A47EF">
              <w:rPr>
                <w:rFonts w:ascii="Arabic Typesetting" w:hAnsi="Arabic Typesetting" w:cs="Arabic Typesetting"/>
                <w:b/>
                <w:noProof/>
                <w:sz w:val="30"/>
                <w:szCs w:val="30"/>
                <w:rtl/>
              </w:rPr>
              <w:t>أداة محسنة لإدخال البيانات</w:t>
            </w:r>
          </w:p>
          <w:p w:rsidR="005135F6" w:rsidRPr="00F67FD0" w:rsidRDefault="005135F6" w:rsidP="00D7216C">
            <w:pPr>
              <w:keepNext/>
              <w:keepLines/>
              <w:adjustRightInd w:val="0"/>
              <w:snapToGrid w:val="0"/>
              <w:spacing w:line="280" w:lineRule="exact"/>
              <w:rPr>
                <w:rFonts w:ascii="Arabic Typesetting" w:hAnsi="Arabic Typesetting" w:cs="Arabic Typesetting"/>
                <w:b/>
                <w:noProof/>
                <w:sz w:val="30"/>
                <w:szCs w:val="30"/>
                <w:rtl/>
              </w:rPr>
            </w:pPr>
            <w:r w:rsidRPr="008A47EF">
              <w:rPr>
                <w:rFonts w:ascii="Arabic Typesetting" w:hAnsi="Arabic Typesetting" w:cs="Arabic Typesetting"/>
                <w:b/>
                <w:noProof/>
                <w:sz w:val="30"/>
                <w:szCs w:val="30"/>
                <w:rtl/>
              </w:rPr>
              <w:t>إدراج النشرة في قاعدة بيانات لشبونة إكسبرس</w:t>
            </w:r>
          </w:p>
        </w:tc>
      </w:tr>
      <w:tr w:rsidR="005135F6" w:rsidRPr="008954A8" w:rsidTr="00D7216C">
        <w:trPr>
          <w:cantSplit/>
          <w:trHeight w:val="966"/>
        </w:trPr>
        <w:tc>
          <w:tcPr>
            <w:tcW w:w="1240" w:type="pct"/>
            <w:tcBorders>
              <w:top w:val="nil"/>
              <w:bottom w:val="single" w:sz="4" w:space="0" w:color="auto"/>
            </w:tcBorders>
          </w:tcPr>
          <w:p w:rsidR="005135F6" w:rsidRPr="008954A8" w:rsidRDefault="005135F6" w:rsidP="00D7216C">
            <w:pPr>
              <w:adjustRightInd w:val="0"/>
              <w:snapToGrid w:val="0"/>
              <w:spacing w:line="280" w:lineRule="exact"/>
              <w:rPr>
                <w:rFonts w:ascii="Arabic Typesetting" w:hAnsi="Arabic Typesetting" w:cs="Arabic Typesetting"/>
                <w:sz w:val="30"/>
                <w:szCs w:val="30"/>
              </w:rPr>
            </w:pPr>
          </w:p>
        </w:tc>
        <w:tc>
          <w:tcPr>
            <w:tcW w:w="1472" w:type="pct"/>
            <w:tcBorders>
              <w:top w:val="nil"/>
              <w:bottom w:val="single" w:sz="4" w:space="0" w:color="auto"/>
            </w:tcBorders>
            <w:tcMar>
              <w:top w:w="110" w:type="dxa"/>
            </w:tcMar>
          </w:tcPr>
          <w:p w:rsidR="005135F6" w:rsidRPr="00001C2A" w:rsidRDefault="005135F6" w:rsidP="00D7216C">
            <w:pPr>
              <w:adjustRightInd w:val="0"/>
              <w:snapToGrid w:val="0"/>
              <w:spacing w:line="280" w:lineRule="exact"/>
              <w:rPr>
                <w:rFonts w:ascii="Arabic Typesetting" w:hAnsi="Arabic Typesetting" w:cs="Arabic Typesetting"/>
                <w:noProof/>
                <w:sz w:val="30"/>
                <w:szCs w:val="30"/>
                <w:rtl/>
              </w:rPr>
            </w:pPr>
            <w:r w:rsidRPr="008A47EF">
              <w:rPr>
                <w:rFonts w:ascii="Arabic Typesetting" w:hAnsi="Arabic Typesetting" w:cs="Arabic Typesetting"/>
                <w:noProof/>
                <w:sz w:val="30"/>
                <w:szCs w:val="30"/>
                <w:rtl/>
              </w:rPr>
              <w:t>الخدمات الإلكترونية الم</w:t>
            </w:r>
            <w:r>
              <w:rPr>
                <w:rFonts w:ascii="Arabic Typesetting" w:hAnsi="Arabic Typesetting" w:cs="Arabic Typesetting" w:hint="cs"/>
                <w:noProof/>
                <w:sz w:val="30"/>
                <w:szCs w:val="30"/>
                <w:rtl/>
              </w:rPr>
              <w:t>ُ</w:t>
            </w:r>
            <w:r w:rsidRPr="008A47EF">
              <w:rPr>
                <w:rFonts w:ascii="Arabic Typesetting" w:hAnsi="Arabic Typesetting" w:cs="Arabic Typesetting"/>
                <w:noProof/>
                <w:sz w:val="30"/>
                <w:szCs w:val="30"/>
                <w:rtl/>
              </w:rPr>
              <w:t>حس</w:t>
            </w:r>
            <w:r>
              <w:rPr>
                <w:rFonts w:ascii="Arabic Typesetting" w:hAnsi="Arabic Typesetting" w:cs="Arabic Typesetting" w:hint="cs"/>
                <w:noProof/>
                <w:sz w:val="30"/>
                <w:szCs w:val="30"/>
                <w:rtl/>
              </w:rPr>
              <w:t>َّ</w:t>
            </w:r>
            <w:r w:rsidRPr="008A47EF">
              <w:rPr>
                <w:rFonts w:ascii="Arabic Typesetting" w:hAnsi="Arabic Typesetting" w:cs="Arabic Typesetting"/>
                <w:noProof/>
                <w:sz w:val="30"/>
                <w:szCs w:val="30"/>
                <w:rtl/>
              </w:rPr>
              <w:t>نة لسجل لشبونة والمادة 6(ثالثا</w:t>
            </w:r>
            <w:r>
              <w:rPr>
                <w:rFonts w:ascii="Arabic Typesetting" w:hAnsi="Arabic Typesetting" w:cs="Arabic Typesetting" w:hint="cs"/>
                <w:noProof/>
                <w:sz w:val="30"/>
                <w:szCs w:val="30"/>
                <w:rtl/>
              </w:rPr>
              <w:t>ً</w:t>
            </w:r>
            <w:r w:rsidRPr="008A47EF">
              <w:rPr>
                <w:rFonts w:ascii="Arabic Typesetting" w:hAnsi="Arabic Typesetting" w:cs="Arabic Typesetting"/>
                <w:noProof/>
                <w:sz w:val="30"/>
                <w:szCs w:val="30"/>
                <w:rtl/>
              </w:rPr>
              <w:t>)</w:t>
            </w:r>
          </w:p>
        </w:tc>
        <w:tc>
          <w:tcPr>
            <w:tcW w:w="1130" w:type="pct"/>
            <w:tcBorders>
              <w:top w:val="nil"/>
              <w:bottom w:val="single" w:sz="4" w:space="0" w:color="auto"/>
            </w:tcBorders>
            <w:shd w:val="clear" w:color="auto" w:fill="FFFFFF"/>
            <w:tcMar>
              <w:top w:w="110" w:type="dxa"/>
            </w:tcMar>
          </w:tcPr>
          <w:p w:rsidR="005135F6" w:rsidRPr="00001C2A" w:rsidRDefault="005135F6" w:rsidP="00D7216C">
            <w:pPr>
              <w:adjustRightInd w:val="0"/>
              <w:snapToGrid w:val="0"/>
              <w:spacing w:line="280" w:lineRule="exact"/>
              <w:rPr>
                <w:rFonts w:ascii="Arabic Typesetting" w:hAnsi="Arabic Typesetting" w:cs="Arabic Typesetting"/>
                <w:noProof/>
                <w:sz w:val="30"/>
                <w:szCs w:val="30"/>
                <w:rtl/>
              </w:rPr>
            </w:pPr>
            <w:r>
              <w:rPr>
                <w:rFonts w:ascii="Arabic Typesetting" w:hAnsi="Arabic Typesetting" w:cs="Arabic Typesetting"/>
                <w:noProof/>
                <w:sz w:val="30"/>
                <w:szCs w:val="30"/>
                <w:rtl/>
              </w:rPr>
              <w:t>التنفيذ البسيط لسج</w:t>
            </w:r>
            <w:r w:rsidRPr="00337AA7">
              <w:rPr>
                <w:rFonts w:ascii="Arabic Typesetting" w:hAnsi="Arabic Typesetting" w:cs="Arabic Typesetting"/>
                <w:noProof/>
                <w:sz w:val="30"/>
                <w:szCs w:val="30"/>
                <w:rtl/>
              </w:rPr>
              <w:t>ل إلكتروني</w:t>
            </w:r>
          </w:p>
        </w:tc>
        <w:tc>
          <w:tcPr>
            <w:tcW w:w="1158" w:type="pct"/>
            <w:tcBorders>
              <w:top w:val="nil"/>
              <w:bottom w:val="single" w:sz="4" w:space="0" w:color="auto"/>
            </w:tcBorders>
            <w:tcMar>
              <w:top w:w="110" w:type="dxa"/>
            </w:tcMar>
          </w:tcPr>
          <w:p w:rsidR="005135F6" w:rsidRPr="008A47EF" w:rsidRDefault="005135F6" w:rsidP="00D7216C">
            <w:pPr>
              <w:keepNext/>
              <w:keepLines/>
              <w:adjustRightInd w:val="0"/>
              <w:snapToGrid w:val="0"/>
              <w:spacing w:line="280" w:lineRule="exact"/>
              <w:rPr>
                <w:rFonts w:ascii="Arabic Typesetting" w:hAnsi="Arabic Typesetting" w:cs="Arabic Typesetting"/>
                <w:b/>
                <w:noProof/>
                <w:sz w:val="30"/>
                <w:szCs w:val="30"/>
                <w:rtl/>
              </w:rPr>
            </w:pPr>
            <w:r>
              <w:rPr>
                <w:rFonts w:ascii="Arabic Typesetting" w:hAnsi="Arabic Typesetting" w:cs="Arabic Typesetting" w:hint="cs"/>
                <w:b/>
                <w:noProof/>
                <w:sz w:val="30"/>
                <w:szCs w:val="30"/>
                <w:rtl/>
              </w:rPr>
              <w:t>استمارات شبكية ل</w:t>
            </w:r>
            <w:r w:rsidRPr="00337AA7">
              <w:rPr>
                <w:rFonts w:ascii="Arabic Typesetting" w:hAnsi="Arabic Typesetting" w:cs="Arabic Typesetting"/>
                <w:b/>
                <w:noProof/>
                <w:sz w:val="30"/>
                <w:szCs w:val="30"/>
                <w:rtl/>
              </w:rPr>
              <w:t>لإيداع الإلكتروني</w:t>
            </w:r>
          </w:p>
        </w:tc>
      </w:tr>
    </w:tbl>
    <w:p w:rsidR="005135F6" w:rsidRDefault="005135F6" w:rsidP="005135F6">
      <w:pPr>
        <w:keepNext/>
        <w:autoSpaceDE w:val="0"/>
        <w:autoSpaceDN w:val="0"/>
        <w:adjustRightInd w:val="0"/>
        <w:snapToGrid w:val="0"/>
        <w:spacing w:before="120" w:after="120" w:line="360" w:lineRule="exact"/>
        <w:rPr>
          <w:rFonts w:ascii="Arabic Typesetting" w:hAnsi="Arabic Typesetting" w:cs="Arabic Typesetting"/>
          <w:noProof/>
          <w:color w:val="000000"/>
          <w:sz w:val="38"/>
          <w:szCs w:val="38"/>
          <w:rtl/>
        </w:rPr>
      </w:pPr>
      <w:r w:rsidRPr="00CF0D8E">
        <w:rPr>
          <w:rFonts w:ascii="Arabic Typesetting" w:hAnsi="Arabic Typesetting" w:cs="Arabic Typesetting"/>
          <w:noProof/>
          <w:color w:val="000000"/>
          <w:sz w:val="38"/>
          <w:szCs w:val="38"/>
          <w:rtl/>
        </w:rPr>
        <w:t xml:space="preserve">الموارد المخصصة </w:t>
      </w:r>
      <w:r>
        <w:rPr>
          <w:rFonts w:ascii="Arabic Typesetting" w:hAnsi="Arabic Typesetting" w:cs="Arabic Typesetting" w:hint="cs"/>
          <w:noProof/>
          <w:color w:val="000000"/>
          <w:sz w:val="38"/>
          <w:szCs w:val="38"/>
          <w:rtl/>
        </w:rPr>
        <w:t>لنظام لشبونة</w:t>
      </w:r>
    </w:p>
    <w:p w:rsidR="005135F6" w:rsidRPr="005135F6" w:rsidRDefault="005135F6" w:rsidP="005135F6">
      <w:pPr>
        <w:numPr>
          <w:ilvl w:val="0"/>
          <w:numId w:val="61"/>
        </w:numPr>
        <w:adjustRightInd w:val="0"/>
        <w:snapToGrid w:val="0"/>
        <w:spacing w:after="120" w:line="340" w:lineRule="exact"/>
        <w:jc w:val="both"/>
        <w:rPr>
          <w:rFonts w:ascii="Arabic Typesetting" w:hAnsi="Arabic Typesetting" w:cs="Arabic Typesetting"/>
          <w:noProof/>
          <w:szCs w:val="34"/>
          <w:rtl/>
        </w:rPr>
      </w:pPr>
      <w:r>
        <w:rPr>
          <w:rFonts w:ascii="Arabic Typesetting" w:hAnsi="Arabic Typesetting" w:cs="Arabic Typesetting" w:hint="cs"/>
          <w:noProof/>
          <w:szCs w:val="34"/>
          <w:rtl/>
        </w:rPr>
        <w:t>تشهد الثنائية 2016/17 إنشاء البرنامج 32، بعد أن فُصل نظام لشبونة عن البرنامج 6. وتعكس الموارد تحت هذا البرنامج تحويل موراد الموظفين والموارد خلاف الموظفين من البرنامج 6. وبما أن هذا البرنامج جديد، لا تتاح أية مقارنة مع الميزانية المعتمدة للثنائية 2014/15 ولا مع ميزانية 2014/2015 بعد التحويلات.</w:t>
      </w:r>
    </w:p>
    <w:p w:rsidR="005135F6" w:rsidRPr="008954A8" w:rsidRDefault="005135F6" w:rsidP="005135F6">
      <w:pPr>
        <w:pStyle w:val="ARNormal"/>
        <w:keepNext/>
        <w:spacing w:after="0" w:line="360" w:lineRule="exact"/>
        <w:jc w:val="center"/>
        <w:rPr>
          <w:b/>
          <w:bCs/>
          <w:rtl/>
        </w:rPr>
      </w:pPr>
      <w:r>
        <w:rPr>
          <w:rFonts w:hint="cs"/>
          <w:b/>
          <w:bCs/>
          <w:rtl/>
        </w:rPr>
        <w:t xml:space="preserve">البرنامج 32: </w:t>
      </w:r>
      <w:r w:rsidRPr="008954A8">
        <w:rPr>
          <w:rFonts w:hint="cs"/>
          <w:b/>
          <w:bCs/>
          <w:rtl/>
        </w:rPr>
        <w:t>الموارد بحسب كل نتيجة</w:t>
      </w:r>
    </w:p>
    <w:p w:rsidR="005135F6" w:rsidRPr="008954A8" w:rsidRDefault="005135F6" w:rsidP="005135F6">
      <w:pPr>
        <w:pStyle w:val="ARNormal"/>
        <w:spacing w:after="240" w:line="360" w:lineRule="exact"/>
        <w:jc w:val="center"/>
        <w:rPr>
          <w:i/>
          <w:iCs/>
        </w:rPr>
      </w:pPr>
      <w:r w:rsidRPr="008954A8">
        <w:rPr>
          <w:rFonts w:hint="cs"/>
          <w:i/>
          <w:iCs/>
          <w:rtl/>
        </w:rPr>
        <w:t>(بآلاف الفرنكات السويسرية)</w:t>
      </w:r>
    </w:p>
    <w:p w:rsidR="00431FFB" w:rsidRDefault="003A25E1" w:rsidP="005135F6">
      <w:pPr>
        <w:pStyle w:val="ARNormal"/>
        <w:spacing w:line="240" w:lineRule="auto"/>
        <w:jc w:val="center"/>
        <w:rPr>
          <w:rtl/>
          <w:lang w:bidi="ar-EG"/>
        </w:rPr>
      </w:pPr>
      <w:r w:rsidRPr="003A25E1">
        <w:rPr>
          <w:noProof/>
          <w:rtl/>
          <w:lang w:val="en-US"/>
        </w:rPr>
        <w:drawing>
          <wp:inline distT="0" distB="0" distL="0" distR="0" wp14:anchorId="1859EE2F" wp14:editId="4D1350F3">
            <wp:extent cx="5676265" cy="1175385"/>
            <wp:effectExtent l="0" t="0" r="635"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76265" cy="1175385"/>
                    </a:xfrm>
                    <a:prstGeom prst="rect">
                      <a:avLst/>
                    </a:prstGeom>
                    <a:noFill/>
                    <a:ln>
                      <a:noFill/>
                    </a:ln>
                  </pic:spPr>
                </pic:pic>
              </a:graphicData>
            </a:graphic>
          </wp:inline>
        </w:drawing>
      </w:r>
    </w:p>
    <w:p w:rsidR="005135F6" w:rsidRPr="008954A8" w:rsidRDefault="005135F6" w:rsidP="005135F6">
      <w:pPr>
        <w:pStyle w:val="ARNormal"/>
        <w:keepNext/>
        <w:spacing w:after="0" w:line="360" w:lineRule="exact"/>
        <w:jc w:val="center"/>
        <w:rPr>
          <w:b/>
          <w:bCs/>
          <w:rtl/>
        </w:rPr>
      </w:pPr>
      <w:r>
        <w:rPr>
          <w:rFonts w:hint="cs"/>
          <w:b/>
          <w:bCs/>
          <w:rtl/>
        </w:rPr>
        <w:lastRenderedPageBreak/>
        <w:t xml:space="preserve">البرنامج 32: </w:t>
      </w:r>
      <w:r w:rsidRPr="008954A8">
        <w:rPr>
          <w:rFonts w:hint="cs"/>
          <w:b/>
          <w:bCs/>
          <w:rtl/>
        </w:rPr>
        <w:t>الموارد بحسب غرض الإنفاق</w:t>
      </w:r>
    </w:p>
    <w:p w:rsidR="005135F6" w:rsidRPr="008954A8" w:rsidRDefault="005135F6" w:rsidP="005135F6">
      <w:pPr>
        <w:pStyle w:val="ARNormal"/>
        <w:keepNext/>
        <w:spacing w:after="240" w:line="360" w:lineRule="exact"/>
        <w:ind w:left="-1"/>
        <w:jc w:val="center"/>
        <w:rPr>
          <w:i/>
          <w:iCs/>
        </w:rPr>
      </w:pPr>
      <w:r w:rsidRPr="008954A8">
        <w:rPr>
          <w:rFonts w:hint="cs"/>
          <w:i/>
          <w:iCs/>
          <w:rtl/>
        </w:rPr>
        <w:t>(بآلاف الفرنكات السويسرية)</w:t>
      </w:r>
    </w:p>
    <w:p w:rsidR="00431FFB" w:rsidRDefault="003A25E1" w:rsidP="005135F6">
      <w:pPr>
        <w:pStyle w:val="ARNormal"/>
        <w:spacing w:line="240" w:lineRule="auto"/>
        <w:jc w:val="center"/>
        <w:rPr>
          <w:rtl/>
          <w:lang w:bidi="ar-EG"/>
        </w:rPr>
      </w:pPr>
      <w:r w:rsidRPr="003A25E1">
        <w:rPr>
          <w:noProof/>
          <w:rtl/>
          <w:lang w:val="en-US"/>
        </w:rPr>
        <w:drawing>
          <wp:inline distT="0" distB="0" distL="0" distR="0" wp14:anchorId="791545E0" wp14:editId="4026AD24">
            <wp:extent cx="5509895" cy="62109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09895" cy="6210935"/>
                    </a:xfrm>
                    <a:prstGeom prst="rect">
                      <a:avLst/>
                    </a:prstGeom>
                    <a:noFill/>
                    <a:ln>
                      <a:noFill/>
                    </a:ln>
                  </pic:spPr>
                </pic:pic>
              </a:graphicData>
            </a:graphic>
          </wp:inline>
        </w:drawing>
      </w:r>
    </w:p>
    <w:p w:rsidR="00431FFB" w:rsidRDefault="00431FFB" w:rsidP="002C3C33">
      <w:pPr>
        <w:pStyle w:val="ARNormal"/>
        <w:rPr>
          <w:rtl/>
          <w:lang w:bidi="ar-EG"/>
        </w:rPr>
      </w:pPr>
    </w:p>
    <w:p w:rsidR="00AA5376" w:rsidRDefault="00AA5376">
      <w:pPr>
        <w:bidi w:val="0"/>
        <w:rPr>
          <w:rFonts w:ascii="Arabic Typesetting" w:hAnsi="Arabic Typesetting" w:cs="Arabic Typesetting"/>
          <w:sz w:val="34"/>
          <w:szCs w:val="34"/>
          <w:rtl/>
          <w:lang w:val="fr-CH" w:bidi="ar-SA"/>
        </w:rPr>
      </w:pPr>
      <w:r>
        <w:rPr>
          <w:rtl/>
        </w:rPr>
        <w:br w:type="page"/>
      </w:r>
    </w:p>
    <w:p w:rsidR="008E1346" w:rsidRPr="00C4153E" w:rsidRDefault="008E1346" w:rsidP="002C3C33">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35" w:name="_Toc356567755"/>
      <w:bookmarkStart w:id="36" w:name="_Toc364355366"/>
      <w:bookmarkStart w:id="37" w:name="_Toc420595506"/>
      <w:r w:rsidRPr="00C4153E">
        <w:rPr>
          <w:rFonts w:ascii="Arabic Typesetting" w:hAnsi="Arabic Typesetting" w:cs="Arabic Typesetting"/>
          <w:bCs/>
          <w:iCs w:val="0"/>
          <w:noProof/>
          <w:sz w:val="42"/>
          <w:szCs w:val="42"/>
          <w:rtl/>
        </w:rPr>
        <w:lastRenderedPageBreak/>
        <w:t>البرنامج 7</w:t>
      </w:r>
      <w:r w:rsidRPr="00C4153E">
        <w:rPr>
          <w:rFonts w:ascii="Arabic Typesetting" w:hAnsi="Arabic Typesetting" w:cs="Arabic Typesetting"/>
          <w:bCs/>
          <w:iCs w:val="0"/>
          <w:noProof/>
          <w:sz w:val="42"/>
          <w:szCs w:val="42"/>
        </w:rPr>
        <w:tab/>
      </w:r>
      <w:bookmarkEnd w:id="35"/>
      <w:r w:rsidRPr="00C4153E">
        <w:rPr>
          <w:rFonts w:ascii="Arabic Typesetting" w:hAnsi="Arabic Typesetting" w:cs="Arabic Typesetting"/>
          <w:bCs/>
          <w:iCs w:val="0"/>
          <w:noProof/>
          <w:sz w:val="42"/>
          <w:szCs w:val="42"/>
          <w:rtl/>
        </w:rPr>
        <w:t>مركز الويبو للتحكيم والوساطة</w:t>
      </w:r>
      <w:bookmarkEnd w:id="36"/>
      <w:bookmarkEnd w:id="37"/>
    </w:p>
    <w:p w:rsidR="008E1346" w:rsidRPr="007E4ECB" w:rsidRDefault="008E134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7E4ECB">
        <w:rPr>
          <w:rFonts w:ascii="Arabic Typesetting" w:hAnsi="Arabic Typesetting" w:cs="Arabic Typesetting"/>
          <w:sz w:val="38"/>
          <w:szCs w:val="38"/>
          <w:rtl/>
        </w:rPr>
        <w:t>سياق التخطيط</w:t>
      </w:r>
    </w:p>
    <w:p w:rsidR="008E1346" w:rsidRPr="007E4ECB" w:rsidRDefault="008E1346" w:rsidP="00861CFF">
      <w:pPr>
        <w:keepNext/>
        <w:numPr>
          <w:ilvl w:val="0"/>
          <w:numId w:val="20"/>
        </w:numPr>
        <w:adjustRightInd w:val="0"/>
        <w:snapToGrid w:val="0"/>
        <w:spacing w:after="120" w:line="340" w:lineRule="exact"/>
        <w:jc w:val="both"/>
        <w:rPr>
          <w:rFonts w:ascii="Arabic Typesetting" w:eastAsia="Batang" w:hAnsi="Arabic Typesetting" w:cs="Arabic Typesetting"/>
          <w:szCs w:val="34"/>
          <w:lang w:eastAsia="ko-KR" w:bidi="ta-IN"/>
        </w:rPr>
      </w:pPr>
      <w:r w:rsidRPr="007E4ECB">
        <w:rPr>
          <w:rFonts w:ascii="Arabic Typesetting" w:eastAsia="Batang" w:hAnsi="Arabic Typesetting" w:cs="Arabic Typesetting"/>
          <w:szCs w:val="34"/>
          <w:rtl/>
          <w:lang w:eastAsia="ko-KR" w:bidi="ar-SA"/>
        </w:rPr>
        <w:t>تحتاج الجهات المعنية في الاقتصاد القائم على الملكية الفكرية إلى إدراج إدارة النزاعات في إجراءات العمل (مثل وضع تكنولوجيات جديدة)، والممارسات التعاقدية، وسياسات الإنفاذ الأوسع نطاقًا. ويساعد الوعي بمخاطر تسوية المنازعات وفرصها على تقليل التعطل الذي يمكن أن تحدثه هذه النزاعات في استغلال حقوق الملكية الفكرية.</w:t>
      </w:r>
    </w:p>
    <w:p w:rsidR="008E1346" w:rsidRPr="007E4ECB" w:rsidRDefault="008E1346" w:rsidP="00861CFF">
      <w:pPr>
        <w:numPr>
          <w:ilvl w:val="0"/>
          <w:numId w:val="20"/>
        </w:numPr>
        <w:adjustRightInd w:val="0"/>
        <w:snapToGrid w:val="0"/>
        <w:spacing w:after="120" w:line="340" w:lineRule="exact"/>
        <w:jc w:val="both"/>
        <w:rPr>
          <w:rFonts w:ascii="Arabic Typesetting" w:eastAsia="Batang" w:hAnsi="Arabic Typesetting" w:cs="Arabic Typesetting"/>
          <w:szCs w:val="34"/>
          <w:lang w:eastAsia="ko-KR" w:bidi="ta-IN"/>
        </w:rPr>
      </w:pPr>
      <w:r w:rsidRPr="007E4ECB">
        <w:rPr>
          <w:rFonts w:ascii="Arabic Typesetting" w:eastAsia="Batang" w:hAnsi="Arabic Typesetting" w:cs="Arabic Typesetting"/>
          <w:szCs w:val="34"/>
          <w:rtl/>
          <w:lang w:eastAsia="ko-KR" w:bidi="ar-SA"/>
        </w:rPr>
        <w:t>وتميل المحاكم وسلطات الملكية الفكرية إلى تقديم حلولٍ إقليمية رسمية ناتجة عن الإجراءات المطبقة عموماً القائمة على الحقوق، ولكن نظراً لتزايد تدويل إنشاء الملكية الفكرية واستخدامها فإن أصحاب الحقوق والمستخدمين يبحثون بشكل متزايد عن حلولٍ عابرة للحدود لتسوية منازعاتهم. ويدعم مركز الويبو للتحكيم والوساطة هذه المساعي ـ بصفته مركزاً ذا موارد عالمية ـ عن طريق الارتقاء بمستوى وعي الأطراف، كما يوفر ـ بصفته مقدم خدمات ـ أدوات لإدارة المنازعات استناداً إلى الشروط والقواعد التي تيسرها الويبو. ومن ضمن المستفيدين المحتملين من هذا النشاط الشركات الخاصة والسلطات العامة الرامية إلى الاستعانة بالسبل البديلة لتسوية المنازعات.</w:t>
      </w:r>
    </w:p>
    <w:p w:rsidR="008E1346" w:rsidRPr="007E4ECB" w:rsidRDefault="008E1346" w:rsidP="00861CFF">
      <w:pPr>
        <w:numPr>
          <w:ilvl w:val="0"/>
          <w:numId w:val="20"/>
        </w:numPr>
        <w:adjustRightInd w:val="0"/>
        <w:snapToGrid w:val="0"/>
        <w:spacing w:after="120" w:line="340" w:lineRule="exact"/>
        <w:jc w:val="both"/>
        <w:rPr>
          <w:rFonts w:ascii="Arabic Typesetting" w:eastAsia="Batang" w:hAnsi="Arabic Typesetting" w:cs="Arabic Typesetting"/>
          <w:szCs w:val="34"/>
          <w:lang w:eastAsia="ko-KR" w:bidi="ta-IN"/>
        </w:rPr>
      </w:pPr>
      <w:r w:rsidRPr="007E4ECB">
        <w:rPr>
          <w:rFonts w:ascii="Arabic Typesetting" w:eastAsia="Batang" w:hAnsi="Arabic Typesetting" w:cs="Arabic Typesetting"/>
          <w:szCs w:val="34"/>
          <w:rtl/>
          <w:lang w:eastAsia="ko-KR" w:bidi="ar-SA"/>
        </w:rPr>
        <w:t>وينشئ مركز الويبو للتحكيم والوساطة الأطر البديلة لتسوية المنازعات المتعلقة بالملكية الفكرية ويحافظ على هذه الأطر. وفي الوقت نفسه، يتنافس العديد من الجهات المقدمة للخدمات المتعلقة بالأطر البديلة لتسوية المنازعات من القطاعين العام والخاص على تنفيذ هذه الآليات، ويرجع ذلك لأسباب تجارية وسياسية.</w:t>
      </w:r>
    </w:p>
    <w:p w:rsidR="008E1346" w:rsidRPr="007E4ECB" w:rsidRDefault="008E1346" w:rsidP="00861CFF">
      <w:pPr>
        <w:numPr>
          <w:ilvl w:val="0"/>
          <w:numId w:val="20"/>
        </w:numPr>
        <w:adjustRightInd w:val="0"/>
        <w:snapToGrid w:val="0"/>
        <w:spacing w:after="120" w:line="340" w:lineRule="exact"/>
        <w:jc w:val="both"/>
        <w:rPr>
          <w:rFonts w:ascii="Arabic Typesetting" w:eastAsia="Batang" w:hAnsi="Arabic Typesetting" w:cs="Arabic Typesetting"/>
          <w:szCs w:val="34"/>
          <w:lang w:eastAsia="ko-KR" w:bidi="ta-IN"/>
        </w:rPr>
      </w:pPr>
      <w:r w:rsidRPr="007E4ECB">
        <w:rPr>
          <w:rFonts w:ascii="Arabic Typesetting" w:eastAsia="Batang" w:hAnsi="Arabic Typesetting" w:cs="Arabic Typesetting"/>
          <w:szCs w:val="34"/>
          <w:rtl/>
          <w:lang w:eastAsia="ko-KR" w:bidi="ar-SA"/>
        </w:rPr>
        <w:t xml:space="preserve">والسياسة الموحدة التي وضعتها الويبو لتسوية المنازعات المتعلقة بأسماء الحقول مثالٌ على ما يمكن أن توفره الأطر البديلة لتسوية المنازعات من إمكانيات للملكية الفكرية. وفي إطار هذا البديل العالمي الشبكي للتقاضي من أجل البتّ في الانتهاكات المتعلقة بالعلامات التجارية في نظام أسماء الحقول، فقد نظر مركز الويبو للتحكيم والوساطة في أكثر من </w:t>
      </w:r>
      <w:r>
        <w:rPr>
          <w:rFonts w:ascii="Arabic Typesetting" w:eastAsia="Batang" w:hAnsi="Arabic Typesetting" w:cs="Arabic Typesetting" w:hint="cs"/>
          <w:szCs w:val="34"/>
          <w:rtl/>
          <w:lang w:eastAsia="ko-KR" w:bidi="ar-SA"/>
        </w:rPr>
        <w:t>000 30</w:t>
      </w:r>
      <w:r w:rsidRPr="007E4ECB">
        <w:rPr>
          <w:rFonts w:ascii="Arabic Typesetting" w:eastAsia="Batang" w:hAnsi="Arabic Typesetting" w:cs="Arabic Typesetting"/>
          <w:szCs w:val="34"/>
          <w:rtl/>
          <w:lang w:eastAsia="ko-KR" w:bidi="ar-SA"/>
        </w:rPr>
        <w:t xml:space="preserve"> حالة على مدار 2014. ويخضع نظام أسماء الحقول على الإنترنت لتغييرات جمّة في شكل توسيع كبير لعدد الحقول العليا المكونة من أسماء عامة وافتتاح حقول عليا دولية (بخط غير لاتيني) وأسماء الحقول.</w:t>
      </w:r>
    </w:p>
    <w:p w:rsidR="008E1346" w:rsidRPr="007E4ECB" w:rsidRDefault="008E1346" w:rsidP="00861CFF">
      <w:pPr>
        <w:numPr>
          <w:ilvl w:val="0"/>
          <w:numId w:val="20"/>
        </w:numPr>
        <w:adjustRightInd w:val="0"/>
        <w:snapToGrid w:val="0"/>
        <w:spacing w:after="120" w:line="340" w:lineRule="exact"/>
        <w:jc w:val="both"/>
        <w:rPr>
          <w:rFonts w:ascii="Arabic Typesetting" w:eastAsia="Batang" w:hAnsi="Arabic Typesetting" w:cs="Arabic Typesetting"/>
          <w:szCs w:val="34"/>
          <w:lang w:eastAsia="ko-KR" w:bidi="ta-IN"/>
        </w:rPr>
      </w:pPr>
      <w:r w:rsidRPr="007E4ECB">
        <w:rPr>
          <w:rFonts w:ascii="Arabic Typesetting" w:eastAsia="Batang" w:hAnsi="Arabic Typesetting" w:cs="Arabic Typesetting"/>
          <w:szCs w:val="34"/>
          <w:rtl/>
          <w:lang w:eastAsia="ko-KR" w:bidi="ar-SA"/>
        </w:rPr>
        <w:t>ومن أجل الحد من التأثير السلبي لهذه التغيرات التي تطرأ على الملكية الفكرية، يواصل مركز الويبو للتحكيم والوساطة أداء دور استباقي في اقتراح حلول على هيئة الإنترنت المعنية بالأسماء والأرقام المعينة (الإيكان). وفي هذا الصدد، قد تتأثر هذه الخدمة التي تقدمها الويبو بالتغييرات الكبيرة التي تحدث في الطلب في إطار السياسة الموحدة لتسوية المنازعات المتعلقة بأسماء الحقول.</w:t>
      </w:r>
    </w:p>
    <w:p w:rsidR="008E1346" w:rsidRPr="00302EBB" w:rsidRDefault="008E1346" w:rsidP="002C3C33">
      <w:pPr>
        <w:numPr>
          <w:ilvl w:val="0"/>
          <w:numId w:val="20"/>
        </w:numPr>
        <w:tabs>
          <w:tab w:val="num" w:pos="709"/>
        </w:tabs>
        <w:adjustRightInd w:val="0"/>
        <w:snapToGrid w:val="0"/>
        <w:spacing w:after="240" w:line="360" w:lineRule="exact"/>
        <w:jc w:val="both"/>
        <w:rPr>
          <w:rFonts w:ascii="Arabic Typesetting" w:hAnsi="Arabic Typesetting" w:cs="Arabic Typesetting"/>
          <w:bCs/>
          <w:szCs w:val="34"/>
        </w:rPr>
      </w:pPr>
      <w:r w:rsidRPr="00302EBB">
        <w:rPr>
          <w:rFonts w:ascii="Arabic Typesetting" w:eastAsia="Batang" w:hAnsi="Arabic Typesetting" w:cs="Arabic Typesetting"/>
          <w:szCs w:val="34"/>
          <w:rtl/>
          <w:lang w:eastAsia="ko-KR" w:bidi="ar-SA"/>
        </w:rPr>
        <w:t>ويساعد مركزُ الويبو للتحكيم والوساطة الجهات التي تدير الحقول العليا المكونة من رموز البلدان على إنشاء آليات لأفضل ممارسات التسجيل وتسوية المنازعات المتعلقة بأسماء الحقول. وفي مجال الأطر البديلة لتسوية المنازعات بشأن الملكية الفكرية على نحو أعم، تدعو سلطات الملكية الفكرية الوطنية المركزَ إلى المساهمة في وضع آليات اختيارية بديلة لتسوية المنازعات تتكامل مع إجراءاتها الإدارية القائمة. وينظم مركز الويبو للتحكيم والوساطة أيضاً برامج تدريبية للمسؤولين عن الملكية الفكرية والعاملين في هذا المجال والطلاب، بما في ذلك البرامج الشبكية. وسوف تسهم أنشطة التدريب وتكوين الكفاءات – المنجزة وفق التوصيتين 1 و6 من توصيات جدول أعمال التنمية – في تنفيذ التوصية 10 من توصيات جدول أعمال التنمية من خلال ضمان أن البلدان النامية والبلدان الأقل نمواً قد عززت قدراتها المؤسسية لتسوية المنازعات المتعلقة بالملكية الفكرية بفعالية وإنصاف وجدوى من حيث التكلفة.</w:t>
      </w:r>
    </w:p>
    <w:p w:rsidR="008E1346" w:rsidRPr="007E4ECB" w:rsidRDefault="008E134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7E4ECB">
        <w:rPr>
          <w:rFonts w:ascii="Arabic Typesetting" w:hAnsi="Arabic Typesetting" w:cs="Arabic Typesetting"/>
          <w:sz w:val="38"/>
          <w:szCs w:val="38"/>
          <w:rtl/>
        </w:rPr>
        <w:t>استراتيجيات التنفيذ</w:t>
      </w:r>
    </w:p>
    <w:p w:rsidR="008E1346" w:rsidRPr="007E4ECB" w:rsidRDefault="008E1346" w:rsidP="00861CFF">
      <w:pPr>
        <w:keepNext/>
        <w:numPr>
          <w:ilvl w:val="0"/>
          <w:numId w:val="20"/>
        </w:numPr>
        <w:adjustRightInd w:val="0"/>
        <w:snapToGrid w:val="0"/>
        <w:spacing w:after="120" w:line="340" w:lineRule="exact"/>
        <w:jc w:val="both"/>
        <w:rPr>
          <w:rFonts w:ascii="Arabic Typesetting" w:eastAsia="Batang" w:hAnsi="Arabic Typesetting" w:cs="Arabic Typesetting"/>
          <w:color w:val="000000"/>
          <w:szCs w:val="34"/>
          <w:lang w:eastAsia="ko-KR" w:bidi="ta-IN"/>
        </w:rPr>
      </w:pPr>
      <w:r w:rsidRPr="007E4ECB">
        <w:rPr>
          <w:rFonts w:ascii="Arabic Typesetting" w:eastAsia="Batang" w:hAnsi="Arabic Typesetting" w:cs="Arabic Typesetting"/>
          <w:color w:val="000000"/>
          <w:szCs w:val="34"/>
          <w:rtl/>
          <w:lang w:eastAsia="ko-KR" w:bidi="ar-SA"/>
        </w:rPr>
        <w:t>بناء على ما تقدم، سوف يتبع مركز الويبو للتحكيم والوساطة الاستراتيجيات التالية:</w:t>
      </w:r>
    </w:p>
    <w:p w:rsidR="008E1346" w:rsidRPr="007E4ECB" w:rsidRDefault="008E1346" w:rsidP="002C3C33">
      <w:pPr>
        <w:autoSpaceDE w:val="0"/>
        <w:autoSpaceDN w:val="0"/>
        <w:adjustRightInd w:val="0"/>
        <w:snapToGrid w:val="0"/>
        <w:spacing w:after="120" w:line="340" w:lineRule="exact"/>
        <w:ind w:left="488"/>
        <w:rPr>
          <w:rFonts w:ascii="Arabic Typesetting" w:eastAsia="Batang" w:hAnsi="Arabic Typesetting" w:cs="Arabic Typesetting"/>
          <w:color w:val="000000"/>
          <w:szCs w:val="34"/>
          <w:lang w:eastAsia="ko-KR" w:bidi="ta-IN"/>
        </w:rPr>
      </w:pPr>
      <w:r w:rsidRPr="007E4ECB">
        <w:rPr>
          <w:rFonts w:ascii="Arabic Typesetting" w:eastAsia="Batang" w:hAnsi="Arabic Typesetting" w:cs="Arabic Typesetting"/>
          <w:color w:val="000000"/>
          <w:szCs w:val="34"/>
          <w:rtl/>
          <w:lang w:eastAsia="ko-KR"/>
        </w:rPr>
        <w:t>"1"</w:t>
      </w:r>
      <w:r w:rsidRPr="007E4ECB">
        <w:rPr>
          <w:rFonts w:ascii="Arabic Typesetting" w:eastAsia="Batang" w:hAnsi="Arabic Typesetting" w:cs="Arabic Typesetting"/>
          <w:color w:val="000000"/>
          <w:szCs w:val="34"/>
          <w:lang w:eastAsia="ko-KR"/>
        </w:rPr>
        <w:tab/>
      </w:r>
      <w:r w:rsidRPr="007E4ECB">
        <w:rPr>
          <w:rFonts w:ascii="Arabic Typesetting" w:eastAsia="Batang" w:hAnsi="Arabic Typesetting" w:cs="Arabic Typesetting"/>
          <w:color w:val="000000"/>
          <w:szCs w:val="34"/>
          <w:rtl/>
          <w:lang w:eastAsia="ko-KR"/>
        </w:rPr>
        <w:t>الارتقاء بمستوى وعي أصحاب المصلحة بالخيارات المتعلقة بالأطر البديلة لتسوية المنازعات بشأن الملكية الفكرية.</w:t>
      </w:r>
    </w:p>
    <w:p w:rsidR="008E1346" w:rsidRPr="007E4ECB" w:rsidRDefault="008E1346" w:rsidP="002C3C33">
      <w:pPr>
        <w:autoSpaceDE w:val="0"/>
        <w:autoSpaceDN w:val="0"/>
        <w:adjustRightInd w:val="0"/>
        <w:snapToGrid w:val="0"/>
        <w:spacing w:after="120" w:line="340" w:lineRule="exact"/>
        <w:ind w:left="488"/>
        <w:rPr>
          <w:rFonts w:ascii="Arabic Typesetting" w:eastAsia="Batang" w:hAnsi="Arabic Typesetting" w:cs="Arabic Typesetting"/>
          <w:color w:val="000000"/>
          <w:szCs w:val="34"/>
          <w:lang w:eastAsia="ko-KR" w:bidi="ta-IN"/>
        </w:rPr>
      </w:pPr>
      <w:r w:rsidRPr="007E4ECB">
        <w:rPr>
          <w:rFonts w:ascii="Arabic Typesetting" w:eastAsia="Batang" w:hAnsi="Arabic Typesetting" w:cs="Arabic Typesetting"/>
          <w:color w:val="000000"/>
          <w:szCs w:val="34"/>
          <w:rtl/>
          <w:lang w:eastAsia="ko-KR"/>
        </w:rPr>
        <w:t>"2"</w:t>
      </w:r>
      <w:r w:rsidRPr="007E4ECB">
        <w:rPr>
          <w:rFonts w:ascii="Arabic Typesetting" w:eastAsia="Batang" w:hAnsi="Arabic Typesetting" w:cs="Arabic Typesetting"/>
          <w:color w:val="000000"/>
          <w:szCs w:val="34"/>
          <w:lang w:eastAsia="ko-KR"/>
        </w:rPr>
        <w:tab/>
      </w:r>
      <w:r w:rsidRPr="007E4ECB">
        <w:rPr>
          <w:rFonts w:ascii="Arabic Typesetting" w:eastAsia="Batang" w:hAnsi="Arabic Typesetting" w:cs="Arabic Typesetting"/>
          <w:color w:val="000000"/>
          <w:szCs w:val="34"/>
          <w:rtl/>
          <w:lang w:eastAsia="ko-KR"/>
        </w:rPr>
        <w:t>وزيادة الإقبال على خدمات تسوية المنازعات التي يقدمها مركز الويبو للتحكيم والوساطة من خلال تكييف إجراءات المركز وبنيته التحتية وفقاً لاحتياجات المستخدمين المتطورة، بما في ذلك الحلول القائمة على تكنولوجيا المعلومات.</w:t>
      </w:r>
    </w:p>
    <w:p w:rsidR="008E1346" w:rsidRDefault="008E1346" w:rsidP="002C3C33">
      <w:pPr>
        <w:autoSpaceDE w:val="0"/>
        <w:autoSpaceDN w:val="0"/>
        <w:adjustRightInd w:val="0"/>
        <w:snapToGrid w:val="0"/>
        <w:spacing w:after="120" w:line="340" w:lineRule="exact"/>
        <w:ind w:left="488"/>
        <w:rPr>
          <w:rFonts w:ascii="Arabic Typesetting" w:eastAsia="Batang" w:hAnsi="Arabic Typesetting" w:cs="Arabic Typesetting"/>
          <w:color w:val="000000"/>
          <w:szCs w:val="34"/>
          <w:rtl/>
          <w:lang w:eastAsia="ko-KR"/>
        </w:rPr>
      </w:pPr>
      <w:r w:rsidRPr="007E4ECB">
        <w:rPr>
          <w:rFonts w:ascii="Arabic Typesetting" w:eastAsia="Batang" w:hAnsi="Arabic Typesetting" w:cs="Arabic Typesetting"/>
          <w:color w:val="000000"/>
          <w:szCs w:val="34"/>
          <w:rtl/>
          <w:lang w:eastAsia="ko-KR"/>
        </w:rPr>
        <w:lastRenderedPageBreak/>
        <w:t>"3"</w:t>
      </w:r>
      <w:r w:rsidRPr="007E4ECB">
        <w:rPr>
          <w:rFonts w:ascii="Arabic Typesetting" w:eastAsia="Batang" w:hAnsi="Arabic Typesetting" w:cs="Arabic Typesetting"/>
          <w:color w:val="000000"/>
          <w:szCs w:val="34"/>
          <w:lang w:eastAsia="ko-KR"/>
        </w:rPr>
        <w:tab/>
      </w:r>
      <w:r w:rsidRPr="007E4ECB">
        <w:rPr>
          <w:rFonts w:ascii="Arabic Typesetting" w:eastAsia="Batang" w:hAnsi="Arabic Typesetting" w:cs="Arabic Typesetting"/>
          <w:color w:val="000000"/>
          <w:szCs w:val="34"/>
          <w:rtl/>
          <w:lang w:eastAsia="ko-KR"/>
        </w:rPr>
        <w:t>والعمل مع مالكي الملكية الفكرية والمنتفعين بها ومكاتبها والمؤسسات الأخرى المعنية بها لوضع إجراءات مصممة خصيصاً كي تتكيف مع السمات المحددة للمنازعات المتكررة في مجالات عملهم.</w:t>
      </w:r>
    </w:p>
    <w:p w:rsidR="008E1346" w:rsidRDefault="008E1346" w:rsidP="00861CFF">
      <w:pPr>
        <w:numPr>
          <w:ilvl w:val="0"/>
          <w:numId w:val="20"/>
        </w:numPr>
        <w:adjustRightInd w:val="0"/>
        <w:snapToGrid w:val="0"/>
        <w:spacing w:after="120" w:line="340" w:lineRule="exact"/>
        <w:jc w:val="both"/>
        <w:rPr>
          <w:rFonts w:ascii="Arabic Typesetting" w:eastAsia="Batang" w:hAnsi="Arabic Typesetting" w:cs="Arabic Typesetting"/>
          <w:szCs w:val="34"/>
          <w:lang w:eastAsia="ko-KR" w:bidi="ar-SA"/>
        </w:rPr>
      </w:pPr>
      <w:r>
        <w:rPr>
          <w:rFonts w:ascii="Arabic Typesetting" w:eastAsia="Batang" w:hAnsi="Arabic Typesetting" w:cs="Arabic Typesetting" w:hint="cs"/>
          <w:szCs w:val="34"/>
          <w:rtl/>
          <w:lang w:eastAsia="ko-KR" w:bidi="ar-SA"/>
        </w:rPr>
        <w:t>ويتعاون البرنامج 7 في الأساس مع البرامج الأخرى على النحو المبيّن أدناه:</w:t>
      </w:r>
    </w:p>
    <w:p w:rsidR="008E1346" w:rsidRPr="00870598" w:rsidRDefault="008E1346" w:rsidP="002C3C33">
      <w:pPr>
        <w:adjustRightInd w:val="0"/>
        <w:snapToGrid w:val="0"/>
        <w:spacing w:after="120" w:line="340" w:lineRule="exact"/>
        <w:jc w:val="both"/>
        <w:rPr>
          <w:rFonts w:ascii="Arabic Typesetting" w:eastAsia="Batang" w:hAnsi="Arabic Typesetting" w:cs="Arabic Typesetting"/>
          <w:szCs w:val="34"/>
          <w:lang w:eastAsia="ko-KR" w:bidi="ar-SA"/>
        </w:rPr>
      </w:pPr>
    </w:p>
    <w:p w:rsidR="008E1346" w:rsidRPr="007E4ECB" w:rsidRDefault="008E1346" w:rsidP="002C3C33">
      <w:pPr>
        <w:autoSpaceDE w:val="0"/>
        <w:autoSpaceDN w:val="0"/>
        <w:adjustRightInd w:val="0"/>
        <w:snapToGrid w:val="0"/>
        <w:spacing w:after="120"/>
        <w:ind w:left="488"/>
        <w:rPr>
          <w:rFonts w:ascii="Arabic Typesetting" w:eastAsia="Batang" w:hAnsi="Arabic Typesetting" w:cs="Arabic Typesetting"/>
          <w:color w:val="000000"/>
          <w:szCs w:val="34"/>
          <w:lang w:eastAsia="ko-KR"/>
        </w:rPr>
      </w:pPr>
      <w:r w:rsidRPr="00545B19">
        <w:rPr>
          <w:rFonts w:ascii="Calibri" w:hAnsi="Calibri" w:cs="Arial"/>
          <w:noProof/>
          <w:sz w:val="22"/>
          <w:szCs w:val="22"/>
          <w:lang w:bidi="ar-SA"/>
        </w:rPr>
        <w:drawing>
          <wp:inline distT="0" distB="0" distL="0" distR="0" wp14:anchorId="26CD2734" wp14:editId="2765C9AA">
            <wp:extent cx="5939790" cy="2702035"/>
            <wp:effectExtent l="0" t="19050" r="0" b="0"/>
            <wp:docPr id="236" name="Diagram 2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rsidR="008E1346" w:rsidRPr="00870598" w:rsidRDefault="008E134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870598">
        <w:rPr>
          <w:rFonts w:ascii="Arabic Typesetting" w:hAnsi="Arabic Typesetting" w:cs="Arabic Typesetting"/>
          <w:sz w:val="38"/>
          <w:szCs w:val="38"/>
          <w:rtl/>
        </w:rPr>
        <w:t>المخاطر الرئيسية واستراتيجيات التخفيف منها</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814"/>
      </w:tblGrid>
      <w:tr w:rsidR="008E1346" w:rsidRPr="007E4ECB" w:rsidTr="002C3C33">
        <w:trPr>
          <w:trHeight w:val="479"/>
        </w:trPr>
        <w:tc>
          <w:tcPr>
            <w:tcW w:w="4400" w:type="dxa"/>
            <w:tcBorders>
              <w:top w:val="single" w:sz="4" w:space="0" w:color="auto"/>
              <w:bottom w:val="single" w:sz="4" w:space="0" w:color="auto"/>
            </w:tcBorders>
            <w:shd w:val="clear" w:color="auto" w:fill="C6D9F1"/>
            <w:vAlign w:val="center"/>
          </w:tcPr>
          <w:p w:rsidR="008E1346" w:rsidRPr="007E4ECB" w:rsidRDefault="008E1346"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7E4ECB">
              <w:rPr>
                <w:rFonts w:ascii="Arabic Typesetting" w:hAnsi="Arabic Typesetting" w:cs="Arabic Typesetting"/>
                <w:b/>
                <w:bCs/>
                <w:i/>
                <w:sz w:val="30"/>
                <w:szCs w:val="30"/>
                <w:rtl/>
              </w:rPr>
              <w:t>المخاطر</w:t>
            </w:r>
          </w:p>
        </w:tc>
        <w:tc>
          <w:tcPr>
            <w:tcW w:w="4814" w:type="dxa"/>
            <w:tcBorders>
              <w:top w:val="single" w:sz="4" w:space="0" w:color="auto"/>
              <w:bottom w:val="single" w:sz="4" w:space="0" w:color="auto"/>
            </w:tcBorders>
            <w:shd w:val="clear" w:color="auto" w:fill="C6D9F1"/>
            <w:vAlign w:val="center"/>
          </w:tcPr>
          <w:p w:rsidR="008E1346" w:rsidRPr="007E4ECB" w:rsidRDefault="008E1346"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7E4ECB">
              <w:rPr>
                <w:rFonts w:ascii="Arabic Typesetting" w:hAnsi="Arabic Typesetting" w:cs="Arabic Typesetting"/>
                <w:b/>
                <w:bCs/>
                <w:i/>
                <w:sz w:val="30"/>
                <w:szCs w:val="30"/>
                <w:rtl/>
              </w:rPr>
              <w:t>التخفيف منها</w:t>
            </w:r>
          </w:p>
        </w:tc>
      </w:tr>
      <w:tr w:rsidR="008E1346" w:rsidRPr="007E4ECB" w:rsidTr="002C3C33">
        <w:trPr>
          <w:trHeight w:val="1564"/>
        </w:trPr>
        <w:tc>
          <w:tcPr>
            <w:tcW w:w="4400" w:type="dxa"/>
            <w:tcBorders>
              <w:top w:val="single" w:sz="4" w:space="0" w:color="auto"/>
            </w:tcBorders>
            <w:shd w:val="clear" w:color="auto" w:fill="auto"/>
            <w:tcMar>
              <w:top w:w="113" w:type="dxa"/>
              <w:bottom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i/>
                <w:sz w:val="30"/>
                <w:szCs w:val="30"/>
              </w:rPr>
            </w:pPr>
            <w:r w:rsidRPr="007E4ECB">
              <w:rPr>
                <w:rFonts w:ascii="Arabic Typesetting" w:hAnsi="Arabic Typesetting" w:cs="Arabic Typesetting"/>
                <w:i/>
                <w:sz w:val="30"/>
                <w:szCs w:val="30"/>
                <w:rtl/>
              </w:rPr>
              <w:t>تراجع مكانة خدمات الويبو للتحكيم والوساطة في السوق.</w:t>
            </w:r>
          </w:p>
        </w:tc>
        <w:tc>
          <w:tcPr>
            <w:tcW w:w="4814" w:type="dxa"/>
            <w:tcBorders>
              <w:top w:val="single" w:sz="4" w:space="0" w:color="auto"/>
            </w:tcBorders>
            <w:shd w:val="clear" w:color="auto" w:fill="auto"/>
            <w:tcMar>
              <w:top w:w="113" w:type="dxa"/>
              <w:bottom w:w="113" w:type="dxa"/>
            </w:tcMar>
          </w:tcPr>
          <w:p w:rsidR="008E1346" w:rsidRPr="007E4ECB" w:rsidRDefault="008E1346" w:rsidP="002C3C33">
            <w:pPr>
              <w:autoSpaceDE w:val="0"/>
              <w:autoSpaceDN w:val="0"/>
              <w:adjustRightInd w:val="0"/>
              <w:snapToGrid w:val="0"/>
              <w:spacing w:before="60" w:after="60" w:line="300" w:lineRule="exact"/>
              <w:rPr>
                <w:rFonts w:ascii="Arabic Typesetting" w:hAnsi="Arabic Typesetting" w:cs="Arabic Typesetting"/>
                <w:i/>
                <w:sz w:val="30"/>
                <w:szCs w:val="30"/>
              </w:rPr>
            </w:pPr>
            <w:r w:rsidRPr="007E4ECB">
              <w:rPr>
                <w:rFonts w:ascii="Arabic Typesetting" w:hAnsi="Arabic Typesetting" w:cs="Arabic Typesetting"/>
                <w:i/>
                <w:sz w:val="30"/>
                <w:szCs w:val="30"/>
                <w:rtl/>
              </w:rPr>
              <w:t>الاستفادة من مكانة المركز باعتباره المختص دوليًا بالأطر البديلة لتسوية المنازعات بشأن الملكية الفكرية: تكثيف التعاون مع برنامج معاهدة التعاون بشأن البراءات والبرامج الأخرى؛ والمشاركة في الأحداث عن طريق المحايدين التابعين للويبو؛ وإقامة المزيد من الشراكات المنتظمة مع جمعيات الملكية الفكرية والجمعيات ذات الصلة بالموضوع؛ والانتفاع إلى أقصى حد بوجود المركز في سنغافورة من أجل زيادة النشاط الإقليمي؛ والقيام ببحث جديد عن ممارسات المستخدمين وتوقعاتهم؛ وتحديث البنية التحتية للتسويق.</w:t>
            </w:r>
          </w:p>
        </w:tc>
      </w:tr>
      <w:tr w:rsidR="008E1346" w:rsidRPr="007E4ECB" w:rsidTr="002C3C33">
        <w:trPr>
          <w:trHeight w:val="919"/>
        </w:trPr>
        <w:tc>
          <w:tcPr>
            <w:tcW w:w="4400" w:type="dxa"/>
            <w:shd w:val="clear" w:color="auto" w:fill="auto"/>
            <w:tcMar>
              <w:top w:w="113" w:type="dxa"/>
              <w:bottom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i/>
                <w:sz w:val="30"/>
                <w:szCs w:val="30"/>
              </w:rPr>
            </w:pPr>
            <w:r w:rsidRPr="007E4ECB">
              <w:rPr>
                <w:rFonts w:ascii="Arabic Typesetting" w:hAnsi="Arabic Typesetting" w:cs="Arabic Typesetting"/>
                <w:i/>
                <w:sz w:val="30"/>
                <w:szCs w:val="30"/>
                <w:rtl/>
              </w:rPr>
              <w:t>تراجع معدل رفع الدعاوى وفقا للسياسة الموحدة لتسوية منازعات أسماء الحقول، مما يحد من تأثير سياسة الويبو بشأن نظام أسماء الحقول ويهز مكانة المركز كمزود للخدمات المتعلقة بالأطر البديلة لتسوية منازعات نظام أسماء الحقول.</w:t>
            </w:r>
          </w:p>
        </w:tc>
        <w:tc>
          <w:tcPr>
            <w:tcW w:w="4814" w:type="dxa"/>
            <w:shd w:val="clear" w:color="auto" w:fill="auto"/>
            <w:tcMar>
              <w:top w:w="113" w:type="dxa"/>
              <w:bottom w:w="113" w:type="dxa"/>
            </w:tcMar>
          </w:tcPr>
          <w:p w:rsidR="008E1346" w:rsidRPr="007E4ECB" w:rsidRDefault="008E1346" w:rsidP="002C3C33">
            <w:pPr>
              <w:autoSpaceDE w:val="0"/>
              <w:autoSpaceDN w:val="0"/>
              <w:adjustRightInd w:val="0"/>
              <w:snapToGrid w:val="0"/>
              <w:spacing w:before="60" w:after="60" w:line="300" w:lineRule="exact"/>
              <w:rPr>
                <w:rFonts w:ascii="Arabic Typesetting" w:hAnsi="Arabic Typesetting" w:cs="Arabic Typesetting"/>
                <w:i/>
                <w:sz w:val="30"/>
                <w:szCs w:val="30"/>
              </w:rPr>
            </w:pPr>
            <w:r w:rsidRPr="007E4ECB">
              <w:rPr>
                <w:rFonts w:ascii="Arabic Typesetting" w:hAnsi="Arabic Typesetting" w:cs="Arabic Typesetting"/>
                <w:i/>
                <w:sz w:val="30"/>
                <w:szCs w:val="30"/>
                <w:rtl/>
              </w:rPr>
              <w:t>زيادة سهولة الاستخدام؛ وتعديل إجراءات السياسة الموحدة لتسوية منازعات أسماء الحقول (حيثما تسمح هيئة الإنترنت المعنية بالأسماء والأرقام المعينة (</w:t>
            </w:r>
            <w:proofErr w:type="spellStart"/>
            <w:r w:rsidRPr="007E4ECB">
              <w:rPr>
                <w:rFonts w:ascii="Arabic Typesetting" w:hAnsi="Arabic Typesetting" w:cs="Arabic Typesetting"/>
                <w:i/>
                <w:sz w:val="30"/>
                <w:szCs w:val="30"/>
                <w:rtl/>
              </w:rPr>
              <w:t>الإيكان</w:t>
            </w:r>
            <w:proofErr w:type="spellEnd"/>
            <w:r w:rsidRPr="007E4ECB">
              <w:rPr>
                <w:rFonts w:ascii="Arabic Typesetting" w:hAnsi="Arabic Typesetting" w:cs="Arabic Typesetting"/>
                <w:i/>
                <w:sz w:val="30"/>
                <w:szCs w:val="30"/>
                <w:rtl/>
              </w:rPr>
              <w:t xml:space="preserve">)؛ والاستمرار في مراقبة الإجراء الموحد للوقف السريع؛ والمشاركة في استعراض </w:t>
            </w:r>
            <w:proofErr w:type="spellStart"/>
            <w:r w:rsidRPr="007E4ECB">
              <w:rPr>
                <w:rFonts w:ascii="Arabic Typesetting" w:hAnsi="Arabic Typesetting" w:cs="Arabic Typesetting"/>
                <w:i/>
                <w:sz w:val="30"/>
                <w:szCs w:val="30"/>
                <w:rtl/>
              </w:rPr>
              <w:t>الإيكان</w:t>
            </w:r>
            <w:proofErr w:type="spellEnd"/>
            <w:r w:rsidRPr="007E4ECB">
              <w:rPr>
                <w:rFonts w:ascii="Arabic Typesetting" w:hAnsi="Arabic Typesetting" w:cs="Arabic Typesetting"/>
                <w:i/>
                <w:sz w:val="30"/>
                <w:szCs w:val="30"/>
                <w:rtl/>
              </w:rPr>
              <w:t xml:space="preserve"> للسياسة الموحدة؛ وإقامة المزيد من الشراكات المنتظمة مع جمعيات الملكية الفكرية والجمعيات ذات الصلة بالموضوع؛ وتحديد أولويات موارد إدارة القضايا ووضع السياسات لإيجاد توازن بين "البقاء في السوق" وإضافة الويبو لقيمة محددة.</w:t>
            </w:r>
          </w:p>
        </w:tc>
      </w:tr>
    </w:tbl>
    <w:p w:rsidR="008E1346" w:rsidRPr="007E4ECB" w:rsidRDefault="008E1346" w:rsidP="002C3C33">
      <w:pPr>
        <w:adjustRightInd w:val="0"/>
        <w:snapToGrid w:val="0"/>
        <w:spacing w:after="240" w:line="360" w:lineRule="exact"/>
        <w:jc w:val="both"/>
        <w:rPr>
          <w:rFonts w:ascii="Arabic Typesetting" w:hAnsi="Arabic Typesetting" w:cs="Arabic Typesetting"/>
          <w:szCs w:val="34"/>
        </w:rPr>
      </w:pPr>
    </w:p>
    <w:p w:rsidR="008E1346" w:rsidRPr="007E4ECB" w:rsidRDefault="008E1346" w:rsidP="002C3C33">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Pr>
      </w:pPr>
      <w:r w:rsidRPr="007E4ECB">
        <w:rPr>
          <w:rFonts w:ascii="Arabic Typesetting" w:hAnsi="Arabic Typesetting" w:cs="Arabic Typesetting"/>
          <w:b/>
          <w:sz w:val="38"/>
          <w:szCs w:val="38"/>
          <w:rtl/>
        </w:rPr>
        <w:lastRenderedPageBreak/>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4"/>
        <w:gridCol w:w="2126"/>
        <w:gridCol w:w="2554"/>
        <w:gridCol w:w="2031"/>
      </w:tblGrid>
      <w:tr w:rsidR="008E1346" w:rsidRPr="007E4ECB" w:rsidTr="00302EBB">
        <w:trPr>
          <w:cantSplit/>
          <w:trHeight w:val="461"/>
          <w:tblHeader/>
        </w:trPr>
        <w:tc>
          <w:tcPr>
            <w:tcW w:w="1432" w:type="pct"/>
            <w:tcBorders>
              <w:top w:val="single" w:sz="4" w:space="0" w:color="auto"/>
              <w:left w:val="single" w:sz="4" w:space="0" w:color="auto"/>
              <w:bottom w:val="single" w:sz="4" w:space="0" w:color="auto"/>
            </w:tcBorders>
            <w:shd w:val="clear" w:color="auto" w:fill="C6D9F1"/>
            <w:vAlign w:val="center"/>
          </w:tcPr>
          <w:p w:rsidR="008E1346" w:rsidRPr="007E4ECB" w:rsidRDefault="008E1346" w:rsidP="002C3C33">
            <w:pPr>
              <w:keepNext/>
              <w:adjustRightInd w:val="0"/>
              <w:snapToGrid w:val="0"/>
              <w:spacing w:before="60" w:after="60" w:line="300" w:lineRule="exact"/>
              <w:jc w:val="center"/>
              <w:rPr>
                <w:rFonts w:ascii="Arabic Typesetting" w:hAnsi="Arabic Typesetting" w:cs="Arabic Typesetting"/>
                <w:b/>
                <w:bCs/>
                <w:sz w:val="30"/>
                <w:szCs w:val="30"/>
              </w:rPr>
            </w:pPr>
            <w:r w:rsidRPr="007E4ECB">
              <w:rPr>
                <w:rFonts w:ascii="Arabic Typesetting" w:hAnsi="Arabic Typesetting" w:cs="Arabic Typesetting"/>
                <w:b/>
                <w:bCs/>
                <w:sz w:val="30"/>
                <w:szCs w:val="30"/>
                <w:rtl/>
              </w:rPr>
              <w:t>النتائج المرتقبة</w:t>
            </w:r>
          </w:p>
        </w:tc>
        <w:tc>
          <w:tcPr>
            <w:tcW w:w="1130" w:type="pct"/>
            <w:tcBorders>
              <w:top w:val="single" w:sz="4" w:space="0" w:color="auto"/>
              <w:bottom w:val="single" w:sz="4" w:space="0" w:color="auto"/>
            </w:tcBorders>
            <w:shd w:val="clear" w:color="auto" w:fill="C6D9F1"/>
            <w:tcMar>
              <w:top w:w="110" w:type="dxa"/>
            </w:tcMar>
            <w:vAlign w:val="center"/>
          </w:tcPr>
          <w:p w:rsidR="008E1346" w:rsidRPr="007E4ECB" w:rsidRDefault="008E1346" w:rsidP="002C3C33">
            <w:pPr>
              <w:keepNext/>
              <w:adjustRightInd w:val="0"/>
              <w:snapToGrid w:val="0"/>
              <w:spacing w:before="60" w:after="60" w:line="300" w:lineRule="exact"/>
              <w:jc w:val="center"/>
              <w:rPr>
                <w:rFonts w:ascii="Arabic Typesetting" w:hAnsi="Arabic Typesetting" w:cs="Arabic Typesetting"/>
                <w:bCs/>
                <w:sz w:val="30"/>
                <w:szCs w:val="30"/>
              </w:rPr>
            </w:pPr>
            <w:r w:rsidRPr="007E4ECB">
              <w:rPr>
                <w:rFonts w:ascii="Arabic Typesetting" w:hAnsi="Arabic Typesetting" w:cs="Arabic Typesetting"/>
                <w:bCs/>
                <w:sz w:val="30"/>
                <w:szCs w:val="30"/>
                <w:rtl/>
              </w:rPr>
              <w:t>مؤشرات الأداء</w:t>
            </w:r>
          </w:p>
        </w:tc>
        <w:tc>
          <w:tcPr>
            <w:tcW w:w="1358" w:type="pct"/>
            <w:tcBorders>
              <w:top w:val="single" w:sz="4" w:space="0" w:color="auto"/>
              <w:bottom w:val="single" w:sz="4" w:space="0" w:color="auto"/>
            </w:tcBorders>
            <w:shd w:val="clear" w:color="auto" w:fill="C6D9F1"/>
            <w:tcMar>
              <w:top w:w="110" w:type="dxa"/>
            </w:tcMar>
            <w:vAlign w:val="center"/>
          </w:tcPr>
          <w:p w:rsidR="008E1346" w:rsidRPr="007E4ECB" w:rsidRDefault="008E1346" w:rsidP="002C3C33">
            <w:pPr>
              <w:keepNext/>
              <w:adjustRightInd w:val="0"/>
              <w:snapToGrid w:val="0"/>
              <w:spacing w:before="60" w:after="60" w:line="300" w:lineRule="exact"/>
              <w:jc w:val="center"/>
              <w:rPr>
                <w:rFonts w:ascii="Arabic Typesetting" w:hAnsi="Arabic Typesetting" w:cs="Arabic Typesetting"/>
                <w:sz w:val="30"/>
                <w:szCs w:val="30"/>
              </w:rPr>
            </w:pPr>
            <w:r w:rsidRPr="007E4ECB">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right w:val="single" w:sz="4" w:space="0" w:color="auto"/>
            </w:tcBorders>
            <w:shd w:val="clear" w:color="auto" w:fill="C6D9F1"/>
            <w:tcMar>
              <w:top w:w="110" w:type="dxa"/>
            </w:tcMar>
            <w:vAlign w:val="center"/>
          </w:tcPr>
          <w:p w:rsidR="008E1346" w:rsidRPr="007E4ECB" w:rsidRDefault="008E1346" w:rsidP="002C3C33">
            <w:pPr>
              <w:keepNext/>
              <w:tabs>
                <w:tab w:val="left" w:pos="1868"/>
              </w:tabs>
              <w:adjustRightInd w:val="0"/>
              <w:snapToGrid w:val="0"/>
              <w:spacing w:before="60" w:after="60" w:line="300" w:lineRule="exact"/>
              <w:jc w:val="center"/>
              <w:rPr>
                <w:rFonts w:ascii="Arabic Typesetting" w:hAnsi="Arabic Typesetting" w:cs="Arabic Typesetting"/>
                <w:b/>
                <w:bCs/>
                <w:sz w:val="30"/>
                <w:szCs w:val="30"/>
              </w:rPr>
            </w:pPr>
            <w:r w:rsidRPr="007E4ECB">
              <w:rPr>
                <w:rFonts w:ascii="Arabic Typesetting" w:hAnsi="Arabic Typesetting" w:cs="Arabic Typesetting"/>
                <w:b/>
                <w:bCs/>
                <w:sz w:val="30"/>
                <w:szCs w:val="30"/>
                <w:rtl/>
              </w:rPr>
              <w:t>الأهداف</w:t>
            </w:r>
          </w:p>
        </w:tc>
      </w:tr>
      <w:tr w:rsidR="008E1346" w:rsidRPr="007E4ECB" w:rsidTr="00302EBB">
        <w:trPr>
          <w:cantSplit/>
        </w:trPr>
        <w:tc>
          <w:tcPr>
            <w:tcW w:w="1432" w:type="pct"/>
            <w:vMerge w:val="restart"/>
            <w:tcBorders>
              <w:top w:val="single" w:sz="4" w:space="0" w:color="auto"/>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ه 8.2 تزايد تفادي نشوء المنازعات المتعلقة بالملكية الفكرية دوليا وداخليا وتسويتها عبر الوساطة والتحكيم وغيرها من أساليب الويبو البديلة لتسوية المنازعات</w:t>
            </w:r>
          </w:p>
        </w:tc>
        <w:tc>
          <w:tcPr>
            <w:tcW w:w="1130" w:type="pct"/>
            <w:tcBorders>
              <w:top w:val="single" w:sz="4" w:space="0" w:color="auto"/>
              <w:bottom w:val="nil"/>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زيادة الاستعانة بخدمات وشروط بديلة لتسوية المنازعات في الصفقات والتسجيلات المتعلقة بالملكية الفكرية، بما في ذلك عبر إجراءات الويبو</w:t>
            </w:r>
          </w:p>
        </w:tc>
        <w:tc>
          <w:tcPr>
            <w:tcW w:w="1358" w:type="pct"/>
            <w:tcBorders>
              <w:top w:val="single" w:sz="4" w:space="0" w:color="auto"/>
              <w:bottom w:val="nil"/>
            </w:tcBorders>
            <w:shd w:val="clear" w:color="auto" w:fill="FFFFFF"/>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393 منازعة و148 من المساعي الحميدة (التراكمي بنهاية</w:t>
            </w:r>
            <w:r>
              <w:rPr>
                <w:rFonts w:ascii="Arabic Typesetting" w:hAnsi="Arabic Typesetting" w:cs="Arabic Typesetting" w:hint="cs"/>
                <w:sz w:val="30"/>
                <w:szCs w:val="30"/>
                <w:rtl/>
              </w:rPr>
              <w:t> </w:t>
            </w:r>
            <w:r w:rsidRPr="007E4ECB">
              <w:rPr>
                <w:rFonts w:ascii="Arabic Typesetting" w:hAnsi="Arabic Typesetting" w:cs="Arabic Typesetting"/>
                <w:sz w:val="30"/>
                <w:szCs w:val="30"/>
                <w:rtl/>
              </w:rPr>
              <w:t>2014)</w:t>
            </w:r>
          </w:p>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000 4 استفسار وارد (2012/13)</w:t>
            </w:r>
          </w:p>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1.553 مليون زائر للموقع الإلكتروني (2014)</w:t>
            </w:r>
          </w:p>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 xml:space="preserve">408 مشاركاً في أحداث المركز (2012/13) </w:t>
            </w:r>
          </w:p>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4000 مشارك في أحداث تنطوي على تمثيل المركز (2012/13)</w:t>
            </w:r>
          </w:p>
        </w:tc>
        <w:tc>
          <w:tcPr>
            <w:tcW w:w="1081" w:type="pct"/>
            <w:tcBorders>
              <w:top w:val="single" w:sz="4" w:space="0" w:color="auto"/>
              <w:bottom w:val="nil"/>
            </w:tcBorders>
            <w:shd w:val="clear" w:color="auto" w:fill="auto"/>
            <w:tcMar>
              <w:top w:w="113" w:type="dxa"/>
            </w:tcMar>
          </w:tcPr>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Pr>
            </w:pPr>
          </w:p>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40 من المنازعات الإضافية والمساعي الحميدة</w:t>
            </w:r>
          </w:p>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000 4 استفسار إضافي</w:t>
            </w:r>
          </w:p>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1.5 مليون زيارة إضافية للموقع الإلكتروني</w:t>
            </w:r>
          </w:p>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250 مشاركاً في أحداث المركز</w:t>
            </w:r>
          </w:p>
          <w:p w:rsidR="008E1346" w:rsidRPr="007E4ECB" w:rsidRDefault="008E1346" w:rsidP="00302EBB">
            <w:pPr>
              <w:keepNext/>
              <w:keepLines/>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 xml:space="preserve">000 6 مشارك في أحداث تنطوي على تمثيل المركز </w:t>
            </w:r>
          </w:p>
        </w:tc>
      </w:tr>
      <w:tr w:rsidR="008E1346" w:rsidRPr="007E4ECB" w:rsidTr="00302EBB">
        <w:trPr>
          <w:cantSplit/>
        </w:trPr>
        <w:tc>
          <w:tcPr>
            <w:tcW w:w="1432" w:type="pct"/>
            <w:vMerge/>
            <w:tcBorders>
              <w:top w:val="single" w:sz="4" w:space="0" w:color="auto"/>
              <w:bottom w:val="nil"/>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p>
        </w:tc>
        <w:tc>
          <w:tcPr>
            <w:tcW w:w="1130" w:type="pct"/>
            <w:tcBorders>
              <w:top w:val="nil"/>
              <w:bottom w:val="nil"/>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السياسات البديلة لتسوية المنازعات التي ساهم المركز في وضعها وتنفيذها</w:t>
            </w:r>
          </w:p>
        </w:tc>
        <w:tc>
          <w:tcPr>
            <w:tcW w:w="1358" w:type="pct"/>
            <w:tcBorders>
              <w:top w:val="nil"/>
              <w:bottom w:val="nil"/>
            </w:tcBorders>
            <w:shd w:val="clear" w:color="auto" w:fill="FFFFFF"/>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15 نظامًا معتمدًا (جمعية الامتياز الإسبانية، وجمعية الإدارة الجماعية الدولية للمصنفات السمعية البصرية، والمديرية العامة للملكية الفكرية في إندونيسيا، ومديرية حق المؤلف الوطنية، وجمعية إدارة حقوق منتجي المصنفات السمعية البصرية، والمعهد الأوروبي لمعايير الاتصالات، والفيلم والإعلام، والمجلس الدولي للمتاحف، والمعهد المكسيكي للملكية الصناعة، والمعهد الوطني للملكية الصناعية في البرازيل، ودليل اتفاقات الملكية الفكرية، ومكتب الفلبين للملكية الفكرية، ومكتب سنغافورة للملكية الفكرية (الوساطة)، ومكتب سنغافورة للملكية الفكرية (قرارات الخبراء)، والمعاهدة الدولية بشأن الموارد الوراثية النباتية للأغذية والزراعة) (التراكمي بنهاية 20</w:t>
            </w:r>
            <w:r>
              <w:rPr>
                <w:rFonts w:ascii="Arabic Typesetting" w:hAnsi="Arabic Typesetting" w:cs="Arabic Typesetting" w:hint="cs"/>
                <w:sz w:val="30"/>
                <w:szCs w:val="30"/>
                <w:rtl/>
              </w:rPr>
              <w:t>14</w:t>
            </w:r>
            <w:r w:rsidRPr="007E4ECB">
              <w:rPr>
                <w:rFonts w:ascii="Arabic Typesetting" w:hAnsi="Arabic Typesetting" w:cs="Arabic Typesetting"/>
                <w:sz w:val="30"/>
                <w:szCs w:val="30"/>
                <w:rtl/>
              </w:rPr>
              <w:t>)</w:t>
            </w:r>
          </w:p>
        </w:tc>
        <w:tc>
          <w:tcPr>
            <w:tcW w:w="1081" w:type="pct"/>
            <w:tcBorders>
              <w:top w:val="nil"/>
              <w:bottom w:val="nil"/>
            </w:tcBorders>
            <w:shd w:val="clear" w:color="auto" w:fill="auto"/>
            <w:tcMar>
              <w:top w:w="113" w:type="dxa"/>
            </w:tcMar>
          </w:tcPr>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من نظام واحد إلى ثلاثة أنظمة إضافية</w:t>
            </w:r>
          </w:p>
        </w:tc>
      </w:tr>
      <w:tr w:rsidR="008E1346" w:rsidRPr="007E4ECB" w:rsidTr="00302EBB">
        <w:trPr>
          <w:cantSplit/>
          <w:trHeight w:val="812"/>
        </w:trPr>
        <w:tc>
          <w:tcPr>
            <w:tcW w:w="1432" w:type="pct"/>
            <w:tcBorders>
              <w:top w:val="nil"/>
              <w:bottom w:val="single" w:sz="4" w:space="0" w:color="auto"/>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ه 9.2 حماية فعالة للملكية الفكرية في الحقول العليا المكونة من أسماء عامة والحقول العليا المكونة من رموز البلدان</w:t>
            </w:r>
          </w:p>
        </w:tc>
        <w:tc>
          <w:tcPr>
            <w:tcW w:w="1130" w:type="pct"/>
            <w:tcBorders>
              <w:top w:val="nil"/>
              <w:bottom w:val="single" w:sz="4" w:space="0" w:color="auto"/>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Pr>
            </w:pPr>
            <w:r w:rsidRPr="007E4ECB">
              <w:rPr>
                <w:rFonts w:ascii="Arabic Typesetting" w:hAnsi="Arabic Typesetting" w:cs="Arabic Typesetting"/>
                <w:sz w:val="30"/>
                <w:szCs w:val="30"/>
                <w:rtl/>
              </w:rPr>
              <w:t>عدد الحالات التي عالجها المركز فيما يتعلق بالحقول العليا المكونة من أسماء عامة والحقول العليا المكونة من رموز البلدان في إطار السياسة الموحدة لتسوية المنازعات المتعلقة بأسماء الحقول</w:t>
            </w:r>
          </w:p>
        </w:tc>
        <w:tc>
          <w:tcPr>
            <w:tcW w:w="1358" w:type="pct"/>
            <w:tcBorders>
              <w:top w:val="nil"/>
              <w:bottom w:val="single" w:sz="4" w:space="0" w:color="auto"/>
            </w:tcBorders>
            <w:shd w:val="clear" w:color="auto" w:fill="FFFFFF"/>
            <w:tcMar>
              <w:top w:w="113" w:type="dxa"/>
            </w:tcMar>
          </w:tcPr>
          <w:p w:rsidR="008E1346" w:rsidRPr="007E4ECB" w:rsidRDefault="008E1346" w:rsidP="002C3C33">
            <w:pPr>
              <w:rPr>
                <w:rFonts w:ascii="Arabic Typesetting" w:hAnsi="Arabic Typesetting" w:cs="Arabic Typesetting"/>
                <w:sz w:val="30"/>
                <w:szCs w:val="30"/>
                <w:rtl/>
              </w:rPr>
            </w:pPr>
            <w:r w:rsidRPr="007E4ECB">
              <w:rPr>
                <w:rFonts w:ascii="Arabic Typesetting" w:hAnsi="Arabic Typesetting" w:cs="Arabic Typesetting"/>
                <w:sz w:val="30"/>
                <w:szCs w:val="30"/>
                <w:rtl/>
              </w:rPr>
              <w:t xml:space="preserve">معالجة 189 27 حالة متعلقة بالحقول العليا المكونة من أسماء عامة في المركز (التراكمي بنهاية 2014) </w:t>
            </w:r>
          </w:p>
          <w:p w:rsidR="008E1346" w:rsidRPr="007E4ECB" w:rsidRDefault="008E1346" w:rsidP="002C3C33">
            <w:pPr>
              <w:rPr>
                <w:rFonts w:ascii="Arabic Typesetting" w:hAnsi="Arabic Typesetting" w:cs="Arabic Typesetting"/>
                <w:sz w:val="30"/>
                <w:szCs w:val="30"/>
              </w:rPr>
            </w:pPr>
            <w:r w:rsidRPr="00EE61DD">
              <w:rPr>
                <w:rFonts w:ascii="Arabic Typesetting" w:hAnsi="Arabic Typesetting" w:cs="Arabic Typesetting"/>
                <w:sz w:val="30"/>
                <w:szCs w:val="30"/>
                <w:rtl/>
              </w:rPr>
              <w:t>معالجة 144 3 حالة متعلقة بالحقول العليا المكونة من رموز البلدان في المركز (التراكمي بنهاية 2014)</w:t>
            </w:r>
          </w:p>
        </w:tc>
        <w:tc>
          <w:tcPr>
            <w:tcW w:w="1081" w:type="pct"/>
            <w:tcBorders>
              <w:top w:val="nil"/>
              <w:bottom w:val="single" w:sz="4" w:space="0" w:color="auto"/>
              <w:right w:val="single" w:sz="4" w:space="0" w:color="auto"/>
            </w:tcBorders>
            <w:shd w:val="clear" w:color="auto" w:fill="auto"/>
            <w:tcMar>
              <w:top w:w="113" w:type="dxa"/>
            </w:tcMar>
          </w:tcPr>
          <w:p w:rsidR="008E1346" w:rsidRPr="00EE61DD"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r w:rsidRPr="00EE61DD">
              <w:rPr>
                <w:rFonts w:ascii="Arabic Typesetting" w:hAnsi="Arabic Typesetting" w:cs="Arabic Typesetting"/>
                <w:sz w:val="30"/>
                <w:szCs w:val="30"/>
                <w:rtl/>
              </w:rPr>
              <w:t>000 3 حالة إضافية</w:t>
            </w:r>
          </w:p>
          <w:p w:rsidR="008E1346" w:rsidRPr="00EE61DD"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p>
          <w:p w:rsidR="008E1346" w:rsidRPr="00EE61DD"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p>
          <w:p w:rsidR="008E1346" w:rsidRPr="00EE61DD"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p>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Pr>
            </w:pPr>
            <w:r w:rsidRPr="00EE61DD">
              <w:rPr>
                <w:rFonts w:ascii="Arabic Typesetting" w:hAnsi="Arabic Typesetting" w:cs="Arabic Typesetting"/>
                <w:sz w:val="30"/>
                <w:szCs w:val="30"/>
                <w:rtl/>
              </w:rPr>
              <w:t>350 حالة إضافية بشأن رموز البلدان</w:t>
            </w:r>
          </w:p>
        </w:tc>
      </w:tr>
      <w:tr w:rsidR="008E1346" w:rsidRPr="007E4ECB" w:rsidTr="00302EBB">
        <w:trPr>
          <w:cantSplit/>
          <w:trHeight w:val="812"/>
        </w:trPr>
        <w:tc>
          <w:tcPr>
            <w:tcW w:w="1432" w:type="pct"/>
            <w:tcBorders>
              <w:top w:val="single" w:sz="4" w:space="0" w:color="auto"/>
              <w:bottom w:val="single" w:sz="4" w:space="0" w:color="auto"/>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p>
        </w:tc>
        <w:tc>
          <w:tcPr>
            <w:tcW w:w="1130" w:type="pct"/>
            <w:tcBorders>
              <w:top w:val="single" w:sz="4" w:space="0" w:color="auto"/>
              <w:bottom w:val="single" w:sz="4" w:space="0" w:color="auto"/>
            </w:tcBorders>
            <w:shd w:val="clear" w:color="auto" w:fill="auto"/>
            <w:tcMar>
              <w:top w:w="113" w:type="dxa"/>
            </w:tcMar>
          </w:tcPr>
          <w:p w:rsidR="008E1346" w:rsidRPr="007E4ECB" w:rsidRDefault="008E1346" w:rsidP="002C3C33">
            <w:pPr>
              <w:adjustRightInd w:val="0"/>
              <w:snapToGrid w:val="0"/>
              <w:spacing w:before="60" w:after="60" w:line="300" w:lineRule="exact"/>
              <w:rPr>
                <w:rFonts w:ascii="Arabic Typesetting" w:hAnsi="Arabic Typesetting" w:cs="Arabic Typesetting"/>
                <w:sz w:val="30"/>
                <w:szCs w:val="30"/>
                <w:rtl/>
              </w:rPr>
            </w:pPr>
            <w:r w:rsidRPr="00C24CE1">
              <w:rPr>
                <w:rFonts w:ascii="Arabic Typesetting" w:hAnsi="Arabic Typesetting" w:cs="Arabic Typesetting"/>
                <w:sz w:val="30"/>
                <w:szCs w:val="30"/>
                <w:rtl/>
              </w:rPr>
              <w:t>سياسات تسوية المنازعات التي أسهم المركز في وضعها وتنفيذها في سياق نظام أسماء الحقول</w:t>
            </w:r>
          </w:p>
        </w:tc>
        <w:tc>
          <w:tcPr>
            <w:tcW w:w="1358" w:type="pct"/>
            <w:tcBorders>
              <w:top w:val="single" w:sz="4" w:space="0" w:color="auto"/>
              <w:bottom w:val="single" w:sz="4" w:space="0" w:color="auto"/>
            </w:tcBorders>
            <w:shd w:val="clear" w:color="auto" w:fill="FFFFFF"/>
            <w:tcMar>
              <w:top w:w="113" w:type="dxa"/>
            </w:tcMar>
          </w:tcPr>
          <w:p w:rsidR="008E1346" w:rsidRPr="007E4ECB" w:rsidRDefault="008E1346" w:rsidP="002C3C33">
            <w:pPr>
              <w:rPr>
                <w:rFonts w:ascii="Arabic Typesetting" w:hAnsi="Arabic Typesetting" w:cs="Arabic Typesetting"/>
                <w:sz w:val="30"/>
                <w:szCs w:val="30"/>
                <w:rtl/>
              </w:rPr>
            </w:pPr>
            <w:r w:rsidRPr="007E4ECB">
              <w:rPr>
                <w:rFonts w:ascii="Arabic Typesetting" w:hAnsi="Arabic Typesetting" w:cs="Arabic Typesetting"/>
                <w:sz w:val="30"/>
                <w:szCs w:val="30"/>
                <w:rtl/>
              </w:rPr>
              <w:t>السياسة الموحدة، سياسة تسوية المنازعات قبل التفويض، إجراء تسوية نزاعات العلامات التجارية بعد التفويض (التراكمي بنهاية 2014)</w:t>
            </w:r>
          </w:p>
          <w:p w:rsidR="008E1346" w:rsidRPr="007E4ECB" w:rsidRDefault="008E1346" w:rsidP="002C3C33">
            <w:pPr>
              <w:rPr>
                <w:rFonts w:ascii="Arabic Typesetting" w:hAnsi="Arabic Typesetting" w:cs="Arabic Typesetting"/>
                <w:sz w:val="30"/>
                <w:szCs w:val="30"/>
                <w:rtl/>
              </w:rPr>
            </w:pPr>
            <w:r w:rsidRPr="007E4ECB">
              <w:rPr>
                <w:rFonts w:ascii="Arabic Typesetting" w:hAnsi="Arabic Typesetting" w:cs="Arabic Typesetting"/>
                <w:sz w:val="30"/>
                <w:szCs w:val="30"/>
                <w:rtl/>
              </w:rPr>
              <w:t>72 جهة من جهات إدارة تسجيل الحقول العليا المكونة من رموز البلدان (التراكمي بنهاية 2014)</w:t>
            </w:r>
          </w:p>
        </w:tc>
        <w:tc>
          <w:tcPr>
            <w:tcW w:w="1081" w:type="pct"/>
            <w:tcBorders>
              <w:top w:val="single" w:sz="4" w:space="0" w:color="auto"/>
              <w:bottom w:val="single" w:sz="4" w:space="0" w:color="auto"/>
              <w:right w:val="single" w:sz="4" w:space="0" w:color="auto"/>
            </w:tcBorders>
            <w:shd w:val="clear" w:color="auto" w:fill="auto"/>
            <w:tcMar>
              <w:top w:w="113" w:type="dxa"/>
            </w:tcMar>
          </w:tcPr>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تنفيذ سياسة الويبو والتوصيات المتعلقة بالإجراءات في نظام أسماء الحقول</w:t>
            </w:r>
          </w:p>
          <w:p w:rsidR="008E1346" w:rsidRPr="007E4ECB" w:rsidRDefault="008E1346" w:rsidP="002C3C33">
            <w:pPr>
              <w:keepNext/>
              <w:keepLines/>
              <w:adjustRightInd w:val="0"/>
              <w:snapToGrid w:val="0"/>
              <w:spacing w:before="60" w:after="60" w:line="300" w:lineRule="exact"/>
              <w:rPr>
                <w:rFonts w:ascii="Arabic Typesetting" w:hAnsi="Arabic Typesetting" w:cs="Arabic Typesetting"/>
                <w:sz w:val="30"/>
                <w:szCs w:val="30"/>
                <w:rtl/>
              </w:rPr>
            </w:pPr>
            <w:r w:rsidRPr="007E4ECB">
              <w:rPr>
                <w:rFonts w:ascii="Arabic Typesetting" w:hAnsi="Arabic Typesetting" w:cs="Arabic Typesetting"/>
                <w:sz w:val="30"/>
                <w:szCs w:val="30"/>
                <w:rtl/>
              </w:rPr>
              <w:t>من اثنتين إلى أربع جهات إدارة جديدة لتسجيل الحقول العليا المكونة من رموز البلدا</w:t>
            </w:r>
            <w:r>
              <w:rPr>
                <w:rFonts w:ascii="Arabic Typesetting" w:hAnsi="Arabic Typesetting" w:cs="Arabic Typesetting" w:hint="cs"/>
                <w:sz w:val="30"/>
                <w:szCs w:val="30"/>
                <w:rtl/>
              </w:rPr>
              <w:t>ن</w:t>
            </w:r>
          </w:p>
        </w:tc>
      </w:tr>
    </w:tbl>
    <w:p w:rsidR="008E1346" w:rsidRPr="00870598" w:rsidRDefault="008E1346" w:rsidP="002C3C33">
      <w:pPr>
        <w:pStyle w:val="BodyTextIndent"/>
        <w:bidi/>
        <w:adjustRightInd w:val="0"/>
        <w:snapToGrid w:val="0"/>
        <w:spacing w:after="240" w:line="360" w:lineRule="exact"/>
        <w:ind w:left="0"/>
        <w:jc w:val="both"/>
        <w:rPr>
          <w:rFonts w:ascii="Arabic Typesetting" w:hAnsi="Arabic Typesetting" w:cs="Arabic Typesetting"/>
          <w:sz w:val="38"/>
          <w:szCs w:val="38"/>
          <w:rtl/>
        </w:rPr>
      </w:pPr>
    </w:p>
    <w:p w:rsidR="008E1346" w:rsidRDefault="008E134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tl/>
        </w:rPr>
      </w:pPr>
      <w:r>
        <w:rPr>
          <w:rFonts w:ascii="Arabic Typesetting" w:hAnsi="Arabic Typesetting" w:cs="Arabic Typesetting" w:hint="cs"/>
          <w:sz w:val="38"/>
          <w:szCs w:val="38"/>
          <w:rtl/>
        </w:rPr>
        <w:t>الموارد المخصصة للبرنامج 7</w:t>
      </w:r>
    </w:p>
    <w:p w:rsidR="008E1346" w:rsidRDefault="008E1346" w:rsidP="00861CFF">
      <w:pPr>
        <w:numPr>
          <w:ilvl w:val="0"/>
          <w:numId w:val="20"/>
        </w:numPr>
        <w:adjustRightInd w:val="0"/>
        <w:snapToGrid w:val="0"/>
        <w:spacing w:after="120" w:line="340" w:lineRule="exact"/>
        <w:jc w:val="both"/>
        <w:rPr>
          <w:rFonts w:ascii="Arabic Typesetting" w:eastAsia="Batang" w:hAnsi="Arabic Typesetting" w:cs="Arabic Typesetting"/>
          <w:szCs w:val="34"/>
          <w:lang w:eastAsia="ko-KR" w:bidi="ar-SA"/>
        </w:rPr>
      </w:pPr>
      <w:r>
        <w:rPr>
          <w:rFonts w:ascii="Arabic Typesetting" w:eastAsia="Batang" w:hAnsi="Arabic Typesetting" w:cs="Arabic Typesetting" w:hint="cs"/>
          <w:szCs w:val="34"/>
          <w:rtl/>
          <w:lang w:eastAsia="ko-KR" w:bidi="ar-SA"/>
        </w:rPr>
        <w:t xml:space="preserve">تُلاحظ زيادة طفيفة في إجمالي الموارد المخصصة للبرنامج في الثنائية 2016/17 مقارنة بميزانية 2014/15 بعد التحويلات. ويُعزى ذلك إلى تغير </w:t>
      </w:r>
      <w:r w:rsidRPr="00870598">
        <w:rPr>
          <w:rFonts w:ascii="Arabic Typesetting" w:eastAsia="Batang" w:hAnsi="Arabic Typesetting" w:cs="Arabic Typesetting" w:hint="cs"/>
          <w:szCs w:val="34"/>
          <w:rtl/>
          <w:lang w:eastAsia="ko-KR"/>
        </w:rPr>
        <w:t>منهجية حساب التكاليف الخاصة بموارد الموظفين في الثنائية</w:t>
      </w:r>
      <w:r>
        <w:rPr>
          <w:rFonts w:ascii="Arabic Typesetting" w:eastAsia="Batang" w:hAnsi="Arabic Typesetting" w:cs="Arabic Typesetting" w:hint="cs"/>
          <w:szCs w:val="34"/>
          <w:rtl/>
          <w:lang w:eastAsia="ko-KR"/>
        </w:rPr>
        <w:t xml:space="preserve"> </w:t>
      </w:r>
      <w:r w:rsidRPr="00870598">
        <w:rPr>
          <w:rFonts w:ascii="Arabic Typesetting" w:eastAsia="Batang" w:hAnsi="Arabic Typesetting" w:cs="Arabic Typesetting" w:hint="cs"/>
          <w:szCs w:val="34"/>
          <w:rtl/>
          <w:lang w:eastAsia="ko-KR"/>
        </w:rPr>
        <w:t>2016/17 استنادا إلى المبالغ الفعلية</w:t>
      </w:r>
      <w:r>
        <w:rPr>
          <w:rFonts w:ascii="Arabic Typesetting" w:eastAsia="Batang" w:hAnsi="Arabic Typesetting" w:cs="Arabic Typesetting" w:hint="cs"/>
          <w:szCs w:val="34"/>
          <w:rtl/>
          <w:lang w:eastAsia="ko-KR"/>
        </w:rPr>
        <w:t>.</w:t>
      </w:r>
    </w:p>
    <w:p w:rsidR="008E1346" w:rsidRDefault="008E1346" w:rsidP="00861CFF">
      <w:pPr>
        <w:numPr>
          <w:ilvl w:val="0"/>
          <w:numId w:val="20"/>
        </w:numPr>
        <w:adjustRightInd w:val="0"/>
        <w:snapToGrid w:val="0"/>
        <w:spacing w:after="120" w:line="340" w:lineRule="exact"/>
        <w:jc w:val="both"/>
        <w:rPr>
          <w:rFonts w:ascii="Arabic Typesetting" w:eastAsia="Batang" w:hAnsi="Arabic Typesetting" w:cs="Arabic Typesetting"/>
          <w:szCs w:val="34"/>
          <w:lang w:eastAsia="ko-KR" w:bidi="ar-SA"/>
        </w:rPr>
      </w:pPr>
      <w:r>
        <w:rPr>
          <w:rFonts w:ascii="Arabic Typesetting" w:eastAsia="Batang" w:hAnsi="Arabic Typesetting" w:cs="Arabic Typesetting" w:hint="cs"/>
          <w:szCs w:val="34"/>
          <w:rtl/>
          <w:lang w:eastAsia="ko-KR"/>
        </w:rPr>
        <w:t xml:space="preserve">ويعكس تحويل الموارد من النتيجة المرتقبة </w:t>
      </w:r>
      <w:r w:rsidRPr="006F6913">
        <w:rPr>
          <w:rFonts w:ascii="Arabic Typesetting" w:eastAsia="Batang" w:hAnsi="Arabic Typesetting" w:cs="Arabic Typesetting"/>
          <w:szCs w:val="34"/>
          <w:rtl/>
          <w:lang w:eastAsia="ko-KR"/>
        </w:rPr>
        <w:t xml:space="preserve">ه </w:t>
      </w:r>
      <w:r>
        <w:rPr>
          <w:rFonts w:ascii="Arabic Typesetting" w:eastAsia="Batang" w:hAnsi="Arabic Typesetting" w:cs="Arabic Typesetting" w:hint="cs"/>
          <w:szCs w:val="34"/>
          <w:rtl/>
          <w:lang w:eastAsia="ko-KR"/>
        </w:rPr>
        <w:t>9</w:t>
      </w:r>
      <w:r w:rsidRPr="006F6913">
        <w:rPr>
          <w:rFonts w:ascii="Arabic Typesetting" w:eastAsia="Batang" w:hAnsi="Arabic Typesetting" w:cs="Arabic Typesetting"/>
          <w:szCs w:val="34"/>
          <w:rtl/>
          <w:lang w:eastAsia="ko-KR"/>
        </w:rPr>
        <w:t>.2</w:t>
      </w:r>
      <w:r>
        <w:rPr>
          <w:rFonts w:ascii="Arabic Typesetting" w:eastAsia="Batang" w:hAnsi="Arabic Typesetting" w:cs="Arabic Typesetting" w:hint="cs"/>
          <w:szCs w:val="34"/>
          <w:rtl/>
          <w:lang w:eastAsia="ko-KR"/>
        </w:rPr>
        <w:t xml:space="preserve"> إلى النتيجة المرتقبة </w:t>
      </w:r>
      <w:r w:rsidRPr="006F6913">
        <w:rPr>
          <w:rFonts w:ascii="Arabic Typesetting" w:eastAsia="Batang" w:hAnsi="Arabic Typesetting" w:cs="Arabic Typesetting"/>
          <w:szCs w:val="34"/>
          <w:rtl/>
          <w:lang w:eastAsia="ko-KR"/>
        </w:rPr>
        <w:t>ه 8.2</w:t>
      </w:r>
      <w:r>
        <w:rPr>
          <w:rFonts w:ascii="Arabic Typesetting" w:eastAsia="Batang" w:hAnsi="Arabic Typesetting" w:cs="Arabic Typesetting" w:hint="cs"/>
          <w:szCs w:val="34"/>
          <w:rtl/>
          <w:lang w:eastAsia="ko-KR"/>
        </w:rPr>
        <w:t xml:space="preserve"> زيادة التركيز على تطوير استخدام الخيارات البديلة لتسوية المنازعات استجابة لطلبات الدول الأعضاء.</w:t>
      </w:r>
    </w:p>
    <w:p w:rsidR="008E1346" w:rsidRPr="00327086" w:rsidRDefault="008E1346" w:rsidP="002C3C33">
      <w:pPr>
        <w:pStyle w:val="ARNormal"/>
        <w:keepNext/>
        <w:spacing w:after="0"/>
        <w:jc w:val="center"/>
        <w:rPr>
          <w:b/>
          <w:bCs/>
          <w:rtl/>
        </w:rPr>
      </w:pPr>
      <w:r w:rsidRPr="00327086">
        <w:rPr>
          <w:b/>
          <w:bCs/>
          <w:rtl/>
        </w:rPr>
        <w:t xml:space="preserve">البرنامج </w:t>
      </w:r>
      <w:r>
        <w:rPr>
          <w:rFonts w:hint="cs"/>
          <w:b/>
          <w:bCs/>
          <w:rtl/>
        </w:rPr>
        <w:t>7</w:t>
      </w:r>
      <w:r w:rsidRPr="00327086">
        <w:rPr>
          <w:b/>
          <w:bCs/>
          <w:rtl/>
        </w:rPr>
        <w:t>: الموارد بحسب كل نتيجة</w:t>
      </w:r>
    </w:p>
    <w:p w:rsidR="008E1346" w:rsidRDefault="008E1346" w:rsidP="002C3C33">
      <w:pPr>
        <w:pStyle w:val="ARNormal"/>
        <w:spacing w:after="0"/>
        <w:jc w:val="center"/>
        <w:rPr>
          <w:i/>
          <w:iCs/>
          <w:rtl/>
        </w:rPr>
      </w:pPr>
      <w:r w:rsidRPr="00327086">
        <w:rPr>
          <w:i/>
          <w:iCs/>
          <w:rtl/>
        </w:rPr>
        <w:t>(بآلاف الفرنكات السويسرية)</w:t>
      </w:r>
    </w:p>
    <w:p w:rsidR="008E1346" w:rsidRDefault="008E1346" w:rsidP="008E1346">
      <w:pPr>
        <w:spacing w:after="240"/>
        <w:jc w:val="center"/>
        <w:rPr>
          <w:rFonts w:ascii="Arabic Typesetting" w:hAnsi="Arabic Typesetting" w:cs="Arabic Typesetting"/>
          <w:sz w:val="34"/>
          <w:szCs w:val="34"/>
          <w:rtl/>
        </w:rPr>
      </w:pPr>
      <w:r w:rsidRPr="008E1346">
        <w:rPr>
          <w:noProof/>
          <w:szCs w:val="20"/>
          <w:rtl/>
          <w:lang w:bidi="ar-SA"/>
        </w:rPr>
        <w:drawing>
          <wp:inline distT="0" distB="0" distL="0" distR="0" wp14:anchorId="06F63516" wp14:editId="2E5F348E">
            <wp:extent cx="5676900" cy="12954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76900" cy="1295400"/>
                    </a:xfrm>
                    <a:prstGeom prst="rect">
                      <a:avLst/>
                    </a:prstGeom>
                    <a:noFill/>
                    <a:ln>
                      <a:noFill/>
                    </a:ln>
                  </pic:spPr>
                </pic:pic>
              </a:graphicData>
            </a:graphic>
          </wp:inline>
        </w:drawing>
      </w:r>
    </w:p>
    <w:p w:rsidR="008E1346" w:rsidRDefault="008E1346">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8E1346" w:rsidRPr="00E41DA4" w:rsidRDefault="008E1346" w:rsidP="002C3C33">
      <w:pPr>
        <w:pStyle w:val="ARNormal"/>
        <w:keepNext/>
        <w:spacing w:after="0"/>
        <w:jc w:val="center"/>
        <w:rPr>
          <w:b/>
          <w:bCs/>
          <w:rtl/>
        </w:rPr>
      </w:pPr>
      <w:r w:rsidRPr="00E41DA4">
        <w:rPr>
          <w:rFonts w:hint="cs"/>
          <w:b/>
          <w:bCs/>
          <w:rtl/>
        </w:rPr>
        <w:lastRenderedPageBreak/>
        <w:t xml:space="preserve">البرنامج </w:t>
      </w:r>
      <w:r>
        <w:rPr>
          <w:rFonts w:hint="cs"/>
          <w:b/>
          <w:bCs/>
          <w:rtl/>
        </w:rPr>
        <w:t>7</w:t>
      </w:r>
      <w:r w:rsidRPr="00E41DA4">
        <w:rPr>
          <w:rFonts w:hint="cs"/>
          <w:b/>
          <w:bCs/>
          <w:rtl/>
        </w:rPr>
        <w:t>: الموارد بحسب غرض الإنفاق</w:t>
      </w:r>
    </w:p>
    <w:p w:rsidR="008E1346" w:rsidRPr="00E41DA4" w:rsidRDefault="008E1346" w:rsidP="002C3C33">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8E1346" w:rsidRPr="00E41DA4" w:rsidRDefault="008E1346" w:rsidP="008E1346">
      <w:pPr>
        <w:autoSpaceDE w:val="0"/>
        <w:autoSpaceDN w:val="0"/>
        <w:adjustRightInd w:val="0"/>
        <w:spacing w:after="120"/>
        <w:jc w:val="center"/>
        <w:rPr>
          <w:rFonts w:ascii="Arabic Typesetting" w:hAnsi="Arabic Typesetting" w:cs="Arabic Typesetting"/>
          <w:sz w:val="34"/>
          <w:szCs w:val="34"/>
          <w:rtl/>
        </w:rPr>
      </w:pPr>
      <w:r w:rsidRPr="008E1346">
        <w:rPr>
          <w:noProof/>
          <w:szCs w:val="20"/>
          <w:rtl/>
          <w:lang w:bidi="ar-SA"/>
        </w:rPr>
        <w:drawing>
          <wp:inline distT="0" distB="0" distL="0" distR="0" wp14:anchorId="157001D5" wp14:editId="0502FE7B">
            <wp:extent cx="5514975" cy="6353175"/>
            <wp:effectExtent l="0" t="0" r="9525"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lang w:bidi="ar-EG"/>
        </w:rPr>
      </w:pPr>
    </w:p>
    <w:p w:rsidR="008E1346" w:rsidRDefault="008E1346" w:rsidP="002C3C33">
      <w:pPr>
        <w:pStyle w:val="ARNormal"/>
        <w:rPr>
          <w:rtl/>
        </w:rPr>
        <w:sectPr w:rsidR="008E1346" w:rsidSect="00861CFF">
          <w:pgSz w:w="11906" w:h="16838" w:code="9"/>
          <w:pgMar w:top="1134" w:right="1418" w:bottom="1418" w:left="1134" w:header="510" w:footer="1021" w:gutter="0"/>
          <w:cols w:space="720"/>
          <w:bidi/>
          <w:rtlGutter/>
        </w:sectPr>
      </w:pPr>
    </w:p>
    <w:p w:rsidR="00B56EC9" w:rsidRPr="000B3A27" w:rsidRDefault="00B56EC9" w:rsidP="002C3C33">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38" w:name="_Toc358745217"/>
      <w:bookmarkStart w:id="39" w:name="_Toc364355367"/>
      <w:bookmarkStart w:id="40" w:name="_Toc356567756"/>
      <w:bookmarkStart w:id="41" w:name="_Toc420595507"/>
      <w:r w:rsidRPr="000B3A27">
        <w:rPr>
          <w:rFonts w:ascii="Arabic Typesetting" w:hAnsi="Arabic Typesetting" w:cs="Arabic Typesetting" w:hint="cs"/>
          <w:i/>
          <w:iCs w:val="0"/>
          <w:sz w:val="42"/>
          <w:szCs w:val="42"/>
          <w:rtl/>
        </w:rPr>
        <w:lastRenderedPageBreak/>
        <w:t>ا</w:t>
      </w:r>
      <w:r w:rsidRPr="000B3A27">
        <w:rPr>
          <w:rFonts w:ascii="Arabic Typesetting" w:hAnsi="Arabic Typesetting" w:cs="Arabic Typesetting"/>
          <w:i/>
          <w:iCs w:val="0"/>
          <w:sz w:val="42"/>
          <w:szCs w:val="42"/>
          <w:rtl/>
        </w:rPr>
        <w:t>لهدف الاستراتيجي الثالث</w:t>
      </w:r>
      <w:bookmarkStart w:id="42" w:name="_Toc364355368"/>
      <w:bookmarkEnd w:id="38"/>
      <w:bookmarkEnd w:id="39"/>
      <w:bookmarkEnd w:id="40"/>
      <w:r w:rsidRPr="000B3A27">
        <w:rPr>
          <w:rFonts w:ascii="Arabic Typesetting" w:hAnsi="Arabic Typesetting" w:cs="Arabic Typesetting" w:hint="cs"/>
          <w:i/>
          <w:iCs w:val="0"/>
          <w:sz w:val="42"/>
          <w:szCs w:val="42"/>
          <w:rtl/>
        </w:rPr>
        <w:tab/>
      </w:r>
      <w:r w:rsidRPr="000B3A27">
        <w:rPr>
          <w:rFonts w:ascii="Arabic Typesetting" w:hAnsi="Arabic Typesetting" w:cs="Arabic Typesetting"/>
          <w:i/>
          <w:iCs w:val="0"/>
          <w:sz w:val="42"/>
          <w:szCs w:val="42"/>
          <w:rtl/>
        </w:rPr>
        <w:t>تسهيل الانتفاع بالملكية الفكرية في سبيل التنمية</w:t>
      </w:r>
      <w:bookmarkEnd w:id="41"/>
      <w:bookmarkEnd w:id="42"/>
    </w:p>
    <w:p w:rsidR="00B56EC9" w:rsidRPr="008954A8" w:rsidRDefault="00B56EC9" w:rsidP="00862268">
      <w:pPr>
        <w:adjustRightInd w:val="0"/>
        <w:snapToGrid w:val="0"/>
        <w:spacing w:after="120" w:line="340" w:lineRule="exact"/>
        <w:rPr>
          <w:rFonts w:ascii="Arabic Typesetting" w:hAnsi="Arabic Typesetting" w:cs="Arabic Typesetting"/>
          <w:szCs w:val="34"/>
        </w:rPr>
      </w:pPr>
      <w:r w:rsidRPr="008954A8">
        <w:rPr>
          <w:rFonts w:ascii="Arabic Typesetting" w:hAnsi="Arabic Typesetting" w:cs="Arabic Typesetting"/>
          <w:szCs w:val="34"/>
          <w:rtl/>
        </w:rPr>
        <w:t xml:space="preserve">إن تسهيل الانتفاع بالملكية الفكرية في سبيل التنمية الاجتماعية والثقافية والاقتصادية هو المحرك لأنشطة الويبو المتعددة للمساعدة التقنية وتكوين الكفاءات المُقدَّمة من خلال البرامج في كل قطاع من قطاعات المنظمة. وبتغطية هذه الأنشطة كلها، يركز هذا الهدف الاستراتيجي </w:t>
      </w:r>
      <w:r w:rsidRPr="008954A8">
        <w:rPr>
          <w:rFonts w:ascii="Arabic Typesetting" w:hAnsi="Arabic Typesetting" w:cs="Arabic Typesetting" w:hint="cs"/>
          <w:szCs w:val="34"/>
          <w:rtl/>
        </w:rPr>
        <w:t>ال</w:t>
      </w:r>
      <w:r w:rsidRPr="008954A8">
        <w:rPr>
          <w:rFonts w:ascii="Arabic Typesetting" w:hAnsi="Arabic Typesetting" w:cs="Arabic Typesetting"/>
          <w:szCs w:val="34"/>
          <w:rtl/>
        </w:rPr>
        <w:t>متعدد القطاعات في الأجل المتوسط على مساعدة البلدان النامية والبلدان الأقل نمواً والبلدان المنتقلة إلى نظام الاقتصاد الحر على استخدام نظام الملكية الفكرية استخداماً فعالاً في سياق ظروفها الخاصة.</w:t>
      </w:r>
    </w:p>
    <w:p w:rsidR="00B56EC9" w:rsidRPr="008954A8" w:rsidRDefault="00B56EC9" w:rsidP="00862268">
      <w:pPr>
        <w:autoSpaceDE w:val="0"/>
        <w:autoSpaceDN w:val="0"/>
        <w:adjustRightInd w:val="0"/>
        <w:snapToGrid w:val="0"/>
        <w:spacing w:after="120" w:line="340" w:lineRule="exact"/>
        <w:rPr>
          <w:rFonts w:ascii="Arabic Typesetting" w:hAnsi="Arabic Typesetting" w:cs="Arabic Typesetting"/>
          <w:szCs w:val="34"/>
          <w:rtl/>
        </w:rPr>
      </w:pPr>
      <w:r w:rsidRPr="008954A8">
        <w:rPr>
          <w:rFonts w:ascii="Arabic Typesetting" w:hAnsi="Arabic Typesetting" w:cs="Arabic Typesetting"/>
          <w:szCs w:val="34"/>
          <w:rtl/>
        </w:rPr>
        <w:t>ويؤدي جدول أعمال الويبو بشأن التنمية دوراً مركزياً في ضمان إسهام جميع مجالات أنشطة الويبو في هذا الهدف الاستراتيجي</w:t>
      </w:r>
      <w:r w:rsidRPr="008954A8">
        <w:rPr>
          <w:rFonts w:ascii="Arabic Typesetting" w:hAnsi="Arabic Typesetting" w:cs="Arabic Typesetting" w:hint="cs"/>
          <w:szCs w:val="34"/>
          <w:rtl/>
        </w:rPr>
        <w:t>.</w:t>
      </w:r>
    </w:p>
    <w:p w:rsidR="00B56EC9" w:rsidRPr="008954A8" w:rsidRDefault="00B56EC9" w:rsidP="00862268">
      <w:pPr>
        <w:autoSpaceDE w:val="0"/>
        <w:autoSpaceDN w:val="0"/>
        <w:adjustRightInd w:val="0"/>
        <w:snapToGrid w:val="0"/>
        <w:spacing w:after="120" w:line="340" w:lineRule="exact"/>
        <w:rPr>
          <w:rFonts w:ascii="Arabic Typesetting" w:hAnsi="Arabic Typesetting" w:cs="Arabic Typesetting"/>
          <w:szCs w:val="34"/>
          <w:rtl/>
        </w:rPr>
      </w:pPr>
    </w:p>
    <w:tbl>
      <w:tblPr>
        <w:bidiVisual/>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6"/>
        <w:gridCol w:w="3174"/>
        <w:gridCol w:w="2832"/>
      </w:tblGrid>
      <w:tr w:rsidR="00B56EC9" w:rsidRPr="00CE012E" w:rsidTr="002C3C33">
        <w:trPr>
          <w:cantSplit/>
          <w:tblHeader/>
        </w:trPr>
        <w:tc>
          <w:tcPr>
            <w:tcW w:w="1768" w:type="pct"/>
            <w:tcBorders>
              <w:top w:val="single" w:sz="4" w:space="0" w:color="auto"/>
              <w:bottom w:val="single" w:sz="4" w:space="0" w:color="auto"/>
            </w:tcBorders>
            <w:shd w:val="clear" w:color="auto" w:fill="C6D9F1"/>
            <w:tcMar>
              <w:top w:w="113" w:type="dxa"/>
              <w:bottom w:w="57" w:type="dxa"/>
            </w:tcMar>
            <w:vAlign w:val="center"/>
          </w:tcPr>
          <w:p w:rsidR="00B56EC9" w:rsidRPr="00CE012E" w:rsidRDefault="00B56EC9" w:rsidP="00862268">
            <w:pPr>
              <w:adjustRightInd w:val="0"/>
              <w:snapToGrid w:val="0"/>
              <w:spacing w:before="60" w:after="60" w:line="300" w:lineRule="exact"/>
              <w:jc w:val="center"/>
              <w:rPr>
                <w:rFonts w:ascii="Arabic Typesetting" w:hAnsi="Arabic Typesetting" w:cs="Arabic Typesetting"/>
                <w:b/>
                <w:bCs/>
                <w:sz w:val="30"/>
                <w:szCs w:val="30"/>
              </w:rPr>
            </w:pPr>
            <w:r w:rsidRPr="00CE012E">
              <w:rPr>
                <w:rFonts w:ascii="Arabic Typesetting" w:hAnsi="Arabic Typesetting" w:cs="Arabic Typesetting"/>
                <w:b/>
                <w:bCs/>
                <w:sz w:val="30"/>
                <w:szCs w:val="30"/>
                <w:rtl/>
              </w:rPr>
              <w:t>النتائج المرتقبة</w:t>
            </w:r>
          </w:p>
        </w:tc>
        <w:tc>
          <w:tcPr>
            <w:tcW w:w="1708" w:type="pct"/>
            <w:tcBorders>
              <w:top w:val="single" w:sz="4" w:space="0" w:color="auto"/>
              <w:bottom w:val="single" w:sz="4" w:space="0" w:color="auto"/>
            </w:tcBorders>
            <w:shd w:val="clear" w:color="auto" w:fill="C6D9F1"/>
            <w:tcMar>
              <w:top w:w="113" w:type="dxa"/>
              <w:bottom w:w="57" w:type="dxa"/>
            </w:tcMar>
            <w:vAlign w:val="center"/>
          </w:tcPr>
          <w:p w:rsidR="00B56EC9" w:rsidRPr="00CE012E" w:rsidRDefault="00B56EC9" w:rsidP="00862268">
            <w:pPr>
              <w:adjustRightInd w:val="0"/>
              <w:snapToGrid w:val="0"/>
              <w:spacing w:before="60" w:after="60" w:line="300" w:lineRule="exact"/>
              <w:jc w:val="center"/>
              <w:rPr>
                <w:rFonts w:ascii="Arabic Typesetting" w:hAnsi="Arabic Typesetting" w:cs="Arabic Typesetting"/>
                <w:b/>
                <w:bCs/>
                <w:sz w:val="30"/>
                <w:szCs w:val="30"/>
              </w:rPr>
            </w:pPr>
            <w:r w:rsidRPr="00CE012E">
              <w:rPr>
                <w:rFonts w:ascii="Arabic Typesetting" w:hAnsi="Arabic Typesetting" w:cs="Arabic Typesetting"/>
                <w:b/>
                <w:bCs/>
                <w:sz w:val="30"/>
                <w:szCs w:val="30"/>
                <w:rtl/>
              </w:rPr>
              <w:t>مؤشرات الأداء</w:t>
            </w:r>
          </w:p>
        </w:tc>
        <w:tc>
          <w:tcPr>
            <w:tcW w:w="1524" w:type="pct"/>
            <w:tcBorders>
              <w:top w:val="single" w:sz="4" w:space="0" w:color="auto"/>
              <w:bottom w:val="single" w:sz="4" w:space="0" w:color="auto"/>
            </w:tcBorders>
            <w:shd w:val="clear" w:color="auto" w:fill="C6D9F1"/>
            <w:tcMar>
              <w:top w:w="113" w:type="dxa"/>
              <w:bottom w:w="57" w:type="dxa"/>
            </w:tcMar>
            <w:vAlign w:val="center"/>
          </w:tcPr>
          <w:p w:rsidR="00B56EC9" w:rsidRPr="00CE012E" w:rsidRDefault="00B56EC9" w:rsidP="002C3C33">
            <w:pPr>
              <w:adjustRightInd w:val="0"/>
              <w:snapToGrid w:val="0"/>
              <w:spacing w:before="60" w:after="60" w:line="300" w:lineRule="exact"/>
              <w:jc w:val="center"/>
              <w:rPr>
                <w:rFonts w:ascii="Arabic Typesetting" w:hAnsi="Arabic Typesetting" w:cs="Arabic Typesetting"/>
                <w:b/>
                <w:bCs/>
                <w:sz w:val="30"/>
                <w:szCs w:val="30"/>
              </w:rPr>
            </w:pPr>
            <w:r w:rsidRPr="00CE012E">
              <w:rPr>
                <w:rFonts w:ascii="Arabic Typesetting" w:hAnsi="Arabic Typesetting" w:cs="Arabic Typesetting"/>
                <w:b/>
                <w:bCs/>
                <w:sz w:val="30"/>
                <w:szCs w:val="30"/>
                <w:rtl/>
              </w:rPr>
              <w:t>البرامج المسؤولة</w:t>
            </w:r>
          </w:p>
        </w:tc>
      </w:tr>
      <w:tr w:rsidR="00B56EC9" w:rsidRPr="00CE012E" w:rsidTr="00862268">
        <w:trPr>
          <w:cantSplit/>
        </w:trPr>
        <w:tc>
          <w:tcPr>
            <w:tcW w:w="1768" w:type="pct"/>
            <w:tcBorders>
              <w:top w:val="single" w:sz="4" w:space="0" w:color="auto"/>
            </w:tcBorders>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hint="cs"/>
                <w:sz w:val="30"/>
                <w:szCs w:val="30"/>
                <w:rtl/>
              </w:rPr>
              <w:t>ه 1.3</w:t>
            </w:r>
            <w:r w:rsidRPr="00CE012E">
              <w:rPr>
                <w:rFonts w:ascii="Arabic Typesetting" w:hAnsi="Arabic Typesetting" w:cs="Arabic Typesetting"/>
                <w:sz w:val="30"/>
                <w:szCs w:val="30"/>
                <w:rtl/>
              </w:rPr>
              <w:t xml:space="preserve"> استراتيجيات وخطط وطنية في مجالي الابتكار والملكية الفكرية تتماشى مع الأهداف الإنمائية الوطنية</w:t>
            </w:r>
          </w:p>
        </w:tc>
        <w:tc>
          <w:tcPr>
            <w:tcW w:w="1708" w:type="pct"/>
            <w:tcBorders>
              <w:top w:val="single" w:sz="4" w:space="0" w:color="auto"/>
            </w:tcBorders>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البلدان في طور صياغة الاستراتيجيات الوطنية للملكية الفكرية</w:t>
            </w:r>
          </w:p>
        </w:tc>
        <w:tc>
          <w:tcPr>
            <w:tcW w:w="1524" w:type="pct"/>
            <w:tcBorders>
              <w:top w:val="single" w:sz="4" w:space="0" w:color="auto"/>
            </w:tcBorders>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Pr>
            </w:pPr>
            <w:r w:rsidRPr="00CE012E">
              <w:rPr>
                <w:rFonts w:ascii="Arabic Typesetting" w:hAnsi="Arabic Typesetting" w:cs="Arabic Typesetting"/>
                <w:sz w:val="30"/>
                <w:szCs w:val="30"/>
                <w:rtl/>
              </w:rPr>
              <w:t>البرنامج 9</w:t>
            </w:r>
          </w:p>
        </w:tc>
      </w:tr>
      <w:tr w:rsidR="00B56EC9" w:rsidRPr="00CE012E" w:rsidTr="00862268">
        <w:trPr>
          <w:cantSplit/>
          <w:trHeight w:val="556"/>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عدد البلدان التي اعتمدت الاستراتيجيات الوطنية للابتكار والملكية الفكرية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9</w:t>
            </w:r>
          </w:p>
        </w:tc>
      </w:tr>
      <w:tr w:rsidR="00B56EC9" w:rsidRPr="00CE012E" w:rsidTr="00862268">
        <w:trPr>
          <w:cantSplit/>
          <w:trHeight w:val="556"/>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البلدان التي تمر بمرحلة تنفيذ الاستراتيجيات الوطنية للابتكار والملكية الفكرية والخطط الوطنية للملكية الفكرية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Pr>
            </w:pPr>
            <w:r w:rsidRPr="00CE012E">
              <w:rPr>
                <w:rFonts w:ascii="Arabic Typesetting" w:hAnsi="Arabic Typesetting" w:cs="Arabic Typesetting"/>
                <w:sz w:val="30"/>
                <w:szCs w:val="30"/>
                <w:rtl/>
              </w:rPr>
              <w:t>البرنامج 9</w:t>
            </w:r>
          </w:p>
        </w:tc>
      </w:tr>
      <w:tr w:rsidR="00B56EC9" w:rsidRPr="00CE012E" w:rsidTr="00862268">
        <w:trPr>
          <w:cantSplit/>
          <w:trHeight w:val="368"/>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البلدان التي وضعت استراتيجيات أو خطط وطنية للملكية الفكرية متوافقة مع الأهداف الإنمائية الوطنية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Pr>
            </w:pPr>
            <w:r w:rsidRPr="00CE012E">
              <w:rPr>
                <w:rFonts w:ascii="Arabic Typesetting" w:hAnsi="Arabic Typesetting" w:cs="Arabic Typesetting"/>
                <w:sz w:val="30"/>
                <w:szCs w:val="30"/>
                <w:rtl/>
              </w:rPr>
              <w:t>البرنامج 10</w:t>
            </w:r>
          </w:p>
        </w:tc>
      </w:tr>
      <w:tr w:rsidR="00B56EC9" w:rsidRPr="00CE012E" w:rsidTr="00862268">
        <w:trPr>
          <w:cantSplit/>
          <w:trHeight w:val="1089"/>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عدد استراتيجيات الملكية الفكرية الوطنية التي تتناول تعزيز الإبداع، بما في ذلك الابتكار</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lang w:bidi="ar-SA"/>
              </w:rPr>
              <w:t>البرنامج 30</w:t>
            </w:r>
          </w:p>
        </w:tc>
      </w:tr>
      <w:tr w:rsidR="00B56EC9" w:rsidRPr="00CE012E" w:rsidTr="00862268">
        <w:trPr>
          <w:cantSplit/>
          <w:trHeight w:val="1089"/>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hint="cs"/>
                <w:sz w:val="30"/>
                <w:szCs w:val="30"/>
                <w:rtl/>
              </w:rPr>
              <w:t>ه 2.3</w:t>
            </w:r>
            <w:r w:rsidRPr="00CE012E">
              <w:rPr>
                <w:rFonts w:ascii="Arabic Typesetting" w:hAnsi="Arabic Typesetting" w:cs="Arabic Typesetting"/>
                <w:sz w:val="30"/>
                <w:szCs w:val="30"/>
                <w:rtl/>
              </w:rPr>
              <w:t xml:space="preserve"> 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1708" w:type="pct"/>
            <w:shd w:val="clear" w:color="auto" w:fill="auto"/>
            <w:tcMar>
              <w:top w:w="113" w:type="dxa"/>
              <w:bottom w:w="57" w:type="dxa"/>
            </w:tcMar>
          </w:tcPr>
          <w:p w:rsidR="005135F6" w:rsidRDefault="00B56EC9" w:rsidP="00862268">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 xml:space="preserve">عدد </w:t>
            </w:r>
            <w:proofErr w:type="spellStart"/>
            <w:r w:rsidR="005135F6">
              <w:rPr>
                <w:rFonts w:ascii="Arabic Typesetting" w:hAnsi="Arabic Typesetting" w:cs="Arabic Typesetting" w:hint="cs"/>
                <w:sz w:val="30"/>
                <w:szCs w:val="30"/>
                <w:rtl/>
              </w:rPr>
              <w:t>عدد</w:t>
            </w:r>
            <w:proofErr w:type="spellEnd"/>
            <w:r w:rsidR="005135F6">
              <w:rPr>
                <w:rFonts w:ascii="Arabic Typesetting" w:hAnsi="Arabic Typesetting" w:cs="Arabic Typesetting" w:hint="cs"/>
                <w:sz w:val="30"/>
                <w:szCs w:val="30"/>
                <w:rtl/>
              </w:rPr>
              <w:t xml:space="preserve"> </w:t>
            </w:r>
            <w:proofErr w:type="spellStart"/>
            <w:r w:rsidR="005135F6">
              <w:rPr>
                <w:rFonts w:ascii="Arabic Typesetting" w:hAnsi="Arabic Typesetting" w:cs="Arabic Typesetting" w:hint="cs"/>
                <w:sz w:val="30"/>
                <w:szCs w:val="30"/>
                <w:rtl/>
              </w:rPr>
              <w:t>النكاتب</w:t>
            </w:r>
            <w:proofErr w:type="spellEnd"/>
            <w:r w:rsidR="005135F6">
              <w:rPr>
                <w:rFonts w:ascii="Arabic Typesetting" w:hAnsi="Arabic Typesetting" w:cs="Arabic Typesetting" w:hint="cs"/>
                <w:sz w:val="30"/>
                <w:szCs w:val="30"/>
                <w:rtl/>
              </w:rPr>
              <w:t xml:space="preserve"> الوطنية لحق المؤلف المشاركة بفعالية في مسار </w:t>
            </w:r>
            <w:proofErr w:type="spellStart"/>
            <w:r w:rsidR="005135F6">
              <w:rPr>
                <w:rFonts w:ascii="Arabic Typesetting" w:hAnsi="Arabic Typesetting" w:cs="Arabic Typesetting" w:hint="cs"/>
                <w:sz w:val="30"/>
                <w:szCs w:val="30"/>
                <w:rtl/>
              </w:rPr>
              <w:t>تاغ</w:t>
            </w:r>
            <w:proofErr w:type="spellEnd"/>
            <w:r w:rsidR="005135F6">
              <w:rPr>
                <w:rFonts w:ascii="Arabic Typesetting" w:hAnsi="Arabic Typesetting" w:cs="Arabic Typesetting" w:hint="cs"/>
                <w:sz w:val="30"/>
                <w:szCs w:val="30"/>
                <w:rtl/>
              </w:rPr>
              <w:t xml:space="preserve"> التشاوري</w:t>
            </w:r>
          </w:p>
          <w:p w:rsidR="005135F6" w:rsidRDefault="005135F6" w:rsidP="00862268">
            <w:pPr>
              <w:adjustRightInd w:val="0"/>
              <w:snapToGrid w:val="0"/>
              <w:spacing w:before="60" w:after="60" w:line="300" w:lineRule="exact"/>
              <w:rPr>
                <w:rFonts w:ascii="Arabic Typesetting" w:hAnsi="Arabic Typesetting" w:cs="Arabic Typesetting"/>
                <w:sz w:val="30"/>
                <w:szCs w:val="30"/>
                <w:rtl/>
              </w:rPr>
            </w:pPr>
          </w:p>
          <w:p w:rsidR="00B56EC9" w:rsidRPr="00CE012E" w:rsidRDefault="005135F6"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عدد </w:t>
            </w:r>
            <w:r w:rsidR="00B56EC9" w:rsidRPr="00CE012E">
              <w:rPr>
                <w:rFonts w:ascii="Arabic Typesetting" w:hAnsi="Arabic Typesetting" w:cs="Arabic Typesetting"/>
                <w:sz w:val="30"/>
                <w:szCs w:val="30"/>
                <w:rtl/>
              </w:rPr>
              <w:t>منظمات الإدارة الجماعية المتقدمة للحصول على اعتماد الشفافية والمساءلة وحسن الإدارة (</w:t>
            </w:r>
            <w:r w:rsidR="00B56EC9" w:rsidRPr="00CE012E">
              <w:rPr>
                <w:rFonts w:ascii="Arabic Typesetting" w:hAnsi="Arabic Typesetting" w:cs="Arabic Typesetting"/>
                <w:sz w:val="30"/>
                <w:szCs w:val="30"/>
              </w:rPr>
              <w:t>TAG</w:t>
            </w:r>
            <w:r w:rsidR="00B56EC9" w:rsidRPr="00CE012E">
              <w:rPr>
                <w:rFonts w:ascii="Arabic Typesetting" w:hAnsi="Arabic Typesetting" w:cs="Arabic Typesetting"/>
                <w:sz w:val="30"/>
                <w:szCs w:val="30"/>
                <w:rtl/>
              </w:rPr>
              <w:t>)</w:t>
            </w:r>
          </w:p>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tl/>
              </w:rPr>
            </w:pPr>
          </w:p>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للمشاركين الذين يقدمون تقارير إيجابية عن برامج تكوين كفاءات الإدارة الجماعية</w:t>
            </w:r>
          </w:p>
        </w:tc>
        <w:tc>
          <w:tcPr>
            <w:tcW w:w="1524" w:type="pct"/>
            <w:shd w:val="clear" w:color="auto" w:fill="FFFFFF"/>
            <w:tcMar>
              <w:top w:w="113" w:type="dxa"/>
              <w:bottom w:w="57" w:type="dxa"/>
            </w:tcMar>
          </w:tcPr>
          <w:p w:rsidR="005135F6" w:rsidRDefault="005135F6" w:rsidP="005135F6">
            <w:pPr>
              <w:adjustRightInd w:val="0"/>
              <w:snapToGrid w:val="0"/>
              <w:spacing w:before="60" w:after="60" w:line="300" w:lineRule="exact"/>
              <w:jc w:val="center"/>
              <w:rPr>
                <w:rFonts w:ascii="Arabic Typesetting" w:hAnsi="Arabic Typesetting" w:cs="Arabic Typesetting"/>
                <w:sz w:val="30"/>
                <w:szCs w:val="30"/>
                <w:rtl/>
              </w:rPr>
            </w:pPr>
            <w:r>
              <w:rPr>
                <w:rFonts w:ascii="Arabic Typesetting" w:hAnsi="Arabic Typesetting" w:cs="Arabic Typesetting" w:hint="cs"/>
                <w:sz w:val="30"/>
                <w:szCs w:val="30"/>
                <w:rtl/>
              </w:rPr>
              <w:t>البرنامج 3</w:t>
            </w:r>
            <w:r>
              <w:rPr>
                <w:rFonts w:ascii="Arabic Typesetting" w:hAnsi="Arabic Typesetting" w:cs="Arabic Typesetting"/>
                <w:sz w:val="30"/>
                <w:szCs w:val="30"/>
                <w:rtl/>
              </w:rPr>
              <w:br/>
            </w:r>
            <w:r>
              <w:rPr>
                <w:rFonts w:ascii="Arabic Typesetting" w:hAnsi="Arabic Typesetting" w:cs="Arabic Typesetting" w:hint="cs"/>
                <w:sz w:val="30"/>
                <w:szCs w:val="30"/>
                <w:rtl/>
              </w:rPr>
              <w:br/>
            </w:r>
          </w:p>
          <w:p w:rsidR="00B56EC9" w:rsidRPr="00CE012E" w:rsidRDefault="00B56EC9" w:rsidP="005135F6">
            <w:pPr>
              <w:adjustRightInd w:val="0"/>
              <w:snapToGrid w:val="0"/>
              <w:spacing w:before="6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sz w:val="30"/>
                <w:szCs w:val="30"/>
                <w:rtl/>
              </w:rPr>
              <w:t>البرنامج 3</w:t>
            </w:r>
            <w:r w:rsidRPr="00CE012E">
              <w:rPr>
                <w:rFonts w:ascii="Arabic Typesetting" w:hAnsi="Arabic Typesetting" w:cs="Arabic Typesetting" w:hint="cs"/>
                <w:sz w:val="30"/>
                <w:szCs w:val="30"/>
                <w:rtl/>
              </w:rPr>
              <w:br/>
            </w:r>
          </w:p>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p>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p>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hint="cs"/>
                <w:sz w:val="30"/>
                <w:szCs w:val="30"/>
                <w:rtl/>
              </w:rPr>
              <w:t>البرنامج 3</w:t>
            </w:r>
          </w:p>
        </w:tc>
      </w:tr>
      <w:tr w:rsidR="00B56EC9" w:rsidRPr="00CE012E" w:rsidTr="00862268">
        <w:trPr>
          <w:cantSplit/>
          <w:trHeight w:val="702"/>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زيارات البوابة الإلكترونية الخاصة بالبنية التحتية لحق المؤلف</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البرنامج 3</w:t>
            </w:r>
          </w:p>
        </w:tc>
      </w:tr>
      <w:tr w:rsidR="00B56EC9" w:rsidRPr="00CE012E" w:rsidTr="00862268">
        <w:trPr>
          <w:cantSplit/>
          <w:trHeight w:val="54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الناشرين الموقعين على ميثاق نشر المطبوعات المُيسَّرة الخاص باتحاد الكتب المُيسَّرة ("الميثاق")</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البرنامج 3</w:t>
            </w:r>
          </w:p>
        </w:tc>
      </w:tr>
      <w:tr w:rsidR="00B56EC9" w:rsidRPr="00CE012E" w:rsidTr="00862268">
        <w:trPr>
          <w:cantSplit/>
          <w:trHeight w:val="80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الكتب المنشورة في أنساق مُيسَّرة المُعارة لأشخاص عاجزين عن قراءة المطبوعات</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البرنامج 3</w:t>
            </w:r>
          </w:p>
        </w:tc>
      </w:tr>
      <w:tr w:rsidR="00B56EC9" w:rsidRPr="00CE012E" w:rsidTr="00862268">
        <w:trPr>
          <w:cantSplit/>
          <w:trHeight w:val="80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لتقييم المشاركين الإيجابي لجدوى الاجتماعات وحلقات العمل الخاصة بتكوين كفاءات حق المؤلف والحقوق المجاورة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3</w:t>
            </w:r>
          </w:p>
        </w:tc>
      </w:tr>
      <w:tr w:rsidR="00B56EC9" w:rsidRPr="00CE012E" w:rsidTr="00862268">
        <w:trPr>
          <w:cantSplit/>
          <w:trHeight w:val="55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للمشاركين في حلقات عمل تكوين الكفاءات المتعلقة بحق المؤلف الذين أبلغوا عن الانتفاع العملي بالمعارف بعد تسعة أشهر من حلقة العمل</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3</w:t>
            </w:r>
          </w:p>
        </w:tc>
      </w:tr>
      <w:tr w:rsidR="00B56EC9" w:rsidRPr="00CE012E" w:rsidTr="00862268">
        <w:trPr>
          <w:cantSplit/>
          <w:trHeight w:val="554"/>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للمشاركين الذين يتمتعون بمعارف ومهارات مُحسَّنة في تنفيذ برامج تكوين الكفاءات في بلدانهم أو مناطقهم</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3</w:t>
            </w:r>
          </w:p>
        </w:tc>
      </w:tr>
      <w:tr w:rsidR="00B56EC9" w:rsidRPr="00CE012E" w:rsidTr="00862268">
        <w:trPr>
          <w:cantSplit/>
          <w:trHeight w:val="532"/>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نسبة المشاركين في أنشطة الويبو الذي يبلغون عن كفاءات معززة لفهم مبادئ وأنظمة وأدوات الملكية الفكرية والانتفاع بها من أجل حماية المعارف التقليدية وأشكال التعبير الثقافي التقليدي ومعالجة العلاقة بين الملكية الفكرية والموارد</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4</w:t>
            </w:r>
          </w:p>
        </w:tc>
      </w:tr>
      <w:tr w:rsidR="00B56EC9" w:rsidRPr="00CE012E" w:rsidTr="00862268">
        <w:trPr>
          <w:cantSplit/>
          <w:trHeight w:val="547"/>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للمشاركين في تظاهرات الويبو الذين يعربون عن رضاهم عن المحتوى وعن تنظيم هذه التظاهرات</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9</w:t>
            </w:r>
          </w:p>
        </w:tc>
      </w:tr>
      <w:tr w:rsidR="00B56EC9" w:rsidRPr="00CE012E" w:rsidTr="00862268">
        <w:trPr>
          <w:cantSplit/>
          <w:trHeight w:val="538"/>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للمشاركين في حلقات عمل الويبو الذين يطبّقون المهارات المكتسبة في عملهم أو مؤسساتهم</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9</w:t>
            </w:r>
          </w:p>
        </w:tc>
      </w:tr>
      <w:tr w:rsidR="00B56EC9" w:rsidRPr="00CE012E" w:rsidTr="00862268">
        <w:trPr>
          <w:cantSplit/>
          <w:trHeight w:val="80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لخبراء الملكية الفكرية الوطنيين أو الإقليميين الذي يُستعان بهم باعتبارهم خبراء في تظاهرات الويبو</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9</w:t>
            </w:r>
          </w:p>
        </w:tc>
      </w:tr>
      <w:tr w:rsidR="00B56EC9" w:rsidRPr="00CE012E" w:rsidTr="00862268">
        <w:trPr>
          <w:cantSplit/>
          <w:trHeight w:val="80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البلدان المنتقلة إلى نظام الاقتصاد الحر التي وضعت برامج تدريبية سنوية في مجال الملكية الفكرية و/أو دورات للمهنيين المتخصصين في الملكية الفكرية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10</w:t>
            </w:r>
          </w:p>
        </w:tc>
      </w:tr>
      <w:tr w:rsidR="00B56EC9" w:rsidRPr="00CE012E" w:rsidTr="00862268">
        <w:trPr>
          <w:cantSplit/>
          <w:trHeight w:val="80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للمهنيين المُدرَّبين المتخصصين في الملكية الفكرية ومسؤولي الملكية الفكرية المُدرَّبين الذين يستخدمون مهارات محسنة في عملهم.</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10</w:t>
            </w:r>
          </w:p>
        </w:tc>
      </w:tr>
      <w:tr w:rsidR="00B56EC9" w:rsidRPr="00CE012E" w:rsidTr="00862268">
        <w:trPr>
          <w:cantSplit/>
          <w:trHeight w:val="588"/>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للمتدربين والمشرفين الراضين عن البرامج التدريبية التي أُعدَّت بناءً على تمارين تقييم الاحتياجات التدريبية.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البرنامج 11</w:t>
            </w:r>
          </w:p>
        </w:tc>
      </w:tr>
      <w:tr w:rsidR="00B56EC9" w:rsidRPr="00CE012E" w:rsidTr="00862268">
        <w:trPr>
          <w:cantSplit/>
          <w:trHeight w:val="588"/>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1043BF">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النسبة المئوية للمشاركين الذين يستخدمون معارف ومهارات مُعزَّزة في شتى مجالات الملكية الفكرية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11</w:t>
            </w:r>
          </w:p>
        </w:tc>
      </w:tr>
      <w:tr w:rsidR="00B56EC9" w:rsidRPr="00CE012E" w:rsidTr="00862268">
        <w:trPr>
          <w:cantSplit/>
          <w:trHeight w:val="726"/>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اتفاقات التعاون والشراكات التي أُقيمت بما يتماشى مع الرؤية الجديدة للأكاديمية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11</w:t>
            </w:r>
          </w:p>
        </w:tc>
      </w:tr>
      <w:tr w:rsidR="00C130CD" w:rsidRPr="00CE012E" w:rsidTr="00862268">
        <w:trPr>
          <w:cantSplit/>
          <w:trHeight w:val="726"/>
        </w:trPr>
        <w:tc>
          <w:tcPr>
            <w:tcW w:w="1768" w:type="pct"/>
            <w:shd w:val="clear" w:color="auto" w:fill="auto"/>
            <w:tcMar>
              <w:top w:w="113" w:type="dxa"/>
              <w:bottom w:w="57" w:type="dxa"/>
            </w:tcMar>
          </w:tcPr>
          <w:p w:rsidR="00C130CD" w:rsidRPr="00CE012E" w:rsidRDefault="00C130CD"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C130CD" w:rsidRPr="00CE012E" w:rsidRDefault="00C130CD" w:rsidP="00C130CD">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نسبة الزيادة في عدد المشاركين في دورات التعلم عن البعد التي تنظمها الأكاديمية</w:t>
            </w:r>
          </w:p>
        </w:tc>
        <w:tc>
          <w:tcPr>
            <w:tcW w:w="1524" w:type="pct"/>
            <w:shd w:val="clear" w:color="auto" w:fill="FFFFFF"/>
            <w:tcMar>
              <w:top w:w="113" w:type="dxa"/>
              <w:bottom w:w="57" w:type="dxa"/>
            </w:tcMar>
          </w:tcPr>
          <w:p w:rsidR="00C130CD" w:rsidRPr="00CE012E" w:rsidRDefault="00C130CD" w:rsidP="002C3C33">
            <w:pPr>
              <w:adjustRightInd w:val="0"/>
              <w:snapToGrid w:val="0"/>
              <w:spacing w:before="60" w:after="60" w:line="300" w:lineRule="exact"/>
              <w:jc w:val="center"/>
              <w:rPr>
                <w:rFonts w:ascii="Arabic Typesetting" w:hAnsi="Arabic Typesetting" w:cs="Arabic Typesetting"/>
                <w:sz w:val="30"/>
                <w:szCs w:val="30"/>
                <w:rtl/>
              </w:rPr>
            </w:pPr>
            <w:r>
              <w:rPr>
                <w:rFonts w:ascii="Arabic Typesetting" w:hAnsi="Arabic Typesetting" w:cs="Arabic Typesetting" w:hint="cs"/>
                <w:sz w:val="30"/>
                <w:szCs w:val="30"/>
                <w:rtl/>
              </w:rPr>
              <w:t>البرنامج 11</w:t>
            </w:r>
          </w:p>
        </w:tc>
      </w:tr>
      <w:tr w:rsidR="00C130CD" w:rsidRPr="00CE012E" w:rsidTr="00862268">
        <w:trPr>
          <w:cantSplit/>
          <w:trHeight w:val="726"/>
        </w:trPr>
        <w:tc>
          <w:tcPr>
            <w:tcW w:w="1768" w:type="pct"/>
            <w:shd w:val="clear" w:color="auto" w:fill="auto"/>
            <w:tcMar>
              <w:top w:w="113" w:type="dxa"/>
              <w:bottom w:w="57" w:type="dxa"/>
            </w:tcMar>
          </w:tcPr>
          <w:p w:rsidR="00C130CD" w:rsidRPr="00CE012E" w:rsidRDefault="00C130CD"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C130CD" w:rsidRPr="00CE012E" w:rsidRDefault="00C130CD"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دورات التعلم عن بعد التي استُعرضت وحُد</w:t>
            </w:r>
            <w:r w:rsidR="0017184F">
              <w:rPr>
                <w:rFonts w:ascii="Arabic Typesetting" w:hAnsi="Arabic Typesetting" w:cs="Arabic Typesetting" w:hint="cs"/>
                <w:sz w:val="30"/>
                <w:szCs w:val="30"/>
                <w:rtl/>
              </w:rPr>
              <w:t>ّ</w:t>
            </w:r>
            <w:r>
              <w:rPr>
                <w:rFonts w:ascii="Arabic Typesetting" w:hAnsi="Arabic Typesetting" w:cs="Arabic Typesetting" w:hint="cs"/>
                <w:sz w:val="30"/>
                <w:szCs w:val="30"/>
                <w:rtl/>
              </w:rPr>
              <w:t>ثت</w:t>
            </w:r>
          </w:p>
        </w:tc>
        <w:tc>
          <w:tcPr>
            <w:tcW w:w="1524" w:type="pct"/>
            <w:shd w:val="clear" w:color="auto" w:fill="FFFFFF"/>
            <w:tcMar>
              <w:top w:w="113" w:type="dxa"/>
              <w:bottom w:w="57" w:type="dxa"/>
            </w:tcMar>
          </w:tcPr>
          <w:p w:rsidR="00C130CD" w:rsidRPr="00CE012E" w:rsidRDefault="00C130CD" w:rsidP="002C3C33">
            <w:pPr>
              <w:adjustRightInd w:val="0"/>
              <w:snapToGrid w:val="0"/>
              <w:spacing w:before="60" w:after="60" w:line="300" w:lineRule="exact"/>
              <w:jc w:val="center"/>
              <w:rPr>
                <w:rFonts w:ascii="Arabic Typesetting" w:hAnsi="Arabic Typesetting" w:cs="Arabic Typesetting"/>
                <w:sz w:val="30"/>
                <w:szCs w:val="30"/>
                <w:rtl/>
              </w:rPr>
            </w:pPr>
            <w:r>
              <w:rPr>
                <w:rFonts w:ascii="Arabic Typesetting" w:hAnsi="Arabic Typesetting" w:cs="Arabic Typesetting" w:hint="cs"/>
                <w:sz w:val="30"/>
                <w:szCs w:val="30"/>
                <w:rtl/>
              </w:rPr>
              <w:t>البرنامج 11</w:t>
            </w:r>
          </w:p>
        </w:tc>
      </w:tr>
      <w:tr w:rsidR="00B56EC9" w:rsidRPr="00CE012E" w:rsidTr="00862268">
        <w:trPr>
          <w:cantSplit/>
          <w:trHeight w:val="543"/>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الأكاديميات الوطنية الناشئة التي أُنشئت في إطار المشروع وأصبحت مستدامةً</w:t>
            </w:r>
            <w:r w:rsidR="00BE6443" w:rsidRPr="00BE6443">
              <w:rPr>
                <w:rStyle w:val="FootnoteReference"/>
                <w:rFonts w:ascii="Arabic Typesetting" w:hAnsi="Arabic Typesetting" w:cs="Arabic Typesetting"/>
                <w:sz w:val="30"/>
                <w:rtl/>
              </w:rPr>
              <w:footnoteReference w:id="17"/>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11</w:t>
            </w:r>
          </w:p>
        </w:tc>
      </w:tr>
      <w:tr w:rsidR="00B56EC9" w:rsidRPr="00CE012E" w:rsidTr="00862268">
        <w:trPr>
          <w:cantSplit/>
          <w:trHeight w:val="369"/>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دورات ومناهج جديدة ومُحسَّنة بشأن الملكية الفكرية في المؤسسات التعليمية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11</w:t>
            </w:r>
          </w:p>
        </w:tc>
      </w:tr>
      <w:tr w:rsidR="00B56EC9" w:rsidRPr="00CE012E" w:rsidTr="00862268">
        <w:trPr>
          <w:cantSplit/>
          <w:trHeight w:val="492"/>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تعزيز التوازن في التوزيع الجغرافي للمدارس الصيفية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11</w:t>
            </w:r>
          </w:p>
        </w:tc>
      </w:tr>
      <w:tr w:rsidR="00B56EC9" w:rsidRPr="00CE012E" w:rsidTr="00862268">
        <w:trPr>
          <w:cantSplit/>
          <w:trHeight w:val="492"/>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2C3C33">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النسبة المئوية للمشاركين المُدرَّبين الراضين عن فائدة ووجاهة التدريب المُقدَّم من أجل ممارسة واجباتهم المهنية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17</w:t>
            </w:r>
          </w:p>
        </w:tc>
      </w:tr>
      <w:tr w:rsidR="00B56EC9" w:rsidRPr="00CE012E" w:rsidTr="00862268">
        <w:trPr>
          <w:cantSplit/>
          <w:trHeight w:val="492"/>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2C3C33">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ترتيبات استقبال علماء من البلدان النامية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18</w:t>
            </w:r>
          </w:p>
        </w:tc>
      </w:tr>
      <w:tr w:rsidR="00B56EC9" w:rsidRPr="00CE012E" w:rsidTr="00862268">
        <w:trPr>
          <w:cantSplit/>
          <w:trHeight w:val="492"/>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2C3C33">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النسبة المئوية للمشاركين في دورة الملكية الفكرية والصحة وفق نظام التعليم عن بعد الذين أكدوا استخدام الملكة الفكرية في سبيل التنمية من خلال نقل التكنولوجيا وخلق المهارات</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18</w:t>
            </w:r>
          </w:p>
        </w:tc>
      </w:tr>
      <w:tr w:rsidR="00B56EC9" w:rsidRPr="00CE012E" w:rsidTr="00862268">
        <w:trPr>
          <w:cantSplit/>
          <w:trHeight w:val="800"/>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النسبة المئوية لواضعي السياسات والمسؤولين الحكوميين والعاملين في مجال الملكية الفكرية وسائر الفئات المستهدفة، بما في ذلك الجامعات ومنظمات الإدارة الجماعية والصحفيون، ممن لديهم فهم معمّق لسياسات الملكية الفكرية وكيفية الانتفاع على نحو فعال بتطور الملكية الفكرية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ar-SA"/>
              </w:rPr>
            </w:pPr>
            <w:r w:rsidRPr="00CE012E">
              <w:rPr>
                <w:rFonts w:ascii="Arabic Typesetting" w:hAnsi="Arabic Typesetting" w:cs="Arabic Typesetting"/>
                <w:sz w:val="30"/>
                <w:szCs w:val="30"/>
                <w:rtl/>
              </w:rPr>
              <w:t>البرنامج 2</w:t>
            </w:r>
            <w:r w:rsidRPr="00CE012E">
              <w:rPr>
                <w:rFonts w:ascii="Arabic Typesetting" w:hAnsi="Arabic Typesetting" w:cs="Arabic Typesetting" w:hint="cs"/>
                <w:sz w:val="30"/>
                <w:szCs w:val="30"/>
                <w:rtl/>
              </w:rPr>
              <w:t>0</w:t>
            </w:r>
          </w:p>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p>
        </w:tc>
      </w:tr>
      <w:tr w:rsidR="00B56EC9" w:rsidRPr="00CE012E" w:rsidTr="00862268">
        <w:trPr>
          <w:cantSplit/>
          <w:trHeight w:val="544"/>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النسبة المئوية للمهنيين المُدرَّبين المتخصصين في مجال الملكية الفكرية الذين يستخدمون مهارات محسنة في عملهم</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lang w:bidi="ar-SA"/>
              </w:rPr>
            </w:pPr>
            <w:r w:rsidRPr="00CE012E">
              <w:rPr>
                <w:rFonts w:ascii="Arabic Typesetting" w:hAnsi="Arabic Typesetting" w:cs="Arabic Typesetting"/>
                <w:sz w:val="30"/>
                <w:szCs w:val="30"/>
                <w:rtl/>
              </w:rPr>
              <w:t xml:space="preserve">البرنامج </w:t>
            </w:r>
            <w:r w:rsidRPr="00CE012E">
              <w:rPr>
                <w:rFonts w:ascii="Arabic Typesetting" w:hAnsi="Arabic Typesetting" w:cs="Arabic Typesetting" w:hint="cs"/>
                <w:sz w:val="30"/>
                <w:szCs w:val="30"/>
                <w:rtl/>
              </w:rPr>
              <w:t>30</w:t>
            </w:r>
          </w:p>
        </w:tc>
      </w:tr>
      <w:tr w:rsidR="00B56EC9" w:rsidRPr="00CE012E" w:rsidTr="00862268">
        <w:trPr>
          <w:cantSplit/>
          <w:trHeight w:val="544"/>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hint="cs"/>
                <w:sz w:val="30"/>
                <w:szCs w:val="30"/>
                <w:rtl/>
              </w:rPr>
              <w:t>ه 3.3</w:t>
            </w:r>
            <w:r w:rsidRPr="00CE012E">
              <w:rPr>
                <w:rFonts w:ascii="Arabic Typesetting" w:hAnsi="Arabic Typesetting" w:cs="Arabic Typesetting"/>
                <w:sz w:val="30"/>
                <w:szCs w:val="30"/>
                <w:rtl/>
              </w:rPr>
              <w:t xml:space="preserve"> تعميم توصيات جدول أعمال التنمية على عمل الويبو</w:t>
            </w:r>
          </w:p>
        </w:tc>
        <w:tc>
          <w:tcPr>
            <w:tcW w:w="1708" w:type="pct"/>
            <w:shd w:val="clear" w:color="auto" w:fill="auto"/>
            <w:tcMar>
              <w:top w:w="113" w:type="dxa"/>
              <w:bottom w:w="57" w:type="dxa"/>
            </w:tcMar>
          </w:tcPr>
          <w:p w:rsidR="00B56EC9" w:rsidRPr="00CE012E" w:rsidRDefault="00B56EC9" w:rsidP="007225B0">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دمج مبادئ التنمية الواردة في توصيات جدول أعمال التنمية بفعالية في عمل برامج الويبو</w:t>
            </w:r>
          </w:p>
          <w:p w:rsidR="00B56EC9" w:rsidRPr="00CE012E" w:rsidRDefault="00B56EC9" w:rsidP="007225B0">
            <w:pPr>
              <w:adjustRightInd w:val="0"/>
              <w:snapToGrid w:val="0"/>
              <w:spacing w:before="60" w:after="60" w:line="300" w:lineRule="exact"/>
              <w:rPr>
                <w:rFonts w:ascii="Arabic Typesetting" w:hAnsi="Arabic Typesetting" w:cs="Arabic Typesetting"/>
                <w:sz w:val="30"/>
                <w:szCs w:val="30"/>
                <w:rtl/>
              </w:rPr>
            </w:pPr>
          </w:p>
          <w:p w:rsidR="00B56EC9" w:rsidRPr="00CE012E" w:rsidRDefault="00B56EC9" w:rsidP="007225B0">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متابعة فعالة لتنفيذ توصيات الاستعراض الخارجي لجدول أعمال التنمية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sz w:val="30"/>
                <w:szCs w:val="30"/>
                <w:rtl/>
              </w:rPr>
              <w:t>البرنامج 8</w:t>
            </w:r>
            <w:r w:rsidRPr="00CE012E">
              <w:rPr>
                <w:rFonts w:ascii="Arabic Typesetting" w:hAnsi="Arabic Typesetting" w:cs="Arabic Typesetting" w:hint="cs"/>
                <w:sz w:val="30"/>
                <w:szCs w:val="30"/>
                <w:rtl/>
              </w:rPr>
              <w:br/>
            </w:r>
            <w:r w:rsidRPr="00CE012E">
              <w:rPr>
                <w:rFonts w:ascii="Arabic Typesetting" w:hAnsi="Arabic Typesetting" w:cs="Arabic Typesetting" w:hint="cs"/>
                <w:sz w:val="30"/>
                <w:szCs w:val="30"/>
                <w:rtl/>
              </w:rPr>
              <w:br/>
            </w:r>
          </w:p>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hint="cs"/>
                <w:sz w:val="30"/>
                <w:szCs w:val="30"/>
                <w:rtl/>
              </w:rPr>
              <w:t>البرنامج 8</w:t>
            </w:r>
          </w:p>
        </w:tc>
      </w:tr>
      <w:tr w:rsidR="00B56EC9" w:rsidRPr="00CE012E" w:rsidTr="00862268">
        <w:trPr>
          <w:cantSplit/>
          <w:trHeight w:val="547"/>
        </w:trPr>
        <w:tc>
          <w:tcPr>
            <w:tcW w:w="176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862268">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آلية محسنة لإقامة مشاريع وأنشطة جديدة منبثقة من جدول أعمال التنمية وتنفيذها ورصدها وتقييمها وإعداد تقارير عنها</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البرنامج 8</w:t>
            </w:r>
          </w:p>
        </w:tc>
      </w:tr>
      <w:tr w:rsidR="00B56EC9" w:rsidRPr="00CE012E" w:rsidTr="00862268">
        <w:trPr>
          <w:cantSplit/>
          <w:trHeight w:val="708"/>
        </w:trPr>
        <w:tc>
          <w:tcPr>
            <w:tcW w:w="1768" w:type="pct"/>
            <w:shd w:val="clear" w:color="auto" w:fill="auto"/>
            <w:tcMar>
              <w:top w:w="113" w:type="dxa"/>
              <w:bottom w:w="57" w:type="dxa"/>
            </w:tcMar>
          </w:tcPr>
          <w:p w:rsidR="00B56EC9" w:rsidRPr="00CE012E" w:rsidRDefault="00B56EC9" w:rsidP="00D00364">
            <w:pPr>
              <w:tabs>
                <w:tab w:val="right" w:pos="2835"/>
              </w:tabs>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hint="cs"/>
                <w:sz w:val="30"/>
                <w:szCs w:val="30"/>
                <w:rtl/>
              </w:rPr>
              <w:t>ه 4.3</w:t>
            </w:r>
            <w:r w:rsidRPr="00CE012E">
              <w:rPr>
                <w:rFonts w:ascii="Arabic Typesetting" w:hAnsi="Arabic Typesetting" w:cs="Arabic Typesetting"/>
                <w:sz w:val="30"/>
                <w:szCs w:val="30"/>
                <w:rtl/>
              </w:rPr>
              <w:t xml:space="preserve"> آليات وبرامج تعاونية معزّزة ومكيّفة حسب احتياجات البلدان النامية والبلدان الأقل نموا</w:t>
            </w:r>
            <w:r w:rsidR="00D00364">
              <w:rPr>
                <w:rFonts w:ascii="Arabic Typesetting" w:hAnsi="Arabic Typesetting" w:cs="Arabic Typesetting" w:hint="cs"/>
                <w:sz w:val="30"/>
                <w:szCs w:val="30"/>
                <w:rtl/>
              </w:rPr>
              <w:t xml:space="preserve"> </w:t>
            </w:r>
            <w:r w:rsidR="00D00364" w:rsidRPr="00D00364">
              <w:rPr>
                <w:rFonts w:ascii="Arabic Typesetting" w:hAnsi="Arabic Typesetting" w:cs="Arabic Typesetting" w:hint="cs"/>
                <w:sz w:val="30"/>
                <w:szCs w:val="30"/>
                <w:rtl/>
                <w:lang w:bidi="ar-SA"/>
              </w:rPr>
              <w:t>والبلدان المنتقلة إلى نظام الاقتصاد الحر</w:t>
            </w:r>
          </w:p>
        </w:tc>
        <w:tc>
          <w:tcPr>
            <w:tcW w:w="1708" w:type="pct"/>
            <w:shd w:val="clear" w:color="auto" w:fill="auto"/>
            <w:tcMar>
              <w:top w:w="113" w:type="dxa"/>
              <w:bottom w:w="57" w:type="dxa"/>
            </w:tcMar>
          </w:tcPr>
          <w:p w:rsidR="00B56EC9" w:rsidRPr="00CE012E" w:rsidRDefault="00B56EC9" w:rsidP="00187AF1">
            <w:pPr>
              <w:keepLines/>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اتفاقات ومشروعات وبرامج وشراكات التعاون دون الإقليمية والإقليمية/المشتركة بين الأقاليم لتشجيع الانتفاع بفعالية بأنظمة الملكية الفكرية من خلال تشاطر أفضل الممارسات</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البرنامج 9</w:t>
            </w:r>
          </w:p>
        </w:tc>
      </w:tr>
      <w:tr w:rsidR="00B56EC9" w:rsidRPr="00CE012E" w:rsidTr="00862268">
        <w:trPr>
          <w:cantSplit/>
          <w:trHeight w:val="652"/>
        </w:trPr>
        <w:tc>
          <w:tcPr>
            <w:tcW w:w="1768" w:type="pct"/>
            <w:shd w:val="clear" w:color="auto" w:fill="auto"/>
            <w:tcMar>
              <w:top w:w="113" w:type="dxa"/>
              <w:bottom w:w="57" w:type="dxa"/>
            </w:tcMar>
          </w:tcPr>
          <w:p w:rsidR="00B56EC9" w:rsidRPr="00CE012E" w:rsidRDefault="00B56EC9" w:rsidP="00B43BBD">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B43BBD">
            <w:pPr>
              <w:keepLines/>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sz w:val="30"/>
                <w:szCs w:val="30"/>
                <w:rtl/>
              </w:rPr>
              <w:t>عدد الشراكات القائمة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lang w:bidi="th-TH"/>
              </w:rPr>
            </w:pPr>
            <w:r w:rsidRPr="00CE012E">
              <w:rPr>
                <w:rFonts w:ascii="Arabic Typesetting" w:hAnsi="Arabic Typesetting" w:cs="Arabic Typesetting"/>
                <w:sz w:val="30"/>
                <w:szCs w:val="30"/>
                <w:rtl/>
              </w:rPr>
              <w:t>البرنامج 10</w:t>
            </w:r>
          </w:p>
        </w:tc>
      </w:tr>
      <w:tr w:rsidR="00B56EC9" w:rsidRPr="00CE012E" w:rsidTr="00862268">
        <w:trPr>
          <w:cantSplit/>
          <w:trHeight w:val="652"/>
        </w:trPr>
        <w:tc>
          <w:tcPr>
            <w:tcW w:w="1768" w:type="pct"/>
            <w:shd w:val="clear" w:color="auto" w:fill="auto"/>
            <w:tcMar>
              <w:top w:w="113" w:type="dxa"/>
              <w:bottom w:w="57" w:type="dxa"/>
            </w:tcMar>
          </w:tcPr>
          <w:p w:rsidR="00B56EC9" w:rsidRPr="00CE012E" w:rsidRDefault="00B56EC9" w:rsidP="00B43BBD">
            <w:pPr>
              <w:adjustRightInd w:val="0"/>
              <w:snapToGrid w:val="0"/>
              <w:spacing w:before="60" w:after="60" w:line="300" w:lineRule="exact"/>
              <w:rPr>
                <w:rFonts w:ascii="Arabic Typesetting" w:hAnsi="Arabic Typesetting" w:cs="Arabic Typesetting"/>
                <w:sz w:val="30"/>
                <w:szCs w:val="30"/>
              </w:rPr>
            </w:pPr>
            <w:r w:rsidRPr="00CE012E">
              <w:rPr>
                <w:rFonts w:ascii="Arabic Typesetting" w:hAnsi="Arabic Typesetting" w:cs="Arabic Typesetting" w:hint="cs"/>
                <w:sz w:val="30"/>
                <w:szCs w:val="30"/>
                <w:rtl/>
              </w:rPr>
              <w:t xml:space="preserve">ه 5.3 </w:t>
            </w:r>
            <w:r w:rsidRPr="00CE012E">
              <w:rPr>
                <w:rFonts w:ascii="Arabic Typesetting" w:hAnsi="Arabic Typesetting" w:cs="Arabic Typesetting"/>
                <w:sz w:val="30"/>
                <w:szCs w:val="30"/>
                <w:rtl/>
              </w:rPr>
              <w:t>فهم معمّق لجدول أعمال التنمية لدى الدول الأعضاء والمنظمات الحكومية الدولية والمجتمع المدني وأصحاب المصلحة الآخرين</w:t>
            </w:r>
          </w:p>
        </w:tc>
        <w:tc>
          <w:tcPr>
            <w:tcW w:w="1708" w:type="pct"/>
            <w:shd w:val="clear" w:color="auto" w:fill="auto"/>
            <w:tcMar>
              <w:top w:w="113" w:type="dxa"/>
              <w:bottom w:w="57" w:type="dxa"/>
            </w:tcMar>
          </w:tcPr>
          <w:p w:rsidR="00B56EC9" w:rsidRPr="00CE012E" w:rsidRDefault="00B56EC9" w:rsidP="00862268">
            <w:pPr>
              <w:keepNext/>
              <w:keepLines/>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تعبير أنشطة المساعدة التقنية التي تضطلع بها الويبو عن بعد جدول أعمال التنمية ونتائج مشروعات جدول أعمال التنمية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6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8</w:t>
            </w:r>
          </w:p>
        </w:tc>
      </w:tr>
      <w:tr w:rsidR="00B56EC9" w:rsidRPr="00CE012E" w:rsidTr="00862268">
        <w:trPr>
          <w:cantSplit/>
          <w:trHeight w:val="652"/>
        </w:trPr>
        <w:tc>
          <w:tcPr>
            <w:tcW w:w="1768" w:type="pct"/>
            <w:shd w:val="clear" w:color="auto" w:fill="auto"/>
            <w:tcMar>
              <w:top w:w="113" w:type="dxa"/>
              <w:bottom w:w="57" w:type="dxa"/>
            </w:tcMar>
          </w:tcPr>
          <w:p w:rsidR="00B56EC9" w:rsidRPr="00CE012E" w:rsidRDefault="00B56EC9" w:rsidP="000A4900">
            <w:pPr>
              <w:adjustRightInd w:val="0"/>
              <w:snapToGrid w:val="0"/>
              <w:spacing w:before="20" w:after="60" w:line="300" w:lineRule="exact"/>
              <w:rPr>
                <w:rFonts w:ascii="Arabic Typesetting" w:hAnsi="Arabic Typesetting" w:cs="Arabic Typesetting"/>
                <w:b/>
                <w:bCs/>
                <w:sz w:val="30"/>
                <w:szCs w:val="30"/>
              </w:rPr>
            </w:pPr>
          </w:p>
        </w:tc>
        <w:tc>
          <w:tcPr>
            <w:tcW w:w="1708" w:type="pct"/>
            <w:shd w:val="clear" w:color="auto" w:fill="auto"/>
            <w:tcMar>
              <w:top w:w="113" w:type="dxa"/>
              <w:bottom w:w="57" w:type="dxa"/>
            </w:tcMar>
          </w:tcPr>
          <w:p w:rsidR="00B56EC9" w:rsidRPr="00CE012E" w:rsidRDefault="00B56EC9" w:rsidP="000A4900">
            <w:pPr>
              <w:adjustRightInd w:val="0"/>
              <w:snapToGrid w:val="0"/>
              <w:spacing w:before="2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النسبة المئوية للمشاركين الراضين الذين شاركوا في التظاهرات المتعلقة بجدول أعمال الويبو بشأن التنمية التي تستهدف الدول الأعضاء والمجتمع المدني والمنظمات الحكومية الدولية وغير ذلك من أصحاب المصالح</w:t>
            </w:r>
          </w:p>
        </w:tc>
        <w:tc>
          <w:tcPr>
            <w:tcW w:w="1524" w:type="pct"/>
            <w:shd w:val="clear" w:color="auto" w:fill="FFFFFF"/>
            <w:tcMar>
              <w:top w:w="113" w:type="dxa"/>
              <w:bottom w:w="57" w:type="dxa"/>
            </w:tcMar>
          </w:tcPr>
          <w:p w:rsidR="00B56EC9" w:rsidRPr="00CE012E" w:rsidRDefault="00B56EC9" w:rsidP="002C3C33">
            <w:pPr>
              <w:adjustRightInd w:val="0"/>
              <w:snapToGrid w:val="0"/>
              <w:spacing w:before="2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8</w:t>
            </w:r>
          </w:p>
        </w:tc>
      </w:tr>
      <w:tr w:rsidR="00B56EC9" w:rsidRPr="00CE012E" w:rsidTr="00862268">
        <w:trPr>
          <w:cantSplit/>
          <w:trHeight w:val="652"/>
        </w:trPr>
        <w:tc>
          <w:tcPr>
            <w:tcW w:w="1768" w:type="pct"/>
            <w:shd w:val="clear" w:color="auto" w:fill="auto"/>
            <w:tcMar>
              <w:top w:w="113" w:type="dxa"/>
              <w:bottom w:w="57" w:type="dxa"/>
            </w:tcMar>
          </w:tcPr>
          <w:p w:rsidR="00B56EC9" w:rsidRPr="00CE012E" w:rsidRDefault="00B56EC9" w:rsidP="000A4900">
            <w:pPr>
              <w:adjustRightInd w:val="0"/>
              <w:snapToGrid w:val="0"/>
              <w:spacing w:before="20" w:after="60" w:line="300" w:lineRule="exact"/>
              <w:rPr>
                <w:rFonts w:ascii="Arabic Typesetting" w:hAnsi="Arabic Typesetting" w:cs="Arabic Typesetting"/>
                <w:sz w:val="30"/>
                <w:szCs w:val="30"/>
              </w:rPr>
            </w:pPr>
            <w:r w:rsidRPr="00CE012E">
              <w:rPr>
                <w:rFonts w:ascii="Arabic Typesetting" w:hAnsi="Arabic Typesetting" w:cs="Arabic Typesetting" w:hint="cs"/>
                <w:sz w:val="30"/>
                <w:szCs w:val="30"/>
                <w:rtl/>
              </w:rPr>
              <w:t xml:space="preserve">ه 6.3 </w:t>
            </w:r>
            <w:r w:rsidRPr="00CE012E">
              <w:rPr>
                <w:rFonts w:ascii="Arabic Typesetting" w:hAnsi="Arabic Typesetting" w:cs="Arabic Typesetting"/>
                <w:sz w:val="30"/>
                <w:szCs w:val="30"/>
                <w:rtl/>
              </w:rPr>
              <w:t>قدرات معزّزة للشركات الصغيرة والمتوسطة من أجل النجاح في تسخير الملكية الفكرية لأغراض دعم الابتكار</w:t>
            </w:r>
          </w:p>
        </w:tc>
        <w:tc>
          <w:tcPr>
            <w:tcW w:w="1708" w:type="pct"/>
            <w:shd w:val="clear" w:color="auto" w:fill="auto"/>
            <w:tcMar>
              <w:top w:w="113" w:type="dxa"/>
              <w:bottom w:w="57" w:type="dxa"/>
            </w:tcMar>
          </w:tcPr>
          <w:p w:rsidR="00B56EC9" w:rsidRPr="00CE012E" w:rsidRDefault="00B931BB" w:rsidP="000A4900">
            <w:pPr>
              <w:adjustRightInd w:val="0"/>
              <w:snapToGrid w:val="0"/>
              <w:spacing w:before="20" w:after="60" w:line="300" w:lineRule="exact"/>
              <w:rPr>
                <w:rFonts w:ascii="Arabic Typesetting" w:hAnsi="Arabic Typesetting" w:cs="Arabic Typesetting"/>
                <w:sz w:val="30"/>
                <w:szCs w:val="30"/>
                <w:rtl/>
              </w:rPr>
            </w:pPr>
            <w:r w:rsidRPr="00B931BB">
              <w:rPr>
                <w:rFonts w:ascii="Arabic Typesetting" w:hAnsi="Arabic Typesetting" w:cs="Arabic Typesetting"/>
                <w:sz w:val="30"/>
                <w:szCs w:val="30"/>
                <w:rtl/>
              </w:rPr>
              <w:t>عدد الاشتراكات في نشرة الأخبار الخاصة بالشركات الصغيرة والمتوسطة</w:t>
            </w:r>
          </w:p>
        </w:tc>
        <w:tc>
          <w:tcPr>
            <w:tcW w:w="1524" w:type="pct"/>
            <w:shd w:val="clear" w:color="auto" w:fill="FFFFFF"/>
            <w:tcMar>
              <w:top w:w="113" w:type="dxa"/>
              <w:bottom w:w="57" w:type="dxa"/>
            </w:tcMar>
          </w:tcPr>
          <w:p w:rsidR="00B56EC9" w:rsidRPr="00CE012E" w:rsidRDefault="00B56EC9" w:rsidP="002C3C33">
            <w:pPr>
              <w:adjustRightInd w:val="0"/>
              <w:snapToGrid w:val="0"/>
              <w:spacing w:before="2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30</w:t>
            </w:r>
          </w:p>
        </w:tc>
      </w:tr>
      <w:tr w:rsidR="00006AE7" w:rsidRPr="00CE012E" w:rsidTr="00862268">
        <w:trPr>
          <w:cantSplit/>
          <w:trHeight w:val="652"/>
        </w:trPr>
        <w:tc>
          <w:tcPr>
            <w:tcW w:w="1768" w:type="pct"/>
            <w:shd w:val="clear" w:color="auto" w:fill="auto"/>
            <w:tcMar>
              <w:top w:w="113" w:type="dxa"/>
              <w:bottom w:w="57" w:type="dxa"/>
            </w:tcMar>
          </w:tcPr>
          <w:p w:rsidR="00006AE7" w:rsidRPr="00CE012E" w:rsidRDefault="00006AE7" w:rsidP="000A4900">
            <w:pPr>
              <w:adjustRightInd w:val="0"/>
              <w:snapToGrid w:val="0"/>
              <w:spacing w:before="2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006AE7" w:rsidRPr="00CE012E" w:rsidRDefault="00B931BB" w:rsidP="000A4900">
            <w:pPr>
              <w:adjustRightInd w:val="0"/>
              <w:snapToGrid w:val="0"/>
              <w:spacing w:before="20" w:after="60" w:line="300" w:lineRule="exact"/>
              <w:rPr>
                <w:rFonts w:ascii="Arabic Typesetting" w:hAnsi="Arabic Typesetting" w:cs="Arabic Typesetting"/>
                <w:sz w:val="30"/>
                <w:szCs w:val="30"/>
                <w:rtl/>
              </w:rPr>
            </w:pPr>
            <w:r w:rsidRPr="00B931BB">
              <w:rPr>
                <w:rFonts w:ascii="Arabic Typesetting" w:hAnsi="Arabic Typesetting" w:cs="Arabic Typesetting"/>
                <w:sz w:val="30"/>
                <w:szCs w:val="30"/>
                <w:rtl/>
              </w:rPr>
              <w:t>عدد مرات تحميل المواد والمبادئ التوجيهية الخاصة بالشركات الصغيرة والمتوسطة</w:t>
            </w:r>
          </w:p>
        </w:tc>
        <w:tc>
          <w:tcPr>
            <w:tcW w:w="1524" w:type="pct"/>
            <w:shd w:val="clear" w:color="auto" w:fill="FFFFFF"/>
            <w:tcMar>
              <w:top w:w="113" w:type="dxa"/>
              <w:bottom w:w="57" w:type="dxa"/>
            </w:tcMar>
          </w:tcPr>
          <w:p w:rsidR="00006AE7" w:rsidRPr="00CE012E" w:rsidRDefault="00B931BB" w:rsidP="002C3C33">
            <w:pPr>
              <w:adjustRightInd w:val="0"/>
              <w:snapToGrid w:val="0"/>
              <w:spacing w:before="2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30</w:t>
            </w:r>
          </w:p>
        </w:tc>
      </w:tr>
      <w:tr w:rsidR="00006AE7" w:rsidRPr="00CE012E" w:rsidTr="00862268">
        <w:trPr>
          <w:cantSplit/>
          <w:trHeight w:val="652"/>
        </w:trPr>
        <w:tc>
          <w:tcPr>
            <w:tcW w:w="1768" w:type="pct"/>
            <w:shd w:val="clear" w:color="auto" w:fill="auto"/>
            <w:tcMar>
              <w:top w:w="113" w:type="dxa"/>
              <w:bottom w:w="57" w:type="dxa"/>
            </w:tcMar>
          </w:tcPr>
          <w:p w:rsidR="00006AE7" w:rsidRPr="00CE012E" w:rsidRDefault="00006AE7" w:rsidP="000A4900">
            <w:pPr>
              <w:adjustRightInd w:val="0"/>
              <w:snapToGrid w:val="0"/>
              <w:spacing w:before="2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006AE7" w:rsidRPr="00CE012E" w:rsidRDefault="00006AE7" w:rsidP="000A4900">
            <w:pPr>
              <w:adjustRightInd w:val="0"/>
              <w:snapToGrid w:val="0"/>
              <w:spacing w:before="2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النسبة المئوية للمشاركين في برامج تدريبية تستهدف المؤسسات الداعمة للشركات الصغيرة والمتوسطة ممّن أبدوا رضاهم عن محتوى تلك البرامج وطريقة تنظيمها</w:t>
            </w:r>
          </w:p>
        </w:tc>
        <w:tc>
          <w:tcPr>
            <w:tcW w:w="1524" w:type="pct"/>
            <w:shd w:val="clear" w:color="auto" w:fill="FFFFFF"/>
            <w:tcMar>
              <w:top w:w="113" w:type="dxa"/>
              <w:bottom w:w="57" w:type="dxa"/>
            </w:tcMar>
          </w:tcPr>
          <w:p w:rsidR="00006AE7" w:rsidRPr="00CE012E" w:rsidRDefault="00B931BB" w:rsidP="002C3C33">
            <w:pPr>
              <w:adjustRightInd w:val="0"/>
              <w:snapToGrid w:val="0"/>
              <w:spacing w:before="2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30</w:t>
            </w:r>
          </w:p>
        </w:tc>
      </w:tr>
      <w:tr w:rsidR="00B56EC9" w:rsidRPr="00CE012E" w:rsidTr="00862268">
        <w:trPr>
          <w:cantSplit/>
          <w:trHeight w:val="652"/>
        </w:trPr>
        <w:tc>
          <w:tcPr>
            <w:tcW w:w="1768" w:type="pct"/>
            <w:shd w:val="clear" w:color="auto" w:fill="auto"/>
            <w:tcMar>
              <w:top w:w="113" w:type="dxa"/>
              <w:bottom w:w="57" w:type="dxa"/>
            </w:tcMar>
          </w:tcPr>
          <w:p w:rsidR="00B56EC9" w:rsidRPr="00CE012E" w:rsidRDefault="00B56EC9" w:rsidP="000A4900">
            <w:pPr>
              <w:adjustRightInd w:val="0"/>
              <w:snapToGrid w:val="0"/>
              <w:spacing w:before="2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B56EC9" w:rsidRPr="00CE012E" w:rsidRDefault="00B56EC9" w:rsidP="000A4900">
            <w:pPr>
              <w:adjustRightInd w:val="0"/>
              <w:snapToGrid w:val="0"/>
              <w:spacing w:before="2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النسبة المئوية للمؤسسات المُدرَّبة الداعمة للشركات الصغيرة والمتوسطة والتي تُوفر المعلومات وخدمات الاستشارة في مجال إدارة أصول الملكية الفكرية</w:t>
            </w:r>
          </w:p>
        </w:tc>
        <w:tc>
          <w:tcPr>
            <w:tcW w:w="1524" w:type="pct"/>
            <w:shd w:val="clear" w:color="auto" w:fill="FFFFFF"/>
            <w:tcMar>
              <w:top w:w="113" w:type="dxa"/>
              <w:bottom w:w="57" w:type="dxa"/>
            </w:tcMar>
          </w:tcPr>
          <w:p w:rsidR="00B56EC9" w:rsidRPr="00CE012E" w:rsidRDefault="00B56EC9" w:rsidP="002C3C33">
            <w:pPr>
              <w:adjustRightInd w:val="0"/>
              <w:snapToGrid w:val="0"/>
              <w:spacing w:before="2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30</w:t>
            </w:r>
          </w:p>
        </w:tc>
      </w:tr>
      <w:tr w:rsidR="00B931BB" w:rsidRPr="00CE012E" w:rsidTr="00862268">
        <w:trPr>
          <w:cantSplit/>
          <w:trHeight w:val="652"/>
        </w:trPr>
        <w:tc>
          <w:tcPr>
            <w:tcW w:w="1768" w:type="pct"/>
            <w:shd w:val="clear" w:color="auto" w:fill="auto"/>
            <w:tcMar>
              <w:top w:w="113" w:type="dxa"/>
              <w:bottom w:w="57" w:type="dxa"/>
            </w:tcMar>
          </w:tcPr>
          <w:p w:rsidR="00B931BB" w:rsidRPr="00CE012E" w:rsidRDefault="00B931BB" w:rsidP="000A4900">
            <w:pPr>
              <w:adjustRightInd w:val="0"/>
              <w:snapToGrid w:val="0"/>
              <w:spacing w:before="2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B931BB" w:rsidRPr="00CE012E" w:rsidRDefault="00B931BB" w:rsidP="00060CD1">
            <w:pPr>
              <w:adjustRightInd w:val="0"/>
              <w:snapToGrid w:val="0"/>
              <w:spacing w:before="2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 xml:space="preserve">النسبة المئوية للمشاركين في برامج تدريبية تستهدف المؤسسات الداعمة للشركات الصغيرة والمتوسطة </w:t>
            </w:r>
            <w:r w:rsidR="006D40F8">
              <w:rPr>
                <w:rFonts w:ascii="Arabic Typesetting" w:hAnsi="Arabic Typesetting" w:cs="Arabic Typesetting" w:hint="cs"/>
                <w:sz w:val="30"/>
                <w:szCs w:val="30"/>
                <w:rtl/>
              </w:rPr>
              <w:t>ممن يستخدمون معارف معز</w:t>
            </w:r>
            <w:r w:rsidR="00060CD1">
              <w:rPr>
                <w:rFonts w:ascii="Arabic Typesetting" w:hAnsi="Arabic Typesetting" w:cs="Arabic Typesetting" w:hint="cs"/>
                <w:sz w:val="30"/>
                <w:szCs w:val="30"/>
                <w:rtl/>
              </w:rPr>
              <w:t>ّ</w:t>
            </w:r>
            <w:r w:rsidR="006D40F8">
              <w:rPr>
                <w:rFonts w:ascii="Arabic Typesetting" w:hAnsi="Arabic Typesetting" w:cs="Arabic Typesetting" w:hint="cs"/>
                <w:sz w:val="30"/>
                <w:szCs w:val="30"/>
                <w:rtl/>
              </w:rPr>
              <w:t xml:space="preserve">زة ومهارات </w:t>
            </w:r>
            <w:r w:rsidR="00060CD1">
              <w:rPr>
                <w:rFonts w:ascii="Arabic Typesetting" w:hAnsi="Arabic Typesetting" w:cs="Arabic Typesetting" w:hint="cs"/>
                <w:sz w:val="30"/>
                <w:szCs w:val="30"/>
                <w:rtl/>
              </w:rPr>
              <w:t>محسّنة</w:t>
            </w:r>
            <w:r w:rsidR="006D40F8">
              <w:rPr>
                <w:rFonts w:ascii="Arabic Typesetting" w:hAnsi="Arabic Typesetting" w:cs="Arabic Typesetting" w:hint="cs"/>
                <w:sz w:val="30"/>
                <w:szCs w:val="30"/>
                <w:rtl/>
              </w:rPr>
              <w:t xml:space="preserve"> في عملهم</w:t>
            </w:r>
          </w:p>
        </w:tc>
        <w:tc>
          <w:tcPr>
            <w:tcW w:w="1524" w:type="pct"/>
            <w:shd w:val="clear" w:color="auto" w:fill="FFFFFF"/>
            <w:tcMar>
              <w:top w:w="113" w:type="dxa"/>
              <w:bottom w:w="57" w:type="dxa"/>
            </w:tcMar>
          </w:tcPr>
          <w:p w:rsidR="00B931BB" w:rsidRPr="00CE012E" w:rsidRDefault="00B931BB" w:rsidP="002C3C33">
            <w:pPr>
              <w:adjustRightInd w:val="0"/>
              <w:snapToGrid w:val="0"/>
              <w:spacing w:before="2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30</w:t>
            </w:r>
          </w:p>
        </w:tc>
      </w:tr>
      <w:tr w:rsidR="00B56EC9" w:rsidRPr="008954A8" w:rsidTr="00F50467">
        <w:trPr>
          <w:cantSplit/>
          <w:trHeight w:val="840"/>
        </w:trPr>
        <w:tc>
          <w:tcPr>
            <w:tcW w:w="1768" w:type="pct"/>
            <w:shd w:val="clear" w:color="auto" w:fill="auto"/>
            <w:tcMar>
              <w:top w:w="113" w:type="dxa"/>
              <w:bottom w:w="57" w:type="dxa"/>
            </w:tcMar>
          </w:tcPr>
          <w:p w:rsidR="00B56EC9" w:rsidRPr="00CE012E" w:rsidRDefault="00B56EC9" w:rsidP="000A4900">
            <w:pPr>
              <w:adjustRightInd w:val="0"/>
              <w:snapToGrid w:val="0"/>
              <w:spacing w:before="2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56EC9" w:rsidRPr="00CE012E" w:rsidRDefault="00B56EC9" w:rsidP="000A4900">
            <w:pPr>
              <w:adjustRightInd w:val="0"/>
              <w:snapToGrid w:val="0"/>
              <w:spacing w:before="2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عدد البلدان التي وضعت أو حسَّنت برامج تدريبية في مجال الملكية الفكرية لفائدة الشركات الصغيرة والمتوسطة</w:t>
            </w:r>
          </w:p>
        </w:tc>
        <w:tc>
          <w:tcPr>
            <w:tcW w:w="1524" w:type="pct"/>
            <w:shd w:val="clear" w:color="auto" w:fill="FFFFFF"/>
            <w:tcMar>
              <w:top w:w="113" w:type="dxa"/>
              <w:bottom w:w="57" w:type="dxa"/>
            </w:tcMar>
          </w:tcPr>
          <w:p w:rsidR="00B56EC9" w:rsidRPr="008954A8" w:rsidRDefault="00B56EC9" w:rsidP="002C3C33">
            <w:pPr>
              <w:adjustRightInd w:val="0"/>
              <w:snapToGrid w:val="0"/>
              <w:spacing w:before="20" w:after="60" w:line="300" w:lineRule="exact"/>
              <w:jc w:val="center"/>
              <w:rPr>
                <w:rFonts w:ascii="Arabic Typesetting" w:hAnsi="Arabic Typesetting" w:cs="Arabic Typesetting"/>
                <w:sz w:val="30"/>
                <w:szCs w:val="30"/>
                <w:rtl/>
              </w:rPr>
            </w:pPr>
            <w:r w:rsidRPr="00CE012E">
              <w:rPr>
                <w:rFonts w:ascii="Arabic Typesetting" w:hAnsi="Arabic Typesetting" w:cs="Arabic Typesetting" w:hint="cs"/>
                <w:sz w:val="30"/>
                <w:szCs w:val="30"/>
                <w:rtl/>
              </w:rPr>
              <w:t>البرنامج 30</w:t>
            </w:r>
          </w:p>
        </w:tc>
      </w:tr>
    </w:tbl>
    <w:p w:rsidR="00B56EC9" w:rsidRPr="00D35EF1" w:rsidRDefault="00B56EC9" w:rsidP="002C3C33">
      <w:pPr>
        <w:autoSpaceDE w:val="0"/>
        <w:autoSpaceDN w:val="0"/>
        <w:adjustRightInd w:val="0"/>
        <w:snapToGrid w:val="0"/>
        <w:spacing w:after="120" w:line="340" w:lineRule="exact"/>
        <w:rPr>
          <w:rFonts w:ascii="Arabic Typesetting" w:hAnsi="Arabic Typesetting" w:cs="Arabic Typesetting"/>
          <w:szCs w:val="34"/>
          <w:rtl/>
        </w:rPr>
      </w:pPr>
    </w:p>
    <w:p w:rsidR="00B56EC9" w:rsidRDefault="00B56EC9">
      <w:pPr>
        <w:bidi w:val="0"/>
        <w:rPr>
          <w:rFonts w:ascii="Arabic Typesetting" w:hAnsi="Arabic Typesetting" w:cs="Arabic Typesetting"/>
          <w:sz w:val="34"/>
          <w:szCs w:val="34"/>
          <w:rtl/>
          <w:lang w:val="fr-CH" w:bidi="ar-SA"/>
        </w:rPr>
      </w:pPr>
      <w:r>
        <w:rPr>
          <w:rtl/>
        </w:rPr>
        <w:br w:type="page"/>
      </w:r>
    </w:p>
    <w:p w:rsidR="005A0EB6" w:rsidRPr="00FC2CDC" w:rsidRDefault="005A0EB6" w:rsidP="002C3C33">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Pr>
      </w:pPr>
      <w:bookmarkStart w:id="43" w:name="_Toc356567757"/>
      <w:bookmarkStart w:id="44" w:name="_Toc364355369"/>
      <w:bookmarkStart w:id="45" w:name="_Toc420595508"/>
      <w:r w:rsidRPr="00FC2CDC">
        <w:rPr>
          <w:rFonts w:ascii="Arabic Typesetting" w:hAnsi="Arabic Typesetting" w:cs="Arabic Typesetting"/>
          <w:bCs/>
          <w:iCs w:val="0"/>
          <w:noProof/>
          <w:sz w:val="42"/>
          <w:szCs w:val="42"/>
          <w:rtl/>
        </w:rPr>
        <w:lastRenderedPageBreak/>
        <w:t>البرنامج 8</w:t>
      </w:r>
      <w:r w:rsidRPr="00FC2CDC">
        <w:rPr>
          <w:rFonts w:ascii="Arabic Typesetting" w:hAnsi="Arabic Typesetting" w:cs="Arabic Typesetting"/>
          <w:bCs/>
          <w:iCs w:val="0"/>
          <w:noProof/>
          <w:sz w:val="42"/>
          <w:szCs w:val="42"/>
        </w:rPr>
        <w:tab/>
      </w:r>
      <w:bookmarkEnd w:id="43"/>
      <w:r w:rsidRPr="00FC2CDC">
        <w:rPr>
          <w:rFonts w:ascii="Arabic Typesetting" w:hAnsi="Arabic Typesetting" w:cs="Arabic Typesetting"/>
          <w:bCs/>
          <w:iCs w:val="0"/>
          <w:noProof/>
          <w:sz w:val="42"/>
          <w:szCs w:val="42"/>
          <w:rtl/>
        </w:rPr>
        <w:t>تنسيق جدول أعمال التنمية</w:t>
      </w:r>
      <w:bookmarkEnd w:id="44"/>
      <w:bookmarkEnd w:id="45"/>
    </w:p>
    <w:p w:rsidR="005A0EB6" w:rsidRPr="00E93294" w:rsidRDefault="005A0EB6" w:rsidP="002C3C33">
      <w:pPr>
        <w:pStyle w:val="BodyTextIndent"/>
        <w:bidi/>
        <w:adjustRightInd w:val="0"/>
        <w:snapToGrid w:val="0"/>
        <w:spacing w:after="240" w:line="360" w:lineRule="exact"/>
        <w:ind w:left="0"/>
        <w:jc w:val="both"/>
        <w:rPr>
          <w:rFonts w:ascii="Arabic Typesetting" w:hAnsi="Arabic Typesetting" w:cs="Arabic Typesetting"/>
          <w:sz w:val="38"/>
          <w:szCs w:val="38"/>
          <w:rtl/>
        </w:rPr>
      </w:pPr>
      <w:r w:rsidRPr="00E93294">
        <w:rPr>
          <w:rFonts w:ascii="Arabic Typesetting" w:hAnsi="Arabic Typesetting" w:cs="Arabic Typesetting"/>
          <w:sz w:val="38"/>
          <w:szCs w:val="38"/>
          <w:rtl/>
        </w:rPr>
        <w:t>سياق التخطيط</w:t>
      </w:r>
    </w:p>
    <w:p w:rsidR="005A0EB6" w:rsidRPr="00E93294" w:rsidRDefault="005A0EB6" w:rsidP="00861CFF">
      <w:pPr>
        <w:numPr>
          <w:ilvl w:val="1"/>
          <w:numId w:val="21"/>
        </w:numPr>
        <w:adjustRightInd w:val="0"/>
        <w:snapToGrid w:val="0"/>
        <w:spacing w:after="120" w:line="340" w:lineRule="exact"/>
        <w:rPr>
          <w:rFonts w:ascii="Arabic Typesetting" w:hAnsi="Arabic Typesetting" w:cs="Arabic Typesetting"/>
          <w:sz w:val="34"/>
          <w:szCs w:val="34"/>
        </w:rPr>
      </w:pPr>
      <w:r w:rsidRPr="00E93294">
        <w:rPr>
          <w:rFonts w:ascii="Arabic Typesetting" w:hAnsi="Arabic Typesetting" w:cs="Arabic Typesetting"/>
          <w:sz w:val="34"/>
          <w:szCs w:val="34"/>
          <w:rtl/>
        </w:rPr>
        <w:t xml:space="preserve">إن الأثر المتزايد لجدول أعمال التنمية في عمل المنظمة وما يقابله من احتياجات وطلبات لدى الدول الأعضاء سيشكلان القوة الدافعة لأنشطة البرنامج في الثنائية </w:t>
      </w:r>
      <w:r w:rsidRPr="00AE002B">
        <w:rPr>
          <w:rFonts w:ascii="Arabic Typesetting" w:hAnsi="Arabic Typesetting" w:cs="Arabic Typesetting"/>
          <w:sz w:val="34"/>
          <w:szCs w:val="34"/>
          <w:rtl/>
        </w:rPr>
        <w:t>2016/17</w:t>
      </w:r>
      <w:r w:rsidRPr="00E93294">
        <w:rPr>
          <w:rFonts w:ascii="Arabic Typesetting" w:hAnsi="Arabic Typesetting" w:cs="Arabic Typesetting"/>
          <w:sz w:val="34"/>
          <w:szCs w:val="34"/>
          <w:rtl/>
        </w:rPr>
        <w:t xml:space="preserve">. وقد أُحرِز تقدم كبير خلال الثنائيات السابقة فيما يتعلق بتنفيذ توصيات جدول أعمال التنمية، </w:t>
      </w:r>
      <w:r>
        <w:rPr>
          <w:rFonts w:ascii="Arabic Typesetting" w:hAnsi="Arabic Typesetting" w:cs="Arabic Typesetting" w:hint="cs"/>
          <w:sz w:val="34"/>
          <w:szCs w:val="34"/>
          <w:rtl/>
        </w:rPr>
        <w:t>لا</w:t>
      </w:r>
      <w:r>
        <w:rPr>
          <w:rFonts w:ascii="Arabic Typesetting" w:hAnsi="Arabic Typesetting" w:cs="Arabic Typesetting" w:hint="eastAsia"/>
          <w:sz w:val="34"/>
          <w:szCs w:val="34"/>
          <w:rtl/>
        </w:rPr>
        <w:t> </w:t>
      </w:r>
      <w:r>
        <w:rPr>
          <w:rFonts w:ascii="Arabic Typesetting" w:hAnsi="Arabic Typesetting" w:cs="Arabic Typesetting" w:hint="cs"/>
          <w:sz w:val="34"/>
          <w:szCs w:val="34"/>
          <w:rtl/>
        </w:rPr>
        <w:t>سيما</w:t>
      </w:r>
      <w:r w:rsidRPr="00E93294">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من خلال </w:t>
      </w:r>
      <w:r w:rsidRPr="00E93294">
        <w:rPr>
          <w:rFonts w:ascii="Arabic Typesetting" w:hAnsi="Arabic Typesetting" w:cs="Arabic Typesetting"/>
          <w:sz w:val="34"/>
          <w:szCs w:val="34"/>
          <w:rtl/>
        </w:rPr>
        <w:t>تنفيذ مشروعات جدول أعمال التنمية استنادًا إلى منهجية أكثر نضجًا في إدارة المشروعات والتي تضمنت الرصد والتقييم المنهجيّين لجميع مشروعات جدول أعمال التنمية، وتعميم أنشطة المشروعات المكتملة في الأنشطة الدائمة للمنظمة، وتنفيذ آليات التنسيق وإجراءات الرصد والتقييم وإعداد التقارير ("آلية التنسيق") على النحو الذي وافقت عليه الدول الأعضاء في صورة تقارير مرحلية وتقييمية، والاضطلاع بالاستعراض المستقل لتنفيذ توصيات جدول أعمال التنمية، وزيادة إشراك الدول الأعضاء، و</w:t>
      </w:r>
      <w:r>
        <w:rPr>
          <w:rFonts w:ascii="Arabic Typesetting" w:hAnsi="Arabic Typesetting" w:cs="Arabic Typesetting" w:hint="cs"/>
          <w:sz w:val="34"/>
          <w:szCs w:val="34"/>
          <w:rtl/>
        </w:rPr>
        <w:t xml:space="preserve">بخاصة </w:t>
      </w:r>
      <w:r w:rsidRPr="00E93294">
        <w:rPr>
          <w:rFonts w:ascii="Arabic Typesetting" w:hAnsi="Arabic Typesetting" w:cs="Arabic Typesetting"/>
          <w:sz w:val="34"/>
          <w:szCs w:val="34"/>
          <w:rtl/>
        </w:rPr>
        <w:t>البلدان النامية والبلدان الأٌقل نموًا.</w:t>
      </w:r>
    </w:p>
    <w:p w:rsidR="005A0EB6" w:rsidRPr="00E93294" w:rsidRDefault="005A0EB6" w:rsidP="00861CFF">
      <w:pPr>
        <w:numPr>
          <w:ilvl w:val="1"/>
          <w:numId w:val="21"/>
        </w:numPr>
        <w:adjustRightInd w:val="0"/>
        <w:snapToGrid w:val="0"/>
        <w:spacing w:after="120" w:line="340" w:lineRule="exact"/>
        <w:rPr>
          <w:rFonts w:ascii="Arabic Typesetting" w:hAnsi="Arabic Typesetting" w:cs="Arabic Typesetting"/>
          <w:sz w:val="34"/>
          <w:szCs w:val="34"/>
        </w:rPr>
      </w:pPr>
      <w:r w:rsidRPr="00E93294">
        <w:rPr>
          <w:rFonts w:ascii="Arabic Typesetting" w:hAnsi="Arabic Typesetting" w:cs="Arabic Typesetting"/>
          <w:sz w:val="34"/>
          <w:szCs w:val="34"/>
          <w:rtl/>
        </w:rPr>
        <w:t>وسيظل الاستمرار في تعميم جدول أعمال التنمية وتحقيق أهدافه موجّهًا للمشهد التنموي الآخذ في الاتساع فيما يخص أعمال المنظمة خلال الثنائية.</w:t>
      </w:r>
    </w:p>
    <w:p w:rsidR="005A0EB6" w:rsidRPr="00E93294" w:rsidRDefault="005A0EB6" w:rsidP="002C3C33">
      <w:pPr>
        <w:adjustRightInd w:val="0"/>
        <w:snapToGrid w:val="0"/>
        <w:spacing w:after="120" w:line="360" w:lineRule="exact"/>
        <w:jc w:val="both"/>
        <w:rPr>
          <w:rFonts w:ascii="Arabic Typesetting" w:hAnsi="Arabic Typesetting" w:cs="Arabic Typesetting"/>
          <w:sz w:val="34"/>
          <w:szCs w:val="34"/>
        </w:rPr>
      </w:pPr>
    </w:p>
    <w:p w:rsidR="005A0EB6" w:rsidRPr="00360144" w:rsidRDefault="005A0EB6" w:rsidP="002C3C33">
      <w:pPr>
        <w:pStyle w:val="BodyTextIndent"/>
        <w:bidi/>
        <w:adjustRightInd w:val="0"/>
        <w:snapToGrid w:val="0"/>
        <w:spacing w:after="240" w:line="360" w:lineRule="exact"/>
        <w:ind w:left="0"/>
        <w:jc w:val="both"/>
        <w:rPr>
          <w:rFonts w:ascii="Arabic Typesetting" w:hAnsi="Arabic Typesetting" w:cs="Arabic Typesetting"/>
          <w:sz w:val="38"/>
          <w:szCs w:val="38"/>
          <w:rtl/>
        </w:rPr>
      </w:pPr>
      <w:r w:rsidRPr="00360144">
        <w:rPr>
          <w:rFonts w:ascii="Arabic Typesetting" w:hAnsi="Arabic Typesetting" w:cs="Arabic Typesetting"/>
          <w:sz w:val="38"/>
          <w:szCs w:val="38"/>
          <w:rtl/>
        </w:rPr>
        <w:t>استراتيجيات التنفيذ</w:t>
      </w:r>
    </w:p>
    <w:p w:rsidR="005A0EB6" w:rsidRPr="00E93294" w:rsidRDefault="005A0EB6" w:rsidP="00861CFF">
      <w:pPr>
        <w:keepNext/>
        <w:numPr>
          <w:ilvl w:val="1"/>
          <w:numId w:val="21"/>
        </w:numPr>
        <w:adjustRightInd w:val="0"/>
        <w:snapToGrid w:val="0"/>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س</w:t>
      </w:r>
      <w:r w:rsidRPr="00E93294">
        <w:rPr>
          <w:rFonts w:ascii="Arabic Typesetting" w:hAnsi="Arabic Typesetting" w:cs="Arabic Typesetting"/>
          <w:sz w:val="34"/>
          <w:szCs w:val="34"/>
          <w:rtl/>
        </w:rPr>
        <w:t xml:space="preserve">يستمر البرنامج في التأكد من تعميم توصيات جدول أعمال التنمية ومبادئه على نحو ملائمٍ ومتجاوب ومستدام على جميع نواحي عمل المنظمة المتعلق بالتنمية. ولكي يحقق هذه الغاية، فإنه سيستمر في تنسيق عمل البرامج الأخرى وتيسيرها فيما يتعلق بتنفيذ </w:t>
      </w:r>
      <w:r>
        <w:rPr>
          <w:rFonts w:ascii="Arabic Typesetting" w:hAnsi="Arabic Typesetting" w:cs="Arabic Typesetting"/>
          <w:sz w:val="34"/>
          <w:szCs w:val="34"/>
          <w:rtl/>
        </w:rPr>
        <w:t>توصيات جدول أعمال التنمية. وس</w:t>
      </w:r>
      <w:r>
        <w:rPr>
          <w:rFonts w:ascii="Arabic Typesetting" w:hAnsi="Arabic Typesetting" w:cs="Arabic Typesetting" w:hint="cs"/>
          <w:sz w:val="34"/>
          <w:szCs w:val="34"/>
          <w:rtl/>
        </w:rPr>
        <w:t xml:space="preserve">يسهّل البرنامج </w:t>
      </w:r>
      <w:r w:rsidRPr="00E93294">
        <w:rPr>
          <w:rFonts w:ascii="Arabic Typesetting" w:hAnsi="Arabic Typesetting" w:cs="Arabic Typesetting"/>
          <w:sz w:val="34"/>
          <w:szCs w:val="34"/>
          <w:rtl/>
        </w:rPr>
        <w:t>تنفيذ قرارات الجمعية العامة للويبو واللجنة المعنية بالتنمية والملكية الفكرية من خلال التنسيق الفعّال في جميع قطاعات الويبو، وبالعمل بشكلٍ تعاوني واستباقي مع الدول الأعضاء. وفي هذا الصدد، فإن البرنامج سيدعم المشاريع والأنشطة الجديدة المقترحة من الد</w:t>
      </w:r>
      <w:r>
        <w:rPr>
          <w:rFonts w:ascii="Arabic Typesetting" w:hAnsi="Arabic Typesetting" w:cs="Arabic Typesetting"/>
          <w:sz w:val="34"/>
          <w:szCs w:val="34"/>
          <w:rtl/>
        </w:rPr>
        <w:t>ول الأعضاء</w:t>
      </w:r>
      <w:r>
        <w:rPr>
          <w:rFonts w:ascii="Arabic Typesetting" w:hAnsi="Arabic Typesetting" w:cs="Arabic Typesetting" w:hint="cs"/>
          <w:sz w:val="34"/>
          <w:szCs w:val="34"/>
          <w:rtl/>
        </w:rPr>
        <w:t xml:space="preserve"> ويدعم تنفيذها من قبل البرامج المعنية في المنظمة.</w:t>
      </w:r>
    </w:p>
    <w:p w:rsidR="005A0EB6" w:rsidRPr="00E93294" w:rsidRDefault="005A0EB6" w:rsidP="00861CFF">
      <w:pPr>
        <w:numPr>
          <w:ilvl w:val="1"/>
          <w:numId w:val="21"/>
        </w:numPr>
        <w:adjustRightInd w:val="0"/>
        <w:snapToGrid w:val="0"/>
        <w:spacing w:after="120" w:line="340" w:lineRule="exact"/>
        <w:rPr>
          <w:rFonts w:ascii="Arabic Typesetting" w:hAnsi="Arabic Typesetting" w:cs="Arabic Typesetting"/>
          <w:sz w:val="34"/>
          <w:szCs w:val="34"/>
        </w:rPr>
      </w:pPr>
      <w:r w:rsidRPr="00E93294">
        <w:rPr>
          <w:rFonts w:ascii="Arabic Typesetting" w:hAnsi="Arabic Typesetting" w:cs="Arabic Typesetting"/>
          <w:sz w:val="34"/>
          <w:szCs w:val="34"/>
          <w:rtl/>
        </w:rPr>
        <w:t>سيستمر البرنامج في دعم عمل اللجنة المعنية بالتنمية والملكية الفكرية، لا سيما من خلال تيسير عم</w:t>
      </w:r>
      <w:r>
        <w:rPr>
          <w:rFonts w:ascii="Arabic Typesetting" w:hAnsi="Arabic Typesetting" w:cs="Arabic Typesetting"/>
          <w:sz w:val="34"/>
          <w:szCs w:val="34"/>
          <w:rtl/>
        </w:rPr>
        <w:t>ليات التفاوض بين الدول الأعضاء</w:t>
      </w:r>
      <w:r w:rsidRPr="00E93294">
        <w:rPr>
          <w:rFonts w:ascii="Arabic Typesetting" w:hAnsi="Arabic Typesetting" w:cs="Arabic Typesetting"/>
          <w:sz w:val="34"/>
          <w:szCs w:val="34"/>
          <w:rtl/>
        </w:rPr>
        <w:t xml:space="preserve">؛ ووضع استراتيجيات لتنفيذ توصيات جدول أعمال التنمية؛ وتنسيق إدارة مشاريع جدول أعمال التنمية والأنشطة المُعمَّمة المتعلقة به وتنفيذها تنفيذاً فعالاً ورصدها وتقييمها وإعداد تقارير عنها؛ وتنفيذ التوصيات والأنشطة الصادرة عن الاستعراض الخارجي؛ ودعم نشر المعلومات وزيادة الوعي بشأن المسائل المتعلقة بجدول أعمال التنمية. وسوف تظل مشروعات جدول أعمال التنمية، بما فيها المراحل التالية للمشروعات الجارية التي توافق عليها لجنة التنمية، تموَّل كليا وفقا لعملية وضع الميزانية المطبّقة على المشروعات، والتي وردت في الوثيقة </w:t>
      </w:r>
      <w:r w:rsidRPr="00E93294">
        <w:rPr>
          <w:rFonts w:ascii="Arabic Typesetting" w:hAnsi="Arabic Typesetting" w:cs="Arabic Typesetting"/>
          <w:sz w:val="34"/>
          <w:szCs w:val="34"/>
        </w:rPr>
        <w:t>A/48/5/Rev</w:t>
      </w:r>
      <w:r w:rsidRPr="00E93294">
        <w:rPr>
          <w:rFonts w:ascii="Arabic Typesetting" w:hAnsi="Arabic Typesetting" w:cs="Arabic Typesetting"/>
          <w:sz w:val="34"/>
          <w:szCs w:val="34"/>
          <w:rtl/>
        </w:rPr>
        <w:t xml:space="preserve"> ووافقت عليها الدول الأعضاء في 2010</w:t>
      </w:r>
      <w:r w:rsidRPr="00E93294">
        <w:rPr>
          <w:rFonts w:ascii="Arabic Typesetting" w:hAnsi="Arabic Typesetting" w:cs="Arabic Typesetting"/>
          <w:sz w:val="34"/>
          <w:szCs w:val="34"/>
          <w:rtl/>
          <w:lang w:val="fr-CH" w:bidi="ar-SA"/>
        </w:rPr>
        <w:t>.</w:t>
      </w:r>
    </w:p>
    <w:p w:rsidR="005A0EB6" w:rsidRPr="00E93294" w:rsidRDefault="005A0EB6" w:rsidP="00861CFF">
      <w:pPr>
        <w:numPr>
          <w:ilvl w:val="1"/>
          <w:numId w:val="21"/>
        </w:numPr>
        <w:adjustRightInd w:val="0"/>
        <w:snapToGrid w:val="0"/>
        <w:spacing w:after="120" w:line="340" w:lineRule="exact"/>
        <w:rPr>
          <w:rFonts w:ascii="Arabic Typesetting" w:hAnsi="Arabic Typesetting" w:cs="Arabic Typesetting"/>
          <w:sz w:val="34"/>
          <w:szCs w:val="34"/>
        </w:rPr>
      </w:pPr>
      <w:r w:rsidRPr="00E93294">
        <w:rPr>
          <w:rFonts w:ascii="Arabic Typesetting" w:hAnsi="Arabic Typesetting" w:cs="Arabic Typesetting"/>
          <w:sz w:val="34"/>
          <w:szCs w:val="34"/>
          <w:rtl/>
        </w:rPr>
        <w:t xml:space="preserve">ستشهد الثنائية </w:t>
      </w:r>
      <w:r w:rsidRPr="00AE002B">
        <w:rPr>
          <w:rFonts w:ascii="Arabic Typesetting" w:hAnsi="Arabic Typesetting" w:cs="Arabic Typesetting"/>
          <w:sz w:val="34"/>
          <w:szCs w:val="34"/>
          <w:rtl/>
        </w:rPr>
        <w:t>2016/17</w:t>
      </w:r>
      <w:r>
        <w:rPr>
          <w:rFonts w:ascii="Arabic Typesetting" w:hAnsi="Arabic Typesetting" w:cs="Arabic Typesetting" w:hint="cs"/>
          <w:sz w:val="34"/>
          <w:szCs w:val="34"/>
          <w:rtl/>
        </w:rPr>
        <w:t xml:space="preserve"> </w:t>
      </w:r>
      <w:r w:rsidRPr="00E93294">
        <w:rPr>
          <w:rFonts w:ascii="Arabic Typesetting" w:hAnsi="Arabic Typesetting" w:cs="Arabic Typesetting"/>
          <w:sz w:val="34"/>
          <w:szCs w:val="34"/>
          <w:rtl/>
        </w:rPr>
        <w:t xml:space="preserve">تنظيم المؤتمر الدولي المعني بالملكية الفكرية والتنمية. فضلاً عن ذلك، سيستمر البرنامج في تيسير </w:t>
      </w:r>
      <w:r>
        <w:rPr>
          <w:rFonts w:ascii="Arabic Typesetting" w:hAnsi="Arabic Typesetting" w:cs="Arabic Typesetting" w:hint="cs"/>
          <w:sz w:val="34"/>
          <w:szCs w:val="34"/>
          <w:rtl/>
        </w:rPr>
        <w:t>مناقشة وتنفيذ أي أنشطة جديدة تتعلق ب</w:t>
      </w:r>
      <w:r w:rsidRPr="00E93294">
        <w:rPr>
          <w:rFonts w:ascii="Arabic Typesetting" w:hAnsi="Arabic Typesetting" w:cs="Arabic Typesetting"/>
          <w:sz w:val="34"/>
          <w:szCs w:val="34"/>
          <w:rtl/>
        </w:rPr>
        <w:t>الملكية الفكرية والتنمية وفقًا لطلبات لجنة التنمية والجمعية العامة</w:t>
      </w:r>
      <w:r>
        <w:rPr>
          <w:rFonts w:ascii="Arabic Typesetting" w:hAnsi="Arabic Typesetting" w:cs="Arabic Typesetting" w:hint="cs"/>
          <w:sz w:val="34"/>
          <w:szCs w:val="34"/>
          <w:rtl/>
        </w:rPr>
        <w:t xml:space="preserve"> للويبو</w:t>
      </w:r>
      <w:r w:rsidRPr="00E93294">
        <w:rPr>
          <w:rFonts w:ascii="Arabic Typesetting" w:hAnsi="Arabic Typesetting" w:cs="Arabic Typesetting"/>
          <w:sz w:val="34"/>
          <w:szCs w:val="34"/>
          <w:rtl/>
        </w:rPr>
        <w:t>.</w:t>
      </w:r>
    </w:p>
    <w:p w:rsidR="005A0EB6" w:rsidRPr="00E93294" w:rsidRDefault="005A0EB6" w:rsidP="002C3C33">
      <w:pPr>
        <w:adjustRightInd w:val="0"/>
        <w:snapToGrid w:val="0"/>
        <w:spacing w:after="120" w:line="340" w:lineRule="exact"/>
        <w:rPr>
          <w:rFonts w:ascii="Arabic Typesetting" w:hAnsi="Arabic Typesetting" w:cs="Arabic Typesetting"/>
          <w:sz w:val="34"/>
          <w:szCs w:val="34"/>
        </w:rPr>
      </w:pPr>
    </w:p>
    <w:p w:rsidR="005A0EB6" w:rsidRPr="00E93294" w:rsidRDefault="005A0EB6" w:rsidP="002C3C33">
      <w:pPr>
        <w:keepNext/>
        <w:adjustRightInd w:val="0"/>
        <w:snapToGrid w:val="0"/>
        <w:spacing w:after="240" w:line="360" w:lineRule="exact"/>
        <w:jc w:val="both"/>
        <w:rPr>
          <w:rFonts w:ascii="Arabic Typesetting" w:hAnsi="Arabic Typesetting" w:cs="Arabic Typesetting"/>
          <w:sz w:val="38"/>
          <w:szCs w:val="38"/>
        </w:rPr>
      </w:pPr>
      <w:r w:rsidRPr="00E93294">
        <w:rPr>
          <w:rFonts w:ascii="Arabic Typesetting" w:hAnsi="Arabic Typesetting" w:cs="Arabic Typesetting"/>
          <w:sz w:val="38"/>
          <w:szCs w:val="38"/>
          <w:rtl/>
        </w:rPr>
        <w:t>المخاطر الرئيسية واستراتيجيات التخفيف منها</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5A0EB6" w:rsidRPr="00E93294" w:rsidTr="002C3C33">
        <w:trPr>
          <w:trHeight w:val="564"/>
        </w:trPr>
        <w:tc>
          <w:tcPr>
            <w:tcW w:w="4535" w:type="dxa"/>
            <w:tcBorders>
              <w:top w:val="single" w:sz="4" w:space="0" w:color="auto"/>
              <w:bottom w:val="single" w:sz="4" w:space="0" w:color="auto"/>
            </w:tcBorders>
            <w:shd w:val="clear" w:color="auto" w:fill="C6D9F1"/>
            <w:vAlign w:val="center"/>
          </w:tcPr>
          <w:p w:rsidR="005A0EB6" w:rsidRPr="00E93294" w:rsidRDefault="005A0EB6"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tl/>
              </w:rPr>
            </w:pPr>
            <w:r w:rsidRPr="00E93294">
              <w:rPr>
                <w:rFonts w:ascii="Arabic Typesetting" w:hAnsi="Arabic Typesetting" w:cs="Arabic Typesetting"/>
                <w:b/>
                <w:bCs/>
                <w:i/>
                <w:sz w:val="30"/>
                <w:szCs w:val="30"/>
                <w:rtl/>
              </w:rPr>
              <w:t>المخاطر</w:t>
            </w:r>
          </w:p>
        </w:tc>
        <w:tc>
          <w:tcPr>
            <w:tcW w:w="4537" w:type="dxa"/>
            <w:tcBorders>
              <w:top w:val="single" w:sz="4" w:space="0" w:color="auto"/>
              <w:bottom w:val="single" w:sz="4" w:space="0" w:color="auto"/>
            </w:tcBorders>
            <w:shd w:val="clear" w:color="auto" w:fill="C6D9F1"/>
            <w:vAlign w:val="center"/>
          </w:tcPr>
          <w:p w:rsidR="005A0EB6" w:rsidRPr="00E93294" w:rsidRDefault="005A0EB6"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E93294">
              <w:rPr>
                <w:rFonts w:ascii="Arabic Typesetting" w:hAnsi="Arabic Typesetting" w:cs="Arabic Typesetting"/>
                <w:b/>
                <w:bCs/>
                <w:i/>
                <w:sz w:val="30"/>
                <w:szCs w:val="30"/>
                <w:rtl/>
              </w:rPr>
              <w:t>التخفيف منها</w:t>
            </w:r>
          </w:p>
        </w:tc>
      </w:tr>
      <w:tr w:rsidR="005A0EB6" w:rsidRPr="00E93294" w:rsidTr="002C3C33">
        <w:trPr>
          <w:trHeight w:val="838"/>
        </w:trPr>
        <w:tc>
          <w:tcPr>
            <w:tcW w:w="4535" w:type="dxa"/>
            <w:tcBorders>
              <w:top w:val="single" w:sz="4" w:space="0" w:color="auto"/>
            </w:tcBorders>
            <w:shd w:val="clear" w:color="auto" w:fill="auto"/>
            <w:tcMar>
              <w:top w:w="113" w:type="dxa"/>
              <w:bottom w:w="85" w:type="dxa"/>
            </w:tcMar>
          </w:tcPr>
          <w:p w:rsidR="005A0EB6" w:rsidRPr="00E93294"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تباين آراء الدول الأعضاء بشأن تعميم توصيات جدول أعمال التنمية في عمل الويبو.</w:t>
            </w:r>
          </w:p>
        </w:tc>
        <w:tc>
          <w:tcPr>
            <w:tcW w:w="4537" w:type="dxa"/>
            <w:tcBorders>
              <w:top w:val="single" w:sz="4" w:space="0" w:color="auto"/>
            </w:tcBorders>
            <w:shd w:val="clear" w:color="auto" w:fill="auto"/>
            <w:tcMar>
              <w:top w:w="113" w:type="dxa"/>
              <w:bottom w:w="85" w:type="dxa"/>
            </w:tcMar>
          </w:tcPr>
          <w:p w:rsidR="005A0EB6" w:rsidRPr="00E93294"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المشاركة في مشاورات منتظمة مع الدول الأعضاء بهدف تيسير تقريب وجهات نظر الدول الأعضاء حول تعميم توصيات جدول أعمال التنمية</w:t>
            </w:r>
            <w:r w:rsidRPr="00E93294">
              <w:rPr>
                <w:rFonts w:ascii="Arabic Typesetting" w:hAnsi="Arabic Typesetting" w:cs="Arabic Typesetting"/>
                <w:sz w:val="30"/>
                <w:szCs w:val="30"/>
              </w:rPr>
              <w:t>.</w:t>
            </w:r>
          </w:p>
        </w:tc>
      </w:tr>
    </w:tbl>
    <w:p w:rsidR="005A0EB6" w:rsidRPr="00E93294" w:rsidRDefault="005A0EB6" w:rsidP="002C3C33">
      <w:pPr>
        <w:adjustRightInd w:val="0"/>
        <w:snapToGrid w:val="0"/>
        <w:spacing w:after="240" w:line="360" w:lineRule="exact"/>
        <w:jc w:val="both"/>
        <w:rPr>
          <w:rFonts w:ascii="Arabic Typesetting" w:hAnsi="Arabic Typesetting" w:cs="Arabic Typesetting"/>
          <w:szCs w:val="34"/>
        </w:rPr>
      </w:pPr>
    </w:p>
    <w:p w:rsidR="005A0EB6" w:rsidRPr="00E93294" w:rsidRDefault="005A0EB6" w:rsidP="002C3C33">
      <w:pPr>
        <w:keepNext/>
        <w:keepLines/>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r w:rsidRPr="00E93294">
        <w:rPr>
          <w:rFonts w:ascii="Arabic Typesetting" w:hAnsi="Arabic Typesetting" w:cs="Arabic Typesetting"/>
          <w:b/>
          <w:sz w:val="38"/>
          <w:szCs w:val="38"/>
          <w:rtl/>
        </w:rPr>
        <w:lastRenderedPageBreak/>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1"/>
        <w:gridCol w:w="2750"/>
        <w:gridCol w:w="2154"/>
        <w:gridCol w:w="2150"/>
      </w:tblGrid>
      <w:tr w:rsidR="005A0EB6" w:rsidRPr="00E93294" w:rsidTr="002C3C33">
        <w:trPr>
          <w:cantSplit/>
          <w:trHeight w:val="392"/>
        </w:trPr>
        <w:tc>
          <w:tcPr>
            <w:tcW w:w="1250" w:type="pct"/>
            <w:tcBorders>
              <w:top w:val="single" w:sz="4" w:space="0" w:color="auto"/>
              <w:bottom w:val="single" w:sz="4" w:space="0" w:color="auto"/>
            </w:tcBorders>
            <w:shd w:val="clear" w:color="auto" w:fill="C6D9F1"/>
            <w:vAlign w:val="center"/>
          </w:tcPr>
          <w:p w:rsidR="005A0EB6" w:rsidRPr="00E93294" w:rsidRDefault="005A0EB6" w:rsidP="002C3C33">
            <w:pPr>
              <w:adjustRightInd w:val="0"/>
              <w:snapToGrid w:val="0"/>
              <w:spacing w:before="60" w:after="60" w:line="280" w:lineRule="exact"/>
              <w:jc w:val="center"/>
              <w:rPr>
                <w:rFonts w:ascii="Arabic Typesetting" w:hAnsi="Arabic Typesetting" w:cs="Arabic Typesetting"/>
                <w:b/>
                <w:bCs/>
                <w:sz w:val="30"/>
                <w:szCs w:val="30"/>
              </w:rPr>
            </w:pPr>
            <w:r w:rsidRPr="00E93294">
              <w:rPr>
                <w:rFonts w:ascii="Arabic Typesetting" w:hAnsi="Arabic Typesetting" w:cs="Arabic Typesetting"/>
                <w:b/>
                <w:bCs/>
                <w:sz w:val="30"/>
                <w:szCs w:val="30"/>
                <w:rtl/>
              </w:rPr>
              <w:t>النتائج المرتقبة</w:t>
            </w:r>
          </w:p>
        </w:tc>
        <w:tc>
          <w:tcPr>
            <w:tcW w:w="1462" w:type="pct"/>
            <w:tcBorders>
              <w:top w:val="single" w:sz="4" w:space="0" w:color="auto"/>
              <w:bottom w:val="single" w:sz="4" w:space="0" w:color="auto"/>
            </w:tcBorders>
            <w:shd w:val="clear" w:color="auto" w:fill="C6D9F1"/>
            <w:tcMar>
              <w:top w:w="110" w:type="dxa"/>
            </w:tcMar>
            <w:vAlign w:val="center"/>
          </w:tcPr>
          <w:p w:rsidR="005A0EB6" w:rsidRPr="00E93294" w:rsidRDefault="005A0EB6" w:rsidP="002C3C33">
            <w:pPr>
              <w:adjustRightInd w:val="0"/>
              <w:snapToGrid w:val="0"/>
              <w:spacing w:before="60" w:after="60" w:line="280" w:lineRule="exact"/>
              <w:jc w:val="center"/>
              <w:rPr>
                <w:rFonts w:ascii="Arabic Typesetting" w:hAnsi="Arabic Typesetting" w:cs="Arabic Typesetting"/>
                <w:bCs/>
                <w:sz w:val="30"/>
                <w:szCs w:val="30"/>
              </w:rPr>
            </w:pPr>
            <w:r w:rsidRPr="00E93294">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6D9F1"/>
            <w:tcMar>
              <w:top w:w="110" w:type="dxa"/>
            </w:tcMar>
            <w:vAlign w:val="center"/>
          </w:tcPr>
          <w:p w:rsidR="005A0EB6" w:rsidRPr="00E93294" w:rsidRDefault="005A0EB6" w:rsidP="002C3C33">
            <w:pPr>
              <w:adjustRightInd w:val="0"/>
              <w:snapToGrid w:val="0"/>
              <w:spacing w:before="60" w:after="60" w:line="280" w:lineRule="exact"/>
              <w:jc w:val="center"/>
              <w:rPr>
                <w:rFonts w:ascii="Arabic Typesetting" w:hAnsi="Arabic Typesetting" w:cs="Arabic Typesetting"/>
                <w:sz w:val="30"/>
                <w:szCs w:val="30"/>
              </w:rPr>
            </w:pPr>
            <w:r w:rsidRPr="00E93294">
              <w:rPr>
                <w:rFonts w:ascii="Arabic Typesetting" w:hAnsi="Arabic Typesetting" w:cs="Arabic Typesetting"/>
                <w:b/>
                <w:bCs/>
                <w:sz w:val="30"/>
                <w:szCs w:val="30"/>
                <w:rtl/>
              </w:rPr>
              <w:t>أسس المقارنة</w:t>
            </w:r>
          </w:p>
        </w:tc>
        <w:tc>
          <w:tcPr>
            <w:tcW w:w="1143" w:type="pct"/>
            <w:tcBorders>
              <w:top w:val="single" w:sz="4" w:space="0" w:color="auto"/>
              <w:bottom w:val="single" w:sz="4" w:space="0" w:color="auto"/>
            </w:tcBorders>
            <w:shd w:val="clear" w:color="auto" w:fill="C6D9F1"/>
            <w:tcMar>
              <w:top w:w="110" w:type="dxa"/>
            </w:tcMar>
            <w:vAlign w:val="center"/>
          </w:tcPr>
          <w:p w:rsidR="005A0EB6" w:rsidRPr="00E93294" w:rsidRDefault="005A0EB6" w:rsidP="002C3C33">
            <w:pPr>
              <w:tabs>
                <w:tab w:val="left" w:pos="1757"/>
              </w:tabs>
              <w:adjustRightInd w:val="0"/>
              <w:snapToGrid w:val="0"/>
              <w:spacing w:before="60" w:after="60" w:line="280" w:lineRule="exact"/>
              <w:jc w:val="center"/>
              <w:rPr>
                <w:rFonts w:ascii="Arabic Typesetting" w:hAnsi="Arabic Typesetting" w:cs="Arabic Typesetting"/>
                <w:b/>
                <w:bCs/>
                <w:sz w:val="30"/>
                <w:szCs w:val="30"/>
              </w:rPr>
            </w:pPr>
            <w:r w:rsidRPr="00E93294">
              <w:rPr>
                <w:rFonts w:ascii="Arabic Typesetting" w:hAnsi="Arabic Typesetting" w:cs="Arabic Typesetting"/>
                <w:b/>
                <w:bCs/>
                <w:sz w:val="30"/>
                <w:szCs w:val="30"/>
                <w:rtl/>
              </w:rPr>
              <w:t>الأهداف</w:t>
            </w:r>
          </w:p>
        </w:tc>
      </w:tr>
      <w:tr w:rsidR="005A0EB6" w:rsidRPr="00E93294" w:rsidTr="002C3C33">
        <w:trPr>
          <w:cantSplit/>
        </w:trPr>
        <w:tc>
          <w:tcPr>
            <w:tcW w:w="1250" w:type="pct"/>
            <w:tcBorders>
              <w:top w:val="single" w:sz="4" w:space="0" w:color="auto"/>
            </w:tcBorders>
            <w:shd w:val="clear" w:color="auto" w:fill="auto"/>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Pr>
            </w:pPr>
            <w:r w:rsidRPr="00E93294">
              <w:rPr>
                <w:rFonts w:ascii="Arabic Typesetting" w:hAnsi="Arabic Typesetting" w:cs="Arabic Typesetting"/>
                <w:sz w:val="30"/>
                <w:szCs w:val="30"/>
                <w:rtl/>
              </w:rPr>
              <w:t>ه 3.3 تعميم توصيات جدول أعمال التنمية على عمل الويبو</w:t>
            </w:r>
          </w:p>
        </w:tc>
        <w:tc>
          <w:tcPr>
            <w:tcW w:w="1462" w:type="pct"/>
            <w:tcBorders>
              <w:top w:val="single" w:sz="4" w:space="0" w:color="auto"/>
            </w:tcBorders>
            <w:shd w:val="clear" w:color="auto" w:fill="auto"/>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دمج مبادئ التنمية الواردة في توصيات جدول أعمال التنمية بفعالية في عمل برامج الويبو</w:t>
            </w:r>
          </w:p>
        </w:tc>
        <w:tc>
          <w:tcPr>
            <w:tcW w:w="1145" w:type="pct"/>
            <w:tcBorders>
              <w:top w:val="single" w:sz="4" w:space="0" w:color="auto"/>
            </w:tcBorders>
            <w:shd w:val="clear" w:color="auto" w:fill="FFFFFF"/>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Pr>
            </w:pPr>
            <w:r w:rsidRPr="00E93294">
              <w:rPr>
                <w:rFonts w:ascii="Arabic Typesetting" w:hAnsi="Arabic Typesetting" w:cs="Arabic Typesetting"/>
                <w:sz w:val="30"/>
                <w:szCs w:val="30"/>
                <w:rtl/>
              </w:rPr>
              <w:t xml:space="preserve">غير </w:t>
            </w:r>
            <w:r>
              <w:rPr>
                <w:rFonts w:ascii="Arabic Typesetting" w:hAnsi="Arabic Typesetting" w:cs="Arabic Typesetting"/>
                <w:sz w:val="30"/>
                <w:szCs w:val="30"/>
                <w:rtl/>
              </w:rPr>
              <w:t>متاحة (مؤشر أداء جديد</w:t>
            </w:r>
            <w:r>
              <w:rPr>
                <w:rFonts w:ascii="Arabic Typesetting" w:hAnsi="Arabic Typesetting" w:cs="Arabic Typesetting" w:hint="cs"/>
                <w:sz w:val="30"/>
                <w:szCs w:val="30"/>
                <w:rtl/>
              </w:rPr>
              <w:t>)</w:t>
            </w:r>
          </w:p>
        </w:tc>
        <w:tc>
          <w:tcPr>
            <w:tcW w:w="1143" w:type="pct"/>
            <w:tcBorders>
              <w:top w:val="single" w:sz="4" w:space="0" w:color="auto"/>
            </w:tcBorders>
            <w:shd w:val="clear" w:color="auto" w:fill="auto"/>
            <w:tcMar>
              <w:top w:w="110" w:type="dxa"/>
            </w:tcMar>
          </w:tcPr>
          <w:p w:rsidR="005A0EB6" w:rsidRPr="00E93294" w:rsidRDefault="005A0EB6" w:rsidP="002C3C33">
            <w:pPr>
              <w:tabs>
                <w:tab w:val="left" w:pos="1870"/>
              </w:tabs>
              <w:adjustRightInd w:val="0"/>
              <w:snapToGrid w:val="0"/>
              <w:spacing w:before="60" w:after="60" w:line="280" w:lineRule="exact"/>
              <w:rPr>
                <w:rFonts w:ascii="Arabic Typesetting" w:hAnsi="Arabic Typesetting" w:cs="Arabic Typesetting"/>
                <w:sz w:val="30"/>
                <w:szCs w:val="30"/>
              </w:rPr>
            </w:pPr>
            <w:r w:rsidRPr="00E93294">
              <w:rPr>
                <w:rFonts w:ascii="Arabic Typesetting" w:hAnsi="Arabic Typesetting" w:cs="Arabic Typesetting"/>
                <w:sz w:val="30"/>
                <w:szCs w:val="30"/>
                <w:rtl/>
              </w:rPr>
              <w:t>تعزيز تعميم المبادئ الواردة في توصيات جدول أعمال التنمية البالغ عددها 45 في برامج الويبو</w:t>
            </w:r>
          </w:p>
          <w:p w:rsidR="005A0EB6" w:rsidRPr="00E93294" w:rsidRDefault="005A0EB6" w:rsidP="002C3C33">
            <w:pPr>
              <w:tabs>
                <w:tab w:val="left" w:pos="1870"/>
              </w:tabs>
              <w:adjustRightInd w:val="0"/>
              <w:snapToGrid w:val="0"/>
              <w:spacing w:before="60" w:after="60" w:line="280" w:lineRule="exact"/>
              <w:rPr>
                <w:rFonts w:ascii="Arabic Typesetting" w:hAnsi="Arabic Typesetting" w:cs="Arabic Typesetting"/>
                <w:sz w:val="30"/>
                <w:szCs w:val="30"/>
              </w:rPr>
            </w:pPr>
          </w:p>
        </w:tc>
      </w:tr>
      <w:tr w:rsidR="005A0EB6" w:rsidRPr="00E93294" w:rsidTr="002C3C33">
        <w:trPr>
          <w:cantSplit/>
        </w:trPr>
        <w:tc>
          <w:tcPr>
            <w:tcW w:w="1250" w:type="pct"/>
            <w:shd w:val="clear" w:color="auto" w:fill="auto"/>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متابعة فعالة لتنفيذ توصيات الاستعراض الخارجي لجدول أعمال التنمية</w:t>
            </w:r>
          </w:p>
        </w:tc>
        <w:tc>
          <w:tcPr>
            <w:tcW w:w="1145" w:type="pct"/>
            <w:shd w:val="clear" w:color="auto" w:fill="FFFFFF"/>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Pr>
            </w:pPr>
            <w:r w:rsidRPr="00E93294">
              <w:rPr>
                <w:rFonts w:ascii="Arabic Typesetting" w:hAnsi="Arabic Typesetting" w:cs="Arabic Typesetting"/>
                <w:sz w:val="30"/>
                <w:szCs w:val="30"/>
                <w:rtl/>
              </w:rPr>
              <w:t>غير متاحة (مؤشر أداء جديد)</w:t>
            </w:r>
          </w:p>
        </w:tc>
        <w:tc>
          <w:tcPr>
            <w:tcW w:w="1143" w:type="pct"/>
            <w:shd w:val="clear" w:color="auto" w:fill="auto"/>
            <w:tcMar>
              <w:top w:w="110" w:type="dxa"/>
            </w:tcMar>
          </w:tcPr>
          <w:p w:rsidR="005A0EB6" w:rsidRPr="00E93294" w:rsidRDefault="005A0EB6" w:rsidP="002C3C33">
            <w:pPr>
              <w:tabs>
                <w:tab w:val="left" w:pos="1870"/>
              </w:tabs>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لدى الويبو نظام فعال مقام لرصد تنفيذ التوصيات الصادرة عن الاستعراض</w:t>
            </w:r>
          </w:p>
        </w:tc>
      </w:tr>
      <w:tr w:rsidR="005A0EB6" w:rsidRPr="00E93294" w:rsidTr="002C3C33">
        <w:trPr>
          <w:cantSplit/>
        </w:trPr>
        <w:tc>
          <w:tcPr>
            <w:tcW w:w="1250" w:type="pct"/>
            <w:shd w:val="clear" w:color="auto" w:fill="auto"/>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آلية محسنة لإقامة مشاريع وأنشطة جديدة منبثقة من جدول أعمال التنمية وتنفيذها ورصدها وتقييمها</w:t>
            </w:r>
            <w:r>
              <w:rPr>
                <w:rFonts w:ascii="Arabic Typesetting" w:hAnsi="Arabic Typesetting" w:cs="Arabic Typesetting" w:hint="cs"/>
                <w:sz w:val="30"/>
                <w:szCs w:val="30"/>
                <w:rtl/>
              </w:rPr>
              <w:t xml:space="preserve"> وإعداد تقارير عنها</w:t>
            </w:r>
          </w:p>
        </w:tc>
        <w:tc>
          <w:tcPr>
            <w:tcW w:w="1145" w:type="pct"/>
            <w:shd w:val="clear" w:color="auto" w:fill="FFFFFF"/>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غير متاحة (مؤشر أداء جديد)</w:t>
            </w:r>
          </w:p>
        </w:tc>
        <w:tc>
          <w:tcPr>
            <w:tcW w:w="1143" w:type="pct"/>
            <w:shd w:val="clear" w:color="auto" w:fill="auto"/>
            <w:tcMar>
              <w:top w:w="110" w:type="dxa"/>
            </w:tcMar>
          </w:tcPr>
          <w:p w:rsidR="005A0EB6" w:rsidRPr="00E93294" w:rsidRDefault="005A0EB6" w:rsidP="002C3C33">
            <w:pPr>
              <w:tabs>
                <w:tab w:val="left" w:pos="2051"/>
              </w:tabs>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آلية جديدة تأخذ في الاعتبار التوصيات الصادرة عن تقييمات مشروعات جدول أعمال التنمية التي نوقشت خلال الدورات الثانية عشرة والثالثة عشرة والرابعة عشرة والخامسة عشرة للجنة</w:t>
            </w:r>
          </w:p>
        </w:tc>
      </w:tr>
      <w:tr w:rsidR="005A0EB6" w:rsidRPr="00E93294" w:rsidTr="002C3C33">
        <w:trPr>
          <w:cantSplit/>
        </w:trPr>
        <w:tc>
          <w:tcPr>
            <w:tcW w:w="1250" w:type="pct"/>
            <w:shd w:val="clear" w:color="auto" w:fill="auto"/>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Pr>
            </w:pPr>
            <w:r w:rsidRPr="00E93294">
              <w:rPr>
                <w:rFonts w:ascii="Arabic Typesetting" w:hAnsi="Arabic Typesetting" w:cs="Arabic Typesetting"/>
                <w:sz w:val="30"/>
                <w:szCs w:val="30"/>
                <w:rtl/>
              </w:rPr>
              <w:t>ه 5.3 فهم معمّق لجدول أعمال التنمية لدى الدول الأعضاء والمنظمات الحكومية الدولية والمجتمع المدني وأصحاب المصلحة الآخرين</w:t>
            </w:r>
          </w:p>
        </w:tc>
        <w:tc>
          <w:tcPr>
            <w:tcW w:w="1462" w:type="pct"/>
            <w:shd w:val="clear" w:color="auto" w:fill="auto"/>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تعبير أنشطة المساعدة التقنية التي تضطلع بها الويبو عن بعد جدول أعمال التنمية ونتائج مشروعات جدول أعمال التنمية</w:t>
            </w:r>
          </w:p>
        </w:tc>
        <w:tc>
          <w:tcPr>
            <w:tcW w:w="1145" w:type="pct"/>
            <w:shd w:val="clear" w:color="auto" w:fill="FFFFFF"/>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غير متاحة (مؤشر أداء جديد)</w:t>
            </w:r>
          </w:p>
        </w:tc>
        <w:tc>
          <w:tcPr>
            <w:tcW w:w="1143" w:type="pct"/>
            <w:shd w:val="clear" w:color="auto" w:fill="auto"/>
            <w:tcMar>
              <w:top w:w="110" w:type="dxa"/>
            </w:tcMar>
          </w:tcPr>
          <w:p w:rsidR="005A0EB6" w:rsidRPr="00E93294" w:rsidRDefault="005A0EB6" w:rsidP="002C3C33">
            <w:pPr>
              <w:tabs>
                <w:tab w:val="left" w:pos="2051"/>
              </w:tabs>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إنشاء نظام لضمان الاضطلاع بجميع أنشطة المساعدة التقنية مع الامتثال لمبادئ جدول أعمال التنمية</w:t>
            </w:r>
          </w:p>
        </w:tc>
      </w:tr>
      <w:tr w:rsidR="005A0EB6" w:rsidRPr="00E93294" w:rsidTr="002C3C33">
        <w:trPr>
          <w:cantSplit/>
        </w:trPr>
        <w:tc>
          <w:tcPr>
            <w:tcW w:w="1250" w:type="pct"/>
            <w:shd w:val="clear" w:color="auto" w:fill="auto"/>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النسبة المئوية للمشاركين</w:t>
            </w:r>
            <w:r>
              <w:rPr>
                <w:rFonts w:ascii="Arabic Typesetting" w:hAnsi="Arabic Typesetting" w:cs="Arabic Typesetting"/>
                <w:sz w:val="30"/>
                <w:szCs w:val="30"/>
                <w:rtl/>
              </w:rPr>
              <w:t xml:space="preserve"> الراضين الذين شاركوا في ال</w:t>
            </w:r>
            <w:r>
              <w:rPr>
                <w:rFonts w:ascii="Arabic Typesetting" w:hAnsi="Arabic Typesetting" w:cs="Arabic Typesetting" w:hint="cs"/>
                <w:sz w:val="30"/>
                <w:szCs w:val="30"/>
                <w:rtl/>
              </w:rPr>
              <w:t>تظاهرات</w:t>
            </w:r>
            <w:r w:rsidRPr="00E93294">
              <w:rPr>
                <w:rFonts w:ascii="Arabic Typesetting" w:hAnsi="Arabic Typesetting" w:cs="Arabic Typesetting"/>
                <w:sz w:val="30"/>
                <w:szCs w:val="30"/>
                <w:rtl/>
              </w:rPr>
              <w:t xml:space="preserve"> المتعلقة بجدول أعمال الويبو بشأن التنمية التي تستهدف الدول الأعضاء والمجتمع المدني والمنظمات الحكومية الدولية وغير ذلك من أصحاب المصالح</w:t>
            </w:r>
          </w:p>
        </w:tc>
        <w:tc>
          <w:tcPr>
            <w:tcW w:w="1145" w:type="pct"/>
            <w:shd w:val="clear" w:color="auto" w:fill="FFFFFF"/>
            <w:tcMar>
              <w:top w:w="110" w:type="dxa"/>
            </w:tcMar>
          </w:tcPr>
          <w:p w:rsidR="005A0EB6" w:rsidRPr="00E93294" w:rsidRDefault="005A0EB6" w:rsidP="002C3C33">
            <w:pPr>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غير متاحة في 2014 (استنادًا إلى تقرير أداء البرنامج لسنة 2014)</w:t>
            </w:r>
          </w:p>
        </w:tc>
        <w:tc>
          <w:tcPr>
            <w:tcW w:w="1143" w:type="pct"/>
            <w:shd w:val="clear" w:color="auto" w:fill="auto"/>
            <w:tcMar>
              <w:top w:w="110" w:type="dxa"/>
            </w:tcMar>
          </w:tcPr>
          <w:p w:rsidR="005A0EB6" w:rsidRPr="00E93294" w:rsidRDefault="005A0EB6" w:rsidP="002C3C33">
            <w:pPr>
              <w:tabs>
                <w:tab w:val="left" w:pos="2051"/>
              </w:tabs>
              <w:adjustRightInd w:val="0"/>
              <w:snapToGrid w:val="0"/>
              <w:spacing w:before="60" w:after="60" w:line="280" w:lineRule="exact"/>
              <w:rPr>
                <w:rFonts w:ascii="Arabic Typesetting" w:hAnsi="Arabic Typesetting" w:cs="Arabic Typesetting"/>
                <w:sz w:val="30"/>
                <w:szCs w:val="30"/>
                <w:rtl/>
              </w:rPr>
            </w:pPr>
            <w:r w:rsidRPr="00E93294">
              <w:rPr>
                <w:rFonts w:ascii="Arabic Typesetting" w:hAnsi="Arabic Typesetting" w:cs="Arabic Typesetting"/>
                <w:sz w:val="30"/>
                <w:szCs w:val="30"/>
                <w:rtl/>
              </w:rPr>
              <w:t>80%</w:t>
            </w:r>
          </w:p>
        </w:tc>
      </w:tr>
    </w:tbl>
    <w:p w:rsidR="005A0EB6" w:rsidRPr="00AF3795" w:rsidRDefault="005A0EB6" w:rsidP="002C3C33">
      <w:pPr>
        <w:adjustRightInd w:val="0"/>
        <w:snapToGrid w:val="0"/>
        <w:spacing w:after="240" w:line="360" w:lineRule="exact"/>
        <w:jc w:val="both"/>
        <w:rPr>
          <w:rFonts w:ascii="Arabic Typesetting" w:hAnsi="Arabic Typesetting" w:cs="Arabic Typesetting"/>
          <w:sz w:val="38"/>
          <w:szCs w:val="38"/>
        </w:rPr>
      </w:pPr>
    </w:p>
    <w:p w:rsidR="005A0EB6" w:rsidRPr="00AF3795" w:rsidRDefault="005A0EB6" w:rsidP="002C3C33">
      <w:pPr>
        <w:keepNext/>
        <w:keepLines/>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r w:rsidRPr="00AF3795">
        <w:rPr>
          <w:rFonts w:ascii="Arabic Typesetting" w:hAnsi="Arabic Typesetting" w:cs="Arabic Typesetting" w:hint="cs"/>
          <w:b/>
          <w:sz w:val="38"/>
          <w:szCs w:val="38"/>
          <w:rtl/>
        </w:rPr>
        <w:t>الموارد المخصصة للبرنامج 8</w:t>
      </w:r>
    </w:p>
    <w:p w:rsidR="005A0EB6" w:rsidRDefault="005A0EB6" w:rsidP="00861CFF">
      <w:pPr>
        <w:numPr>
          <w:ilvl w:val="1"/>
          <w:numId w:val="21"/>
        </w:numPr>
        <w:adjustRightInd w:val="0"/>
        <w:snapToGrid w:val="0"/>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يظل إجمالي الموارد المخصصة للبرنامج 8 في الثنائية 2016/17 في المستوى ذاته الذي كان عليه في ميزانية 2014/15 بعد التحويلات. وتُعزى الاختلافات في الموارد على صعيد النتيجتين المرتقبتين </w:t>
      </w:r>
      <w:r w:rsidRPr="00AF3795">
        <w:rPr>
          <w:rFonts w:ascii="Arabic Typesetting" w:hAnsi="Arabic Typesetting" w:cs="Arabic Typesetting"/>
          <w:sz w:val="34"/>
          <w:szCs w:val="34"/>
          <w:rtl/>
        </w:rPr>
        <w:t xml:space="preserve">ه </w:t>
      </w:r>
      <w:r>
        <w:rPr>
          <w:rFonts w:ascii="Arabic Typesetting" w:hAnsi="Arabic Typesetting" w:cs="Arabic Typesetting" w:hint="cs"/>
          <w:sz w:val="34"/>
          <w:szCs w:val="34"/>
          <w:rtl/>
        </w:rPr>
        <w:t>3</w:t>
      </w:r>
      <w:r w:rsidRPr="00AF3795">
        <w:rPr>
          <w:rFonts w:ascii="Arabic Typesetting" w:hAnsi="Arabic Typesetting" w:cs="Arabic Typesetting"/>
          <w:sz w:val="34"/>
          <w:szCs w:val="34"/>
          <w:rtl/>
        </w:rPr>
        <w:t>.3</w:t>
      </w:r>
      <w:r>
        <w:rPr>
          <w:rFonts w:ascii="Arabic Typesetting" w:hAnsi="Arabic Typesetting" w:cs="Arabic Typesetting" w:hint="cs"/>
          <w:sz w:val="34"/>
          <w:szCs w:val="34"/>
          <w:rtl/>
        </w:rPr>
        <w:t xml:space="preserve"> و</w:t>
      </w:r>
      <w:r w:rsidRPr="00AF3795">
        <w:rPr>
          <w:rFonts w:ascii="Arabic Typesetting" w:hAnsi="Arabic Typesetting" w:cs="Arabic Typesetting"/>
          <w:sz w:val="30"/>
          <w:szCs w:val="30"/>
          <w:rtl/>
        </w:rPr>
        <w:t xml:space="preserve"> </w:t>
      </w:r>
      <w:r w:rsidRPr="00AF3795">
        <w:rPr>
          <w:rFonts w:ascii="Arabic Typesetting" w:hAnsi="Arabic Typesetting" w:cs="Arabic Typesetting"/>
          <w:sz w:val="34"/>
          <w:szCs w:val="34"/>
          <w:rtl/>
        </w:rPr>
        <w:t>ه 5.3</w:t>
      </w:r>
      <w:r>
        <w:rPr>
          <w:rFonts w:ascii="Arabic Typesetting" w:hAnsi="Arabic Typesetting" w:cs="Arabic Typesetting" w:hint="cs"/>
          <w:sz w:val="34"/>
          <w:szCs w:val="34"/>
          <w:rtl/>
        </w:rPr>
        <w:t xml:space="preserve"> أساسا إلى إرجاء المؤتمر الدولي المعني بالملكية الفكرية والتنمية من الثنائية 2014/15 إلى الثنائية 2016/17 وزيادة التركيز على </w:t>
      </w:r>
      <w:r w:rsidRPr="007A0BA7">
        <w:rPr>
          <w:rFonts w:ascii="Arabic Typesetting" w:hAnsi="Arabic Typesetting" w:cs="Arabic Typesetting"/>
          <w:sz w:val="34"/>
          <w:szCs w:val="34"/>
          <w:rtl/>
        </w:rPr>
        <w:t>ال</w:t>
      </w:r>
      <w:r w:rsidRPr="007A0BA7">
        <w:rPr>
          <w:rFonts w:ascii="Arabic Typesetting" w:hAnsi="Arabic Typesetting" w:cs="Arabic Typesetting" w:hint="cs"/>
          <w:sz w:val="34"/>
          <w:szCs w:val="34"/>
          <w:rtl/>
        </w:rPr>
        <w:t>تظاهرات</w:t>
      </w:r>
      <w:r w:rsidRPr="007A0BA7">
        <w:rPr>
          <w:rFonts w:ascii="Arabic Typesetting" w:hAnsi="Arabic Typesetting" w:cs="Arabic Typesetting"/>
          <w:sz w:val="34"/>
          <w:szCs w:val="34"/>
          <w:rtl/>
        </w:rPr>
        <w:t xml:space="preserve"> المتعلقة بجدول أعمال الويبو بشأن التنمية التي تستهدف الدول الأعضاء والمنظمات الحكومية الدولية والمجتمع المدني وغير ذلك من أصحاب المصالح</w:t>
      </w:r>
      <w:r>
        <w:rPr>
          <w:rFonts w:ascii="Arabic Typesetting" w:hAnsi="Arabic Typesetting" w:cs="Arabic Typesetting" w:hint="cs"/>
          <w:sz w:val="34"/>
          <w:szCs w:val="34"/>
          <w:rtl/>
        </w:rPr>
        <w:t xml:space="preserve">. ونتيجة لذلك، هناك موارد إضافية مُخصصة لأغراض الأنشطة المندرجة ضمن النتيجة المرتقبة </w:t>
      </w:r>
      <w:r w:rsidRPr="00AF3795">
        <w:rPr>
          <w:rFonts w:ascii="Arabic Typesetting" w:hAnsi="Arabic Typesetting" w:cs="Arabic Typesetting"/>
          <w:sz w:val="34"/>
          <w:szCs w:val="34"/>
          <w:rtl/>
        </w:rPr>
        <w:t>ه 5.3</w:t>
      </w:r>
      <w:r>
        <w:rPr>
          <w:rFonts w:ascii="Arabic Typesetting" w:hAnsi="Arabic Typesetting" w:cs="Arabic Typesetting" w:hint="cs"/>
          <w:sz w:val="34"/>
          <w:szCs w:val="34"/>
          <w:rtl/>
        </w:rPr>
        <w:t>.</w:t>
      </w:r>
    </w:p>
    <w:p w:rsidR="005A0EB6" w:rsidRPr="00F12A52" w:rsidRDefault="005A0EB6" w:rsidP="002C3C33">
      <w:pPr>
        <w:pStyle w:val="ARNormal"/>
        <w:keepNext/>
        <w:spacing w:after="0"/>
        <w:jc w:val="center"/>
        <w:rPr>
          <w:b/>
          <w:bCs/>
          <w:rtl/>
        </w:rPr>
      </w:pPr>
      <w:r w:rsidRPr="00F12A52">
        <w:rPr>
          <w:b/>
          <w:bCs/>
          <w:rtl/>
        </w:rPr>
        <w:lastRenderedPageBreak/>
        <w:t xml:space="preserve">البرنامج </w:t>
      </w:r>
      <w:r>
        <w:rPr>
          <w:rFonts w:hint="cs"/>
          <w:b/>
          <w:bCs/>
          <w:rtl/>
        </w:rPr>
        <w:t>8</w:t>
      </w:r>
      <w:r w:rsidRPr="00F12A52">
        <w:rPr>
          <w:b/>
          <w:bCs/>
          <w:rtl/>
        </w:rPr>
        <w:t>: الموارد بحسب كل نتيجة</w:t>
      </w:r>
    </w:p>
    <w:p w:rsidR="005A0EB6" w:rsidRPr="00F12A52" w:rsidRDefault="005A0EB6" w:rsidP="005A0EB6">
      <w:pPr>
        <w:pStyle w:val="ARNormal"/>
        <w:keepNext/>
        <w:spacing w:after="0"/>
        <w:jc w:val="center"/>
        <w:rPr>
          <w:i/>
          <w:iCs/>
          <w:rtl/>
        </w:rPr>
      </w:pPr>
      <w:r w:rsidRPr="00F12A52">
        <w:rPr>
          <w:i/>
          <w:iCs/>
          <w:rtl/>
        </w:rPr>
        <w:t>(بآلاف الفرنكات السويسرية)</w:t>
      </w:r>
    </w:p>
    <w:p w:rsidR="005A0EB6" w:rsidRDefault="005A0EB6" w:rsidP="005A0EB6">
      <w:pPr>
        <w:adjustRightInd w:val="0"/>
        <w:snapToGrid w:val="0"/>
        <w:spacing w:after="120"/>
        <w:jc w:val="center"/>
        <w:rPr>
          <w:rFonts w:ascii="Arabic Typesetting" w:hAnsi="Arabic Typesetting" w:cs="Arabic Typesetting"/>
          <w:sz w:val="34"/>
          <w:szCs w:val="34"/>
          <w:rtl/>
        </w:rPr>
      </w:pPr>
      <w:r w:rsidRPr="005A0EB6">
        <w:rPr>
          <w:noProof/>
          <w:szCs w:val="20"/>
          <w:rtl/>
          <w:lang w:bidi="ar-SA"/>
        </w:rPr>
        <w:drawing>
          <wp:inline distT="0" distB="0" distL="0" distR="0" wp14:anchorId="5EE96DB4" wp14:editId="3C2274FF">
            <wp:extent cx="5486400" cy="1419225"/>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86400" cy="1419225"/>
                    </a:xfrm>
                    <a:prstGeom prst="rect">
                      <a:avLst/>
                    </a:prstGeom>
                    <a:noFill/>
                    <a:ln>
                      <a:noFill/>
                    </a:ln>
                  </pic:spPr>
                </pic:pic>
              </a:graphicData>
            </a:graphic>
          </wp:inline>
        </w:drawing>
      </w:r>
    </w:p>
    <w:p w:rsidR="005A0EB6" w:rsidRPr="00E41DA4" w:rsidRDefault="005A0EB6" w:rsidP="002C3C33">
      <w:pPr>
        <w:pStyle w:val="ARNormal"/>
        <w:keepNext/>
        <w:spacing w:after="0"/>
        <w:jc w:val="center"/>
        <w:rPr>
          <w:b/>
          <w:bCs/>
          <w:rtl/>
        </w:rPr>
      </w:pPr>
      <w:r w:rsidRPr="00E41DA4">
        <w:rPr>
          <w:rFonts w:hint="cs"/>
          <w:b/>
          <w:bCs/>
          <w:rtl/>
        </w:rPr>
        <w:t xml:space="preserve">البرنامج </w:t>
      </w:r>
      <w:r>
        <w:rPr>
          <w:rFonts w:hint="cs"/>
          <w:b/>
          <w:bCs/>
          <w:rtl/>
        </w:rPr>
        <w:t>8</w:t>
      </w:r>
      <w:r w:rsidRPr="00E41DA4">
        <w:rPr>
          <w:rFonts w:hint="cs"/>
          <w:b/>
          <w:bCs/>
          <w:rtl/>
        </w:rPr>
        <w:t>: الموارد بحسب غرض الإنفاق</w:t>
      </w:r>
    </w:p>
    <w:p w:rsidR="005A0EB6" w:rsidRPr="00E41DA4" w:rsidRDefault="005A0EB6" w:rsidP="002C3C33">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5A0EB6" w:rsidRPr="00E41DA4" w:rsidRDefault="005A0EB6" w:rsidP="005A0EB6">
      <w:pPr>
        <w:adjustRightInd w:val="0"/>
        <w:snapToGrid w:val="0"/>
        <w:spacing w:after="120"/>
        <w:jc w:val="center"/>
        <w:rPr>
          <w:rFonts w:ascii="Arabic Typesetting" w:hAnsi="Arabic Typesetting" w:cs="Arabic Typesetting"/>
          <w:sz w:val="34"/>
          <w:szCs w:val="34"/>
          <w:rtl/>
        </w:rPr>
      </w:pPr>
      <w:r w:rsidRPr="005A0EB6">
        <w:rPr>
          <w:noProof/>
          <w:szCs w:val="20"/>
          <w:rtl/>
          <w:lang w:bidi="ar-SA"/>
        </w:rPr>
        <w:drawing>
          <wp:inline distT="0" distB="0" distL="0" distR="0" wp14:anchorId="10EF35FA" wp14:editId="43F67B68">
            <wp:extent cx="5514975" cy="6353175"/>
            <wp:effectExtent l="0" t="0" r="9525"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5A0EB6" w:rsidRPr="0038585F" w:rsidRDefault="005A0EB6" w:rsidP="00EA5693">
      <w:pPr>
        <w:pStyle w:val="StyleHeading3ComplexItalic"/>
        <w:tabs>
          <w:tab w:val="clear" w:pos="1985"/>
          <w:tab w:val="left" w:pos="1274"/>
        </w:tabs>
        <w:bidi/>
        <w:adjustRightInd w:val="0"/>
        <w:snapToGrid w:val="0"/>
        <w:spacing w:after="240" w:line="360" w:lineRule="exact"/>
        <w:ind w:left="1274" w:hanging="1276"/>
        <w:rPr>
          <w:rFonts w:ascii="Arabic Typesetting" w:hAnsi="Arabic Typesetting" w:cs="Arabic Typesetting"/>
          <w:bCs/>
          <w:iCs w:val="0"/>
          <w:noProof/>
          <w:sz w:val="42"/>
          <w:szCs w:val="42"/>
          <w:rtl/>
        </w:rPr>
      </w:pPr>
      <w:bookmarkStart w:id="46" w:name="_Toc356567758"/>
      <w:bookmarkStart w:id="47" w:name="_Toc364355370"/>
      <w:bookmarkStart w:id="48" w:name="_Toc420595509"/>
      <w:r w:rsidRPr="0038585F">
        <w:rPr>
          <w:rFonts w:ascii="Arabic Typesetting" w:hAnsi="Arabic Typesetting" w:cs="Arabic Typesetting"/>
          <w:bCs/>
          <w:iCs w:val="0"/>
          <w:noProof/>
          <w:sz w:val="42"/>
          <w:szCs w:val="42"/>
          <w:rtl/>
        </w:rPr>
        <w:lastRenderedPageBreak/>
        <w:t>البرنامج 9</w:t>
      </w:r>
      <w:r w:rsidRPr="0038585F">
        <w:rPr>
          <w:rFonts w:ascii="Arabic Typesetting" w:hAnsi="Arabic Typesetting" w:cs="Arabic Typesetting" w:hint="cs"/>
          <w:bCs/>
          <w:iCs w:val="0"/>
          <w:noProof/>
          <w:sz w:val="42"/>
          <w:szCs w:val="42"/>
          <w:rtl/>
        </w:rPr>
        <w:tab/>
      </w:r>
      <w:bookmarkEnd w:id="46"/>
      <w:r w:rsidR="00EA5693">
        <w:rPr>
          <w:rFonts w:ascii="Arabic Typesetting" w:hAnsi="Arabic Typesetting" w:cs="Arabic Typesetting" w:hint="cs"/>
          <w:bCs/>
          <w:iCs w:val="0"/>
          <w:noProof/>
          <w:sz w:val="42"/>
          <w:szCs w:val="42"/>
          <w:rtl/>
        </w:rPr>
        <w:t xml:space="preserve">أفريقيا </w:t>
      </w:r>
      <w:r w:rsidRPr="0038585F">
        <w:rPr>
          <w:rFonts w:ascii="Arabic Typesetting" w:hAnsi="Arabic Typesetting" w:cs="Arabic Typesetting"/>
          <w:bCs/>
          <w:iCs w:val="0"/>
          <w:noProof/>
          <w:sz w:val="42"/>
          <w:szCs w:val="42"/>
          <w:rtl/>
        </w:rPr>
        <w:t>و</w:t>
      </w:r>
      <w:r w:rsidR="00EA5693">
        <w:rPr>
          <w:rFonts w:ascii="Arabic Typesetting" w:hAnsi="Arabic Typesetting" w:cs="Arabic Typesetting" w:hint="cs"/>
          <w:bCs/>
          <w:iCs w:val="0"/>
          <w:noProof/>
          <w:sz w:val="42"/>
          <w:szCs w:val="42"/>
          <w:rtl/>
        </w:rPr>
        <w:t xml:space="preserve">البلدان </w:t>
      </w:r>
      <w:r w:rsidRPr="0038585F">
        <w:rPr>
          <w:rFonts w:ascii="Arabic Typesetting" w:hAnsi="Arabic Typesetting" w:cs="Arabic Typesetting"/>
          <w:bCs/>
          <w:iCs w:val="0"/>
          <w:noProof/>
          <w:sz w:val="42"/>
          <w:szCs w:val="42"/>
          <w:rtl/>
        </w:rPr>
        <w:t>العربية وبلدان آسيا والمحيط الهادئ وأمريكا اللاتينية والكاريبي والبلدان الأقل</w:t>
      </w:r>
      <w:bookmarkEnd w:id="47"/>
      <w:r w:rsidR="00EA5693">
        <w:rPr>
          <w:rFonts w:ascii="Arabic Typesetting" w:hAnsi="Arabic Typesetting" w:cs="Arabic Typesetting" w:hint="cs"/>
          <w:bCs/>
          <w:iCs w:val="0"/>
          <w:noProof/>
          <w:sz w:val="42"/>
          <w:szCs w:val="42"/>
          <w:rtl/>
        </w:rPr>
        <w:t> </w:t>
      </w:r>
      <w:r w:rsidRPr="0038585F">
        <w:rPr>
          <w:rFonts w:ascii="Arabic Typesetting" w:hAnsi="Arabic Typesetting" w:cs="Arabic Typesetting" w:hint="cs"/>
          <w:bCs/>
          <w:iCs w:val="0"/>
          <w:noProof/>
          <w:sz w:val="42"/>
          <w:szCs w:val="42"/>
          <w:rtl/>
        </w:rPr>
        <w:t>نموا</w:t>
      </w:r>
      <w:bookmarkEnd w:id="48"/>
    </w:p>
    <w:p w:rsidR="005A0EB6" w:rsidRPr="008954A8" w:rsidRDefault="005A0EB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8954A8">
        <w:rPr>
          <w:rFonts w:ascii="Arabic Typesetting" w:hAnsi="Arabic Typesetting" w:cs="Arabic Typesetting"/>
          <w:sz w:val="38"/>
          <w:szCs w:val="38"/>
          <w:rtl/>
        </w:rPr>
        <w:t>سياق التخطيط</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 xml:space="preserve">عملا بهدف الويبو الاستراتيجي الثالث، لا يزال المحرك الرئيسي للبرنامج 9 هو </w:t>
      </w:r>
      <w:r w:rsidRPr="00DD5371">
        <w:rPr>
          <w:rFonts w:ascii="Arabic Typesetting" w:hAnsi="Arabic Typesetting" w:cs="Arabic Typesetting"/>
          <w:szCs w:val="34"/>
          <w:rtl/>
        </w:rPr>
        <w:t>تسهيل الانتفاع بالملكية الفكرية في سبيل التنمية</w:t>
      </w:r>
      <w:r>
        <w:rPr>
          <w:rFonts w:ascii="Arabic Typesetting" w:hAnsi="Arabic Typesetting" w:cs="Arabic Typesetting" w:hint="cs"/>
          <w:szCs w:val="34"/>
          <w:rtl/>
        </w:rPr>
        <w:t xml:space="preserve"> الاقتصادية والاجتماعية والثقافية للبلدان النامية والبلدان الأقل نموا، والإسهام بالتالي في تحقيق أهداف </w:t>
      </w:r>
      <w:r>
        <w:rPr>
          <w:rFonts w:ascii="Arabic Typesetting" w:hAnsi="Arabic Typesetting" w:cs="Arabic Typesetting"/>
          <w:szCs w:val="34"/>
          <w:rtl/>
        </w:rPr>
        <w:t xml:space="preserve">جدول </w:t>
      </w:r>
      <w:r w:rsidRPr="00DD5371">
        <w:rPr>
          <w:rFonts w:ascii="Arabic Typesetting" w:hAnsi="Arabic Typesetting" w:cs="Arabic Typesetting"/>
          <w:szCs w:val="34"/>
          <w:rtl/>
        </w:rPr>
        <w:t>أعمال التنمية لما بعد</w:t>
      </w:r>
      <w:r>
        <w:rPr>
          <w:rFonts w:ascii="Arabic Typesetting" w:hAnsi="Arabic Typesetting" w:cs="Arabic Typesetting" w:hint="cs"/>
          <w:szCs w:val="34"/>
          <w:rtl/>
        </w:rPr>
        <w:t xml:space="preserve"> عام</w:t>
      </w:r>
      <w:r w:rsidRPr="00DD5371">
        <w:rPr>
          <w:rFonts w:ascii="Arabic Typesetting" w:hAnsi="Arabic Typesetting" w:cs="Arabic Typesetting"/>
          <w:szCs w:val="34"/>
          <w:rtl/>
        </w:rPr>
        <w:t xml:space="preserve"> 2015</w:t>
      </w:r>
      <w:r>
        <w:rPr>
          <w:rFonts w:ascii="Arabic Typesetting" w:hAnsi="Arabic Typesetting" w:cs="Arabic Typesetting" w:hint="cs"/>
          <w:szCs w:val="34"/>
          <w:rtl/>
        </w:rPr>
        <w:t xml:space="preserve"> وأهداف التنمية المستدامة. وعليه فإن لبّ هذا البرنامج هو إتاحة الانتفاع بالملكية الفكرية انتفاعا فعالا لتنمية الدول الأعضاء في أفريقيا والمنطقة العربية وآسيا والمحيط الهادئ وأمريكا اللاتينية والكاريبي.</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 xml:space="preserve">ويرمي البرنامج إلى تمكين البلدان من الانتفاع بنظام الملكية الفكرية كعامل مساهم في تحقيق أهدافها الإنمائية الوطنية، وزيادة مشاركتها في الاقتصاد العالمي القائم على المعارف والابتكار، تماشيا مع توصيات جدول أعمال التنمية الوجيهة، ومساعدة هذه البلدان على التنمية وتنفيذ سياسات وطنية شاملة ومتسقة ومنسقة جيدا في مجال الملكية الفكرية. </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ولتحقيق هذه الغايات، يلزم التغلب على العديد من التحديات الرئيسية، ومنها (أ) قلة الموارد؛ (ب) وتنوع الأنظمة الاجتماعية والاقتصادية والثقافية والسياسية والقانونية؛ (ج) واختلاف مراحل التنمية؛ (د) واختلاف أصحاب المصالح الذين يتمتعون بمهارات وكفاءات ومعارف متنوعة</w:t>
      </w:r>
      <w:r w:rsidRPr="000D2E50">
        <w:rPr>
          <w:rFonts w:ascii="Arabic Typesetting" w:hAnsi="Arabic Typesetting" w:cs="Arabic Typesetting" w:hint="cs"/>
          <w:szCs w:val="34"/>
          <w:rtl/>
        </w:rPr>
        <w:t xml:space="preserve"> </w:t>
      </w:r>
      <w:r>
        <w:rPr>
          <w:rFonts w:ascii="Arabic Typesetting" w:hAnsi="Arabic Typesetting" w:cs="Arabic Typesetting" w:hint="cs"/>
          <w:szCs w:val="34"/>
          <w:rtl/>
        </w:rPr>
        <w:t>وتعددهم؛ (ه) والحاجة والطلب المتزايدان على الخدمات المتعلقة بالتنمية وغيرها من خدمات الويبو؛ (و) وتحدي تحويل مفهوم تسخير الملكية الفكرية في سبيل التنمية إلى نتائج فعلية مستدامة تعود بفوائد ملموسة. وتتجلى هذه التحديات في تباين أوضاع أنظمة الملكية الفكرية الوطنية، وخاصة من حيث الأطر المؤسسية للملكية الفكرية وقدرة البلدان على استيعاب التعاون التقني.</w:t>
      </w:r>
    </w:p>
    <w:p w:rsidR="005A0EB6"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ويسترشد تصميم وتخطيط وتنفيذ أنشطة التعاون التقني في هذا البرنامج بتوصيات جدول أعمال التنمية الوجيهة ويستلهم منها، وخاصة توصيات الفئة ألف بشأن مساعدة الويبو</w:t>
      </w:r>
      <w:r w:rsidRPr="00074220">
        <w:rPr>
          <w:rFonts w:ascii="Arabic Typesetting" w:hAnsi="Arabic Typesetting" w:cs="Arabic Typesetting"/>
          <w:szCs w:val="34"/>
          <w:rtl/>
        </w:rPr>
        <w:t xml:space="preserve"> التقنية وتكوين الكفاءات</w:t>
      </w:r>
      <w:r>
        <w:rPr>
          <w:rFonts w:ascii="Arabic Typesetting" w:hAnsi="Arabic Typesetting" w:cs="Arabic Typesetting" w:hint="cs"/>
          <w:szCs w:val="34"/>
          <w:rtl/>
        </w:rPr>
        <w:t>.</w:t>
      </w:r>
    </w:p>
    <w:p w:rsidR="005A0EB6" w:rsidRPr="00832D8A" w:rsidRDefault="005A0EB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832D8A">
        <w:rPr>
          <w:rFonts w:ascii="Arabic Typesetting" w:hAnsi="Arabic Typesetting" w:cs="Arabic Typesetting"/>
          <w:sz w:val="38"/>
          <w:szCs w:val="38"/>
          <w:rtl/>
        </w:rPr>
        <w:t>استراتيجيات التنفيذ</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 xml:space="preserve">سعيا إلى تحقيق الأهداف الواردة أعلاه، سينصب التركيز في الثنائية المقبلة على تحسين أداء المنظمة بالعمل عن كثب مع البرامج الأخرى وبالتشاور الوثيق مع الدول الأعضاء المستفيدة. </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tl/>
        </w:rPr>
      </w:pPr>
      <w:r w:rsidRPr="00FF6DDD">
        <w:rPr>
          <w:rFonts w:ascii="Arabic Typesetting" w:hAnsi="Arabic Typesetting" w:cs="Arabic Typesetting" w:hint="cs"/>
          <w:b/>
          <w:bCs/>
          <w:szCs w:val="34"/>
          <w:rtl/>
        </w:rPr>
        <w:t>الاستراتيجيات الوطنية للملكية الفكرية</w:t>
      </w:r>
      <w:r>
        <w:rPr>
          <w:rFonts w:ascii="Arabic Typesetting" w:hAnsi="Arabic Typesetting" w:cs="Arabic Typesetting" w:hint="cs"/>
          <w:szCs w:val="34"/>
          <w:rtl/>
        </w:rPr>
        <w:t>. ينبغي أن يلبي تطوير الاستراتيجيات الوطنية للملكية الفكرية واعتمادها الاحتياجات الخاصة لكل بلد، كما أن هذه الاستراتيجيات ستُعد على أساس عملية تشاور وطني شاملة يشارك فيها على سبيل المثال مسؤولو الحكومات والمشرّعون والقطاع الخاص والدوائر الأكاديمية والمجتمع المدني. ويعد الالتزام الحكومي الرفيع المستوى سواء من حيث التمويل أو من حيث الدعم السياسي شرطا مسبقا أساسيا لإجراء هذه العملية. وستقوم منهجية صياغة استراتيجية الملكية الفكرية، المصممة في إطار مشروع من مشروعات جدول أعمال التنمية، مقام الأساس والنموذج لتحقيق هذه الغاية. ويكمن الهدف المنشود في زيادة عدد البلدان التي تضع استراتيجيات مطوعة في مجال الملكية الفكرية خلال الثنائية.</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sidRPr="00FF6DDD">
        <w:rPr>
          <w:rFonts w:ascii="Arabic Typesetting" w:hAnsi="Arabic Typesetting" w:cs="Arabic Typesetting" w:hint="cs"/>
          <w:b/>
          <w:bCs/>
          <w:szCs w:val="34"/>
          <w:rtl/>
        </w:rPr>
        <w:t>الخطط القطرية</w:t>
      </w:r>
      <w:r>
        <w:rPr>
          <w:rFonts w:ascii="Arabic Typesetting" w:hAnsi="Arabic Typesetting" w:cs="Arabic Typesetting" w:hint="cs"/>
          <w:szCs w:val="34"/>
          <w:rtl/>
        </w:rPr>
        <w:t>. تستغرق عملية اعتماد استراتيجيات الملكية الفكرية عادة وقتا طويلا، ولم يستكمل اعتمادها حتى الآن سوى عدد محدود من البلدان. وفي البلدان التي لا تزال هذه العملية جارية فيها، ستظل الخطط القطرية هي الأداة الرئيسية لتقديم المساعدة التقنية فيها. وتصمم الخطط الوطنية، التي تطورها المكاتب الإقليمية وتتابعها على أساس احتياجات البلدان المتلقية وأوضاعها، كي تغطي فترة سنتين على الأقل، وتشمل جميع المشروعات والأنشطة المرتبطة بالملكية الفكرية والتي ستنفذ في كل بلد. وتوضع الخطط وتنفذ بالتشاور الوثيق مع سائر البرامج وجميع أصحاب المصالح المعنيين في البلدان المستفيدة، والهدف من ذلك هو تحسين التعاون التقني الذي تقدمه الويبو واتساقه.</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b/>
          <w:bCs/>
          <w:szCs w:val="34"/>
          <w:rtl/>
        </w:rPr>
        <w:t>المقاربة</w:t>
      </w:r>
      <w:r w:rsidRPr="00FF6DDD">
        <w:rPr>
          <w:rFonts w:ascii="Arabic Typesetting" w:hAnsi="Arabic Typesetting" w:cs="Arabic Typesetting" w:hint="cs"/>
          <w:b/>
          <w:bCs/>
          <w:szCs w:val="34"/>
          <w:rtl/>
        </w:rPr>
        <w:t xml:space="preserve"> </w:t>
      </w:r>
      <w:r>
        <w:rPr>
          <w:rFonts w:ascii="Arabic Typesetting" w:hAnsi="Arabic Typesetting" w:cs="Arabic Typesetting" w:hint="cs"/>
          <w:b/>
          <w:bCs/>
          <w:szCs w:val="34"/>
          <w:rtl/>
        </w:rPr>
        <w:t xml:space="preserve">القائمة </w:t>
      </w:r>
      <w:r w:rsidRPr="00FF6DDD">
        <w:rPr>
          <w:rFonts w:ascii="Arabic Typesetting" w:hAnsi="Arabic Typesetting" w:cs="Arabic Typesetting" w:hint="cs"/>
          <w:b/>
          <w:bCs/>
          <w:szCs w:val="34"/>
          <w:rtl/>
        </w:rPr>
        <w:t>على المشروعات</w:t>
      </w:r>
      <w:r>
        <w:rPr>
          <w:rFonts w:ascii="Arabic Typesetting" w:hAnsi="Arabic Typesetting" w:cs="Arabic Typesetting" w:hint="cs"/>
          <w:szCs w:val="34"/>
          <w:rtl/>
        </w:rPr>
        <w:t xml:space="preserve">. سعيا إلى بلوغ الحد الأقصى من فعالية جهود المساعدة التقنية، ستتّبع المزيد من المقاربات القائمة على المشروعات عند تقديم التعاون التقني، مع الاستفادة من التجارب المكتسبة في السنوات الأخيرة أثناء تنفيذ مشروعات جدول أعمال التنمية وغيرها من المشروعات الخاصة بالتنمية. </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sidRPr="007321F4">
        <w:rPr>
          <w:rFonts w:ascii="Arabic Typesetting" w:hAnsi="Arabic Typesetting" w:cs="Arabic Typesetting" w:hint="cs"/>
          <w:b/>
          <w:bCs/>
          <w:szCs w:val="34"/>
          <w:rtl/>
        </w:rPr>
        <w:lastRenderedPageBreak/>
        <w:t>مجالات الأنشطة المعينة</w:t>
      </w:r>
      <w:r>
        <w:rPr>
          <w:rFonts w:ascii="Arabic Typesetting" w:hAnsi="Arabic Typesetting" w:cs="Arabic Typesetting" w:hint="cs"/>
          <w:szCs w:val="34"/>
          <w:rtl/>
        </w:rPr>
        <w:t xml:space="preserve">. سيواصل البرنامج تعزيز تطوير المهارات البشرية والمهنية، وتيسير تحديث البنية التحتية للملكية الفكرية وتطوير الأطر القانونية والتنظيمية المناسبة في مجال الملكية الفكرية، مراعيا التعهدات المحددة للبلدان المتلقية وتنميتها الوطنية، كما سيواصل تعزيز الانضمام إلى المعاهدات والاتفاقيات التي تديرها الويبو. وتؤدي المكاتب الإقليمية دورا حاسما في هذه التعهدات بصفتها جهات تنسيق عامة تضمن تخطيط وتنفيذ المشروعات المتسقة والملموسة على نحو فعال وناجع في الدول الأعضاء. </w:t>
      </w:r>
    </w:p>
    <w:p w:rsidR="005A0EB6"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وسيعزَّز التركيز الخاص على البلدان الأقل نموا لتلبية احتياجاتها الفردية والمشتركة المتزايدة. وسيشدد خاصة على تطوير قدرات هذه البلدان الوطنية وقدراتها التكنولوجية في مجال الملكية الفكرية لمساعدتها على بلوغ أهدافها الإنمائية الرامية إلى الحد من الفقر وتحقيق النمو الاقتصادي وا</w:t>
      </w:r>
      <w:r w:rsidR="00D4551C">
        <w:rPr>
          <w:rFonts w:ascii="Arabic Typesetting" w:hAnsi="Arabic Typesetting" w:cs="Arabic Typesetting" w:hint="cs"/>
          <w:szCs w:val="34"/>
          <w:rtl/>
        </w:rPr>
        <w:t>لتنمية الاجتماعية والثقافية. وسي</w:t>
      </w:r>
      <w:r>
        <w:rPr>
          <w:rFonts w:ascii="Arabic Typesetting" w:hAnsi="Arabic Typesetting" w:cs="Arabic Typesetting" w:hint="cs"/>
          <w:szCs w:val="34"/>
          <w:rtl/>
        </w:rPr>
        <w:t xml:space="preserve">واصل </w:t>
      </w:r>
      <w:r w:rsidR="00D4551C">
        <w:rPr>
          <w:rFonts w:ascii="Arabic Typesetting" w:hAnsi="Arabic Typesetting" w:cs="Arabic Typesetting" w:hint="cs"/>
          <w:szCs w:val="34"/>
          <w:rtl/>
        </w:rPr>
        <w:t xml:space="preserve">برنامج عمل </w:t>
      </w:r>
      <w:r>
        <w:rPr>
          <w:rFonts w:ascii="Arabic Typesetting" w:hAnsi="Arabic Typesetting" w:cs="Arabic Typesetting" w:hint="cs"/>
          <w:szCs w:val="34"/>
          <w:rtl/>
        </w:rPr>
        <w:t xml:space="preserve">الويبو </w:t>
      </w:r>
      <w:r w:rsidR="00D4551C">
        <w:rPr>
          <w:rFonts w:ascii="Arabic Typesetting" w:hAnsi="Arabic Typesetting" w:cs="Arabic Typesetting" w:hint="cs"/>
          <w:szCs w:val="34"/>
          <w:rtl/>
        </w:rPr>
        <w:t xml:space="preserve">بشأن البلدان الأقل نموا، </w:t>
      </w:r>
      <w:r>
        <w:rPr>
          <w:rFonts w:ascii="Arabic Typesetting" w:hAnsi="Arabic Typesetting" w:cs="Arabic Typesetting" w:hint="cs"/>
          <w:szCs w:val="34"/>
          <w:rtl/>
        </w:rPr>
        <w:t>على وجه الخصوص</w:t>
      </w:r>
      <w:r w:rsidR="00D4551C">
        <w:rPr>
          <w:rFonts w:ascii="Arabic Typesetting" w:hAnsi="Arabic Typesetting" w:cs="Arabic Typesetting" w:hint="cs"/>
          <w:szCs w:val="34"/>
          <w:rtl/>
        </w:rPr>
        <w:t>،</w:t>
      </w:r>
      <w:r>
        <w:rPr>
          <w:rFonts w:ascii="Arabic Typesetting" w:hAnsi="Arabic Typesetting" w:cs="Arabic Typesetting" w:hint="cs"/>
          <w:szCs w:val="34"/>
          <w:rtl/>
        </w:rPr>
        <w:t xml:space="preserve"> دعم الأنشطة في مجالات الأولوية التي حددتها مشروعات الويبو، والتي اعتمدت بمناسبة </w:t>
      </w:r>
      <w:r w:rsidRPr="00040820">
        <w:rPr>
          <w:rFonts w:ascii="Arabic Typesetting" w:hAnsi="Arabic Typesetting" w:cs="Arabic Typesetting"/>
          <w:szCs w:val="34"/>
          <w:rtl/>
        </w:rPr>
        <w:t>مؤتمر الأمم المتحدة الرابع المعني بالبلدان الأقل نموا</w:t>
      </w:r>
      <w:r>
        <w:rPr>
          <w:rFonts w:ascii="Arabic Typesetting" w:hAnsi="Arabic Typesetting" w:cs="Arabic Typesetting" w:hint="cs"/>
          <w:szCs w:val="34"/>
          <w:rtl/>
        </w:rPr>
        <w:t xml:space="preserve">، والمصممة للإسهام في تنفيذ برنامج عمل إسطنبول. </w:t>
      </w:r>
    </w:p>
    <w:p w:rsidR="005A0EB6"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 xml:space="preserve">وبالنظر إلى الأهمية المتزايدة للتعاون الإقليمي ودون الإقليمي </w:t>
      </w:r>
      <w:proofErr w:type="spellStart"/>
      <w:r>
        <w:rPr>
          <w:rFonts w:ascii="Arabic Typesetting" w:hAnsi="Arabic Typesetting" w:cs="Arabic Typesetting" w:hint="cs"/>
          <w:szCs w:val="34"/>
          <w:rtl/>
        </w:rPr>
        <w:t>والأقاليمي</w:t>
      </w:r>
      <w:proofErr w:type="spellEnd"/>
      <w:r>
        <w:rPr>
          <w:rFonts w:ascii="Arabic Typesetting" w:hAnsi="Arabic Typesetting" w:cs="Arabic Typesetting" w:hint="cs"/>
          <w:szCs w:val="34"/>
          <w:rtl/>
        </w:rPr>
        <w:t xml:space="preserve">، بما في ذلك التعاون </w:t>
      </w:r>
      <w:r w:rsidRPr="0067115F">
        <w:rPr>
          <w:rFonts w:ascii="Arabic Typesetting" w:hAnsi="Arabic Typesetting" w:cs="Arabic Typesetting"/>
          <w:szCs w:val="34"/>
          <w:rtl/>
        </w:rPr>
        <w:t>فيما بين بلدان الجنوب</w:t>
      </w:r>
      <w:r>
        <w:rPr>
          <w:rFonts w:ascii="Arabic Typesetting" w:hAnsi="Arabic Typesetting" w:cs="Arabic Typesetting" w:hint="cs"/>
          <w:szCs w:val="34"/>
          <w:rtl/>
        </w:rPr>
        <w:t xml:space="preserve">، وفيما بين البلدان النامية، ستؤدي المكاتب الإقليمية دورا حاسما في تيسير آليات هذا التعاون الأفقي، وسيشمل هذا الدور تعزيز الشراكات بين البلدان والأقاليم وفيما بينها، وخاصة في سياق التكتلات القائمة على المستوى الإقليمي دون الإقليمي. وسيضمن البرنامج تخطيط أنشطة التعاون </w:t>
      </w:r>
      <w:r w:rsidRPr="0067115F">
        <w:rPr>
          <w:rFonts w:ascii="Arabic Typesetting" w:hAnsi="Arabic Typesetting" w:cs="Arabic Typesetting"/>
          <w:szCs w:val="34"/>
          <w:rtl/>
        </w:rPr>
        <w:t>فيما بين بلدان الجنوب</w:t>
      </w:r>
      <w:r w:rsidRPr="0067115F">
        <w:rPr>
          <w:rFonts w:ascii="Arabic Typesetting" w:hAnsi="Arabic Typesetting" w:cs="Arabic Typesetting" w:hint="cs"/>
          <w:szCs w:val="34"/>
          <w:rtl/>
        </w:rPr>
        <w:t xml:space="preserve"> </w:t>
      </w:r>
      <w:r>
        <w:rPr>
          <w:rFonts w:ascii="Arabic Typesetting" w:hAnsi="Arabic Typesetting" w:cs="Arabic Typesetting" w:hint="cs"/>
          <w:szCs w:val="34"/>
          <w:rtl/>
        </w:rPr>
        <w:t>والإبلاغ عنها باتساق على مستوى المنظمة وسيتفاعل مع جميع أصحاب المصالح الداخليين والخارجيين.</w:t>
      </w:r>
    </w:p>
    <w:p w:rsidR="005A0EB6"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وقد ثبت أن قواعد البيانات القائمة (</w:t>
      </w:r>
      <w:r w:rsidRPr="0067115F">
        <w:rPr>
          <w:rFonts w:ascii="Arabic Typesetting" w:hAnsi="Arabic Typesetting" w:cs="Arabic Typesetting"/>
          <w:szCs w:val="34"/>
          <w:rtl/>
        </w:rPr>
        <w:t>قاعدة بيانات المساعدة التقنية في مجال الملكية الفكرية</w:t>
      </w:r>
      <w:r>
        <w:rPr>
          <w:rFonts w:ascii="Arabic Typesetting" w:hAnsi="Arabic Typesetting" w:cs="Arabic Typesetting" w:hint="cs"/>
          <w:szCs w:val="34"/>
          <w:rtl/>
        </w:rPr>
        <w:t xml:space="preserve"> و</w:t>
      </w:r>
      <w:r w:rsidRPr="0067115F">
        <w:rPr>
          <w:rFonts w:ascii="Arabic Typesetting" w:hAnsi="Arabic Typesetting" w:cs="Arabic Typesetting"/>
          <w:szCs w:val="34"/>
          <w:rtl/>
        </w:rPr>
        <w:t>قائمة الويبو للخبراء الاستشاريين</w:t>
      </w:r>
      <w:r>
        <w:rPr>
          <w:rFonts w:ascii="Arabic Typesetting" w:hAnsi="Arabic Typesetting" w:cs="Arabic Typesetting" w:hint="cs"/>
          <w:szCs w:val="34"/>
          <w:rtl/>
        </w:rPr>
        <w:t xml:space="preserve"> </w:t>
      </w:r>
      <w:r w:rsidRPr="0067115F">
        <w:rPr>
          <w:rFonts w:ascii="Arabic Typesetting" w:hAnsi="Arabic Typesetting" w:cs="Arabic Typesetting"/>
          <w:szCs w:val="34"/>
          <w:rtl/>
        </w:rPr>
        <w:t>وقاعدة بيانات مطابقة الاحتياجات الإنمائية في مجال تطوير الملكية الفكرية</w:t>
      </w:r>
      <w:r>
        <w:rPr>
          <w:rFonts w:ascii="Arabic Typesetting" w:hAnsi="Arabic Typesetting" w:cs="Arabic Typesetting" w:hint="cs"/>
          <w:szCs w:val="34"/>
          <w:rtl/>
        </w:rPr>
        <w:t xml:space="preserve">) أداة مفيدة لرصد أنشطة المنظمة التعاونية وتوجيهها. وستكيف قواعد البيانات المذكورة خلال الثنائية مع نظام </w:t>
      </w:r>
      <w:r w:rsidRPr="0067115F">
        <w:rPr>
          <w:rFonts w:ascii="Arabic Typesetting" w:hAnsi="Arabic Typesetting" w:cs="Arabic Typesetting"/>
          <w:szCs w:val="34"/>
          <w:rtl/>
        </w:rPr>
        <w:t xml:space="preserve">إدارة </w:t>
      </w:r>
      <w:r>
        <w:rPr>
          <w:rFonts w:ascii="Arabic Typesetting" w:hAnsi="Arabic Typesetting" w:cs="Arabic Typesetting"/>
          <w:szCs w:val="34"/>
          <w:rtl/>
        </w:rPr>
        <w:t>الأداء المؤسسي</w:t>
      </w:r>
      <w:r>
        <w:rPr>
          <w:rFonts w:ascii="Arabic Typesetting" w:hAnsi="Arabic Typesetting" w:cs="Arabic Typesetting" w:hint="cs"/>
          <w:szCs w:val="34"/>
          <w:rtl/>
        </w:rPr>
        <w:t xml:space="preserve"> من أجل </w:t>
      </w:r>
      <w:proofErr w:type="spellStart"/>
      <w:r>
        <w:rPr>
          <w:rFonts w:ascii="Arabic Typesetting" w:hAnsi="Arabic Typesetting" w:cs="Arabic Typesetting" w:hint="cs"/>
          <w:szCs w:val="34"/>
          <w:rtl/>
        </w:rPr>
        <w:t>أتمتة</w:t>
      </w:r>
      <w:proofErr w:type="spellEnd"/>
      <w:r>
        <w:rPr>
          <w:rFonts w:ascii="Arabic Typesetting" w:hAnsi="Arabic Typesetting" w:cs="Arabic Typesetting" w:hint="cs"/>
          <w:szCs w:val="34"/>
          <w:rtl/>
        </w:rPr>
        <w:t xml:space="preserve"> إدخال البيانات، مما سيضمن نفاذ الدول الأعضاء والمستخدمين إلى أحدث المعلومات عن أنشطة التعاون الإنمائي. وعلاوة على ذلك سيتواصل تطوير وتنفيذ أدوات جديدة ترمي إلى تيسير عملية صياغة استراتيجيات الملكية الفكرية الوطنية وتقييم مشروعات التعاون فيما بين بلدان الجنوب.</w:t>
      </w:r>
    </w:p>
    <w:p w:rsidR="005A0EB6"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وسيتواصل تعزيز التعاون مع هيئات الأمم المتحدة وسائر المنظمات الحكومية الدولية المعنية والمؤسسات غير الحكومية كوسيلة لحشد وجمع المزيد من الموارد والخبرات العالية التأثير. ولن يُدّخر أي جهد للاستمرار في تحسين جودة التعاون التقني وفعاليته، مع التركيز على النتائج الفعلية والملموسة وضمان استدامة البرامج واستمرارها.</w:t>
      </w:r>
    </w:p>
    <w:p w:rsidR="005A0EB6"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ويتعاون البرنامج 9 في الأساس مع البرامج الأخرى على النحو المبيّن أدناه:</w:t>
      </w:r>
    </w:p>
    <w:p w:rsidR="00C50BE8" w:rsidRDefault="00C50BE8" w:rsidP="00C50BE8">
      <w:pPr>
        <w:adjustRightInd w:val="0"/>
        <w:snapToGrid w:val="0"/>
        <w:spacing w:after="120"/>
        <w:rPr>
          <w:rFonts w:ascii="Arabic Typesetting" w:hAnsi="Arabic Typesetting" w:cs="Arabic Typesetting"/>
          <w:szCs w:val="34"/>
        </w:rPr>
      </w:pPr>
      <w:r>
        <w:rPr>
          <w:noProof/>
          <w:lang w:bidi="ar-SA"/>
        </w:rPr>
        <w:drawing>
          <wp:inline distT="0" distB="0" distL="0" distR="0" wp14:anchorId="61E91879" wp14:editId="465CD60A">
            <wp:extent cx="5939790" cy="2704635"/>
            <wp:effectExtent l="0" t="38100" r="3810" b="635"/>
            <wp:docPr id="242" name="Diagram 2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rsidR="005A0EB6" w:rsidRDefault="005A0EB6" w:rsidP="002C3C33">
      <w:pPr>
        <w:adjustRightInd w:val="0"/>
        <w:snapToGrid w:val="0"/>
        <w:spacing w:after="120" w:line="340" w:lineRule="exact"/>
        <w:rPr>
          <w:rFonts w:ascii="Arabic Typesetting" w:hAnsi="Arabic Typesetting" w:cs="Arabic Typesetting"/>
          <w:szCs w:val="34"/>
          <w:rtl/>
        </w:rPr>
      </w:pPr>
    </w:p>
    <w:p w:rsidR="00C50BE8" w:rsidRPr="00DD5371" w:rsidRDefault="00C50BE8" w:rsidP="002C3C33">
      <w:pPr>
        <w:adjustRightInd w:val="0"/>
        <w:snapToGrid w:val="0"/>
        <w:spacing w:after="120" w:line="340" w:lineRule="exact"/>
        <w:rPr>
          <w:rFonts w:ascii="Arabic Typesetting" w:hAnsi="Arabic Typesetting" w:cs="Arabic Typesetting"/>
          <w:szCs w:val="34"/>
        </w:rPr>
      </w:pPr>
    </w:p>
    <w:p w:rsidR="005A0EB6" w:rsidRPr="00832D8A" w:rsidRDefault="005A0EB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832D8A">
        <w:rPr>
          <w:rFonts w:ascii="Arabic Typesetting" w:hAnsi="Arabic Typesetting" w:cs="Arabic Typesetting"/>
          <w:sz w:val="38"/>
          <w:szCs w:val="38"/>
          <w:rtl/>
        </w:rPr>
        <w:lastRenderedPageBreak/>
        <w:t>المخاطر الرئيسية واستراتيجيات التخفيف</w:t>
      </w:r>
      <w:r w:rsidRPr="00832D8A">
        <w:rPr>
          <w:rFonts w:ascii="Arabic Typesetting" w:hAnsi="Arabic Typesetting" w:cs="Arabic Typesetting" w:hint="cs"/>
          <w:sz w:val="38"/>
          <w:szCs w:val="38"/>
          <w:rtl/>
        </w:rPr>
        <w:t xml:space="preserve"> منها</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5A0EB6" w:rsidRPr="008954A8" w:rsidTr="002C3C33">
        <w:trPr>
          <w:trHeight w:val="709"/>
        </w:trPr>
        <w:tc>
          <w:tcPr>
            <w:tcW w:w="4535" w:type="dxa"/>
            <w:tcBorders>
              <w:top w:val="single" w:sz="4" w:space="0" w:color="auto"/>
              <w:bottom w:val="single" w:sz="4" w:space="0" w:color="auto"/>
            </w:tcBorders>
            <w:shd w:val="clear" w:color="auto" w:fill="C6D9F1"/>
            <w:vAlign w:val="center"/>
          </w:tcPr>
          <w:p w:rsidR="005A0EB6" w:rsidRPr="008954A8" w:rsidRDefault="005A0EB6" w:rsidP="002C3C33">
            <w:pPr>
              <w:keepNext/>
              <w:autoSpaceDE w:val="0"/>
              <w:autoSpaceDN w:val="0"/>
              <w:adjustRightInd w:val="0"/>
              <w:snapToGrid w:val="0"/>
              <w:spacing w:before="60" w:after="60" w:line="300" w:lineRule="exact"/>
              <w:jc w:val="center"/>
              <w:rPr>
                <w:rFonts w:ascii="Arabic Typesetting" w:hAnsi="Arabic Typesetting" w:cs="Arabic Typesetting"/>
                <w:bCs/>
                <w:sz w:val="30"/>
                <w:szCs w:val="30"/>
                <w:rtl/>
              </w:rPr>
            </w:pPr>
            <w:r>
              <w:rPr>
                <w:rFonts w:ascii="Arabic Typesetting" w:hAnsi="Arabic Typesetting" w:cs="Arabic Typesetting"/>
                <w:bCs/>
                <w:sz w:val="30"/>
                <w:szCs w:val="30"/>
                <w:rtl/>
              </w:rPr>
              <w:t>المخاطر</w:t>
            </w:r>
          </w:p>
        </w:tc>
        <w:tc>
          <w:tcPr>
            <w:tcW w:w="4537" w:type="dxa"/>
            <w:tcBorders>
              <w:top w:val="single" w:sz="4" w:space="0" w:color="auto"/>
              <w:bottom w:val="single" w:sz="4" w:space="0" w:color="auto"/>
            </w:tcBorders>
            <w:shd w:val="clear" w:color="auto" w:fill="C6D9F1"/>
            <w:vAlign w:val="center"/>
          </w:tcPr>
          <w:p w:rsidR="005A0EB6" w:rsidRPr="008954A8" w:rsidRDefault="005A0EB6" w:rsidP="002C3C33">
            <w:pPr>
              <w:keepNext/>
              <w:autoSpaceDE w:val="0"/>
              <w:autoSpaceDN w:val="0"/>
              <w:adjustRightInd w:val="0"/>
              <w:snapToGrid w:val="0"/>
              <w:spacing w:before="60" w:after="60" w:line="300" w:lineRule="exact"/>
              <w:jc w:val="center"/>
              <w:rPr>
                <w:rFonts w:ascii="Arabic Typesetting" w:hAnsi="Arabic Typesetting" w:cs="Arabic Typesetting"/>
                <w:bCs/>
                <w:sz w:val="30"/>
                <w:szCs w:val="30"/>
                <w:rtl/>
              </w:rPr>
            </w:pPr>
            <w:r>
              <w:rPr>
                <w:rFonts w:ascii="Arabic Typesetting" w:hAnsi="Arabic Typesetting" w:cs="Arabic Typesetting"/>
                <w:bCs/>
                <w:sz w:val="30"/>
                <w:szCs w:val="30"/>
                <w:rtl/>
              </w:rPr>
              <w:t>التخفيف منها</w:t>
            </w:r>
          </w:p>
        </w:tc>
      </w:tr>
      <w:tr w:rsidR="005A0EB6" w:rsidRPr="008954A8" w:rsidTr="002C3C33">
        <w:trPr>
          <w:trHeight w:val="2243"/>
        </w:trPr>
        <w:tc>
          <w:tcPr>
            <w:tcW w:w="4535" w:type="dxa"/>
            <w:tcBorders>
              <w:top w:val="single" w:sz="4" w:space="0" w:color="auto"/>
            </w:tcBorders>
            <w:shd w:val="clear" w:color="auto" w:fill="auto"/>
            <w:tcMar>
              <w:top w:w="113" w:type="dxa"/>
              <w:bottom w:w="85" w:type="dxa"/>
            </w:tcMar>
          </w:tcPr>
          <w:p w:rsidR="005A0EB6"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التغير السياسي الذي يؤدي إلى تغير سياسة الملكية الفكرية </w:t>
            </w:r>
            <w:r>
              <w:rPr>
                <w:rFonts w:ascii="Arabic Typesetting" w:hAnsi="Arabic Typesetting" w:cs="Arabic Typesetting" w:hint="cs"/>
                <w:sz w:val="30"/>
                <w:szCs w:val="30"/>
                <w:rtl/>
              </w:rPr>
              <w:t>على المستوى الوطني،</w:t>
            </w:r>
            <w:r w:rsidRPr="008954A8">
              <w:rPr>
                <w:rFonts w:ascii="Arabic Typesetting" w:hAnsi="Arabic Typesetting" w:cs="Arabic Typesetting"/>
                <w:sz w:val="30"/>
                <w:szCs w:val="30"/>
                <w:rtl/>
              </w:rPr>
              <w:t xml:space="preserve"> مما قد </w:t>
            </w:r>
            <w:r>
              <w:rPr>
                <w:rFonts w:ascii="Arabic Typesetting" w:hAnsi="Arabic Typesetting" w:cs="Arabic Typesetting" w:hint="cs"/>
                <w:sz w:val="30"/>
                <w:szCs w:val="30"/>
                <w:rtl/>
              </w:rPr>
              <w:t>يؤثر في</w:t>
            </w:r>
            <w:r w:rsidRPr="008954A8">
              <w:rPr>
                <w:rFonts w:ascii="Arabic Typesetting" w:hAnsi="Arabic Typesetting" w:cs="Arabic Typesetting"/>
                <w:sz w:val="30"/>
                <w:szCs w:val="30"/>
                <w:rtl/>
              </w:rPr>
              <w:t xml:space="preserve"> تقديم الخدمات</w:t>
            </w:r>
            <w:r>
              <w:rPr>
                <w:rFonts w:ascii="Arabic Typesetting" w:hAnsi="Arabic Typesetting" w:cs="Arabic Typesetting" w:hint="cs"/>
                <w:sz w:val="30"/>
                <w:szCs w:val="30"/>
                <w:rtl/>
              </w:rPr>
              <w:t>.</w:t>
            </w:r>
          </w:p>
          <w:p w:rsidR="005A0EB6" w:rsidRPr="008954A8"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p>
          <w:p w:rsidR="005A0EB6" w:rsidRPr="008954A8"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خطر عدم الاستقرار السياسي في الدول الأعضاء</w:t>
            </w:r>
            <w:r>
              <w:rPr>
                <w:rFonts w:ascii="Arabic Typesetting" w:hAnsi="Arabic Typesetting" w:cs="Arabic Typesetting" w:hint="cs"/>
                <w:sz w:val="30"/>
                <w:szCs w:val="30"/>
                <w:rtl/>
              </w:rPr>
              <w:t xml:space="preserve"> وما ينتج عنه من تغير في التقييم الأمني للأمم المتحدة، مما قد يتسبب في تأخير تقديم المساعدة التقنية.</w:t>
            </w:r>
          </w:p>
        </w:tc>
        <w:tc>
          <w:tcPr>
            <w:tcW w:w="4537" w:type="dxa"/>
            <w:tcBorders>
              <w:top w:val="single" w:sz="4" w:space="0" w:color="auto"/>
            </w:tcBorders>
            <w:shd w:val="clear" w:color="auto" w:fill="auto"/>
            <w:tcMar>
              <w:top w:w="113" w:type="dxa"/>
              <w:bottom w:w="85" w:type="dxa"/>
            </w:tcMar>
          </w:tcPr>
          <w:p w:rsidR="005A0EB6"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مرونة في إجراء تعديلات في خطط العمل لكل بلد على حدة</w:t>
            </w:r>
          </w:p>
          <w:p w:rsidR="005A0EB6"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p>
          <w:p w:rsidR="005A0EB6" w:rsidRPr="008954A8"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p>
          <w:p w:rsidR="005A0EB6" w:rsidRPr="008954A8" w:rsidRDefault="005A0EB6" w:rsidP="002C3C33">
            <w:pPr>
              <w:autoSpaceDE w:val="0"/>
              <w:autoSpaceDN w:val="0"/>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رصد مستمر مع مكتب الملكية الفكرية وأصحاب المصلحة لوضع خطط بديلة</w:t>
            </w:r>
          </w:p>
        </w:tc>
      </w:tr>
    </w:tbl>
    <w:p w:rsidR="005A0EB6" w:rsidRPr="008954A8" w:rsidRDefault="005A0EB6" w:rsidP="002C3C33">
      <w:pPr>
        <w:tabs>
          <w:tab w:val="left" w:pos="567"/>
          <w:tab w:val="left" w:pos="1985"/>
        </w:tabs>
        <w:adjustRightInd w:val="0"/>
        <w:snapToGrid w:val="0"/>
        <w:spacing w:after="240" w:line="360" w:lineRule="exact"/>
        <w:jc w:val="both"/>
        <w:rPr>
          <w:rFonts w:ascii="Arabic Typesetting" w:hAnsi="Arabic Typesetting" w:cs="Arabic Typesetting"/>
          <w:bCs/>
          <w:szCs w:val="34"/>
        </w:rPr>
      </w:pPr>
    </w:p>
    <w:p w:rsidR="005A0EB6" w:rsidRPr="00832D8A" w:rsidRDefault="005A0EB6"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832D8A">
        <w:rPr>
          <w:rFonts w:ascii="Arabic Typesetting" w:hAnsi="Arabic Typesetting" w:cs="Arabic Typesetting"/>
          <w:sz w:val="38"/>
          <w:szCs w:val="38"/>
          <w:rtl/>
        </w:rPr>
        <w:t>إطار النتائج</w:t>
      </w:r>
    </w:p>
    <w:tbl>
      <w:tblPr>
        <w:bidiVisual/>
        <w:tblW w:w="491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00"/>
        <w:gridCol w:w="2595"/>
        <w:gridCol w:w="2320"/>
        <w:gridCol w:w="2194"/>
      </w:tblGrid>
      <w:tr w:rsidR="005A0EB6" w:rsidRPr="008954A8" w:rsidTr="00ED49E9">
        <w:trPr>
          <w:cantSplit/>
          <w:trHeight w:val="421"/>
          <w:tblHeader/>
        </w:trPr>
        <w:tc>
          <w:tcPr>
            <w:tcW w:w="1222" w:type="pct"/>
            <w:tcBorders>
              <w:top w:val="single" w:sz="4" w:space="0" w:color="auto"/>
              <w:bottom w:val="single" w:sz="4" w:space="0" w:color="auto"/>
            </w:tcBorders>
            <w:shd w:val="clear" w:color="auto" w:fill="C6D9F1"/>
            <w:vAlign w:val="center"/>
          </w:tcPr>
          <w:p w:rsidR="005A0EB6" w:rsidRPr="008954A8" w:rsidRDefault="005A0EB6" w:rsidP="002C3C33">
            <w:pPr>
              <w:keepNext/>
              <w:adjustRightInd w:val="0"/>
              <w:snapToGrid w:val="0"/>
              <w:spacing w:before="60" w:after="60"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النتائج المرتقبة</w:t>
            </w:r>
          </w:p>
        </w:tc>
        <w:tc>
          <w:tcPr>
            <w:tcW w:w="1379" w:type="pct"/>
            <w:tcBorders>
              <w:top w:val="single" w:sz="4" w:space="0" w:color="auto"/>
              <w:bottom w:val="single" w:sz="4" w:space="0" w:color="auto"/>
            </w:tcBorders>
            <w:shd w:val="clear" w:color="auto" w:fill="C6D9F1"/>
            <w:tcMar>
              <w:top w:w="110" w:type="dxa"/>
            </w:tcMar>
            <w:vAlign w:val="center"/>
          </w:tcPr>
          <w:p w:rsidR="005A0EB6" w:rsidRPr="008954A8" w:rsidRDefault="005A0EB6" w:rsidP="002C3C33">
            <w:pPr>
              <w:keepNext/>
              <w:adjustRightInd w:val="0"/>
              <w:snapToGrid w:val="0"/>
              <w:spacing w:before="60" w:after="60"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مؤشرات الأداء</w:t>
            </w:r>
          </w:p>
        </w:tc>
        <w:tc>
          <w:tcPr>
            <w:tcW w:w="1233" w:type="pct"/>
            <w:tcBorders>
              <w:top w:val="single" w:sz="4" w:space="0" w:color="auto"/>
              <w:bottom w:val="single" w:sz="4" w:space="0" w:color="auto"/>
            </w:tcBorders>
            <w:shd w:val="clear" w:color="auto" w:fill="C6D9F1"/>
            <w:tcMar>
              <w:top w:w="110" w:type="dxa"/>
            </w:tcMar>
            <w:vAlign w:val="center"/>
          </w:tcPr>
          <w:p w:rsidR="005A0EB6" w:rsidRPr="008954A8" w:rsidRDefault="005A0EB6" w:rsidP="002C3C33">
            <w:pPr>
              <w:keepNext/>
              <w:adjustRightInd w:val="0"/>
              <w:snapToGrid w:val="0"/>
              <w:spacing w:before="60" w:after="60" w:line="300" w:lineRule="exact"/>
              <w:jc w:val="center"/>
              <w:rPr>
                <w:rFonts w:ascii="Arabic Typesetting" w:hAnsi="Arabic Typesetting" w:cs="Arabic Typesetting"/>
                <w:b/>
                <w:bCs/>
                <w:sz w:val="30"/>
                <w:szCs w:val="30"/>
                <w:rtl/>
              </w:rPr>
            </w:pPr>
            <w:r w:rsidRPr="008954A8">
              <w:rPr>
                <w:rFonts w:ascii="Arabic Typesetting" w:hAnsi="Arabic Typesetting" w:cs="Arabic Typesetting"/>
                <w:b/>
                <w:bCs/>
                <w:sz w:val="30"/>
                <w:szCs w:val="30"/>
                <w:rtl/>
              </w:rPr>
              <w:t>أسس المقارنة</w:t>
            </w:r>
          </w:p>
        </w:tc>
        <w:tc>
          <w:tcPr>
            <w:tcW w:w="1166" w:type="pct"/>
            <w:tcBorders>
              <w:top w:val="single" w:sz="4" w:space="0" w:color="auto"/>
              <w:bottom w:val="single" w:sz="4" w:space="0" w:color="auto"/>
            </w:tcBorders>
            <w:shd w:val="clear" w:color="auto" w:fill="C6D9F1"/>
            <w:tcMar>
              <w:top w:w="110" w:type="dxa"/>
            </w:tcMar>
            <w:vAlign w:val="center"/>
          </w:tcPr>
          <w:p w:rsidR="005A0EB6" w:rsidRPr="008954A8" w:rsidRDefault="005A0EB6" w:rsidP="002C3C33">
            <w:pPr>
              <w:keepNext/>
              <w:tabs>
                <w:tab w:val="left" w:pos="1648"/>
                <w:tab w:val="left" w:pos="1758"/>
              </w:tabs>
              <w:adjustRightInd w:val="0"/>
              <w:snapToGrid w:val="0"/>
              <w:spacing w:before="60" w:after="60"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الأهداف</w:t>
            </w:r>
          </w:p>
        </w:tc>
      </w:tr>
      <w:tr w:rsidR="005A0EB6" w:rsidRPr="008954A8" w:rsidTr="00ED49E9">
        <w:trPr>
          <w:cantSplit/>
        </w:trPr>
        <w:tc>
          <w:tcPr>
            <w:tcW w:w="1222" w:type="pct"/>
            <w:tcBorders>
              <w:top w:val="single" w:sz="4" w:space="0" w:color="auto"/>
              <w:bottom w:val="nil"/>
            </w:tcBorders>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ه 2.1</w:t>
            </w:r>
            <w:r w:rsidRPr="008954A8">
              <w:rPr>
                <w:rFonts w:ascii="Arabic Typesetting" w:hAnsi="Arabic Typesetting" w:cs="Arabic Typesetting"/>
                <w:sz w:val="30"/>
                <w:szCs w:val="30"/>
                <w:rtl/>
              </w:rPr>
              <w:t xml:space="preserve"> </w:t>
            </w:r>
            <w:r w:rsidRPr="00FC61E2">
              <w:rPr>
                <w:rFonts w:ascii="Arabic Typesetting" w:hAnsi="Arabic Typesetting" w:cs="Arabic Typesetting"/>
                <w:sz w:val="30"/>
                <w:szCs w:val="30"/>
                <w:rtl/>
              </w:rPr>
              <w:t>أطر تشريعية وتنظيمية وسياسية مكيّفة ومتوازنة في مجال الملكية الفكرية</w:t>
            </w:r>
          </w:p>
        </w:tc>
        <w:tc>
          <w:tcPr>
            <w:tcW w:w="1379" w:type="pct"/>
            <w:tcBorders>
              <w:top w:val="single" w:sz="4" w:space="0" w:color="auto"/>
              <w:bottom w:val="nil"/>
            </w:tcBorders>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عدد و/أو نسبة البلدان التي تقدم رأيا إيجابيا في المشورة التشريعية التي تقدمها الويبو </w:t>
            </w:r>
          </w:p>
        </w:tc>
        <w:tc>
          <w:tcPr>
            <w:tcW w:w="1233" w:type="pct"/>
            <w:tcBorders>
              <w:top w:val="single" w:sz="4" w:space="0" w:color="auto"/>
              <w:bottom w:val="nil"/>
            </w:tcBorders>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تحدد التقسيمات الإقليمية بالتعاون مع البرامج 1 و2 و3 و4</w:t>
            </w:r>
          </w:p>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166" w:type="pct"/>
            <w:tcBorders>
              <w:top w:val="single" w:sz="4" w:space="0" w:color="auto"/>
              <w:bottom w:val="nil"/>
            </w:tcBorders>
            <w:shd w:val="clear" w:color="auto" w:fill="auto"/>
            <w:tcMar>
              <w:top w:w="113" w:type="dxa"/>
            </w:tcMar>
          </w:tcPr>
          <w:p w:rsidR="005A0EB6" w:rsidRPr="008954A8" w:rsidRDefault="005A0EB6" w:rsidP="002C3C33">
            <w:pPr>
              <w:keepNext/>
              <w:keepLines/>
              <w:tabs>
                <w:tab w:val="left" w:pos="2051"/>
              </w:tabs>
              <w:adjustRightInd w:val="0"/>
              <w:snapToGrid w:val="0"/>
              <w:spacing w:before="60" w:after="60"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أفريقيا (90%)</w:t>
            </w:r>
            <w:r>
              <w:rPr>
                <w:rFonts w:ascii="Arabic Typesetting" w:hAnsi="Arabic Typesetting" w:cs="Arabic Typesetting" w:hint="cs"/>
                <w:b/>
                <w:sz w:val="30"/>
                <w:szCs w:val="30"/>
                <w:rtl/>
              </w:rPr>
              <w:br/>
              <w:t>المنطقة العربية (90%)</w:t>
            </w:r>
            <w:r>
              <w:rPr>
                <w:rFonts w:ascii="Arabic Typesetting" w:hAnsi="Arabic Typesetting" w:cs="Arabic Typesetting" w:hint="cs"/>
                <w:b/>
                <w:sz w:val="30"/>
                <w:szCs w:val="30"/>
                <w:rtl/>
              </w:rPr>
              <w:br/>
              <w:t>آسيا والمحيط الهادئ (90%)</w:t>
            </w:r>
            <w:r>
              <w:rPr>
                <w:rFonts w:ascii="Arabic Typesetting" w:hAnsi="Arabic Typesetting" w:cs="Arabic Typesetting" w:hint="cs"/>
                <w:b/>
                <w:sz w:val="30"/>
                <w:szCs w:val="30"/>
                <w:rtl/>
              </w:rPr>
              <w:br/>
              <w:t>أمريكا اللاتينية والكاريبي (90%)</w:t>
            </w:r>
          </w:p>
        </w:tc>
      </w:tr>
      <w:tr w:rsidR="00E115B8" w:rsidRPr="008954A8" w:rsidTr="00ED49E9">
        <w:trPr>
          <w:cantSplit/>
        </w:trPr>
        <w:tc>
          <w:tcPr>
            <w:tcW w:w="1222" w:type="pct"/>
            <w:tcBorders>
              <w:top w:val="nil"/>
              <w:bottom w:val="nil"/>
            </w:tcBorders>
            <w:shd w:val="clear" w:color="auto" w:fill="auto"/>
            <w:tcMar>
              <w:top w:w="113" w:type="dxa"/>
            </w:tcMar>
          </w:tcPr>
          <w:p w:rsidR="00E115B8" w:rsidRPr="008954A8" w:rsidRDefault="00E115B8" w:rsidP="002C3C33">
            <w:pPr>
              <w:adjustRightInd w:val="0"/>
              <w:snapToGrid w:val="0"/>
              <w:spacing w:before="60" w:after="60" w:line="300" w:lineRule="exact"/>
              <w:rPr>
                <w:rFonts w:ascii="Arabic Typesetting" w:hAnsi="Arabic Typesetting" w:cs="Arabic Typesetting"/>
                <w:sz w:val="30"/>
                <w:szCs w:val="30"/>
                <w:rtl/>
              </w:rPr>
            </w:pPr>
            <w:r w:rsidRPr="00C8485D">
              <w:rPr>
                <w:rFonts w:ascii="Arabic Typesetting" w:hAnsi="Arabic Typesetting" w:cs="Arabic Typesetting" w:hint="cs"/>
                <w:sz w:val="30"/>
                <w:szCs w:val="30"/>
                <w:rtl/>
              </w:rPr>
              <w:t>ه 1.2</w:t>
            </w:r>
            <w:r w:rsidRPr="00C8485D">
              <w:rPr>
                <w:rFonts w:ascii="Arabic Typesetting" w:hAnsi="Arabic Typesetting" w:cs="Arabic Typesetting"/>
                <w:sz w:val="30"/>
                <w:szCs w:val="30"/>
                <w:rtl/>
              </w:rPr>
              <w:t xml:space="preserve"> استخدام نظام معاهدة التعاون بشأن البراءات على نطاق أوسع وبفعالية أكبر لإيداع طلبات البراءات الدولية</w:t>
            </w:r>
          </w:p>
        </w:tc>
        <w:tc>
          <w:tcPr>
            <w:tcW w:w="1379" w:type="pct"/>
            <w:tcBorders>
              <w:top w:val="nil"/>
              <w:bottom w:val="nil"/>
            </w:tcBorders>
            <w:shd w:val="clear" w:color="auto" w:fill="auto"/>
            <w:tcMar>
              <w:top w:w="113" w:type="dxa"/>
            </w:tcMar>
          </w:tcPr>
          <w:p w:rsidR="00E115B8" w:rsidRDefault="00E115B8" w:rsidP="002C3C33">
            <w:pPr>
              <w:adjustRightInd w:val="0"/>
              <w:snapToGrid w:val="0"/>
              <w:spacing w:before="60" w:after="60" w:line="300" w:lineRule="exact"/>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عدد الطلبات المودعة بناء على معاهدة التعاون بشأن البراءات والصادرة من </w:t>
            </w:r>
            <w:r>
              <w:rPr>
                <w:rFonts w:ascii="Arabic Typesetting" w:hAnsi="Arabic Typesetting" w:cs="Arabic Typesetting" w:hint="cs"/>
                <w:sz w:val="30"/>
                <w:szCs w:val="30"/>
                <w:rtl/>
              </w:rPr>
              <w:t>البلدان النامية والبلدان الأقل نموا</w:t>
            </w:r>
          </w:p>
        </w:tc>
        <w:tc>
          <w:tcPr>
            <w:tcW w:w="1233" w:type="pct"/>
            <w:tcBorders>
              <w:top w:val="nil"/>
              <w:bottom w:val="nil"/>
            </w:tcBorders>
            <w:shd w:val="clear" w:color="auto" w:fill="FFFFFF"/>
            <w:tcMar>
              <w:top w:w="113" w:type="dxa"/>
            </w:tcMar>
          </w:tcPr>
          <w:p w:rsidR="00E115B8" w:rsidRPr="00E115B8" w:rsidRDefault="00E115B8" w:rsidP="00304B14">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972</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43 (2014)</w:t>
            </w:r>
            <w:r>
              <w:rPr>
                <w:rFonts w:ascii="Arabic Typesetting" w:hAnsi="Arabic Typesetting" w:cs="Arabic Typesetting"/>
                <w:sz w:val="30"/>
                <w:szCs w:val="30"/>
                <w:rtl/>
              </w:rPr>
              <w:br/>
            </w:r>
            <w:r>
              <w:rPr>
                <w:rFonts w:ascii="Arabic Typesetting" w:hAnsi="Arabic Typesetting" w:cs="Arabic Typesetting" w:hint="cs"/>
                <w:sz w:val="30"/>
                <w:szCs w:val="30"/>
                <w:rtl/>
              </w:rPr>
              <w:t>- أفريقيا (352)</w:t>
            </w:r>
            <w:r>
              <w:rPr>
                <w:rFonts w:ascii="Arabic Typesetting" w:hAnsi="Arabic Typesetting" w:cs="Arabic Typesetting" w:hint="cs"/>
                <w:sz w:val="30"/>
                <w:szCs w:val="30"/>
                <w:rtl/>
              </w:rPr>
              <w:br/>
              <w:t>- المنطقة العربية (616)</w:t>
            </w:r>
            <w:r>
              <w:rPr>
                <w:rFonts w:ascii="Arabic Typesetting" w:hAnsi="Arabic Typesetting" w:cs="Arabic Typesetting" w:hint="cs"/>
                <w:sz w:val="30"/>
                <w:szCs w:val="30"/>
                <w:rtl/>
              </w:rPr>
              <w:br/>
              <w:t>- آسيا والمحيط الهادئ (569</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41)</w:t>
            </w:r>
            <w:r w:rsidR="00304B14">
              <w:rPr>
                <w:rFonts w:ascii="Arabic Typesetting" w:hAnsi="Arabic Typesetting" w:cs="Arabic Typesetting"/>
                <w:sz w:val="30"/>
                <w:szCs w:val="30"/>
                <w:rtl/>
              </w:rPr>
              <w:br/>
            </w:r>
            <w:r w:rsidR="00304B14">
              <w:rPr>
                <w:rFonts w:ascii="Arabic Typesetting" w:hAnsi="Arabic Typesetting" w:cs="Arabic Typesetting" w:hint="cs"/>
                <w:sz w:val="30"/>
                <w:szCs w:val="30"/>
                <w:rtl/>
              </w:rPr>
              <w:t>-</w:t>
            </w:r>
            <w:r>
              <w:rPr>
                <w:rFonts w:ascii="Arabic Typesetting" w:hAnsi="Arabic Typesetting" w:cs="Arabic Typesetting" w:hint="cs"/>
                <w:sz w:val="30"/>
                <w:szCs w:val="30"/>
                <w:rtl/>
              </w:rPr>
              <w:t xml:space="preserve"> أمريكا اللاتينية والكاريبي (412</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1)</w:t>
            </w:r>
          </w:p>
        </w:tc>
        <w:tc>
          <w:tcPr>
            <w:tcW w:w="1166" w:type="pct"/>
            <w:tcBorders>
              <w:top w:val="nil"/>
              <w:bottom w:val="nil"/>
            </w:tcBorders>
            <w:shd w:val="clear" w:color="auto" w:fill="auto"/>
            <w:tcMar>
              <w:top w:w="113" w:type="dxa"/>
            </w:tcMar>
          </w:tcPr>
          <w:p w:rsidR="00E115B8" w:rsidRPr="00304B14" w:rsidRDefault="00E115B8" w:rsidP="00304B14">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b/>
                <w:sz w:val="30"/>
                <w:szCs w:val="30"/>
                <w:rtl/>
              </w:rPr>
              <w:br/>
            </w:r>
            <w:r>
              <w:rPr>
                <w:rFonts w:ascii="Arabic Typesetting" w:hAnsi="Arabic Typesetting" w:cs="Arabic Typesetting" w:hint="cs"/>
                <w:sz w:val="30"/>
                <w:szCs w:val="30"/>
                <w:rtl/>
              </w:rPr>
              <w:t>- أفريقيا (ثابت)</w:t>
            </w:r>
            <w:r>
              <w:rPr>
                <w:rFonts w:ascii="Arabic Typesetting" w:hAnsi="Arabic Typesetting" w:cs="Arabic Typesetting" w:hint="cs"/>
                <w:sz w:val="30"/>
                <w:szCs w:val="30"/>
                <w:rtl/>
              </w:rPr>
              <w:br/>
              <w:t>- المنطقة العربية (2% سنويا)</w:t>
            </w:r>
            <w:r>
              <w:rPr>
                <w:rFonts w:ascii="Arabic Typesetting" w:hAnsi="Arabic Typesetting" w:cs="Arabic Typesetting" w:hint="cs"/>
                <w:sz w:val="30"/>
                <w:szCs w:val="30"/>
                <w:rtl/>
              </w:rPr>
              <w:br/>
              <w:t>- آسيا والمحيط الهادئ (2.5%</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سنويا)</w:t>
            </w:r>
            <w:r w:rsidR="00304B14">
              <w:rPr>
                <w:rFonts w:ascii="Arabic Typesetting" w:hAnsi="Arabic Typesetting" w:cs="Arabic Typesetting"/>
                <w:sz w:val="30"/>
                <w:szCs w:val="30"/>
                <w:rtl/>
              </w:rPr>
              <w:br/>
            </w:r>
            <w:r w:rsidR="00304B14">
              <w:rPr>
                <w:rFonts w:ascii="Arabic Typesetting" w:hAnsi="Arabic Typesetting" w:cs="Arabic Typesetting" w:hint="cs"/>
                <w:sz w:val="30"/>
                <w:szCs w:val="30"/>
                <w:rtl/>
              </w:rPr>
              <w:t xml:space="preserve">- </w:t>
            </w:r>
            <w:r>
              <w:rPr>
                <w:rFonts w:ascii="Arabic Typesetting" w:hAnsi="Arabic Typesetting" w:cs="Arabic Typesetting" w:hint="cs"/>
                <w:sz w:val="30"/>
                <w:szCs w:val="30"/>
                <w:rtl/>
              </w:rPr>
              <w:t>أمريكا اللاتينية والكاريبي (</w:t>
            </w:r>
            <w:r w:rsidR="001911D7">
              <w:rPr>
                <w:rFonts w:ascii="Arabic Typesetting" w:hAnsi="Arabic Typesetting" w:cs="Arabic Typesetting" w:hint="cs"/>
                <w:sz w:val="30"/>
                <w:szCs w:val="30"/>
                <w:rtl/>
              </w:rPr>
              <w:t>1.5% سنويا</w:t>
            </w:r>
            <w:r>
              <w:rPr>
                <w:rFonts w:ascii="Arabic Typesetting" w:hAnsi="Arabic Typesetting" w:cs="Arabic Typesetting" w:hint="cs"/>
                <w:sz w:val="30"/>
                <w:szCs w:val="30"/>
                <w:rtl/>
              </w:rPr>
              <w:t>)</w:t>
            </w:r>
          </w:p>
        </w:tc>
      </w:tr>
      <w:tr w:rsidR="001911D7" w:rsidRPr="008954A8" w:rsidTr="00ED49E9">
        <w:trPr>
          <w:cantSplit/>
        </w:trPr>
        <w:tc>
          <w:tcPr>
            <w:tcW w:w="1222" w:type="pct"/>
            <w:tcBorders>
              <w:top w:val="nil"/>
              <w:bottom w:val="single" w:sz="4" w:space="0" w:color="auto"/>
            </w:tcBorders>
            <w:shd w:val="clear" w:color="auto" w:fill="auto"/>
            <w:tcMar>
              <w:top w:w="113" w:type="dxa"/>
            </w:tcMar>
          </w:tcPr>
          <w:p w:rsidR="001911D7" w:rsidRPr="00C8485D" w:rsidRDefault="004E5F50"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ه 4.2</w:t>
            </w:r>
            <w:r w:rsidRPr="008954A8">
              <w:rPr>
                <w:rFonts w:ascii="Arabic Typesetting" w:hAnsi="Arabic Typesetting" w:cs="Arabic Typesetting"/>
                <w:sz w:val="30"/>
                <w:szCs w:val="30"/>
                <w:rtl/>
              </w:rPr>
              <w:t xml:space="preserve"> </w:t>
            </w:r>
            <w:r w:rsidRPr="005D0CAA">
              <w:rPr>
                <w:rFonts w:ascii="Arabic Typesetting" w:hAnsi="Arabic Typesetting" w:cs="Arabic Typesetting"/>
                <w:sz w:val="30"/>
                <w:szCs w:val="30"/>
                <w:rtl/>
              </w:rPr>
              <w:t>استخدام نظ</w:t>
            </w:r>
            <w:r>
              <w:rPr>
                <w:rFonts w:ascii="Arabic Typesetting" w:hAnsi="Arabic Typesetting" w:cs="Arabic Typesetting"/>
                <w:sz w:val="30"/>
                <w:szCs w:val="30"/>
                <w:rtl/>
              </w:rPr>
              <w:t>ام لاهاي على نطاق أوسع و</w:t>
            </w:r>
            <w:r>
              <w:rPr>
                <w:rFonts w:ascii="Arabic Typesetting" w:hAnsi="Arabic Typesetting" w:cs="Arabic Typesetting" w:hint="cs"/>
                <w:sz w:val="30"/>
                <w:szCs w:val="30"/>
                <w:rtl/>
              </w:rPr>
              <w:t>بفعالية أكبر</w:t>
            </w:r>
            <w:r w:rsidRPr="005D0CAA">
              <w:rPr>
                <w:rFonts w:ascii="Arabic Typesetting" w:hAnsi="Arabic Typesetting" w:cs="Arabic Typesetting"/>
                <w:sz w:val="30"/>
                <w:szCs w:val="30"/>
                <w:rtl/>
              </w:rPr>
              <w:t>، بما في ذلك من قبل البلدان النامية والبلدان الأقل نموا</w:t>
            </w:r>
          </w:p>
        </w:tc>
        <w:tc>
          <w:tcPr>
            <w:tcW w:w="1379" w:type="pct"/>
            <w:tcBorders>
              <w:top w:val="nil"/>
              <w:bottom w:val="single" w:sz="4" w:space="0" w:color="auto"/>
            </w:tcBorders>
            <w:shd w:val="clear" w:color="auto" w:fill="auto"/>
            <w:tcMar>
              <w:top w:w="113" w:type="dxa"/>
            </w:tcMar>
          </w:tcPr>
          <w:p w:rsidR="001911D7" w:rsidRPr="00C8485D" w:rsidRDefault="004E5F50" w:rsidP="004E5F50">
            <w:pPr>
              <w:adjustRightInd w:val="0"/>
              <w:snapToGrid w:val="0"/>
              <w:spacing w:before="60" w:after="60" w:line="300" w:lineRule="exact"/>
              <w:rPr>
                <w:rFonts w:ascii="Arabic Typesetting" w:hAnsi="Arabic Typesetting" w:cs="Arabic Typesetting"/>
                <w:sz w:val="30"/>
                <w:szCs w:val="30"/>
                <w:rtl/>
              </w:rPr>
            </w:pPr>
            <w:r w:rsidRPr="00C8485D">
              <w:rPr>
                <w:rFonts w:ascii="Arabic Typesetting" w:hAnsi="Arabic Typesetting" w:cs="Arabic Typesetting"/>
                <w:sz w:val="30"/>
                <w:szCs w:val="30"/>
                <w:rtl/>
              </w:rPr>
              <w:t xml:space="preserve">عدد الطلبات المودعة بناء على </w:t>
            </w:r>
            <w:r>
              <w:rPr>
                <w:rFonts w:ascii="Arabic Typesetting" w:hAnsi="Arabic Typesetting" w:cs="Arabic Typesetting" w:hint="cs"/>
                <w:sz w:val="30"/>
                <w:szCs w:val="30"/>
                <w:rtl/>
              </w:rPr>
              <w:t>نظام لاهاي</w:t>
            </w:r>
            <w:r w:rsidRPr="00C8485D">
              <w:rPr>
                <w:rFonts w:ascii="Arabic Typesetting" w:hAnsi="Arabic Typesetting" w:cs="Arabic Typesetting"/>
                <w:sz w:val="30"/>
                <w:szCs w:val="30"/>
                <w:rtl/>
              </w:rPr>
              <w:t xml:space="preserve"> والصادرة من </w:t>
            </w:r>
            <w:r>
              <w:rPr>
                <w:rFonts w:ascii="Arabic Typesetting" w:hAnsi="Arabic Typesetting" w:cs="Arabic Typesetting" w:hint="cs"/>
                <w:sz w:val="30"/>
                <w:szCs w:val="30"/>
                <w:rtl/>
              </w:rPr>
              <w:t>البلدان النامية والبلدان الأقل نموا</w:t>
            </w:r>
          </w:p>
        </w:tc>
        <w:tc>
          <w:tcPr>
            <w:tcW w:w="1233" w:type="pct"/>
            <w:tcBorders>
              <w:top w:val="nil"/>
              <w:bottom w:val="single" w:sz="4" w:space="0" w:color="auto"/>
            </w:tcBorders>
            <w:shd w:val="clear" w:color="auto" w:fill="FFFFFF"/>
            <w:tcMar>
              <w:top w:w="113" w:type="dxa"/>
            </w:tcMar>
          </w:tcPr>
          <w:p w:rsidR="004E5F50" w:rsidRDefault="004E5F50" w:rsidP="004E5F5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105 (2014)</w:t>
            </w:r>
            <w:r>
              <w:rPr>
                <w:rFonts w:ascii="Arabic Typesetting" w:hAnsi="Arabic Typesetting" w:cs="Arabic Typesetting"/>
                <w:sz w:val="30"/>
                <w:szCs w:val="30"/>
                <w:rtl/>
              </w:rPr>
              <w:br/>
            </w:r>
            <w:r>
              <w:rPr>
                <w:rFonts w:ascii="Arabic Typesetting" w:hAnsi="Arabic Typesetting" w:cs="Arabic Typesetting" w:hint="cs"/>
                <w:sz w:val="30"/>
                <w:szCs w:val="30"/>
                <w:rtl/>
              </w:rPr>
              <w:t>- أفريقيا (5)</w:t>
            </w:r>
            <w:r>
              <w:rPr>
                <w:rFonts w:ascii="Arabic Typesetting" w:hAnsi="Arabic Typesetting" w:cs="Arabic Typesetting" w:hint="cs"/>
                <w:sz w:val="30"/>
                <w:szCs w:val="30"/>
                <w:rtl/>
              </w:rPr>
              <w:br/>
              <w:t>- المنطقة العربية (6)</w:t>
            </w:r>
            <w:r>
              <w:rPr>
                <w:rFonts w:ascii="Arabic Typesetting" w:hAnsi="Arabic Typesetting" w:cs="Arabic Typesetting" w:hint="cs"/>
                <w:sz w:val="30"/>
                <w:szCs w:val="30"/>
                <w:rtl/>
              </w:rPr>
              <w:br/>
              <w:t>- آسيا والمحيط الهادئ (94)</w:t>
            </w:r>
          </w:p>
          <w:p w:rsidR="001911D7" w:rsidRDefault="001911D7" w:rsidP="00E115B8">
            <w:pPr>
              <w:adjustRightInd w:val="0"/>
              <w:snapToGrid w:val="0"/>
              <w:spacing w:before="60" w:after="60" w:line="300" w:lineRule="exact"/>
              <w:rPr>
                <w:rFonts w:ascii="Arabic Typesetting" w:hAnsi="Arabic Typesetting" w:cs="Arabic Typesetting"/>
                <w:sz w:val="30"/>
                <w:szCs w:val="30"/>
                <w:rtl/>
              </w:rPr>
            </w:pPr>
          </w:p>
        </w:tc>
        <w:tc>
          <w:tcPr>
            <w:tcW w:w="1166" w:type="pct"/>
            <w:tcBorders>
              <w:top w:val="nil"/>
              <w:bottom w:val="single" w:sz="4" w:space="0" w:color="auto"/>
            </w:tcBorders>
            <w:shd w:val="clear" w:color="auto" w:fill="auto"/>
            <w:tcMar>
              <w:top w:w="113" w:type="dxa"/>
            </w:tcMar>
          </w:tcPr>
          <w:p w:rsidR="004E5F50" w:rsidRDefault="004E5F50" w:rsidP="004E5F5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b/>
                <w:sz w:val="30"/>
                <w:szCs w:val="30"/>
                <w:rtl/>
              </w:rPr>
              <w:br/>
            </w:r>
            <w:r>
              <w:rPr>
                <w:rFonts w:ascii="Arabic Typesetting" w:hAnsi="Arabic Typesetting" w:cs="Arabic Typesetting" w:hint="cs"/>
                <w:sz w:val="30"/>
                <w:szCs w:val="30"/>
                <w:rtl/>
              </w:rPr>
              <w:t>- أفريقيا (ثابت)</w:t>
            </w:r>
            <w:r>
              <w:rPr>
                <w:rFonts w:ascii="Arabic Typesetting" w:hAnsi="Arabic Typesetting" w:cs="Arabic Typesetting" w:hint="cs"/>
                <w:sz w:val="30"/>
                <w:szCs w:val="30"/>
                <w:rtl/>
              </w:rPr>
              <w:br/>
              <w:t>- المنطقة العربية (ثابت)</w:t>
            </w:r>
            <w:r>
              <w:rPr>
                <w:rFonts w:ascii="Arabic Typesetting" w:hAnsi="Arabic Typesetting" w:cs="Arabic Typesetting" w:hint="cs"/>
                <w:sz w:val="30"/>
                <w:szCs w:val="30"/>
                <w:rtl/>
              </w:rPr>
              <w:br/>
              <w:t>- آسيا والمحيط الهادئ (10%</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سنويا)</w:t>
            </w:r>
          </w:p>
          <w:p w:rsidR="001911D7" w:rsidRDefault="001911D7" w:rsidP="00E115B8">
            <w:pPr>
              <w:adjustRightInd w:val="0"/>
              <w:snapToGrid w:val="0"/>
              <w:spacing w:before="60" w:after="60" w:line="300" w:lineRule="exact"/>
              <w:rPr>
                <w:rFonts w:ascii="Arabic Typesetting" w:hAnsi="Arabic Typesetting" w:cs="Arabic Typesetting"/>
                <w:b/>
                <w:sz w:val="30"/>
                <w:szCs w:val="30"/>
                <w:rtl/>
              </w:rPr>
            </w:pPr>
          </w:p>
        </w:tc>
      </w:tr>
      <w:tr w:rsidR="007A3BCD" w:rsidRPr="008954A8" w:rsidTr="00ED49E9">
        <w:trPr>
          <w:cantSplit/>
        </w:trPr>
        <w:tc>
          <w:tcPr>
            <w:tcW w:w="1222" w:type="pct"/>
            <w:tcBorders>
              <w:top w:val="single" w:sz="4" w:space="0" w:color="auto"/>
              <w:bottom w:val="nil"/>
            </w:tcBorders>
            <w:shd w:val="clear" w:color="auto" w:fill="auto"/>
            <w:tcMar>
              <w:top w:w="113" w:type="dxa"/>
            </w:tcMar>
          </w:tcPr>
          <w:p w:rsidR="007A3BCD" w:rsidRPr="008954A8" w:rsidRDefault="007A3BCD" w:rsidP="00C37500">
            <w:pPr>
              <w:adjustRightInd w:val="0"/>
              <w:snapToGrid w:val="0"/>
              <w:spacing w:before="60" w:after="60" w:line="300" w:lineRule="exact"/>
              <w:rPr>
                <w:rFonts w:ascii="Arabic Typesetting" w:hAnsi="Arabic Typesetting" w:cs="Arabic Typesetting"/>
                <w:sz w:val="30"/>
                <w:szCs w:val="30"/>
                <w:rtl/>
              </w:rPr>
            </w:pPr>
            <w:r w:rsidRPr="00C8485D">
              <w:rPr>
                <w:rFonts w:ascii="Arabic Typesetting" w:hAnsi="Arabic Typesetting" w:cs="Arabic Typesetting" w:hint="cs"/>
                <w:sz w:val="30"/>
                <w:szCs w:val="30"/>
                <w:rtl/>
              </w:rPr>
              <w:lastRenderedPageBreak/>
              <w:t>ه 6.2</w:t>
            </w:r>
            <w:r w:rsidRPr="00C8485D">
              <w:rPr>
                <w:rFonts w:ascii="Arabic Typesetting" w:hAnsi="Arabic Typesetting" w:cs="Arabic Typesetting"/>
                <w:sz w:val="30"/>
                <w:szCs w:val="30"/>
                <w:rtl/>
              </w:rPr>
              <w:t xml:space="preserve"> استخدام نظام مدريد على نطاق أوسع وبفعالية أكبر، بما في ذلك من قبل البلدان النامية والبلدان الأقل نموا</w:t>
            </w:r>
          </w:p>
        </w:tc>
        <w:tc>
          <w:tcPr>
            <w:tcW w:w="1379" w:type="pct"/>
            <w:tcBorders>
              <w:top w:val="single" w:sz="4" w:space="0" w:color="auto"/>
              <w:bottom w:val="nil"/>
            </w:tcBorders>
            <w:shd w:val="clear" w:color="auto" w:fill="auto"/>
            <w:tcMar>
              <w:top w:w="113" w:type="dxa"/>
            </w:tcMar>
          </w:tcPr>
          <w:p w:rsidR="007A3BCD" w:rsidRPr="00C8485D" w:rsidRDefault="007A3BCD" w:rsidP="007A3BCD">
            <w:pPr>
              <w:adjustRightInd w:val="0"/>
              <w:snapToGrid w:val="0"/>
              <w:spacing w:before="60" w:after="60" w:line="300" w:lineRule="exact"/>
              <w:rPr>
                <w:rFonts w:ascii="Arabic Typesetting" w:hAnsi="Arabic Typesetting" w:cs="Arabic Typesetting"/>
                <w:sz w:val="30"/>
                <w:szCs w:val="30"/>
                <w:rtl/>
              </w:rPr>
            </w:pPr>
            <w:r w:rsidRPr="007A3BCD">
              <w:rPr>
                <w:rFonts w:ascii="Arabic Typesetting" w:hAnsi="Arabic Typesetting" w:cs="Arabic Typesetting"/>
                <w:sz w:val="30"/>
                <w:szCs w:val="30"/>
                <w:rtl/>
              </w:rPr>
              <w:t xml:space="preserve">عدد الطلبات المودعة بناء على </w:t>
            </w:r>
            <w:r w:rsidRPr="007A3BCD">
              <w:rPr>
                <w:rFonts w:ascii="Arabic Typesetting" w:hAnsi="Arabic Typesetting" w:cs="Arabic Typesetting" w:hint="cs"/>
                <w:sz w:val="30"/>
                <w:szCs w:val="30"/>
                <w:rtl/>
              </w:rPr>
              <w:t xml:space="preserve">نظام </w:t>
            </w:r>
            <w:r>
              <w:rPr>
                <w:rFonts w:ascii="Arabic Typesetting" w:hAnsi="Arabic Typesetting" w:cs="Arabic Typesetting" w:hint="cs"/>
                <w:sz w:val="30"/>
                <w:szCs w:val="30"/>
                <w:rtl/>
              </w:rPr>
              <w:t>مدريد</w:t>
            </w:r>
            <w:r w:rsidRPr="007A3BCD">
              <w:rPr>
                <w:rFonts w:ascii="Arabic Typesetting" w:hAnsi="Arabic Typesetting" w:cs="Arabic Typesetting"/>
                <w:sz w:val="30"/>
                <w:szCs w:val="30"/>
                <w:rtl/>
              </w:rPr>
              <w:t xml:space="preserve"> والصادرة من </w:t>
            </w:r>
            <w:r w:rsidRPr="007A3BCD">
              <w:rPr>
                <w:rFonts w:ascii="Arabic Typesetting" w:hAnsi="Arabic Typesetting" w:cs="Arabic Typesetting" w:hint="cs"/>
                <w:sz w:val="30"/>
                <w:szCs w:val="30"/>
                <w:rtl/>
              </w:rPr>
              <w:t>البلدان النامية والبلدان الأقل نموا</w:t>
            </w:r>
          </w:p>
        </w:tc>
        <w:tc>
          <w:tcPr>
            <w:tcW w:w="1233" w:type="pct"/>
            <w:tcBorders>
              <w:top w:val="single" w:sz="4" w:space="0" w:color="auto"/>
              <w:bottom w:val="nil"/>
            </w:tcBorders>
            <w:shd w:val="clear" w:color="auto" w:fill="FFFFFF"/>
            <w:tcMar>
              <w:top w:w="113" w:type="dxa"/>
            </w:tcMar>
          </w:tcPr>
          <w:p w:rsidR="007A3BCD" w:rsidRDefault="007A3BCD" w:rsidP="00304B14">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629</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3 (2014)</w:t>
            </w:r>
            <w:r>
              <w:rPr>
                <w:rFonts w:ascii="Arabic Typesetting" w:hAnsi="Arabic Typesetting" w:cs="Arabic Typesetting"/>
                <w:sz w:val="30"/>
                <w:szCs w:val="30"/>
                <w:rtl/>
              </w:rPr>
              <w:br/>
            </w:r>
            <w:r>
              <w:rPr>
                <w:rFonts w:ascii="Arabic Typesetting" w:hAnsi="Arabic Typesetting" w:cs="Arabic Typesetting" w:hint="cs"/>
                <w:sz w:val="30"/>
                <w:szCs w:val="30"/>
                <w:rtl/>
              </w:rPr>
              <w:t>- أفريقيا (18)</w:t>
            </w:r>
            <w:r>
              <w:rPr>
                <w:rFonts w:ascii="Arabic Typesetting" w:hAnsi="Arabic Typesetting" w:cs="Arabic Typesetting" w:hint="cs"/>
                <w:sz w:val="30"/>
                <w:szCs w:val="30"/>
                <w:rtl/>
              </w:rPr>
              <w:br/>
              <w:t>- المنطقة العربية (122)</w:t>
            </w:r>
            <w:r>
              <w:rPr>
                <w:rFonts w:ascii="Arabic Typesetting" w:hAnsi="Arabic Typesetting" w:cs="Arabic Typesetting" w:hint="cs"/>
                <w:sz w:val="30"/>
                <w:szCs w:val="30"/>
                <w:rtl/>
              </w:rPr>
              <w:br/>
              <w:t>- آسيا والمحيط الهادئ (338</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3)</w:t>
            </w:r>
            <w:r w:rsidR="00304B14">
              <w:rPr>
                <w:rFonts w:ascii="Arabic Typesetting" w:hAnsi="Arabic Typesetting" w:cs="Arabic Typesetting"/>
                <w:sz w:val="30"/>
                <w:szCs w:val="30"/>
                <w:rtl/>
              </w:rPr>
              <w:br/>
            </w:r>
            <w:r w:rsidR="00304B14">
              <w:rPr>
                <w:rFonts w:ascii="Arabic Typesetting" w:hAnsi="Arabic Typesetting" w:cs="Arabic Typesetting" w:hint="cs"/>
                <w:sz w:val="30"/>
                <w:szCs w:val="30"/>
                <w:rtl/>
              </w:rPr>
              <w:t xml:space="preserve">- </w:t>
            </w:r>
            <w:r>
              <w:rPr>
                <w:rFonts w:ascii="Arabic Typesetting" w:hAnsi="Arabic Typesetting" w:cs="Arabic Typesetting" w:hint="cs"/>
                <w:sz w:val="30"/>
                <w:szCs w:val="30"/>
                <w:rtl/>
              </w:rPr>
              <w:t>أمريكا اللاتينية والكاريبي (151)</w:t>
            </w:r>
          </w:p>
        </w:tc>
        <w:tc>
          <w:tcPr>
            <w:tcW w:w="1166" w:type="pct"/>
            <w:tcBorders>
              <w:top w:val="single" w:sz="4" w:space="0" w:color="auto"/>
              <w:bottom w:val="nil"/>
            </w:tcBorders>
            <w:shd w:val="clear" w:color="auto" w:fill="auto"/>
            <w:tcMar>
              <w:top w:w="113" w:type="dxa"/>
            </w:tcMar>
          </w:tcPr>
          <w:p w:rsidR="007A3BCD" w:rsidRPr="00304B14" w:rsidRDefault="007A3BCD" w:rsidP="00304B14">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b/>
                <w:sz w:val="30"/>
                <w:szCs w:val="30"/>
                <w:rtl/>
              </w:rPr>
              <w:br/>
            </w:r>
            <w:r>
              <w:rPr>
                <w:rFonts w:ascii="Arabic Typesetting" w:hAnsi="Arabic Typesetting" w:cs="Arabic Typesetting" w:hint="cs"/>
                <w:sz w:val="30"/>
                <w:szCs w:val="30"/>
                <w:rtl/>
              </w:rPr>
              <w:t>- أفريقيا (ثابت)</w:t>
            </w:r>
            <w:r>
              <w:rPr>
                <w:rFonts w:ascii="Arabic Typesetting" w:hAnsi="Arabic Typesetting" w:cs="Arabic Typesetting" w:hint="cs"/>
                <w:sz w:val="30"/>
                <w:szCs w:val="30"/>
                <w:rtl/>
              </w:rPr>
              <w:br/>
              <w:t>- المنطقة العربية (ثابت)</w:t>
            </w:r>
            <w:r>
              <w:rPr>
                <w:rFonts w:ascii="Arabic Typesetting" w:hAnsi="Arabic Typesetting" w:cs="Arabic Typesetting" w:hint="cs"/>
                <w:sz w:val="30"/>
                <w:szCs w:val="30"/>
                <w:rtl/>
              </w:rPr>
              <w:br/>
              <w:t>- آسيا والمحيط الهادئ (5%</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سنويا)</w:t>
            </w:r>
            <w:r w:rsidR="00304B14">
              <w:rPr>
                <w:rFonts w:ascii="Arabic Typesetting" w:hAnsi="Arabic Typesetting" w:cs="Arabic Typesetting"/>
                <w:sz w:val="30"/>
                <w:szCs w:val="30"/>
                <w:rtl/>
              </w:rPr>
              <w:br/>
            </w:r>
            <w:r w:rsidR="00304B14">
              <w:rPr>
                <w:rFonts w:ascii="Arabic Typesetting" w:hAnsi="Arabic Typesetting" w:cs="Arabic Typesetting" w:hint="cs"/>
                <w:sz w:val="30"/>
                <w:szCs w:val="30"/>
                <w:rtl/>
              </w:rPr>
              <w:t>-</w:t>
            </w:r>
            <w:r>
              <w:rPr>
                <w:rFonts w:ascii="Arabic Typesetting" w:hAnsi="Arabic Typesetting" w:cs="Arabic Typesetting" w:hint="cs"/>
                <w:sz w:val="30"/>
                <w:szCs w:val="30"/>
                <w:rtl/>
              </w:rPr>
              <w:t xml:space="preserve"> أمريكا اللاتينية والكاريبي (10% سنويا)</w:t>
            </w:r>
          </w:p>
        </w:tc>
      </w:tr>
      <w:tr w:rsidR="007A3BCD" w:rsidRPr="008954A8" w:rsidTr="00ED49E9">
        <w:trPr>
          <w:cantSplit/>
        </w:trPr>
        <w:tc>
          <w:tcPr>
            <w:tcW w:w="1222" w:type="pct"/>
            <w:tcBorders>
              <w:top w:val="nil"/>
            </w:tcBorders>
            <w:shd w:val="clear" w:color="auto" w:fill="auto"/>
            <w:tcMar>
              <w:top w:w="113" w:type="dxa"/>
            </w:tcMar>
          </w:tcPr>
          <w:p w:rsidR="007A3BCD" w:rsidRPr="00C8485D" w:rsidRDefault="007A3BCD" w:rsidP="002C3C33">
            <w:pPr>
              <w:adjustRightInd w:val="0"/>
              <w:snapToGrid w:val="0"/>
              <w:spacing w:before="60" w:after="60" w:line="300" w:lineRule="exact"/>
              <w:rPr>
                <w:rFonts w:ascii="Arabic Typesetting" w:hAnsi="Arabic Typesetting" w:cs="Arabic Typesetting"/>
                <w:sz w:val="30"/>
                <w:szCs w:val="30"/>
                <w:rtl/>
              </w:rPr>
            </w:pPr>
          </w:p>
        </w:tc>
        <w:tc>
          <w:tcPr>
            <w:tcW w:w="1379" w:type="pct"/>
            <w:tcBorders>
              <w:top w:val="nil"/>
            </w:tcBorders>
            <w:shd w:val="clear" w:color="auto" w:fill="auto"/>
            <w:tcMar>
              <w:top w:w="113" w:type="dxa"/>
            </w:tcMar>
          </w:tcPr>
          <w:p w:rsidR="007A3BCD" w:rsidRPr="007A3BCD" w:rsidRDefault="00304B14" w:rsidP="007A3BCD">
            <w:pPr>
              <w:adjustRightInd w:val="0"/>
              <w:snapToGrid w:val="0"/>
              <w:spacing w:before="60" w:after="60" w:line="300" w:lineRule="exact"/>
              <w:rPr>
                <w:rFonts w:ascii="Arabic Typesetting" w:hAnsi="Arabic Typesetting" w:cs="Arabic Typesetting"/>
                <w:sz w:val="30"/>
                <w:szCs w:val="30"/>
                <w:rtl/>
              </w:rPr>
            </w:pPr>
            <w:r w:rsidRPr="00C8485D">
              <w:rPr>
                <w:rFonts w:ascii="Arabic Typesetting" w:hAnsi="Arabic Typesetting" w:cs="Arabic Typesetting"/>
                <w:sz w:val="30"/>
                <w:szCs w:val="30"/>
                <w:rtl/>
              </w:rPr>
              <w:t>عدد التسجيلات الدولية من البلدان النامية والبلدان الأقل نموا السارية بموجب نظام لشبونة (بالنسبة للرقم الكلي)</w:t>
            </w:r>
          </w:p>
        </w:tc>
        <w:tc>
          <w:tcPr>
            <w:tcW w:w="1233" w:type="pct"/>
            <w:tcBorders>
              <w:top w:val="nil"/>
            </w:tcBorders>
            <w:shd w:val="clear" w:color="auto" w:fill="FFFFFF"/>
            <w:tcMar>
              <w:top w:w="113" w:type="dxa"/>
            </w:tcMar>
          </w:tcPr>
          <w:p w:rsidR="00304B14" w:rsidRDefault="00304B14" w:rsidP="00304B14">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 xml:space="preserve">78 </w:t>
            </w:r>
            <w:r w:rsidRPr="00823E6E">
              <w:rPr>
                <w:rFonts w:ascii="Arabic Typesetting" w:hAnsi="Arabic Typesetting" w:cs="Arabic Typesetting"/>
                <w:sz w:val="30"/>
                <w:szCs w:val="30"/>
                <w:rtl/>
              </w:rPr>
              <w:t>من أصل 896</w:t>
            </w:r>
            <w:r>
              <w:rPr>
                <w:rFonts w:ascii="Arabic Typesetting" w:hAnsi="Arabic Typesetting" w:cs="Arabic Typesetting" w:hint="cs"/>
                <w:sz w:val="30"/>
                <w:szCs w:val="30"/>
                <w:rtl/>
              </w:rPr>
              <w:br/>
              <w:t>- المنطقة العربية (14)</w:t>
            </w:r>
            <w:r>
              <w:rPr>
                <w:rFonts w:ascii="Arabic Typesetting" w:hAnsi="Arabic Typesetting" w:cs="Arabic Typesetting" w:hint="cs"/>
                <w:sz w:val="30"/>
                <w:szCs w:val="30"/>
                <w:rtl/>
              </w:rPr>
              <w:br/>
              <w:t>- آسيا والمحيط الهادئ (22)</w:t>
            </w:r>
            <w:r>
              <w:rPr>
                <w:rFonts w:ascii="Arabic Typesetting" w:hAnsi="Arabic Typesetting" w:cs="Arabic Typesetting"/>
                <w:sz w:val="30"/>
                <w:szCs w:val="30"/>
                <w:rtl/>
              </w:rPr>
              <w:br/>
            </w:r>
            <w:r>
              <w:rPr>
                <w:rFonts w:ascii="Arabic Typesetting" w:hAnsi="Arabic Typesetting" w:cs="Arabic Typesetting" w:hint="cs"/>
                <w:sz w:val="30"/>
                <w:szCs w:val="30"/>
                <w:rtl/>
              </w:rPr>
              <w:t>- أمريكا اللاتينية والكاريبي (42)</w:t>
            </w:r>
            <w:r>
              <w:rPr>
                <w:rFonts w:ascii="Arabic Typesetting" w:hAnsi="Arabic Typesetting" w:cs="Arabic Typesetting"/>
                <w:sz w:val="30"/>
                <w:szCs w:val="30"/>
                <w:rtl/>
              </w:rPr>
              <w:br/>
            </w:r>
            <w:r>
              <w:rPr>
                <w:rFonts w:ascii="Arabic Typesetting" w:hAnsi="Arabic Typesetting" w:cs="Arabic Typesetting" w:hint="cs"/>
                <w:sz w:val="30"/>
                <w:szCs w:val="30"/>
                <w:rtl/>
              </w:rPr>
              <w:t>(مارس 2015)</w:t>
            </w:r>
          </w:p>
        </w:tc>
        <w:tc>
          <w:tcPr>
            <w:tcW w:w="1166" w:type="pct"/>
            <w:tcBorders>
              <w:top w:val="nil"/>
            </w:tcBorders>
            <w:shd w:val="clear" w:color="auto" w:fill="auto"/>
            <w:tcMar>
              <w:top w:w="113" w:type="dxa"/>
            </w:tcMar>
          </w:tcPr>
          <w:p w:rsidR="007A3BCD" w:rsidRDefault="00304B14" w:rsidP="00304B14">
            <w:pPr>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b/>
                <w:sz w:val="30"/>
                <w:szCs w:val="30"/>
                <w:rtl/>
              </w:rPr>
              <w:t xml:space="preserve">90 </w:t>
            </w:r>
            <w:r w:rsidRPr="00823E6E">
              <w:rPr>
                <w:rFonts w:ascii="Arabic Typesetting" w:hAnsi="Arabic Typesetting" w:cs="Arabic Typesetting"/>
                <w:b/>
                <w:sz w:val="30"/>
                <w:szCs w:val="30"/>
                <w:rtl/>
              </w:rPr>
              <w:t>من أصل 950</w:t>
            </w:r>
            <w:r>
              <w:rPr>
                <w:rFonts w:ascii="Arabic Typesetting" w:hAnsi="Arabic Typesetting" w:cs="Arabic Typesetting" w:hint="cs"/>
                <w:b/>
                <w:sz w:val="30"/>
                <w:szCs w:val="30"/>
                <w:rtl/>
              </w:rPr>
              <w:t xml:space="preserve"> (كل</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سنتين)</w:t>
            </w:r>
          </w:p>
        </w:tc>
      </w:tr>
      <w:tr w:rsidR="005A0EB6" w:rsidRPr="008954A8" w:rsidTr="002C3C33">
        <w:trPr>
          <w:cantSplit/>
          <w:trHeight w:val="1408"/>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ه 1.3</w:t>
            </w:r>
            <w:r w:rsidRPr="008954A8">
              <w:rPr>
                <w:rFonts w:ascii="Arabic Typesetting" w:hAnsi="Arabic Typesetting" w:cs="Arabic Typesetting"/>
                <w:sz w:val="30"/>
                <w:szCs w:val="30"/>
                <w:rtl/>
              </w:rPr>
              <w:t xml:space="preserve"> </w:t>
            </w:r>
            <w:r w:rsidRPr="00FC61E2">
              <w:rPr>
                <w:rFonts w:ascii="Arabic Typesetting" w:hAnsi="Arabic Typesetting" w:cs="Arabic Typesetting"/>
                <w:sz w:val="30"/>
                <w:szCs w:val="30"/>
                <w:rtl/>
              </w:rPr>
              <w:t>استراتيجيات وخطط وطنية في مجالي الابتكار والملكية الفكرية تتماشى مع الأهداف الإنمائية الوطنية</w:t>
            </w: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عدد البلدان </w:t>
            </w:r>
            <w:r>
              <w:rPr>
                <w:rFonts w:ascii="Arabic Typesetting" w:hAnsi="Arabic Typesetting" w:cs="Arabic Typesetting" w:hint="cs"/>
                <w:sz w:val="30"/>
                <w:szCs w:val="30"/>
                <w:rtl/>
              </w:rPr>
              <w:t>في طور</w:t>
            </w:r>
            <w:r w:rsidRPr="008954A8">
              <w:rPr>
                <w:rFonts w:ascii="Arabic Typesetting" w:hAnsi="Arabic Typesetting" w:cs="Arabic Typesetting"/>
                <w:sz w:val="30"/>
                <w:szCs w:val="30"/>
                <w:rtl/>
              </w:rPr>
              <w:t xml:space="preserve"> صياغة الاستر</w:t>
            </w:r>
            <w:r w:rsidR="007951DD">
              <w:rPr>
                <w:rFonts w:ascii="Arabic Typesetting" w:hAnsi="Arabic Typesetting" w:cs="Arabic Typesetting"/>
                <w:sz w:val="30"/>
                <w:szCs w:val="30"/>
                <w:rtl/>
              </w:rPr>
              <w:t>اتيجيات الوطنية للملكية الفكرية</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lang w:bidi="ar-SA"/>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24 تراكميا</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t>المنطقة العربية (4 في عام 2014)</w:t>
            </w:r>
            <w:r>
              <w:rPr>
                <w:rFonts w:ascii="Arabic Typesetting" w:hAnsi="Arabic Typesetting" w:cs="Arabic Typesetting" w:hint="cs"/>
                <w:sz w:val="30"/>
                <w:szCs w:val="30"/>
                <w:rtl/>
              </w:rPr>
              <w:br/>
            </w:r>
            <w:r>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14</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تراكميا)</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 xml:space="preserve">أمريكا اللاتينية </w:t>
            </w:r>
            <w:r>
              <w:rPr>
                <w:rFonts w:ascii="Arabic Typesetting" w:hAnsi="Arabic Typesetting" w:cs="Arabic Typesetting" w:hint="cs"/>
                <w:sz w:val="30"/>
                <w:szCs w:val="30"/>
                <w:rtl/>
              </w:rPr>
              <w:t>و</w:t>
            </w:r>
            <w:r>
              <w:rPr>
                <w:rFonts w:ascii="Arabic Typesetting" w:hAnsi="Arabic Typesetting" w:cs="Arabic Typesetting"/>
                <w:sz w:val="30"/>
                <w:szCs w:val="30"/>
                <w:rtl/>
              </w:rPr>
              <w:t>الكاريبي (</w:t>
            </w:r>
            <w:r>
              <w:rPr>
                <w:rFonts w:ascii="Arabic Typesetting" w:hAnsi="Arabic Typesetting" w:cs="Arabic Typesetting" w:hint="cs"/>
                <w:sz w:val="30"/>
                <w:szCs w:val="30"/>
                <w:rtl/>
              </w:rPr>
              <w:t>12</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تراكميا)</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rtl/>
              </w:rPr>
              <w:t>أفريقيا (</w:t>
            </w:r>
            <w:r>
              <w:rPr>
                <w:rFonts w:ascii="Arabic Typesetting" w:hAnsi="Arabic Typesetting" w:cs="Arabic Typesetting" w:hint="cs"/>
                <w:b/>
                <w:sz w:val="30"/>
                <w:szCs w:val="30"/>
                <w:rtl/>
              </w:rPr>
              <w:t>3 بلدان إضافية</w:t>
            </w:r>
            <w:r w:rsidRPr="008954A8">
              <w:rPr>
                <w:rFonts w:ascii="Arabic Typesetting" w:hAnsi="Arabic Typesetting" w:cs="Arabic Typesetting"/>
                <w:b/>
                <w:sz w:val="30"/>
                <w:szCs w:val="30"/>
                <w:rtl/>
              </w:rPr>
              <w:t>)</w:t>
            </w:r>
          </w:p>
          <w:p w:rsidR="005A0EB6" w:rsidRPr="00353EB2" w:rsidRDefault="005A0EB6" w:rsidP="002C3C33">
            <w:pPr>
              <w:keepNext/>
              <w:keepLines/>
              <w:adjustRightInd w:val="0"/>
              <w:snapToGrid w:val="0"/>
              <w:spacing w:before="60" w:after="60" w:line="300" w:lineRule="exact"/>
              <w:rPr>
                <w:rFonts w:ascii="Arabic Typesetting" w:hAnsi="Arabic Typesetting" w:cs="Arabic Typesetting"/>
                <w:b/>
                <w:sz w:val="30"/>
                <w:szCs w:val="30"/>
                <w:rtl/>
                <w:lang w:bidi="ar-SA"/>
              </w:rPr>
            </w:pPr>
            <w:r w:rsidRPr="008954A8">
              <w:rPr>
                <w:rFonts w:ascii="Arabic Typesetting" w:hAnsi="Arabic Typesetting" w:cs="Arabic Typesetting"/>
                <w:b/>
                <w:sz w:val="30"/>
                <w:szCs w:val="30"/>
                <w:rtl/>
              </w:rPr>
              <w:t>المنطقة العربية (</w:t>
            </w:r>
            <w:r>
              <w:rPr>
                <w:rFonts w:ascii="Arabic Typesetting" w:hAnsi="Arabic Typesetting" w:cs="Arabic Typesetting" w:hint="cs"/>
                <w:b/>
                <w:sz w:val="30"/>
                <w:szCs w:val="30"/>
                <w:rtl/>
              </w:rPr>
              <w:t>4</w:t>
            </w:r>
            <w:r w:rsidRPr="008954A8">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بلدان إضافية</w:t>
            </w:r>
            <w:r w:rsidRPr="008954A8">
              <w:rPr>
                <w:rFonts w:ascii="Arabic Typesetting" w:hAnsi="Arabic Typesetting" w:cs="Arabic Typesetting"/>
                <w:b/>
                <w:sz w:val="30"/>
                <w:szCs w:val="30"/>
                <w:rtl/>
              </w:rPr>
              <w:t>)</w:t>
            </w:r>
          </w:p>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rtl/>
              </w:rPr>
              <w:t>آسيا والمحيط الهادئ (</w:t>
            </w:r>
            <w:r>
              <w:rPr>
                <w:rFonts w:ascii="Arabic Typesetting" w:hAnsi="Arabic Typesetting" w:cs="Arabic Typesetting" w:hint="cs"/>
                <w:b/>
                <w:sz w:val="30"/>
                <w:szCs w:val="30"/>
                <w:rtl/>
              </w:rPr>
              <w:t>4 بلدان إضافية</w:t>
            </w:r>
            <w:r w:rsidRPr="008954A8">
              <w:rPr>
                <w:rFonts w:ascii="Arabic Typesetting" w:hAnsi="Arabic Typesetting" w:cs="Arabic Typesetting"/>
                <w:b/>
                <w:sz w:val="30"/>
                <w:szCs w:val="30"/>
                <w:rtl/>
              </w:rPr>
              <w:t>)</w:t>
            </w:r>
          </w:p>
          <w:p w:rsidR="005A0EB6" w:rsidRPr="008954A8" w:rsidRDefault="005A0EB6" w:rsidP="002C3C33">
            <w:pPr>
              <w:keepNext/>
              <w:keepLines/>
              <w:adjustRightInd w:val="0"/>
              <w:snapToGrid w:val="0"/>
              <w:spacing w:before="60" w:after="60" w:line="300" w:lineRule="exact"/>
              <w:rPr>
                <w:rFonts w:ascii="Arabic Typesetting" w:hAnsi="Arabic Typesetting" w:cs="Arabic Typesetting"/>
                <w:sz w:val="30"/>
                <w:szCs w:val="30"/>
                <w:lang w:bidi="th-TH"/>
              </w:rPr>
            </w:pPr>
            <w:r w:rsidRPr="008954A8">
              <w:rPr>
                <w:rFonts w:ascii="Arabic Typesetting" w:hAnsi="Arabic Typesetting" w:cs="Arabic Typesetting"/>
                <w:b/>
                <w:sz w:val="30"/>
                <w:szCs w:val="30"/>
                <w:rtl/>
              </w:rPr>
              <w:t xml:space="preserve">أمريكا اللاتينية </w:t>
            </w:r>
            <w:r>
              <w:rPr>
                <w:rFonts w:ascii="Arabic Typesetting" w:hAnsi="Arabic Typesetting" w:cs="Arabic Typesetting" w:hint="cs"/>
                <w:b/>
                <w:sz w:val="30"/>
                <w:szCs w:val="30"/>
                <w:rtl/>
              </w:rPr>
              <w:t>و</w:t>
            </w:r>
            <w:r w:rsidRPr="008954A8">
              <w:rPr>
                <w:rFonts w:ascii="Arabic Typesetting" w:hAnsi="Arabic Typesetting" w:cs="Arabic Typesetting"/>
                <w:b/>
                <w:sz w:val="30"/>
                <w:szCs w:val="30"/>
                <w:rtl/>
              </w:rPr>
              <w:t>الكاريبي (</w:t>
            </w:r>
            <w:r>
              <w:rPr>
                <w:rFonts w:ascii="Arabic Typesetting" w:hAnsi="Arabic Typesetting" w:cs="Arabic Typesetting" w:hint="cs"/>
                <w:b/>
                <w:sz w:val="30"/>
                <w:szCs w:val="30"/>
                <w:rtl/>
              </w:rPr>
              <w:t>5</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بلدان إضافية</w:t>
            </w:r>
            <w:r w:rsidRPr="008954A8">
              <w:rPr>
                <w:rFonts w:ascii="Arabic Typesetting" w:hAnsi="Arabic Typesetting" w:cs="Arabic Typesetting"/>
                <w:b/>
                <w:sz w:val="30"/>
                <w:szCs w:val="30"/>
                <w:rtl/>
              </w:rPr>
              <w:t>)</w:t>
            </w:r>
          </w:p>
        </w:tc>
      </w:tr>
      <w:tr w:rsidR="005A0EB6" w:rsidRPr="008954A8" w:rsidTr="002C3C33">
        <w:trPr>
          <w:cantSplit/>
          <w:trHeight w:val="2272"/>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عدد البلدان التي اعتمدت الاستراتيجيات الوطنية ل</w:t>
            </w:r>
            <w:r>
              <w:rPr>
                <w:rFonts w:ascii="Arabic Typesetting" w:hAnsi="Arabic Typesetting" w:cs="Arabic Typesetting" w:hint="cs"/>
                <w:sz w:val="30"/>
                <w:szCs w:val="30"/>
                <w:rtl/>
              </w:rPr>
              <w:t>لابتكار وا</w:t>
            </w:r>
            <w:r w:rsidRPr="008954A8">
              <w:rPr>
                <w:rFonts w:ascii="Arabic Typesetting" w:hAnsi="Arabic Typesetting" w:cs="Arabic Typesetting"/>
                <w:sz w:val="30"/>
                <w:szCs w:val="30"/>
                <w:rtl/>
              </w:rPr>
              <w:t xml:space="preserve">لملكية الفكرية </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lang w:bidi="th-TH"/>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21 تراكميا</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المنطقة العربية (</w:t>
            </w:r>
            <w:r>
              <w:rPr>
                <w:rFonts w:ascii="Arabic Typesetting" w:hAnsi="Arabic Typesetting" w:cs="Arabic Typesetting" w:hint="cs"/>
                <w:sz w:val="30"/>
                <w:szCs w:val="30"/>
                <w:rtl/>
              </w:rPr>
              <w:t>2 تراكميا</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8 تراكميا</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 xml:space="preserve">أمريكا اللاتينية </w:t>
            </w:r>
            <w:r>
              <w:rPr>
                <w:rFonts w:ascii="Arabic Typesetting" w:hAnsi="Arabic Typesetting" w:cs="Arabic Typesetting" w:hint="cs"/>
                <w:sz w:val="30"/>
                <w:szCs w:val="30"/>
                <w:rtl/>
              </w:rPr>
              <w:t>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6</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تراكميا</w:t>
            </w:r>
            <w:r w:rsidRPr="008954A8">
              <w:rPr>
                <w:rFonts w:ascii="Arabic Typesetting" w:hAnsi="Arabic Typesetting" w:cs="Arabic Typesetting"/>
                <w:sz w:val="30"/>
                <w:szCs w:val="30"/>
                <w:rtl/>
              </w:rPr>
              <w:t>)</w:t>
            </w:r>
          </w:p>
        </w:tc>
        <w:tc>
          <w:tcPr>
            <w:tcW w:w="1166" w:type="pct"/>
            <w:shd w:val="clear" w:color="auto" w:fill="auto"/>
            <w:tcMar>
              <w:top w:w="113" w:type="dxa"/>
            </w:tcMar>
          </w:tcPr>
          <w:p w:rsidR="005A0EB6" w:rsidRPr="00353EB2"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rtl/>
              </w:rPr>
              <w:t>أفريقيا (</w:t>
            </w:r>
            <w:r>
              <w:rPr>
                <w:rFonts w:ascii="Arabic Typesetting" w:hAnsi="Arabic Typesetting" w:cs="Arabic Typesetting" w:hint="cs"/>
                <w:b/>
                <w:sz w:val="30"/>
                <w:szCs w:val="30"/>
                <w:rtl/>
              </w:rPr>
              <w:t>8 بلدان إضافية</w:t>
            </w:r>
            <w:r w:rsidRPr="008954A8">
              <w:rPr>
                <w:rFonts w:ascii="Arabic Typesetting" w:hAnsi="Arabic Typesetting" w:cs="Arabic Typesetting"/>
                <w:bCs/>
                <w:sz w:val="30"/>
                <w:szCs w:val="30"/>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المنطقة العربية (</w:t>
            </w:r>
            <w:r>
              <w:rPr>
                <w:rFonts w:ascii="Arabic Typesetting" w:hAnsi="Arabic Typesetting" w:cs="Arabic Typesetting" w:hint="cs"/>
                <w:b/>
                <w:sz w:val="30"/>
                <w:szCs w:val="30"/>
                <w:rtl/>
              </w:rPr>
              <w:t>بلدان إضافيان)</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آسيا والمحيط الهادئ (7</w:t>
            </w:r>
            <w:r>
              <w:rPr>
                <w:rFonts w:ascii="Arabic Typesetting" w:hAnsi="Arabic Typesetting" w:cs="Arabic Typesetting" w:hint="cs"/>
                <w:b/>
                <w:sz w:val="30"/>
                <w:szCs w:val="30"/>
                <w:rtl/>
              </w:rPr>
              <w:t xml:space="preserve"> بلدان إضافية</w:t>
            </w:r>
            <w:r w:rsidRPr="008954A8">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 xml:space="preserve">أمريكا اللاتينية </w:t>
            </w:r>
            <w:r>
              <w:rPr>
                <w:rFonts w:ascii="Arabic Typesetting" w:hAnsi="Arabic Typesetting" w:cs="Arabic Typesetting" w:hint="cs"/>
                <w:b/>
                <w:sz w:val="30"/>
                <w:szCs w:val="30"/>
                <w:rtl/>
              </w:rPr>
              <w:t>و</w:t>
            </w:r>
            <w:r w:rsidRPr="008954A8">
              <w:rPr>
                <w:rFonts w:ascii="Arabic Typesetting" w:hAnsi="Arabic Typesetting" w:cs="Arabic Typesetting"/>
                <w:b/>
                <w:sz w:val="30"/>
                <w:szCs w:val="30"/>
                <w:rtl/>
              </w:rPr>
              <w:t>الكاريبي (</w:t>
            </w:r>
            <w:r>
              <w:rPr>
                <w:rFonts w:ascii="Arabic Typesetting" w:hAnsi="Arabic Typesetting" w:cs="Arabic Typesetting" w:hint="cs"/>
                <w:b/>
                <w:sz w:val="30"/>
                <w:szCs w:val="30"/>
                <w:rtl/>
              </w:rPr>
              <w:t>2</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تراكميا</w:t>
            </w:r>
            <w:r w:rsidRPr="008954A8">
              <w:rPr>
                <w:rFonts w:ascii="Arabic Typesetting" w:hAnsi="Arabic Typesetting" w:cs="Arabic Typesetting"/>
                <w:b/>
                <w:sz w:val="30"/>
                <w:szCs w:val="30"/>
                <w:rtl/>
              </w:rPr>
              <w:t>)</w:t>
            </w:r>
          </w:p>
        </w:tc>
      </w:tr>
      <w:tr w:rsidR="005A0EB6" w:rsidRPr="008954A8" w:rsidTr="002C3C33">
        <w:trPr>
          <w:cantSplit/>
          <w:trHeight w:val="2272"/>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عدد البلدان التي تمر بمرحلة تنفيذ </w:t>
            </w:r>
            <w:r w:rsidRPr="008954A8">
              <w:rPr>
                <w:rFonts w:ascii="Arabic Typesetting" w:hAnsi="Arabic Typesetting" w:cs="Arabic Typesetting"/>
                <w:sz w:val="30"/>
                <w:szCs w:val="30"/>
                <w:rtl/>
              </w:rPr>
              <w:t>الاستراتيجيات الوطنية ل</w:t>
            </w:r>
            <w:r>
              <w:rPr>
                <w:rFonts w:ascii="Arabic Typesetting" w:hAnsi="Arabic Typesetting" w:cs="Arabic Typesetting" w:hint="cs"/>
                <w:sz w:val="30"/>
                <w:szCs w:val="30"/>
                <w:rtl/>
              </w:rPr>
              <w:t>لابتكار وا</w:t>
            </w:r>
            <w:r w:rsidRPr="008954A8">
              <w:rPr>
                <w:rFonts w:ascii="Arabic Typesetting" w:hAnsi="Arabic Typesetting" w:cs="Arabic Typesetting"/>
                <w:sz w:val="30"/>
                <w:szCs w:val="30"/>
                <w:rtl/>
              </w:rPr>
              <w:t>لملكية الفكرية</w:t>
            </w:r>
            <w:r>
              <w:rPr>
                <w:rFonts w:ascii="Arabic Typesetting" w:hAnsi="Arabic Typesetting" w:cs="Arabic Typesetting" w:hint="cs"/>
                <w:sz w:val="30"/>
                <w:szCs w:val="30"/>
                <w:rtl/>
              </w:rPr>
              <w:t xml:space="preserve"> والخطط الوطنية للملكية الفكرية</w:t>
            </w:r>
          </w:p>
        </w:tc>
        <w:tc>
          <w:tcPr>
            <w:tcW w:w="1233" w:type="pct"/>
            <w:shd w:val="clear" w:color="auto" w:fill="FFFFFF"/>
            <w:tcMar>
              <w:top w:w="113" w:type="dxa"/>
            </w:tcMar>
          </w:tcPr>
          <w:p w:rsidR="005A0EB6" w:rsidRPr="00353EB2" w:rsidRDefault="005A0EB6"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21 تراكميا</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المنطقة العربية (</w:t>
            </w:r>
            <w:r>
              <w:rPr>
                <w:rFonts w:ascii="Arabic Typesetting" w:hAnsi="Arabic Typesetting" w:cs="Arabic Typesetting" w:hint="cs"/>
                <w:sz w:val="30"/>
                <w:szCs w:val="30"/>
                <w:rtl/>
              </w:rPr>
              <w:t>2 تراكميا</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4 تراكميا</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 xml:space="preserve">أمريكا اللاتينية </w:t>
            </w:r>
            <w:r>
              <w:rPr>
                <w:rFonts w:ascii="Arabic Typesetting" w:hAnsi="Arabic Typesetting" w:cs="Arabic Typesetting" w:hint="cs"/>
                <w:sz w:val="30"/>
                <w:szCs w:val="30"/>
                <w:rtl/>
              </w:rPr>
              <w:t>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6</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تراكميا</w:t>
            </w:r>
            <w:r w:rsidRPr="008954A8">
              <w:rPr>
                <w:rFonts w:ascii="Arabic Typesetting" w:hAnsi="Arabic Typesetting" w:cs="Arabic Typesetting"/>
                <w:sz w:val="30"/>
                <w:szCs w:val="30"/>
                <w:rtl/>
              </w:rPr>
              <w:t>)</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rtl/>
              </w:rPr>
              <w:t>أفريقيا (</w:t>
            </w:r>
            <w:r>
              <w:rPr>
                <w:rFonts w:ascii="Arabic Typesetting" w:hAnsi="Arabic Typesetting" w:cs="Arabic Typesetting" w:hint="cs"/>
                <w:b/>
                <w:sz w:val="30"/>
                <w:szCs w:val="30"/>
                <w:rtl/>
              </w:rPr>
              <w:t>8 بلدان إضافية</w:t>
            </w:r>
            <w:r w:rsidRPr="008954A8">
              <w:rPr>
                <w:rFonts w:ascii="Arabic Typesetting" w:hAnsi="Arabic Typesetting" w:cs="Arabic Typesetting"/>
                <w:bCs/>
                <w:sz w:val="30"/>
                <w:szCs w:val="30"/>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المنطقة العربية (</w:t>
            </w:r>
            <w:r>
              <w:rPr>
                <w:rFonts w:ascii="Arabic Typesetting" w:hAnsi="Arabic Typesetting" w:cs="Arabic Typesetting" w:hint="cs"/>
                <w:b/>
                <w:sz w:val="30"/>
                <w:szCs w:val="30"/>
                <w:rtl/>
              </w:rPr>
              <w:t>بلدان إضافيان)</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آسيا والمحيط الهادئ (7</w:t>
            </w:r>
            <w:r>
              <w:rPr>
                <w:rFonts w:ascii="Arabic Typesetting" w:hAnsi="Arabic Typesetting" w:cs="Arabic Typesetting" w:hint="cs"/>
                <w:b/>
                <w:sz w:val="30"/>
                <w:szCs w:val="30"/>
                <w:rtl/>
              </w:rPr>
              <w:t xml:space="preserve"> بلدان إضافية</w:t>
            </w:r>
            <w:r w:rsidRPr="008954A8">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 xml:space="preserve">أمريكا اللاتينية </w:t>
            </w:r>
            <w:r>
              <w:rPr>
                <w:rFonts w:ascii="Arabic Typesetting" w:hAnsi="Arabic Typesetting" w:cs="Arabic Typesetting" w:hint="cs"/>
                <w:b/>
                <w:sz w:val="30"/>
                <w:szCs w:val="30"/>
                <w:rtl/>
              </w:rPr>
              <w:t>و</w:t>
            </w:r>
            <w:r w:rsidRPr="008954A8">
              <w:rPr>
                <w:rFonts w:ascii="Arabic Typesetting" w:hAnsi="Arabic Typesetting" w:cs="Arabic Typesetting"/>
                <w:b/>
                <w:sz w:val="30"/>
                <w:szCs w:val="30"/>
                <w:rtl/>
              </w:rPr>
              <w:t>الكاريبي (</w:t>
            </w:r>
            <w:r>
              <w:rPr>
                <w:rFonts w:ascii="Arabic Typesetting" w:hAnsi="Arabic Typesetting" w:cs="Arabic Typesetting" w:hint="cs"/>
                <w:b/>
                <w:sz w:val="30"/>
                <w:szCs w:val="30"/>
                <w:rtl/>
              </w:rPr>
              <w:t>6</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بلدان إضافية</w:t>
            </w:r>
            <w:r w:rsidRPr="008954A8">
              <w:rPr>
                <w:rFonts w:ascii="Arabic Typesetting" w:hAnsi="Arabic Typesetting" w:cs="Arabic Typesetting"/>
                <w:b/>
                <w:sz w:val="30"/>
                <w:szCs w:val="30"/>
                <w:rtl/>
              </w:rPr>
              <w:t>)</w:t>
            </w:r>
          </w:p>
        </w:tc>
      </w:tr>
      <w:tr w:rsidR="005A0EB6" w:rsidRPr="008954A8" w:rsidTr="002C3C33">
        <w:trPr>
          <w:cantSplit/>
          <w:trHeight w:val="1680"/>
        </w:trPr>
        <w:tc>
          <w:tcPr>
            <w:tcW w:w="1222" w:type="pct"/>
            <w:vMerge w:val="restar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lastRenderedPageBreak/>
              <w:t>ه 2.3</w:t>
            </w:r>
            <w:r w:rsidRPr="008954A8">
              <w:rPr>
                <w:rFonts w:ascii="Arabic Typesetting" w:hAnsi="Arabic Typesetting" w:cs="Arabic Typesetting"/>
                <w:sz w:val="30"/>
                <w:szCs w:val="30"/>
                <w:rtl/>
              </w:rPr>
              <w:t xml:space="preserve"> </w:t>
            </w:r>
            <w:r w:rsidRPr="00FC61E2">
              <w:rPr>
                <w:rFonts w:ascii="Arabic Typesetting" w:hAnsi="Arabic Typesetting" w:cs="Arabic Typesetting"/>
                <w:sz w:val="30"/>
                <w:szCs w:val="30"/>
                <w:rtl/>
              </w:rPr>
              <w:t>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النسبة المئوية للمشاركين في </w:t>
            </w:r>
            <w:r>
              <w:rPr>
                <w:rFonts w:ascii="Arabic Typesetting" w:hAnsi="Arabic Typesetting" w:cs="Arabic Typesetting" w:hint="cs"/>
                <w:sz w:val="30"/>
                <w:szCs w:val="30"/>
                <w:rtl/>
              </w:rPr>
              <w:t>تظاهرات</w:t>
            </w:r>
            <w:r w:rsidRPr="008954A8">
              <w:rPr>
                <w:rFonts w:ascii="Arabic Typesetting" w:hAnsi="Arabic Typesetting" w:cs="Arabic Typesetting"/>
                <w:sz w:val="30"/>
                <w:szCs w:val="30"/>
                <w:rtl/>
              </w:rPr>
              <w:t xml:space="preserve"> الويبو الذين يعربون عن رضاهم عن المحتوى وعن تنظيم هذه </w:t>
            </w:r>
            <w:r>
              <w:rPr>
                <w:rFonts w:ascii="Arabic Typesetting" w:hAnsi="Arabic Typesetting" w:cs="Arabic Typesetting" w:hint="cs"/>
                <w:sz w:val="30"/>
                <w:szCs w:val="30"/>
                <w:rtl/>
              </w:rPr>
              <w:t>التظاهرات</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70%</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المنطقة العربية (</w:t>
            </w:r>
            <w:r>
              <w:rPr>
                <w:rFonts w:ascii="Arabic Typesetting" w:hAnsi="Arabic Typesetting" w:cs="Arabic Typesetting" w:hint="cs"/>
                <w:sz w:val="30"/>
                <w:szCs w:val="30"/>
                <w:rtl/>
              </w:rPr>
              <w:t>غير متاحة في عام 2014؛ سيُنفذ النظام في عام</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2015</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92%</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 xml:space="preserve">أمريكا اللاتينية </w:t>
            </w:r>
            <w:r>
              <w:rPr>
                <w:rFonts w:ascii="Arabic Typesetting" w:hAnsi="Arabic Typesetting" w:cs="Arabic Typesetting" w:hint="cs"/>
                <w:sz w:val="30"/>
                <w:szCs w:val="30"/>
                <w:rtl/>
              </w:rPr>
              <w:t>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غير متاحة في عام 2014؛ سيُنفذ النظام في عام</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2015)</w:t>
            </w:r>
            <w:r>
              <w:rPr>
                <w:rFonts w:ascii="Arabic Typesetting" w:hAnsi="Arabic Typesetting" w:cs="Arabic Typesetting" w:hint="cs"/>
                <w:sz w:val="30"/>
                <w:szCs w:val="30"/>
                <w:rtl/>
              </w:rPr>
              <w:br/>
              <w:t>البلدان الأقل نموا (90%)</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Cs/>
                <w:sz w:val="30"/>
                <w:szCs w:val="30"/>
                <w:rtl/>
              </w:rPr>
            </w:pPr>
            <w:r w:rsidRPr="008954A8">
              <w:rPr>
                <w:rFonts w:ascii="Arabic Typesetting" w:hAnsi="Arabic Typesetting" w:cs="Arabic Typesetting"/>
                <w:b/>
                <w:sz w:val="30"/>
                <w:szCs w:val="30"/>
                <w:rtl/>
              </w:rPr>
              <w:t>أفريقيا (70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المنطقة العربية (</w:t>
            </w:r>
            <w:r>
              <w:rPr>
                <w:rFonts w:ascii="Arabic Typesetting" w:hAnsi="Arabic Typesetting" w:cs="Arabic Typesetting" w:hint="cs"/>
                <w:b/>
                <w:sz w:val="30"/>
                <w:szCs w:val="30"/>
                <w:rtl/>
              </w:rPr>
              <w:t>70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آسيا والمحيط الهادئ (</w:t>
            </w:r>
            <w:r>
              <w:rPr>
                <w:rFonts w:ascii="Arabic Typesetting" w:hAnsi="Arabic Typesetting" w:cs="Arabic Typesetting" w:hint="cs"/>
                <w:b/>
                <w:sz w:val="30"/>
                <w:szCs w:val="30"/>
                <w:rtl/>
              </w:rPr>
              <w:t>70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أمريكا اللاتينية والبحر الكاريبي (</w:t>
            </w:r>
            <w:r>
              <w:rPr>
                <w:rFonts w:ascii="Arabic Typesetting" w:hAnsi="Arabic Typesetting" w:cs="Arabic Typesetting" w:hint="cs"/>
                <w:b/>
                <w:sz w:val="30"/>
                <w:szCs w:val="30"/>
                <w:rtl/>
              </w:rPr>
              <w:t>85</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sidRPr="008954A8">
              <w:rPr>
                <w:rFonts w:ascii="Arabic Typesetting" w:hAnsi="Arabic Typesetting" w:cs="Arabic Typesetting"/>
                <w:bCs/>
                <w:sz w:val="30"/>
                <w:szCs w:val="30"/>
              </w:rPr>
              <w:t xml:space="preserve"> </w:t>
            </w:r>
            <w:r>
              <w:rPr>
                <w:rFonts w:ascii="Arabic Typesetting" w:hAnsi="Arabic Typesetting" w:cs="Arabic Typesetting" w:hint="cs"/>
                <w:bCs/>
                <w:sz w:val="30"/>
                <w:szCs w:val="30"/>
                <w:rtl/>
              </w:rPr>
              <w:br/>
            </w:r>
            <w:r>
              <w:rPr>
                <w:rFonts w:ascii="Arabic Typesetting" w:hAnsi="Arabic Typesetting" w:cs="Arabic Typesetting"/>
                <w:b/>
                <w:sz w:val="30"/>
                <w:szCs w:val="30"/>
                <w:rtl/>
              </w:rPr>
              <w:t>البلدان الأقل نموا</w:t>
            </w:r>
            <w:r w:rsidRPr="008954A8">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70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p>
        </w:tc>
      </w:tr>
      <w:tr w:rsidR="005A0EB6" w:rsidRPr="008954A8" w:rsidTr="002C3C33">
        <w:trPr>
          <w:cantSplit/>
          <w:trHeight w:val="1839"/>
        </w:trPr>
        <w:tc>
          <w:tcPr>
            <w:tcW w:w="1222" w:type="pct"/>
            <w:vMerge/>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النسبة المئوية للمشاركين في حلقات عمل الويبو الذين يطبّقون المهارات المكتسبة في عملهم أو مؤسساتهم</w:t>
            </w:r>
          </w:p>
        </w:tc>
        <w:tc>
          <w:tcPr>
            <w:tcW w:w="1233" w:type="pct"/>
            <w:shd w:val="clear" w:color="auto" w:fill="FFFFFF"/>
            <w:tcMar>
              <w:top w:w="113" w:type="dxa"/>
            </w:tcMar>
          </w:tcPr>
          <w:p w:rsidR="005A0EB6" w:rsidRPr="00424111" w:rsidRDefault="005A0EB6" w:rsidP="002C3C33">
            <w:pPr>
              <w:adjustRightInd w:val="0"/>
              <w:snapToGrid w:val="0"/>
              <w:spacing w:before="60" w:after="60" w:line="300" w:lineRule="exact"/>
              <w:rPr>
                <w:rFonts w:ascii="Arabic Typesetting" w:hAnsi="Arabic Typesetting" w:cs="Arabic Typesetting"/>
                <w:sz w:val="30"/>
                <w:szCs w:val="30"/>
                <w:rtl/>
                <w:lang w:bidi="ar-SA"/>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70%</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المنطقة العربية (</w:t>
            </w:r>
            <w:r>
              <w:rPr>
                <w:rFonts w:ascii="Arabic Typesetting" w:hAnsi="Arabic Typesetting" w:cs="Arabic Typesetting" w:hint="cs"/>
                <w:sz w:val="30"/>
                <w:szCs w:val="30"/>
                <w:rtl/>
              </w:rPr>
              <w:t>غير متاحة في عام 2014؛ سيُنفذ النظام في عام</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2015</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89%</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 xml:space="preserve">أمريكا اللاتينية </w:t>
            </w:r>
            <w:r>
              <w:rPr>
                <w:rFonts w:ascii="Arabic Typesetting" w:hAnsi="Arabic Typesetting" w:cs="Arabic Typesetting" w:hint="cs"/>
                <w:sz w:val="30"/>
                <w:szCs w:val="30"/>
                <w:rtl/>
              </w:rPr>
              <w:t>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غير متاحة في عام 2014؛ سيُنفذ النظام في عام</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2015)</w:t>
            </w:r>
            <w:r>
              <w:rPr>
                <w:rFonts w:ascii="Arabic Typesetting" w:hAnsi="Arabic Typesetting" w:cs="Arabic Typesetting" w:hint="cs"/>
                <w:sz w:val="30"/>
                <w:szCs w:val="30"/>
                <w:rtl/>
              </w:rPr>
              <w:br/>
              <w:t>البلدان الأقل نموا (95%)</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rtl/>
              </w:rPr>
              <w:t>أفريقيا (70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المنطقة العربية (</w:t>
            </w:r>
            <w:r>
              <w:rPr>
                <w:rFonts w:ascii="Arabic Typesetting" w:hAnsi="Arabic Typesetting" w:cs="Arabic Typesetting" w:hint="cs"/>
                <w:b/>
                <w:sz w:val="30"/>
                <w:szCs w:val="30"/>
                <w:rtl/>
              </w:rPr>
              <w:t>50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آسيا والمحيط الهادئ (</w:t>
            </w:r>
            <w:r>
              <w:rPr>
                <w:rFonts w:ascii="Arabic Typesetting" w:hAnsi="Arabic Typesetting" w:cs="Arabic Typesetting" w:hint="cs"/>
                <w:b/>
                <w:sz w:val="30"/>
                <w:szCs w:val="30"/>
                <w:rtl/>
              </w:rPr>
              <w:t>70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أمريكا اللاتينية والبحر الكاريبي (</w:t>
            </w:r>
            <w:r>
              <w:rPr>
                <w:rFonts w:ascii="Arabic Typesetting" w:hAnsi="Arabic Typesetting" w:cs="Arabic Typesetting" w:hint="cs"/>
                <w:b/>
                <w:sz w:val="30"/>
                <w:szCs w:val="30"/>
                <w:rtl/>
              </w:rPr>
              <w:t>45</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sidRPr="008954A8">
              <w:rPr>
                <w:rFonts w:ascii="Arabic Typesetting" w:hAnsi="Arabic Typesetting" w:cs="Arabic Typesetting"/>
                <w:bCs/>
                <w:sz w:val="30"/>
                <w:szCs w:val="30"/>
              </w:rPr>
              <w:t xml:space="preserve"> </w:t>
            </w:r>
            <w:r>
              <w:rPr>
                <w:rFonts w:ascii="Arabic Typesetting" w:hAnsi="Arabic Typesetting" w:cs="Arabic Typesetting" w:hint="cs"/>
                <w:bCs/>
                <w:sz w:val="30"/>
                <w:szCs w:val="30"/>
                <w:rtl/>
              </w:rPr>
              <w:br/>
            </w:r>
            <w:r>
              <w:rPr>
                <w:rFonts w:ascii="Arabic Typesetting" w:hAnsi="Arabic Typesetting" w:cs="Arabic Typesetting"/>
                <w:b/>
                <w:sz w:val="30"/>
                <w:szCs w:val="30"/>
                <w:rtl/>
              </w:rPr>
              <w:t>البلدان الأقل نموا</w:t>
            </w:r>
            <w:r w:rsidRPr="008954A8">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50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p>
        </w:tc>
      </w:tr>
      <w:tr w:rsidR="005A0EB6" w:rsidRPr="008954A8" w:rsidTr="002C3C33">
        <w:trPr>
          <w:cantSplit/>
          <w:trHeight w:val="186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النسبة المئوية لخبراء الملكية الفكرية الوطنيين أو الإقليميين الذي يُستعان بهم باعتبارهم خبراء في </w:t>
            </w:r>
            <w:r>
              <w:rPr>
                <w:rFonts w:ascii="Arabic Typesetting" w:hAnsi="Arabic Typesetting" w:cs="Arabic Typesetting" w:hint="cs"/>
                <w:sz w:val="30"/>
                <w:szCs w:val="30"/>
                <w:rtl/>
              </w:rPr>
              <w:t>تظاهرات</w:t>
            </w:r>
            <w:r w:rsidRPr="008954A8">
              <w:rPr>
                <w:rFonts w:ascii="Arabic Typesetting" w:hAnsi="Arabic Typesetting" w:cs="Arabic Typesetting"/>
                <w:sz w:val="30"/>
                <w:szCs w:val="30"/>
                <w:rtl/>
              </w:rPr>
              <w:t xml:space="preserve"> الويبو</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80</w:t>
            </w:r>
            <w:r w:rsidRPr="008954A8">
              <w:rPr>
                <w:rFonts w:ascii="Arabic Typesetting" w:hAnsi="Arabic Typesetting" w:cs="Arabic Typesetting"/>
                <w:sz w:val="30"/>
                <w:szCs w:val="30"/>
                <w:lang w:bidi="th-TH"/>
              </w:rPr>
              <w:t>%</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المنطقة العربية (</w:t>
            </w:r>
            <w:r>
              <w:rPr>
                <w:rFonts w:ascii="Arabic Typesetting" w:hAnsi="Arabic Typesetting" w:cs="Arabic Typesetting" w:hint="cs"/>
                <w:sz w:val="30"/>
                <w:szCs w:val="30"/>
                <w:rtl/>
              </w:rPr>
              <w:t>35</w:t>
            </w:r>
            <w:r w:rsidRPr="008954A8">
              <w:rPr>
                <w:rFonts w:ascii="Arabic Typesetting" w:hAnsi="Arabic Typesetting" w:cs="Arabic Typesetting"/>
                <w:sz w:val="30"/>
                <w:szCs w:val="30"/>
                <w:lang w:bidi="th-TH"/>
              </w:rPr>
              <w:t>%</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b/>
                <w:sz w:val="30"/>
                <w:szCs w:val="30"/>
                <w:rtl/>
              </w:rPr>
              <w:t>آسيا والمحيط الهادئ</w:t>
            </w:r>
            <w:r>
              <w:rPr>
                <w:rFonts w:ascii="Arabic Typesetting" w:hAnsi="Arabic Typesetting" w:cs="Arabic Typesetting" w:hint="cs"/>
                <w:b/>
                <w:sz w:val="30"/>
                <w:szCs w:val="30"/>
                <w:rtl/>
              </w:rPr>
              <w:t xml:space="preserve"> (71%)</w:t>
            </w:r>
            <w:r>
              <w:rPr>
                <w:rFonts w:ascii="Arabic Typesetting" w:hAnsi="Arabic Typesetting" w:cs="Arabic Typesetting" w:hint="cs"/>
                <w:sz w:val="30"/>
                <w:szCs w:val="30"/>
                <w:rtl/>
              </w:rPr>
              <w:br/>
            </w:r>
            <w:r>
              <w:rPr>
                <w:rFonts w:ascii="Arabic Typesetting" w:hAnsi="Arabic Typesetting" w:cs="Arabic Typesetting"/>
                <w:sz w:val="30"/>
                <w:szCs w:val="30"/>
                <w:rtl/>
              </w:rPr>
              <w:t>أمريكا اللاتينية 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80</w:t>
            </w:r>
            <w:r w:rsidRPr="008954A8">
              <w:rPr>
                <w:rFonts w:ascii="Arabic Typesetting" w:hAnsi="Arabic Typesetting" w:cs="Arabic Typesetting"/>
                <w:sz w:val="30"/>
                <w:szCs w:val="30"/>
                <w:lang w:bidi="th-TH"/>
              </w:rPr>
              <w:t>%</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Pr>
                <w:rFonts w:ascii="Arabic Typesetting" w:hAnsi="Arabic Typesetting" w:cs="Arabic Typesetting"/>
                <w:sz w:val="30"/>
                <w:szCs w:val="30"/>
                <w:rtl/>
              </w:rPr>
              <w:t>البلدان الأقل نموا</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95</w:t>
            </w:r>
            <w:r w:rsidRPr="008954A8">
              <w:rPr>
                <w:rFonts w:ascii="Arabic Typesetting" w:hAnsi="Arabic Typesetting" w:cs="Arabic Typesetting"/>
                <w:sz w:val="30"/>
                <w:szCs w:val="30"/>
                <w:lang w:bidi="th-TH"/>
              </w:rPr>
              <w:t>%</w:t>
            </w:r>
            <w:r w:rsidRPr="008954A8">
              <w:rPr>
                <w:rFonts w:ascii="Arabic Typesetting" w:hAnsi="Arabic Typesetting" w:cs="Arabic Typesetting"/>
                <w:sz w:val="30"/>
                <w:szCs w:val="30"/>
                <w:rtl/>
              </w:rPr>
              <w:t>)</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Pr>
            </w:pPr>
            <w:r w:rsidRPr="008954A8">
              <w:rPr>
                <w:rFonts w:ascii="Arabic Typesetting" w:hAnsi="Arabic Typesetting" w:cs="Arabic Typesetting"/>
                <w:b/>
                <w:sz w:val="30"/>
                <w:szCs w:val="30"/>
                <w:rtl/>
              </w:rPr>
              <w:t>أفريقيا (</w:t>
            </w:r>
            <w:r>
              <w:rPr>
                <w:rFonts w:ascii="Arabic Typesetting" w:hAnsi="Arabic Typesetting" w:cs="Arabic Typesetting" w:hint="cs"/>
                <w:b/>
                <w:sz w:val="30"/>
                <w:szCs w:val="30"/>
                <w:rtl/>
              </w:rPr>
              <w:t>85</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المنطقة العربية (</w:t>
            </w:r>
            <w:r>
              <w:rPr>
                <w:rFonts w:ascii="Arabic Typesetting" w:hAnsi="Arabic Typesetting" w:cs="Arabic Typesetting" w:hint="cs"/>
                <w:b/>
                <w:sz w:val="30"/>
                <w:szCs w:val="30"/>
                <w:rtl/>
              </w:rPr>
              <w:t>55</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آسيا والمحيط الهادئ (</w:t>
            </w:r>
            <w:r>
              <w:rPr>
                <w:rFonts w:ascii="Arabic Typesetting" w:hAnsi="Arabic Typesetting" w:cs="Arabic Typesetting" w:hint="cs"/>
                <w:b/>
                <w:sz w:val="30"/>
                <w:szCs w:val="30"/>
                <w:rtl/>
              </w:rPr>
              <w:t>40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Pr>
                <w:rFonts w:ascii="Arabic Typesetting" w:hAnsi="Arabic Typesetting" w:cs="Arabic Typesetting"/>
                <w:b/>
                <w:sz w:val="30"/>
                <w:szCs w:val="30"/>
                <w:rtl/>
              </w:rPr>
              <w:t>أمريكا اللاتينية و</w:t>
            </w:r>
            <w:r w:rsidRPr="008954A8">
              <w:rPr>
                <w:rFonts w:ascii="Arabic Typesetting" w:hAnsi="Arabic Typesetting" w:cs="Arabic Typesetting"/>
                <w:b/>
                <w:sz w:val="30"/>
                <w:szCs w:val="30"/>
                <w:rtl/>
              </w:rPr>
              <w:t>الكاريبي (80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Pr>
                <w:rFonts w:ascii="Arabic Typesetting" w:hAnsi="Arabic Typesetting" w:cs="Arabic Typesetting"/>
                <w:b/>
                <w:sz w:val="30"/>
                <w:szCs w:val="30"/>
                <w:rtl/>
              </w:rPr>
              <w:t>البلدان الأقل نموا</w:t>
            </w:r>
            <w:r w:rsidRPr="008954A8">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70</w:t>
            </w:r>
            <w:r w:rsidRPr="008954A8">
              <w:rPr>
                <w:rFonts w:ascii="Arabic Typesetting" w:hAnsi="Arabic Typesetting" w:cs="Arabic Typesetting"/>
                <w:bCs/>
                <w:sz w:val="30"/>
                <w:szCs w:val="30"/>
              </w:rPr>
              <w:t>%</w:t>
            </w:r>
            <w:r w:rsidRPr="008954A8">
              <w:rPr>
                <w:rFonts w:ascii="Arabic Typesetting" w:hAnsi="Arabic Typesetting" w:cs="Arabic Typesetting"/>
                <w:b/>
                <w:sz w:val="30"/>
                <w:szCs w:val="30"/>
                <w:rtl/>
              </w:rPr>
              <w:t>)</w:t>
            </w:r>
          </w:p>
        </w:tc>
      </w:tr>
      <w:tr w:rsidR="005A0EB6" w:rsidRPr="008954A8" w:rsidTr="002C3C33">
        <w:trPr>
          <w:cantSplit/>
          <w:trHeight w:val="1144"/>
        </w:trPr>
        <w:tc>
          <w:tcPr>
            <w:tcW w:w="1222" w:type="pct"/>
            <w:shd w:val="clear" w:color="auto" w:fill="auto"/>
            <w:tcMar>
              <w:top w:w="113" w:type="dxa"/>
            </w:tcMar>
          </w:tcPr>
          <w:p w:rsidR="005A0EB6" w:rsidRPr="008954A8" w:rsidRDefault="005A0EB6" w:rsidP="00D00364">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t>ه 4.3</w:t>
            </w:r>
            <w:r w:rsidRPr="008954A8">
              <w:rPr>
                <w:rFonts w:ascii="Arabic Typesetting" w:hAnsi="Arabic Typesetting" w:cs="Arabic Typesetting"/>
                <w:sz w:val="30"/>
                <w:szCs w:val="30"/>
                <w:rtl/>
              </w:rPr>
              <w:t xml:space="preserve"> </w:t>
            </w:r>
            <w:r w:rsidRPr="00506C12">
              <w:rPr>
                <w:rFonts w:ascii="Arabic Typesetting" w:hAnsi="Arabic Typesetting" w:cs="Arabic Typesetting"/>
                <w:sz w:val="30"/>
                <w:szCs w:val="30"/>
                <w:rtl/>
              </w:rPr>
              <w:t>آليات وبرامج تعاونية معزّزة ومكيّفة حسب احتياجات البلدان النامية والبلدان الأقل نموا</w:t>
            </w:r>
            <w:r w:rsidR="00D00364">
              <w:rPr>
                <w:rFonts w:ascii="Arabic Typesetting" w:hAnsi="Arabic Typesetting" w:cs="Arabic Typesetting" w:hint="cs"/>
                <w:sz w:val="30"/>
                <w:szCs w:val="30"/>
                <w:rtl/>
              </w:rPr>
              <w:t xml:space="preserve"> </w:t>
            </w:r>
            <w:r w:rsidR="00D00364" w:rsidRPr="00D00364">
              <w:rPr>
                <w:rFonts w:ascii="Arabic Typesetting" w:hAnsi="Arabic Typesetting" w:cs="Arabic Typesetting" w:hint="cs"/>
                <w:sz w:val="30"/>
                <w:szCs w:val="30"/>
                <w:rtl/>
                <w:lang w:bidi="ar-SA"/>
              </w:rPr>
              <w:t>والبلدان المنتقلة إلى نظام الاقتصاد الحر</w:t>
            </w:r>
          </w:p>
        </w:tc>
        <w:tc>
          <w:tcPr>
            <w:tcW w:w="1379" w:type="pct"/>
            <w:shd w:val="clear" w:color="auto" w:fill="auto"/>
            <w:tcMar>
              <w:top w:w="113" w:type="dxa"/>
            </w:tcMar>
          </w:tcPr>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اتفاقات ومشروعات وبرامج وشراكات التعاون دون الإقليمية والإقليمية/المشتركة بين الأقاليم لتشجيع الانتفاع بفعالية بأنظمة الملكية الفكرية من خلال تشاطر أفضل الممارسات</w:t>
            </w:r>
          </w:p>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1 في عام 2014</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Pr>
                <w:rFonts w:ascii="Arabic Typesetting" w:hAnsi="Arabic Typesetting" w:cs="Arabic Typesetting"/>
                <w:sz w:val="30"/>
                <w:szCs w:val="30"/>
                <w:rtl/>
              </w:rPr>
              <w:t xml:space="preserve">المنطقة العربية </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t>1 في عام 2014</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2 في عام</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2014</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Pr>
                <w:rFonts w:ascii="Arabic Typesetting" w:hAnsi="Arabic Typesetting" w:cs="Arabic Typesetting"/>
                <w:sz w:val="30"/>
                <w:szCs w:val="30"/>
                <w:rtl/>
              </w:rPr>
              <w:t>أمريكا اللاتينية 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6 في عام</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2014</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t>البلدان الأقل نموا: برنامج 1 إقليمي/دون إقليمي، و4 برامج وطنية</w:t>
            </w:r>
            <w:r w:rsidR="006E6770">
              <w:rPr>
                <w:rFonts w:ascii="Arabic Typesetting" w:hAnsi="Arabic Typesetting" w:cs="Arabic Typesetting" w:hint="cs"/>
                <w:sz w:val="30"/>
                <w:szCs w:val="30"/>
                <w:rtl/>
              </w:rPr>
              <w:t xml:space="preserve"> (2014)</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Pr>
            </w:pPr>
            <w:r w:rsidRPr="008954A8">
              <w:rPr>
                <w:rFonts w:ascii="Arabic Typesetting" w:hAnsi="Arabic Typesetting" w:cs="Arabic Typesetting"/>
                <w:b/>
                <w:sz w:val="30"/>
                <w:szCs w:val="30"/>
                <w:rtl/>
              </w:rPr>
              <w:t xml:space="preserve">أفريقيا </w:t>
            </w:r>
            <w:r>
              <w:rPr>
                <w:rFonts w:ascii="Arabic Typesetting" w:hAnsi="Arabic Typesetting" w:cs="Arabic Typesetting" w:hint="cs"/>
                <w:b/>
                <w:sz w:val="30"/>
                <w:szCs w:val="30"/>
                <w:rtl/>
              </w:rPr>
              <w:t>(2 إضافيان</w:t>
            </w:r>
            <w:r>
              <w:rPr>
                <w:rFonts w:ascii="Arabic Typesetting" w:hAnsi="Arabic Typesetting" w:cs="Arabic Typesetting" w:hint="cs"/>
                <w:b/>
                <w:sz w:val="30"/>
                <w:szCs w:val="30"/>
                <w:rtl/>
              </w:rPr>
              <w:br/>
            </w:r>
            <w:r w:rsidRPr="008954A8">
              <w:rPr>
                <w:rFonts w:ascii="Arabic Typesetting" w:hAnsi="Arabic Typesetting" w:cs="Arabic Typesetting"/>
                <w:b/>
                <w:sz w:val="30"/>
                <w:szCs w:val="30"/>
                <w:rtl/>
              </w:rPr>
              <w:t>المنطقة العربية (</w:t>
            </w:r>
            <w:r>
              <w:rPr>
                <w:rFonts w:ascii="Arabic Typesetting" w:hAnsi="Arabic Typesetting" w:cs="Arabic Typesetting" w:hint="cs"/>
                <w:b/>
                <w:sz w:val="30"/>
                <w:szCs w:val="30"/>
                <w:rtl/>
              </w:rPr>
              <w:t>2 إضافيان</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Pr>
                <w:rFonts w:ascii="Arabic Typesetting" w:hAnsi="Arabic Typesetting" w:cs="Arabic Typesetting"/>
                <w:b/>
                <w:sz w:val="30"/>
                <w:szCs w:val="30"/>
                <w:rtl/>
              </w:rPr>
              <w:t>آسيا والمحيط الهادئ (</w:t>
            </w:r>
            <w:r>
              <w:rPr>
                <w:rFonts w:ascii="Arabic Typesetting" w:hAnsi="Arabic Typesetting" w:cs="Arabic Typesetting" w:hint="cs"/>
                <w:b/>
                <w:sz w:val="30"/>
                <w:szCs w:val="30"/>
                <w:rtl/>
              </w:rPr>
              <w:t>1</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إضافي</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Pr>
                <w:rFonts w:ascii="Arabic Typesetting" w:hAnsi="Arabic Typesetting" w:cs="Arabic Typesetting"/>
                <w:b/>
                <w:sz w:val="30"/>
                <w:szCs w:val="30"/>
                <w:rtl/>
              </w:rPr>
              <w:t>أمريكا اللاتينية و</w:t>
            </w:r>
            <w:r w:rsidRPr="008954A8">
              <w:rPr>
                <w:rFonts w:ascii="Arabic Typesetting" w:hAnsi="Arabic Typesetting" w:cs="Arabic Typesetting"/>
                <w:b/>
                <w:sz w:val="30"/>
                <w:szCs w:val="30"/>
                <w:rtl/>
              </w:rPr>
              <w:t>الكاريبي (</w:t>
            </w:r>
            <w:r>
              <w:rPr>
                <w:rFonts w:ascii="Arabic Typesetting" w:hAnsi="Arabic Typesetting" w:cs="Arabic Typesetting" w:hint="cs"/>
                <w:b/>
                <w:sz w:val="30"/>
                <w:szCs w:val="30"/>
                <w:rtl/>
              </w:rPr>
              <w:t>4</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 xml:space="preserve"> إضافية</w:t>
            </w:r>
            <w:r w:rsidRPr="008954A8">
              <w:rPr>
                <w:rFonts w:ascii="Arabic Typesetting" w:hAnsi="Arabic Typesetting" w:cs="Arabic Typesetting"/>
                <w:b/>
                <w:sz w:val="30"/>
                <w:szCs w:val="30"/>
                <w:rtl/>
              </w:rPr>
              <w:t>)</w:t>
            </w:r>
            <w:r>
              <w:rPr>
                <w:rFonts w:ascii="Arabic Typesetting" w:hAnsi="Arabic Typesetting" w:cs="Arabic Typesetting" w:hint="cs"/>
                <w:b/>
                <w:sz w:val="30"/>
                <w:szCs w:val="30"/>
                <w:rtl/>
              </w:rPr>
              <w:br/>
            </w:r>
            <w:r>
              <w:rPr>
                <w:rFonts w:ascii="Arabic Typesetting" w:hAnsi="Arabic Typesetting" w:cs="Arabic Typesetting" w:hint="cs"/>
                <w:sz w:val="30"/>
                <w:szCs w:val="30"/>
                <w:rtl/>
              </w:rPr>
              <w:t>البلدان الأقل نموا: 3 برامج إقليمية/دون إقليمية، و8 برامج وطنية</w:t>
            </w:r>
          </w:p>
        </w:tc>
      </w:tr>
      <w:tr w:rsidR="005A0EB6" w:rsidRPr="008954A8" w:rsidTr="002C3C33">
        <w:trPr>
          <w:cantSplit/>
          <w:trHeight w:val="79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t>ه 2.4</w:t>
            </w:r>
            <w:r w:rsidRPr="008954A8">
              <w:rPr>
                <w:rFonts w:ascii="Arabic Typesetting" w:hAnsi="Arabic Typesetting" w:cs="Arabic Typesetting"/>
                <w:sz w:val="30"/>
                <w:szCs w:val="30"/>
                <w:rtl/>
              </w:rPr>
              <w:t xml:space="preserve"> </w:t>
            </w:r>
            <w:r w:rsidRPr="00506C12">
              <w:rPr>
                <w:rFonts w:ascii="Arabic Typesetting" w:hAnsi="Arabic Typesetting" w:cs="Arabic Typesetting"/>
                <w:sz w:val="30"/>
                <w:szCs w:val="30"/>
                <w:rtl/>
              </w:rPr>
              <w:t>نفاذ محسّن إلى المعلومات المتعلقة بالملكية الفكرية واستخدامها من قبل مؤسسات الملكية الفكرية والجمهور لتشجيع الابتكار والإبداع</w:t>
            </w: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عدد شبكات مراكز دعم التكنولوجيا والابتكار الوطنية المستدامة</w:t>
            </w:r>
            <w:r w:rsidR="009F79D5" w:rsidRPr="009F79D5">
              <w:rPr>
                <w:rStyle w:val="FootnoteReference"/>
                <w:rFonts w:ascii="Arabic Typesetting" w:hAnsi="Arabic Typesetting" w:cs="Arabic Typesetting"/>
                <w:sz w:val="30"/>
                <w:rtl/>
              </w:rPr>
              <w:footnoteReference w:id="18"/>
            </w:r>
            <w:r w:rsidR="009F79D5">
              <w:rPr>
                <w:rFonts w:ascii="Arabic Typesetting" w:hAnsi="Arabic Typesetting" w:cs="Arabic Typesetting" w:hint="cs"/>
                <w:sz w:val="30"/>
                <w:szCs w:val="30"/>
                <w:rtl/>
              </w:rPr>
              <w:t xml:space="preserve"> </w:t>
            </w:r>
            <w:r>
              <w:rPr>
                <w:rFonts w:ascii="Arabic Typesetting" w:hAnsi="Arabic Typesetting" w:cs="Arabic Typesetting" w:hint="cs"/>
                <w:sz w:val="30"/>
                <w:szCs w:val="30"/>
                <w:rtl/>
              </w:rPr>
              <w:t>(العدد التراكمي)</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9</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المنطقة العربية (2)</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3</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Pr>
                <w:rFonts w:ascii="Arabic Typesetting" w:hAnsi="Arabic Typesetting" w:cs="Arabic Typesetting"/>
                <w:sz w:val="30"/>
                <w:szCs w:val="30"/>
                <w:rtl/>
              </w:rPr>
              <w:t>أمريكا اللاتينية 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5</w:t>
            </w:r>
            <w:r w:rsidRPr="008954A8">
              <w:rPr>
                <w:rFonts w:ascii="Arabic Typesetting" w:hAnsi="Arabic Typesetting" w:cs="Arabic Typesetting"/>
                <w:sz w:val="30"/>
                <w:szCs w:val="30"/>
                <w:rtl/>
              </w:rPr>
              <w:t>)</w:t>
            </w:r>
          </w:p>
        </w:tc>
        <w:tc>
          <w:tcPr>
            <w:tcW w:w="1166"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bCs/>
                <w:sz w:val="30"/>
                <w:szCs w:val="30"/>
              </w:rPr>
            </w:pPr>
            <w:r w:rsidRPr="008954A8">
              <w:rPr>
                <w:rFonts w:ascii="Arabic Typesetting" w:hAnsi="Arabic Typesetting" w:cs="Arabic Typesetting"/>
                <w:sz w:val="30"/>
                <w:szCs w:val="30"/>
                <w:rtl/>
              </w:rPr>
              <w:t>أفريقيا (</w:t>
            </w:r>
            <w:r>
              <w:rPr>
                <w:rFonts w:ascii="Arabic Typesetting" w:hAnsi="Arabic Typesetting" w:cs="Arabic Typesetting" w:hint="cs"/>
                <w:sz w:val="30"/>
                <w:szCs w:val="30"/>
                <w:rtl/>
              </w:rPr>
              <w:t>11</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المنطقة العربية (</w:t>
            </w:r>
            <w:r>
              <w:rPr>
                <w:rFonts w:ascii="Arabic Typesetting" w:hAnsi="Arabic Typesetting" w:cs="Arabic Typesetting" w:hint="cs"/>
                <w:sz w:val="30"/>
                <w:szCs w:val="30"/>
                <w:rtl/>
              </w:rPr>
              <w:t>4</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sidRPr="008954A8">
              <w:rPr>
                <w:rFonts w:ascii="Arabic Typesetting" w:hAnsi="Arabic Typesetting" w:cs="Arabic Typesetting"/>
                <w:sz w:val="30"/>
                <w:szCs w:val="30"/>
                <w:rtl/>
              </w:rPr>
              <w:t>آسيا والمحيط الهادئ (</w:t>
            </w:r>
            <w:r>
              <w:rPr>
                <w:rFonts w:ascii="Arabic Typesetting" w:hAnsi="Arabic Typesetting" w:cs="Arabic Typesetting" w:hint="cs"/>
                <w:sz w:val="30"/>
                <w:szCs w:val="30"/>
                <w:rtl/>
              </w:rPr>
              <w:t>5</w:t>
            </w:r>
            <w:r w:rsidRPr="008954A8">
              <w:rPr>
                <w:rFonts w:ascii="Arabic Typesetting" w:hAnsi="Arabic Typesetting" w:cs="Arabic Typesetting"/>
                <w:sz w:val="30"/>
                <w:szCs w:val="30"/>
                <w:rtl/>
              </w:rPr>
              <w:t>)</w:t>
            </w:r>
            <w:r>
              <w:rPr>
                <w:rFonts w:ascii="Arabic Typesetting" w:hAnsi="Arabic Typesetting" w:cs="Arabic Typesetting" w:hint="cs"/>
                <w:sz w:val="30"/>
                <w:szCs w:val="30"/>
                <w:rtl/>
              </w:rPr>
              <w:br/>
            </w:r>
            <w:r>
              <w:rPr>
                <w:rFonts w:ascii="Arabic Typesetting" w:hAnsi="Arabic Typesetting" w:cs="Arabic Typesetting"/>
                <w:sz w:val="30"/>
                <w:szCs w:val="30"/>
                <w:rtl/>
              </w:rPr>
              <w:t>أمريكا اللاتينية و</w:t>
            </w:r>
            <w:r w:rsidRPr="008954A8">
              <w:rPr>
                <w:rFonts w:ascii="Arabic Typesetting" w:hAnsi="Arabic Typesetting" w:cs="Arabic Typesetting"/>
                <w:sz w:val="30"/>
                <w:szCs w:val="30"/>
                <w:rtl/>
              </w:rPr>
              <w:t>الكاريبي (</w:t>
            </w:r>
            <w:r>
              <w:rPr>
                <w:rFonts w:ascii="Arabic Typesetting" w:hAnsi="Arabic Typesetting" w:cs="Arabic Typesetting" w:hint="cs"/>
                <w:sz w:val="30"/>
                <w:szCs w:val="30"/>
                <w:rtl/>
              </w:rPr>
              <w:t>9)</w:t>
            </w:r>
          </w:p>
        </w:tc>
      </w:tr>
      <w:tr w:rsidR="005A0EB6" w:rsidRPr="008954A8" w:rsidTr="002C3C33">
        <w:trPr>
          <w:cantSplit/>
          <w:trHeight w:val="79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المنظمات والمجتمعات والأفراد الذين طبقوا التكنولوجيا الملائمة واستخدموها كحل للتحديات الإنمائية المحددة في البلدان الأقل نموا</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 منظمات من 6 بلدان من البلدان الأقل نموا</w:t>
            </w:r>
            <w:r w:rsidR="0005458B">
              <w:rPr>
                <w:rFonts w:ascii="Arabic Typesetting" w:hAnsi="Arabic Typesetting" w:cs="Arabic Typesetting" w:hint="cs"/>
                <w:sz w:val="30"/>
                <w:szCs w:val="30"/>
                <w:rtl/>
              </w:rPr>
              <w:t xml:space="preserve"> (2014)</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Cs/>
                <w:sz w:val="30"/>
                <w:szCs w:val="30"/>
              </w:rPr>
            </w:pPr>
            <w:r>
              <w:rPr>
                <w:rFonts w:ascii="Arabic Typesetting" w:hAnsi="Arabic Typesetting" w:cs="Arabic Typesetting" w:hint="cs"/>
                <w:sz w:val="30"/>
                <w:szCs w:val="30"/>
                <w:rtl/>
              </w:rPr>
              <w:t>منظمات من 3 بلدان إضافية من البلدان الأقل نموا</w:t>
            </w:r>
          </w:p>
        </w:tc>
      </w:tr>
      <w:tr w:rsidR="005A0EB6" w:rsidRPr="008954A8" w:rsidTr="002C3C33">
        <w:trPr>
          <w:cantSplit/>
          <w:trHeight w:val="79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استخدام التكنولوجيا الملائمة في سبيل التنمية من خلال البحوث في البراءات وتقاريرها والتقارير عن واقع التكنولوجيا والخطط المؤسسية (عدد الخبراء ومجموعات الخبراء الوطنيين في البلدان الأقل نموا) </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6 في البلدان الأقل نموا</w:t>
            </w:r>
            <w:r w:rsidR="00682C7F">
              <w:rPr>
                <w:rFonts w:ascii="Arabic Typesetting" w:hAnsi="Arabic Typesetting" w:cs="Arabic Typesetting" w:hint="cs"/>
                <w:sz w:val="30"/>
                <w:szCs w:val="30"/>
                <w:rtl/>
              </w:rPr>
              <w:t xml:space="preserve"> (2014)</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3 إضافية في البلدان الأقل نموا</w:t>
            </w:r>
          </w:p>
        </w:tc>
      </w:tr>
      <w:tr w:rsidR="005A0EB6" w:rsidRPr="008954A8" w:rsidTr="002C3C33">
        <w:trPr>
          <w:cantSplit/>
          <w:trHeight w:val="79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التكنولوجيا الملائمة المحددة والمسوقة في البلدان الأقل نموا</w:t>
            </w:r>
          </w:p>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المشروعات المكررة في مناطق أخرى في البلدان الأقل نموا</w:t>
            </w:r>
          </w:p>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المؤسسات المنشأة لمواصلة العمل على التكنولوجيا الملائمة في البلدان الأقل نموا</w:t>
            </w:r>
          </w:p>
        </w:tc>
        <w:tc>
          <w:tcPr>
            <w:tcW w:w="1233" w:type="pct"/>
            <w:shd w:val="clear" w:color="auto" w:fill="FFFFFF"/>
            <w:tcMar>
              <w:top w:w="113" w:type="dxa"/>
            </w:tcMar>
          </w:tcPr>
          <w:p w:rsidR="005A0EB6" w:rsidRDefault="000538A2"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6 تكنولوجيات ملائمة (2014)</w:t>
            </w:r>
          </w:p>
          <w:p w:rsidR="005A0EB6" w:rsidRDefault="005A0EB6" w:rsidP="002C3C33">
            <w:pPr>
              <w:adjustRightInd w:val="0"/>
              <w:snapToGrid w:val="0"/>
              <w:spacing w:before="60" w:after="60" w:line="300" w:lineRule="exact"/>
              <w:rPr>
                <w:rFonts w:ascii="Arabic Typesetting" w:hAnsi="Arabic Typesetting" w:cs="Arabic Typesetting"/>
                <w:sz w:val="30"/>
                <w:szCs w:val="30"/>
                <w:rtl/>
              </w:rPr>
            </w:pPr>
          </w:p>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w:t>
            </w:r>
            <w:r>
              <w:rPr>
                <w:rFonts w:ascii="Arabic Typesetting" w:hAnsi="Arabic Typesetting" w:cs="Arabic Typesetting" w:hint="cs"/>
                <w:sz w:val="30"/>
                <w:szCs w:val="30"/>
                <w:rtl/>
              </w:rPr>
              <w:br/>
            </w:r>
          </w:p>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3 مؤسسات</w:t>
            </w:r>
            <w:r w:rsidR="006339A8">
              <w:rPr>
                <w:rFonts w:ascii="Arabic Typesetting" w:hAnsi="Arabic Typesetting" w:cs="Arabic Typesetting" w:hint="cs"/>
                <w:sz w:val="30"/>
                <w:szCs w:val="30"/>
                <w:rtl/>
              </w:rPr>
              <w:t xml:space="preserve"> (2014)</w:t>
            </w:r>
          </w:p>
        </w:tc>
        <w:tc>
          <w:tcPr>
            <w:tcW w:w="1166" w:type="pct"/>
            <w:shd w:val="clear" w:color="auto" w:fill="auto"/>
            <w:tcMar>
              <w:top w:w="113" w:type="dxa"/>
            </w:tcMar>
          </w:tcPr>
          <w:p w:rsidR="005A0EB6"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على الأقل 3 تكنولوجيات ملائمة إضافية</w:t>
            </w:r>
          </w:p>
          <w:p w:rsidR="005A0EB6"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بلد واحد من البلدان الأقل نموا</w:t>
            </w:r>
          </w:p>
          <w:p w:rsidR="005A0EB6"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p>
          <w:p w:rsidR="005A0EB6"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3 مؤسسات إضافية</w:t>
            </w:r>
          </w:p>
        </w:tc>
      </w:tr>
      <w:tr w:rsidR="005A0EB6" w:rsidRPr="008954A8" w:rsidTr="002C3C33">
        <w:trPr>
          <w:cantSplit/>
          <w:trHeight w:val="79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مواصلة برامج تكوين الكفاءات التكنولوجية الوطنية بشأن التكنولوجيا الملائمة وتوسيع نطاقها في البلدان الأقل نموا</w:t>
            </w:r>
          </w:p>
        </w:tc>
        <w:tc>
          <w:tcPr>
            <w:tcW w:w="1233" w:type="pct"/>
            <w:shd w:val="clear" w:color="auto" w:fill="FFFFFF"/>
            <w:tcMar>
              <w:top w:w="113" w:type="dxa"/>
            </w:tcMar>
          </w:tcPr>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7 برامج</w:t>
            </w:r>
            <w:r w:rsidR="002516E8">
              <w:rPr>
                <w:rFonts w:ascii="Arabic Typesetting" w:hAnsi="Arabic Typesetting" w:cs="Arabic Typesetting" w:hint="cs"/>
                <w:sz w:val="30"/>
                <w:szCs w:val="30"/>
                <w:rtl/>
              </w:rPr>
              <w:t xml:space="preserve"> (2014)</w:t>
            </w:r>
          </w:p>
        </w:tc>
        <w:tc>
          <w:tcPr>
            <w:tcW w:w="1166" w:type="pct"/>
            <w:shd w:val="clear" w:color="auto" w:fill="auto"/>
            <w:tcMar>
              <w:top w:w="113" w:type="dxa"/>
            </w:tcMar>
          </w:tcPr>
          <w:p w:rsidR="005A0EB6"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6 برامج إضافية</w:t>
            </w:r>
          </w:p>
        </w:tc>
      </w:tr>
      <w:tr w:rsidR="005A0EB6" w:rsidRPr="008954A8" w:rsidTr="002C3C33">
        <w:trPr>
          <w:cantSplit/>
          <w:trHeight w:val="79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استخدام التكنولوجيا الملائمة في سبيل التنمية الاقتصادية المشمولة في السياسات والاستراتيجيات الوطنية للابتكار والملكية الفكرية في البلدان الأقل نموا</w:t>
            </w:r>
          </w:p>
        </w:tc>
        <w:tc>
          <w:tcPr>
            <w:tcW w:w="1233" w:type="pct"/>
            <w:shd w:val="clear" w:color="auto" w:fill="FFFFFF"/>
            <w:tcMar>
              <w:top w:w="113" w:type="dxa"/>
            </w:tcMar>
          </w:tcPr>
          <w:p w:rsidR="005A0EB6"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w:t>
            </w:r>
          </w:p>
        </w:tc>
        <w:tc>
          <w:tcPr>
            <w:tcW w:w="1166" w:type="pct"/>
            <w:shd w:val="clear" w:color="auto" w:fill="auto"/>
            <w:tcMar>
              <w:top w:w="113" w:type="dxa"/>
            </w:tcMar>
          </w:tcPr>
          <w:p w:rsidR="005A0EB6" w:rsidRDefault="005A0EB6" w:rsidP="002C3C33">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بلد واحد من البلدان الأقل نموا</w:t>
            </w:r>
          </w:p>
        </w:tc>
      </w:tr>
      <w:tr w:rsidR="005A0EB6" w:rsidRPr="008954A8" w:rsidTr="002C3C33">
        <w:trPr>
          <w:cantSplit/>
          <w:trHeight w:val="795"/>
        </w:trPr>
        <w:tc>
          <w:tcPr>
            <w:tcW w:w="1222"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t xml:space="preserve">ه 4.4 </w:t>
            </w:r>
            <w:r w:rsidRPr="00506C12">
              <w:rPr>
                <w:rFonts w:ascii="Arabic Typesetting" w:hAnsi="Arabic Typesetting" w:cs="Arabic Typesetting"/>
                <w:sz w:val="30"/>
                <w:szCs w:val="30"/>
                <w:rtl/>
              </w:rPr>
              <w:t>بنية تحتية تقنية ومعرفية معزّزة لمكاتب الملكية الفكرية وسائر مؤسسات الملكية الفكرية بما يؤدي إلى خدمات أفضل (بتكلفة أقل وسرعة أعلى وجودة أحسن) لأصحاب المصلحة الذين يتعاملون معها ونتائج أحسن لإدارة الملكية الفكرية</w:t>
            </w:r>
          </w:p>
        </w:tc>
        <w:tc>
          <w:tcPr>
            <w:tcW w:w="1379" w:type="pct"/>
            <w:shd w:val="clear" w:color="auto" w:fill="auto"/>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متوسط </w:t>
            </w:r>
            <w:r w:rsidRPr="008954A8">
              <w:rPr>
                <w:rFonts w:ascii="Arabic Typesetting" w:hAnsi="Arabic Typesetting" w:cs="Arabic Typesetting" w:hint="cs"/>
                <w:sz w:val="30"/>
                <w:szCs w:val="30"/>
                <w:rtl/>
              </w:rPr>
              <w:t>مستوى</w:t>
            </w:r>
            <w:r w:rsidRPr="008954A8">
              <w:rPr>
                <w:rFonts w:ascii="Arabic Typesetting" w:hAnsi="Arabic Typesetting" w:cs="Arabic Typesetting"/>
                <w:sz w:val="30"/>
                <w:szCs w:val="30"/>
                <w:rtl/>
              </w:rPr>
              <w:t xml:space="preserve"> </w:t>
            </w:r>
            <w:r w:rsidRPr="008954A8">
              <w:rPr>
                <w:rFonts w:ascii="Arabic Typesetting" w:hAnsi="Arabic Typesetting" w:cs="Arabic Typesetting" w:hint="cs"/>
                <w:sz w:val="30"/>
                <w:szCs w:val="30"/>
                <w:rtl/>
              </w:rPr>
              <w:t>الخدمة</w:t>
            </w:r>
            <w:r w:rsidRPr="008954A8">
              <w:rPr>
                <w:rFonts w:ascii="Arabic Typesetting" w:hAnsi="Arabic Typesetting" w:cs="Arabic Typesetting"/>
                <w:sz w:val="30"/>
                <w:szCs w:val="30"/>
                <w:rtl/>
              </w:rPr>
              <w:t xml:space="preserve"> </w:t>
            </w:r>
            <w:r w:rsidRPr="008954A8">
              <w:rPr>
                <w:rFonts w:ascii="Arabic Typesetting" w:hAnsi="Arabic Typesetting" w:cs="Arabic Typesetting" w:hint="cs"/>
                <w:sz w:val="30"/>
                <w:szCs w:val="30"/>
                <w:rtl/>
              </w:rPr>
              <w:t>في</w:t>
            </w:r>
            <w:r w:rsidRPr="008954A8">
              <w:rPr>
                <w:rFonts w:ascii="Arabic Typesetting" w:hAnsi="Arabic Typesetting" w:cs="Arabic Typesetting"/>
                <w:sz w:val="30"/>
                <w:szCs w:val="30"/>
                <w:rtl/>
              </w:rPr>
              <w:t xml:space="preserve"> </w:t>
            </w:r>
            <w:r w:rsidRPr="008954A8">
              <w:rPr>
                <w:rFonts w:ascii="Arabic Typesetting" w:hAnsi="Arabic Typesetting" w:cs="Arabic Typesetting" w:hint="cs"/>
                <w:sz w:val="30"/>
                <w:szCs w:val="30"/>
                <w:rtl/>
              </w:rPr>
              <w:t>مكاتب</w:t>
            </w:r>
            <w:r w:rsidRPr="008954A8">
              <w:rPr>
                <w:rFonts w:ascii="Arabic Typesetting" w:hAnsi="Arabic Typesetting" w:cs="Arabic Typesetting"/>
                <w:sz w:val="30"/>
                <w:szCs w:val="30"/>
                <w:rtl/>
              </w:rPr>
              <w:t xml:space="preserve"> </w:t>
            </w:r>
            <w:r w:rsidRPr="008954A8">
              <w:rPr>
                <w:rFonts w:ascii="Arabic Typesetting" w:hAnsi="Arabic Typesetting" w:cs="Arabic Typesetting" w:hint="cs"/>
                <w:sz w:val="30"/>
                <w:szCs w:val="30"/>
                <w:rtl/>
              </w:rPr>
              <w:t>الملكية</w:t>
            </w:r>
            <w:r w:rsidRPr="008954A8">
              <w:rPr>
                <w:rFonts w:ascii="Arabic Typesetting" w:hAnsi="Arabic Typesetting" w:cs="Arabic Typesetting"/>
                <w:sz w:val="30"/>
                <w:szCs w:val="30"/>
                <w:rtl/>
              </w:rPr>
              <w:t xml:space="preserve"> </w:t>
            </w:r>
            <w:r w:rsidRPr="008954A8">
              <w:rPr>
                <w:rFonts w:ascii="Arabic Typesetting" w:hAnsi="Arabic Typesetting" w:cs="Arabic Typesetting" w:hint="cs"/>
                <w:sz w:val="30"/>
                <w:szCs w:val="30"/>
                <w:rtl/>
              </w:rPr>
              <w:t>الفكرية</w:t>
            </w:r>
            <w:r w:rsidRPr="008954A8">
              <w:rPr>
                <w:rFonts w:ascii="Arabic Typesetting" w:hAnsi="Arabic Typesetting" w:cs="Arabic Typesetting"/>
                <w:sz w:val="30"/>
                <w:szCs w:val="30"/>
                <w:rtl/>
              </w:rPr>
              <w:t xml:space="preserve"> التي تلقت مساعدة (من 1 إلى 5)</w:t>
            </w:r>
          </w:p>
        </w:tc>
        <w:tc>
          <w:tcPr>
            <w:tcW w:w="1233" w:type="pct"/>
            <w:shd w:val="clear" w:color="auto" w:fill="FFFFFF"/>
            <w:tcMar>
              <w:top w:w="113" w:type="dxa"/>
            </w:tcMar>
          </w:tcPr>
          <w:p w:rsidR="005A0EB6" w:rsidRPr="008954A8" w:rsidRDefault="005A0EB6" w:rsidP="002C3C3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متوسط مستوى الخدمات بحسب تقرير أداء البرنامج لعام 2014: 2.9</w:t>
            </w:r>
          </w:p>
        </w:tc>
        <w:tc>
          <w:tcPr>
            <w:tcW w:w="1166" w:type="pct"/>
            <w:shd w:val="clear" w:color="auto" w:fill="auto"/>
            <w:tcMar>
              <w:top w:w="113" w:type="dxa"/>
            </w:tcMar>
          </w:tcPr>
          <w:p w:rsidR="005A0EB6" w:rsidRPr="008954A8" w:rsidRDefault="005A0EB6" w:rsidP="002C3C33">
            <w:pPr>
              <w:keepNext/>
              <w:keepLines/>
              <w:adjustRightInd w:val="0"/>
              <w:snapToGrid w:val="0"/>
              <w:spacing w:before="60" w:after="60"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متوسط قدره 3.0 (بنهاية عام 2017)</w:t>
            </w:r>
          </w:p>
        </w:tc>
      </w:tr>
    </w:tbl>
    <w:p w:rsidR="00302EBB" w:rsidRDefault="00302EBB" w:rsidP="002C3C33">
      <w:pPr>
        <w:keepNext/>
        <w:autoSpaceDE w:val="0"/>
        <w:autoSpaceDN w:val="0"/>
        <w:adjustRightInd w:val="0"/>
        <w:snapToGrid w:val="0"/>
        <w:spacing w:after="240" w:line="360" w:lineRule="exact"/>
        <w:jc w:val="both"/>
        <w:rPr>
          <w:rFonts w:ascii="Arabic Typesetting" w:hAnsi="Arabic Typesetting" w:cs="Arabic Typesetting"/>
          <w:sz w:val="38"/>
          <w:szCs w:val="38"/>
          <w:rtl/>
        </w:rPr>
      </w:pPr>
    </w:p>
    <w:p w:rsidR="00302EBB" w:rsidRDefault="00302EBB">
      <w:pPr>
        <w:bidi w:val="0"/>
        <w:rPr>
          <w:rFonts w:ascii="Arabic Typesetting" w:hAnsi="Arabic Typesetting" w:cs="Arabic Typesetting"/>
          <w:sz w:val="38"/>
          <w:szCs w:val="38"/>
          <w:rtl/>
        </w:rPr>
      </w:pPr>
      <w:r>
        <w:rPr>
          <w:rFonts w:ascii="Arabic Typesetting" w:hAnsi="Arabic Typesetting" w:cs="Arabic Typesetting"/>
          <w:sz w:val="38"/>
          <w:szCs w:val="38"/>
          <w:rtl/>
        </w:rPr>
        <w:br w:type="page"/>
      </w:r>
    </w:p>
    <w:p w:rsidR="005A0EB6" w:rsidRPr="008954A8" w:rsidRDefault="005A0EB6" w:rsidP="002C3C33">
      <w:pPr>
        <w:keepNext/>
        <w:autoSpaceDE w:val="0"/>
        <w:autoSpaceDN w:val="0"/>
        <w:adjustRightInd w:val="0"/>
        <w:snapToGrid w:val="0"/>
        <w:spacing w:after="240" w:line="360" w:lineRule="exact"/>
        <w:jc w:val="both"/>
        <w:rPr>
          <w:rFonts w:ascii="Arabic Typesetting" w:hAnsi="Arabic Typesetting" w:cs="Arabic Typesetting"/>
          <w:sz w:val="38"/>
          <w:szCs w:val="38"/>
          <w:rtl/>
        </w:rPr>
      </w:pPr>
      <w:r w:rsidRPr="008954A8">
        <w:rPr>
          <w:rFonts w:ascii="Arabic Typesetting" w:hAnsi="Arabic Typesetting" w:cs="Arabic Typesetting"/>
          <w:sz w:val="38"/>
          <w:szCs w:val="38"/>
          <w:rtl/>
        </w:rPr>
        <w:lastRenderedPageBreak/>
        <w:t>الموارد المخصصة للبرنامج 9</w:t>
      </w:r>
    </w:p>
    <w:p w:rsidR="005A0EB6" w:rsidRPr="002811C1" w:rsidRDefault="005A0EB6" w:rsidP="00302EBB">
      <w:pPr>
        <w:keepNext/>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 xml:space="preserve">تُلاحظ </w:t>
      </w:r>
      <w:r w:rsidRPr="002811C1">
        <w:rPr>
          <w:rFonts w:ascii="Arabic Typesetting" w:hAnsi="Arabic Typesetting" w:cs="Arabic Typesetting" w:hint="cs"/>
          <w:szCs w:val="34"/>
          <w:rtl/>
        </w:rPr>
        <w:t xml:space="preserve">زيادة بنسبة 4.3 في المائة في الموارد خلاف موارد الموظفين في البرنامج 9 في ميزانية الثنائية 2016/17 مقارنة بميزانية الثنائية 2014/15 بعد التحويلات. وتعزى هذه الزيادة في المقام الأول إلى الموارد الإضافية المخصصة إلى تنفيذ مشروعين من مشروعات جدول أعمال التنمية ألا وهما مشروع الملكية الفكرية والسياحة ومشروع </w:t>
      </w:r>
      <w:r w:rsidRPr="002811C1">
        <w:rPr>
          <w:rFonts w:ascii="Arabic Typesetting" w:hAnsi="Arabic Typesetting" w:cs="Arabic Typesetting"/>
          <w:szCs w:val="34"/>
          <w:rtl/>
        </w:rPr>
        <w:t>تكوين الكفاءات في استعمال التكنولوجيا الملائمة</w:t>
      </w:r>
      <w:r w:rsidRPr="002811C1">
        <w:rPr>
          <w:rFonts w:ascii="Arabic Typesetting" w:hAnsi="Arabic Typesetting" w:cs="Arabic Typesetting" w:hint="cs"/>
          <w:szCs w:val="34"/>
          <w:rtl/>
        </w:rPr>
        <w:t xml:space="preserve"> في البلدان الأقل نموا (المرحلة الثانية). هذه الزيادة مبينة في النتيجة المرتقبة </w:t>
      </w:r>
      <w:r>
        <w:rPr>
          <w:rFonts w:ascii="Arabic Typesetting" w:hAnsi="Arabic Typesetting" w:cs="Arabic Typesetting" w:hint="cs"/>
          <w:szCs w:val="34"/>
          <w:rtl/>
        </w:rPr>
        <w:t>ه2.3</w:t>
      </w:r>
      <w:r w:rsidRPr="002811C1">
        <w:rPr>
          <w:rFonts w:ascii="Arabic Typesetting" w:hAnsi="Arabic Typesetting" w:cs="Arabic Typesetting" w:hint="cs"/>
          <w:szCs w:val="34"/>
          <w:rtl/>
        </w:rPr>
        <w:t>.</w:t>
      </w:r>
    </w:p>
    <w:p w:rsidR="005A0EB6"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 xml:space="preserve"> وتعزى زيادة الموارد في النتيجة المرتقبة ه2.4 إلى زيادة التركيز على تعزيز نفاذ مؤسسات الملكية الفكرية وعامة الجمهور إلى المعلومات عن الملكية الفكرية واستخدامهم لها لتشجيع الابتكار والإبداع. أما الانخفاض في الموارد المخصصة للنتيجتين المرتقبتين ه2.1 و</w:t>
      </w:r>
      <w:r>
        <w:rPr>
          <w:rFonts w:ascii="Arabic Typesetting" w:hAnsi="Arabic Typesetting" w:cs="Arabic Typesetting"/>
          <w:szCs w:val="34"/>
          <w:rtl/>
        </w:rPr>
        <w:t>ﻫ</w:t>
      </w:r>
      <w:r>
        <w:rPr>
          <w:rFonts w:ascii="Arabic Typesetting" w:hAnsi="Arabic Typesetting" w:cs="Arabic Typesetting" w:hint="cs"/>
          <w:szCs w:val="34"/>
          <w:rtl/>
        </w:rPr>
        <w:t>4.4 فينم عن استكمال إدراج الأنشطة المتعلقة بالمشورة التشريعية والحلول العملية لمكاتب الملكية الفكرية في البرامج 1 و2 و3 و4 و15 على التوالي. وتعكس الموارد المرتبطة بالنتيجة المرتقبة ه2.3 ضمن هذا البرنامج الجهود التي يكرّسها مكتب نائب المدير العام المسؤول عن قطاع التنمية لأنشطة هذا البرنامج.</w:t>
      </w:r>
    </w:p>
    <w:p w:rsidR="005A0EB6" w:rsidRPr="008954A8" w:rsidRDefault="005A0EB6" w:rsidP="00861CFF">
      <w:pPr>
        <w:numPr>
          <w:ilvl w:val="0"/>
          <w:numId w:val="22"/>
        </w:numPr>
        <w:tabs>
          <w:tab w:val="clear" w:pos="680"/>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وقد انخفضت الموارد المخصصة للموظفين المؤقتين في ميزانية الثنائية 2016/17 مقارنة بميزانية الثنائية 2014/15 بعد التحويلات نظرا ل</w:t>
      </w:r>
      <w:r w:rsidRPr="002811C1">
        <w:rPr>
          <w:rFonts w:ascii="Arabic Typesetting" w:hAnsi="Arabic Typesetting" w:cs="Arabic Typesetting"/>
          <w:szCs w:val="34"/>
          <w:rtl/>
        </w:rPr>
        <w:t>تثبيت الموظفين المؤقتين العاملين لفترة طويلة</w:t>
      </w:r>
      <w:r>
        <w:rPr>
          <w:rFonts w:ascii="Arabic Typesetting" w:hAnsi="Arabic Typesetting" w:cs="Arabic Typesetting" w:hint="cs"/>
          <w:szCs w:val="34"/>
          <w:rtl/>
        </w:rPr>
        <w:t xml:space="preserve"> خلال الثنائية 2014/15. ويعكس انخفاض الموارد المخصصة للموظفين استكمال عدة مشروعات من مشروعات جدول أعمال التنمية في الثنائيات السابقة.</w:t>
      </w:r>
    </w:p>
    <w:p w:rsidR="005A0EB6" w:rsidRPr="008954A8" w:rsidRDefault="005A0EB6" w:rsidP="002C3C33">
      <w:pPr>
        <w:pStyle w:val="ARNormal"/>
        <w:keepNext/>
        <w:spacing w:after="0"/>
        <w:jc w:val="center"/>
        <w:rPr>
          <w:b/>
          <w:bCs/>
          <w:rtl/>
        </w:rPr>
      </w:pPr>
      <w:r w:rsidRPr="008954A8">
        <w:rPr>
          <w:rFonts w:hint="cs"/>
          <w:b/>
          <w:bCs/>
          <w:rtl/>
        </w:rPr>
        <w:t>البرنامج 9: الموارد بحسب كل نتيجة</w:t>
      </w:r>
    </w:p>
    <w:p w:rsidR="005A0EB6" w:rsidRPr="008954A8" w:rsidRDefault="005A0EB6" w:rsidP="008126A4">
      <w:pPr>
        <w:pStyle w:val="ARNormal"/>
        <w:keepNext/>
        <w:spacing w:after="0"/>
        <w:jc w:val="center"/>
        <w:rPr>
          <w:i/>
          <w:iCs/>
        </w:rPr>
      </w:pPr>
      <w:r w:rsidRPr="008954A8">
        <w:rPr>
          <w:rFonts w:hint="cs"/>
          <w:i/>
          <w:iCs/>
          <w:rtl/>
        </w:rPr>
        <w:t>(بآلاف الفرنكات السويسرية)</w:t>
      </w:r>
    </w:p>
    <w:p w:rsidR="005A0EB6" w:rsidRPr="008954A8" w:rsidRDefault="008126A4" w:rsidP="005A0EB6">
      <w:pPr>
        <w:adjustRightInd w:val="0"/>
        <w:snapToGrid w:val="0"/>
        <w:spacing w:after="120"/>
        <w:jc w:val="center"/>
        <w:rPr>
          <w:rFonts w:ascii="Arabic Typesetting" w:hAnsi="Arabic Typesetting" w:cs="Arabic Typesetting"/>
          <w:szCs w:val="34"/>
        </w:rPr>
      </w:pPr>
      <w:r w:rsidRPr="008126A4">
        <w:rPr>
          <w:noProof/>
          <w:szCs w:val="20"/>
          <w:rtl/>
          <w:lang w:bidi="ar-SA"/>
        </w:rPr>
        <w:drawing>
          <wp:inline distT="0" distB="0" distL="0" distR="0" wp14:anchorId="728C0FAD" wp14:editId="02425C15">
            <wp:extent cx="5677535" cy="428561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677535" cy="4285615"/>
                    </a:xfrm>
                    <a:prstGeom prst="rect">
                      <a:avLst/>
                    </a:prstGeom>
                    <a:noFill/>
                    <a:ln>
                      <a:noFill/>
                    </a:ln>
                  </pic:spPr>
                </pic:pic>
              </a:graphicData>
            </a:graphic>
          </wp:inline>
        </w:drawing>
      </w:r>
    </w:p>
    <w:p w:rsidR="005A0EB6" w:rsidRPr="008954A8" w:rsidRDefault="005A0EB6" w:rsidP="002C3C33">
      <w:pPr>
        <w:pStyle w:val="ARNormal"/>
        <w:keepNext/>
        <w:spacing w:after="0"/>
        <w:jc w:val="center"/>
        <w:rPr>
          <w:b/>
          <w:bCs/>
          <w:rtl/>
        </w:rPr>
      </w:pPr>
      <w:r w:rsidRPr="008954A8">
        <w:rPr>
          <w:rFonts w:hint="cs"/>
          <w:b/>
          <w:bCs/>
          <w:rtl/>
        </w:rPr>
        <w:lastRenderedPageBreak/>
        <w:t>البرنامج 9: الموارد بحسب غرض الإنفاق</w:t>
      </w:r>
    </w:p>
    <w:p w:rsidR="005A0EB6" w:rsidRPr="008954A8" w:rsidRDefault="005A0EB6" w:rsidP="005A0EB6">
      <w:pPr>
        <w:pStyle w:val="ARNormal"/>
        <w:keepNext/>
        <w:spacing w:after="0"/>
        <w:ind w:left="720"/>
        <w:jc w:val="center"/>
        <w:rPr>
          <w:i/>
          <w:iCs/>
        </w:rPr>
      </w:pPr>
      <w:r w:rsidRPr="008954A8">
        <w:rPr>
          <w:rFonts w:hint="cs"/>
          <w:i/>
          <w:iCs/>
          <w:rtl/>
        </w:rPr>
        <w:t>(بآلاف الفرنكات السويسرية)</w:t>
      </w:r>
    </w:p>
    <w:p w:rsidR="005A0EB6" w:rsidRPr="008954A8" w:rsidRDefault="005A0EB6" w:rsidP="005A0EB6">
      <w:pPr>
        <w:adjustRightInd w:val="0"/>
        <w:snapToGrid w:val="0"/>
        <w:spacing w:after="120"/>
        <w:jc w:val="center"/>
        <w:rPr>
          <w:rFonts w:ascii="Arabic Typesetting" w:hAnsi="Arabic Typesetting" w:cs="Arabic Typesetting"/>
          <w:bCs/>
          <w:szCs w:val="34"/>
          <w:lang w:val="fr-CH"/>
        </w:rPr>
      </w:pPr>
      <w:r w:rsidRPr="005A0EB6">
        <w:rPr>
          <w:noProof/>
          <w:szCs w:val="20"/>
          <w:rtl/>
          <w:lang w:bidi="ar-SA"/>
        </w:rPr>
        <w:drawing>
          <wp:inline distT="0" distB="0" distL="0" distR="0" wp14:anchorId="46D34B40" wp14:editId="32FAA3E1">
            <wp:extent cx="5004899" cy="6266929"/>
            <wp:effectExtent l="0" t="0" r="5715" b="63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06778" cy="6269282"/>
                    </a:xfrm>
                    <a:prstGeom prst="rect">
                      <a:avLst/>
                    </a:prstGeom>
                    <a:noFill/>
                    <a:ln>
                      <a:noFill/>
                    </a:ln>
                  </pic:spPr>
                </pic:pic>
              </a:graphicData>
            </a:graphic>
          </wp:inline>
        </w:drawing>
      </w:r>
    </w:p>
    <w:p w:rsidR="005A0EB6" w:rsidRPr="00487D33" w:rsidRDefault="005A0EB6" w:rsidP="002C3C33">
      <w:pPr>
        <w:pStyle w:val="ARNormal"/>
        <w:keepNext/>
        <w:spacing w:after="0"/>
        <w:jc w:val="center"/>
        <w:rPr>
          <w:b/>
          <w:bCs/>
          <w:vertAlign w:val="superscript"/>
          <w:rtl/>
        </w:rPr>
      </w:pPr>
      <w:r w:rsidRPr="00487D33">
        <w:rPr>
          <w:rFonts w:hint="cs"/>
          <w:b/>
          <w:bCs/>
          <w:rtl/>
        </w:rPr>
        <w:lastRenderedPageBreak/>
        <w:t>الموارد الاستئمانية المحتمل توافرها لأغراض البرامج في</w:t>
      </w:r>
      <w:r w:rsidRPr="00487D33">
        <w:rPr>
          <w:b/>
          <w:bCs/>
          <w:rtl/>
        </w:rPr>
        <w:t xml:space="preserve"> </w:t>
      </w:r>
      <w:r>
        <w:rPr>
          <w:rFonts w:hint="cs"/>
          <w:b/>
          <w:bCs/>
          <w:rtl/>
        </w:rPr>
        <w:t>2016</w:t>
      </w:r>
      <w:r w:rsidRPr="00487D33">
        <w:rPr>
          <w:b/>
          <w:bCs/>
          <w:rtl/>
        </w:rPr>
        <w:t>/</w:t>
      </w:r>
      <w:r>
        <w:rPr>
          <w:rFonts w:hint="cs"/>
          <w:b/>
          <w:bCs/>
          <w:rtl/>
        </w:rPr>
        <w:t>17 (بحسب البرنامج)</w:t>
      </w:r>
      <w:r w:rsidRPr="00487D33">
        <w:rPr>
          <w:rFonts w:hint="cs"/>
          <w:b/>
          <w:bCs/>
          <w:vertAlign w:val="superscript"/>
          <w:rtl/>
        </w:rPr>
        <w:t>1</w:t>
      </w:r>
    </w:p>
    <w:p w:rsidR="005A0EB6" w:rsidRPr="00487D33" w:rsidRDefault="005A0EB6" w:rsidP="005A0EB6">
      <w:pPr>
        <w:pStyle w:val="ARNormal"/>
        <w:keepNext/>
        <w:spacing w:after="0"/>
        <w:ind w:left="720"/>
        <w:jc w:val="center"/>
        <w:rPr>
          <w:i/>
          <w:iCs/>
          <w:rtl/>
        </w:rPr>
      </w:pPr>
      <w:r w:rsidRPr="00487D33">
        <w:rPr>
          <w:i/>
          <w:iCs/>
          <w:rtl/>
        </w:rPr>
        <w:t>(بآلاف الفرنكات السويسرية)</w:t>
      </w:r>
    </w:p>
    <w:p w:rsidR="005A0EB6" w:rsidRPr="008954A8" w:rsidRDefault="005A0EB6" w:rsidP="002C3C33">
      <w:pPr>
        <w:pStyle w:val="ARNormal"/>
        <w:spacing w:line="240" w:lineRule="auto"/>
        <w:jc w:val="center"/>
        <w:rPr>
          <w:sz w:val="30"/>
          <w:szCs w:val="30"/>
          <w:rtl/>
        </w:rPr>
      </w:pPr>
      <w:r w:rsidRPr="005A0EB6">
        <w:rPr>
          <w:noProof/>
          <w:rtl/>
          <w:lang w:val="en-US"/>
        </w:rPr>
        <w:drawing>
          <wp:inline distT="0" distB="0" distL="0" distR="0" wp14:anchorId="546DC01C" wp14:editId="116FD60E">
            <wp:extent cx="4979456" cy="1842053"/>
            <wp:effectExtent l="0" t="0" r="0" b="63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00388" cy="1849796"/>
                    </a:xfrm>
                    <a:prstGeom prst="rect">
                      <a:avLst/>
                    </a:prstGeom>
                    <a:noFill/>
                    <a:ln>
                      <a:noFill/>
                    </a:ln>
                  </pic:spPr>
                </pic:pic>
              </a:graphicData>
            </a:graphic>
          </wp:inline>
        </w:drawing>
      </w:r>
    </w:p>
    <w:p w:rsidR="005A0EB6" w:rsidRPr="00C1164B" w:rsidRDefault="005A0EB6" w:rsidP="00C1164B">
      <w:pPr>
        <w:adjustRightInd w:val="0"/>
        <w:snapToGrid w:val="0"/>
        <w:spacing w:line="240" w:lineRule="exact"/>
        <w:ind w:left="425"/>
        <w:jc w:val="both"/>
        <w:rPr>
          <w:rFonts w:ascii="Arabic Typesetting" w:hAnsi="Arabic Typesetting" w:cs="Arabic Typesetting"/>
          <w:sz w:val="24"/>
          <w:rtl/>
        </w:rPr>
      </w:pPr>
      <w:r w:rsidRPr="00C1164B">
        <w:rPr>
          <w:rFonts w:ascii="Arabic Typesetting" w:hAnsi="Arabic Typesetting" w:cs="Arabic Typesetting" w:hint="cs"/>
          <w:i/>
          <w:iCs/>
          <w:sz w:val="24"/>
          <w:vertAlign w:val="superscript"/>
          <w:rtl/>
        </w:rPr>
        <w:t>1</w:t>
      </w:r>
      <w:r w:rsidRPr="00C1164B">
        <w:rPr>
          <w:rFonts w:ascii="Arabic Typesetting" w:hAnsi="Arabic Typesetting" w:cs="Arabic Typesetting" w:hint="cs"/>
          <w:i/>
          <w:iCs/>
          <w:sz w:val="24"/>
          <w:rtl/>
        </w:rPr>
        <w:t xml:space="preserve"> </w:t>
      </w:r>
      <w:r w:rsidRPr="00C1164B">
        <w:rPr>
          <w:rFonts w:ascii="Arabic Typesetting" w:hAnsi="Arabic Typesetting" w:cs="Arabic Typesetting"/>
          <w:i/>
          <w:iCs/>
          <w:sz w:val="24"/>
          <w:rtl/>
        </w:rPr>
        <w:t>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C1164B">
        <w:rPr>
          <w:rFonts w:ascii="Arabic Typesetting" w:hAnsi="Arabic Typesetting" w:cs="Arabic Typesetting"/>
          <w:sz w:val="24"/>
        </w:rPr>
        <w:t>.</w:t>
      </w:r>
    </w:p>
    <w:p w:rsidR="005A0EB6" w:rsidRPr="00C1164B" w:rsidRDefault="005A0EB6" w:rsidP="00C1164B">
      <w:pPr>
        <w:adjustRightInd w:val="0"/>
        <w:snapToGrid w:val="0"/>
        <w:spacing w:line="240" w:lineRule="exact"/>
        <w:ind w:left="425"/>
        <w:jc w:val="both"/>
        <w:rPr>
          <w:rFonts w:ascii="Arabic Typesetting" w:hAnsi="Arabic Typesetting" w:cs="Arabic Typesetting"/>
          <w:i/>
          <w:iCs/>
          <w:sz w:val="24"/>
          <w:rtl/>
        </w:rPr>
      </w:pPr>
      <w:r w:rsidRPr="00C1164B">
        <w:rPr>
          <w:rFonts w:ascii="Arabic Typesetting" w:hAnsi="Arabic Typesetting" w:cs="Arabic Typesetting" w:hint="cs"/>
          <w:i/>
          <w:iCs/>
          <w:sz w:val="24"/>
          <w:vertAlign w:val="superscript"/>
          <w:rtl/>
        </w:rPr>
        <w:t>2</w:t>
      </w:r>
      <w:r w:rsidRPr="00C1164B">
        <w:rPr>
          <w:rFonts w:ascii="Arabic Typesetting" w:hAnsi="Arabic Typesetting" w:cs="Arabic Typesetting" w:hint="cs"/>
          <w:i/>
          <w:iCs/>
          <w:sz w:val="24"/>
          <w:rtl/>
        </w:rPr>
        <w:t xml:space="preserve"> </w:t>
      </w:r>
      <w:r w:rsidRPr="00C1164B">
        <w:rPr>
          <w:rFonts w:ascii="Arabic Typesetting" w:hAnsi="Arabic Typesetting" w:cs="Arabic Typesetting"/>
          <w:i/>
          <w:iCs/>
          <w:sz w:val="24"/>
          <w:rtl/>
        </w:rPr>
        <w:t xml:space="preserve">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C1164B">
        <w:rPr>
          <w:rFonts w:ascii="Arabic Typesetting" w:hAnsi="Arabic Typesetting" w:cs="Arabic Typesetting"/>
          <w:i/>
          <w:iCs/>
          <w:sz w:val="24"/>
          <w:rtl/>
        </w:rPr>
        <w:t>الاستئماني</w:t>
      </w:r>
      <w:proofErr w:type="spellEnd"/>
      <w:r w:rsidRPr="00C1164B">
        <w:rPr>
          <w:rFonts w:ascii="Arabic Typesetting" w:hAnsi="Arabic Typesetting" w:cs="Arabic Typesetting"/>
          <w:i/>
          <w:iCs/>
          <w:sz w:val="24"/>
          <w:rtl/>
        </w:rPr>
        <w:t xml:space="preserve"> التزاما من هذا القبيل</w:t>
      </w:r>
      <w:r w:rsidRPr="00C1164B">
        <w:rPr>
          <w:rFonts w:ascii="Arabic Typesetting" w:hAnsi="Arabic Typesetting" w:cs="Arabic Typesetting"/>
          <w:i/>
          <w:iCs/>
          <w:sz w:val="24"/>
        </w:rPr>
        <w:t>.</w:t>
      </w:r>
    </w:p>
    <w:p w:rsidR="005A0EB6" w:rsidRPr="00487D33" w:rsidRDefault="005A0EB6" w:rsidP="00C1164B">
      <w:pPr>
        <w:adjustRightInd w:val="0"/>
        <w:snapToGrid w:val="0"/>
        <w:spacing w:line="240" w:lineRule="exact"/>
        <w:ind w:left="425"/>
        <w:jc w:val="both"/>
        <w:rPr>
          <w:rFonts w:ascii="Arabic Typesetting" w:hAnsi="Arabic Typesetting" w:cs="Arabic Typesetting"/>
          <w:i/>
          <w:iCs/>
          <w:sz w:val="24"/>
          <w:rtl/>
        </w:rPr>
      </w:pPr>
      <w:r w:rsidRPr="00C1164B">
        <w:rPr>
          <w:rFonts w:ascii="Arabic Typesetting" w:hAnsi="Arabic Typesetting" w:cs="Arabic Typesetting" w:hint="cs"/>
          <w:i/>
          <w:iCs/>
          <w:sz w:val="24"/>
          <w:vertAlign w:val="superscript"/>
          <w:rtl/>
        </w:rPr>
        <w:t>3</w:t>
      </w:r>
      <w:r w:rsidRPr="00C1164B">
        <w:rPr>
          <w:rFonts w:ascii="Arabic Typesetting" w:hAnsi="Arabic Typesetting" w:cs="Arabic Typesetting" w:hint="cs"/>
          <w:i/>
          <w:iCs/>
          <w:sz w:val="24"/>
          <w:rtl/>
        </w:rPr>
        <w:t xml:space="preserve"> </w:t>
      </w:r>
      <w:r w:rsidRPr="00C1164B">
        <w:rPr>
          <w:rFonts w:ascii="Arabic Typesetting" w:hAnsi="Arabic Typesetting" w:cs="Arabic Typesetting"/>
          <w:i/>
          <w:iCs/>
          <w:sz w:val="24"/>
          <w:rtl/>
        </w:rPr>
        <w:t>تتفاوت المساهمات السنوية وقد لوحظت بعض التقلبات من سنة إلى أخرى</w:t>
      </w:r>
      <w:r w:rsidRPr="00C1164B">
        <w:rPr>
          <w:rFonts w:ascii="Arabic Typesetting" w:hAnsi="Arabic Typesetting" w:cs="Arabic Typesetting" w:hint="cs"/>
          <w:i/>
          <w:iCs/>
          <w:sz w:val="24"/>
          <w:rtl/>
        </w:rPr>
        <w:t>.</w:t>
      </w:r>
    </w:p>
    <w:p w:rsidR="005A0EB6" w:rsidRDefault="005A0EB6" w:rsidP="002C3C33">
      <w:pPr>
        <w:pStyle w:val="ARNormal"/>
      </w:pPr>
    </w:p>
    <w:p w:rsidR="002C3C33" w:rsidRDefault="002C3C33">
      <w:pPr>
        <w:bidi w:val="0"/>
        <w:rPr>
          <w:rFonts w:ascii="Arabic Typesetting" w:hAnsi="Arabic Typesetting" w:cs="Arabic Typesetting"/>
          <w:sz w:val="34"/>
          <w:szCs w:val="34"/>
          <w:rtl/>
          <w:lang w:val="fr-CH" w:bidi="ar-SA"/>
        </w:rPr>
      </w:pPr>
      <w:r>
        <w:rPr>
          <w:rtl/>
        </w:rPr>
        <w:br w:type="page"/>
      </w:r>
    </w:p>
    <w:p w:rsidR="002C3C33" w:rsidRPr="004F3144" w:rsidRDefault="002C3C33" w:rsidP="002C3C33">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49" w:name="_Toc356567759"/>
      <w:bookmarkStart w:id="50" w:name="_Toc364355371"/>
      <w:bookmarkStart w:id="51" w:name="_Toc420595510"/>
      <w:r w:rsidRPr="004F3144">
        <w:rPr>
          <w:rFonts w:ascii="Arabic Typesetting" w:hAnsi="Arabic Typesetting" w:cs="Arabic Typesetting"/>
          <w:bCs/>
          <w:iCs w:val="0"/>
          <w:noProof/>
          <w:sz w:val="42"/>
          <w:szCs w:val="42"/>
          <w:rtl/>
        </w:rPr>
        <w:lastRenderedPageBreak/>
        <w:t>البرنامج 10</w:t>
      </w:r>
      <w:r w:rsidRPr="004F3144">
        <w:rPr>
          <w:rFonts w:ascii="Arabic Typesetting" w:hAnsi="Arabic Typesetting" w:cs="Arabic Typesetting"/>
          <w:bCs/>
          <w:iCs w:val="0"/>
          <w:noProof/>
          <w:sz w:val="42"/>
          <w:szCs w:val="42"/>
        </w:rPr>
        <w:tab/>
      </w:r>
      <w:bookmarkEnd w:id="49"/>
      <w:bookmarkEnd w:id="50"/>
      <w:r w:rsidRPr="004F3144">
        <w:rPr>
          <w:rFonts w:ascii="Arabic Typesetting" w:hAnsi="Arabic Typesetting" w:cs="Arabic Typesetting"/>
          <w:bCs/>
          <w:iCs w:val="0"/>
          <w:noProof/>
          <w:sz w:val="42"/>
          <w:szCs w:val="42"/>
          <w:rtl/>
        </w:rPr>
        <w:t>البلدان المنتقلة إلى نظام الاقتصاد الحر والمتقدمة</w:t>
      </w:r>
      <w:bookmarkEnd w:id="51"/>
    </w:p>
    <w:p w:rsidR="002C3C33" w:rsidRPr="008954A8" w:rsidRDefault="002C3C33"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8954A8">
        <w:rPr>
          <w:rFonts w:ascii="Arabic Typesetting" w:hAnsi="Arabic Typesetting" w:cs="Arabic Typesetting"/>
          <w:sz w:val="38"/>
          <w:szCs w:val="38"/>
          <w:rtl/>
        </w:rPr>
        <w:t>سياق التخطيط</w:t>
      </w:r>
    </w:p>
    <w:p w:rsidR="002C3C33"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لا تزال الآثار الناجمة عن الأزمة المالية العالمية وعدم استقرار الأسو</w:t>
      </w:r>
      <w:r>
        <w:rPr>
          <w:rFonts w:ascii="Arabic Typesetting" w:hAnsi="Arabic Typesetting" w:cs="Arabic Typesetting"/>
          <w:szCs w:val="34"/>
          <w:rtl/>
        </w:rPr>
        <w:t xml:space="preserve">اق تؤثر في الاقتصادات الوطنية. </w:t>
      </w:r>
      <w:r>
        <w:rPr>
          <w:rFonts w:ascii="Arabic Typesetting" w:hAnsi="Arabic Typesetting" w:cs="Arabic Typesetting" w:hint="cs"/>
          <w:szCs w:val="34"/>
          <w:rtl/>
        </w:rPr>
        <w:t>و</w:t>
      </w:r>
      <w:r w:rsidRPr="000A024C">
        <w:rPr>
          <w:rFonts w:ascii="Arabic Typesetting" w:hAnsi="Arabic Typesetting" w:cs="Arabic Typesetting"/>
          <w:szCs w:val="34"/>
          <w:rtl/>
        </w:rPr>
        <w:t>هذا التأثير يحد</w:t>
      </w:r>
      <w:r>
        <w:rPr>
          <w:rFonts w:ascii="Arabic Typesetting" w:hAnsi="Arabic Typesetting" w:cs="Arabic Typesetting" w:hint="cs"/>
          <w:szCs w:val="34"/>
          <w:rtl/>
        </w:rPr>
        <w:t>ُّ</w:t>
      </w:r>
      <w:r w:rsidRPr="000A024C">
        <w:rPr>
          <w:rFonts w:ascii="Arabic Typesetting" w:hAnsi="Arabic Typesetting" w:cs="Arabic Typesetting"/>
          <w:szCs w:val="34"/>
          <w:rtl/>
        </w:rPr>
        <w:t xml:space="preserve"> من توافر الأموال اللازمة للبحث والتطوير ويُشجِّع على السلوك الحذر من ناحية، ويفتح</w:t>
      </w:r>
      <w:r>
        <w:rPr>
          <w:rFonts w:ascii="Arabic Typesetting" w:hAnsi="Arabic Typesetting" w:cs="Arabic Typesetting" w:hint="cs"/>
          <w:szCs w:val="34"/>
          <w:rtl/>
        </w:rPr>
        <w:t>،</w:t>
      </w:r>
      <w:r w:rsidRPr="000A024C">
        <w:rPr>
          <w:rFonts w:ascii="Arabic Typesetting" w:hAnsi="Arabic Typesetting" w:cs="Arabic Typesetting"/>
          <w:szCs w:val="34"/>
          <w:rtl/>
        </w:rPr>
        <w:t xml:space="preserve"> من الناحية الأخرى، البابَ أمام الإبداع والابتكار لتعزيز النمو الاقتصادي. و</w:t>
      </w:r>
      <w:r>
        <w:rPr>
          <w:rFonts w:ascii="Arabic Typesetting" w:hAnsi="Arabic Typesetting" w:cs="Arabic Typesetting" w:hint="cs"/>
          <w:szCs w:val="34"/>
          <w:rtl/>
        </w:rPr>
        <w:t xml:space="preserve">تَعتبرُ بلدانٌ كثيرةٌ </w:t>
      </w:r>
      <w:r w:rsidRPr="000A024C">
        <w:rPr>
          <w:rFonts w:ascii="Arabic Typesetting" w:hAnsi="Arabic Typesetting" w:cs="Arabic Typesetting"/>
          <w:szCs w:val="34"/>
          <w:rtl/>
        </w:rPr>
        <w:t>دور</w:t>
      </w:r>
      <w:r>
        <w:rPr>
          <w:rFonts w:ascii="Arabic Typesetting" w:hAnsi="Arabic Typesetting" w:cs="Arabic Typesetting" w:hint="cs"/>
          <w:szCs w:val="34"/>
          <w:rtl/>
        </w:rPr>
        <w:t>َ</w:t>
      </w:r>
      <w:r w:rsidRPr="000A024C">
        <w:rPr>
          <w:rFonts w:ascii="Arabic Typesetting" w:hAnsi="Arabic Typesetting" w:cs="Arabic Typesetting"/>
          <w:szCs w:val="34"/>
          <w:rtl/>
        </w:rPr>
        <w:t xml:space="preserve"> الابتكار والملكية الفكرية عاملاً أساسيّاً للنمو الاقتصادي، فتستثمر المواردَ من أجل إيجاد نظام بيئي متوازن وفعال للملكية الفكرية. ويسمح تدْوِيل الأنشطة الابتكارية والإبداعية بإقامة شراكات بين البلدان وبين الأقاليم، </w:t>
      </w:r>
      <w:r>
        <w:rPr>
          <w:rFonts w:ascii="Arabic Typesetting" w:hAnsi="Arabic Typesetting" w:cs="Arabic Typesetting" w:hint="cs"/>
          <w:szCs w:val="34"/>
          <w:rtl/>
        </w:rPr>
        <w:t xml:space="preserve">ومن المحتمل أن يؤدي ذلك </w:t>
      </w:r>
      <w:r w:rsidRPr="000A024C">
        <w:rPr>
          <w:rFonts w:ascii="Arabic Typesetting" w:hAnsi="Arabic Typesetting" w:cs="Arabic Typesetting"/>
          <w:szCs w:val="34"/>
          <w:rtl/>
        </w:rPr>
        <w:t>إلى زيادة الاستخدام الفعال لأنظمة الحماية الدولية للملكية الفكرية.</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Pr>
          <w:rFonts w:ascii="Arabic Typesetting" w:hAnsi="Arabic Typesetting" w:cs="Arabic Typesetting" w:hint="cs"/>
          <w:szCs w:val="34"/>
          <w:rtl/>
        </w:rPr>
        <w:t xml:space="preserve">وعلى هذه الخلفية، يُتوقع من البلدان المنتقلة إلى نظام الاقتصاد الحر طلب متزايد لأغراض وضع </w:t>
      </w:r>
      <w:r w:rsidRPr="000A024C">
        <w:rPr>
          <w:rFonts w:ascii="Arabic Typesetting" w:hAnsi="Arabic Typesetting" w:cs="Arabic Typesetting"/>
          <w:szCs w:val="34"/>
          <w:rtl/>
        </w:rPr>
        <w:t xml:space="preserve">استراتيجيات الملكية الفكرية وخططها الوطنية </w:t>
      </w:r>
      <w:r>
        <w:rPr>
          <w:rFonts w:ascii="Arabic Typesetting" w:hAnsi="Arabic Typesetting" w:cs="Arabic Typesetting" w:hint="cs"/>
          <w:szCs w:val="34"/>
          <w:rtl/>
        </w:rPr>
        <w:t>المكيَّفة و</w:t>
      </w:r>
      <w:r w:rsidRPr="000A024C">
        <w:rPr>
          <w:rFonts w:ascii="Arabic Typesetting" w:hAnsi="Arabic Typesetting" w:cs="Arabic Typesetting"/>
          <w:szCs w:val="34"/>
          <w:rtl/>
        </w:rPr>
        <w:t xml:space="preserve">الطويلة الأمد </w:t>
      </w:r>
      <w:r>
        <w:rPr>
          <w:rFonts w:ascii="Arabic Typesetting" w:hAnsi="Arabic Typesetting" w:cs="Arabic Typesetting" w:hint="cs"/>
          <w:szCs w:val="34"/>
          <w:rtl/>
        </w:rPr>
        <w:t>و</w:t>
      </w:r>
      <w:r w:rsidRPr="000A024C">
        <w:rPr>
          <w:rFonts w:ascii="Arabic Typesetting" w:hAnsi="Arabic Typesetting" w:cs="Arabic Typesetting"/>
          <w:szCs w:val="34"/>
          <w:rtl/>
        </w:rPr>
        <w:t>الموجهة نحو تحقيق النتائج،</w:t>
      </w:r>
      <w:r>
        <w:rPr>
          <w:rFonts w:ascii="Arabic Typesetting" w:hAnsi="Arabic Typesetting" w:cs="Arabic Typesetting" w:hint="cs"/>
          <w:szCs w:val="34"/>
          <w:rtl/>
        </w:rPr>
        <w:t xml:space="preserve"> </w:t>
      </w:r>
      <w:r w:rsidRPr="000A024C">
        <w:rPr>
          <w:rFonts w:ascii="Arabic Typesetting" w:hAnsi="Arabic Typesetting" w:cs="Arabic Typesetting"/>
          <w:szCs w:val="34"/>
          <w:rtl/>
        </w:rPr>
        <w:t xml:space="preserve">بما يتماشى مع </w:t>
      </w:r>
      <w:r>
        <w:rPr>
          <w:rFonts w:ascii="Arabic Typesetting" w:hAnsi="Arabic Typesetting" w:cs="Arabic Typesetting" w:hint="cs"/>
          <w:szCs w:val="34"/>
          <w:rtl/>
        </w:rPr>
        <w:t>الأهداف</w:t>
      </w:r>
      <w:r w:rsidRPr="000A024C">
        <w:rPr>
          <w:rFonts w:ascii="Arabic Typesetting" w:hAnsi="Arabic Typesetting" w:cs="Arabic Typesetting"/>
          <w:szCs w:val="34"/>
          <w:rtl/>
        </w:rPr>
        <w:t xml:space="preserve"> الوطنية الاقتصادية والثقافية.</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 xml:space="preserve">ولذلك يبدو </w:t>
      </w:r>
      <w:r>
        <w:rPr>
          <w:rFonts w:ascii="Arabic Typesetting" w:hAnsi="Arabic Typesetting" w:cs="Arabic Typesetting" w:hint="cs"/>
          <w:szCs w:val="34"/>
          <w:rtl/>
        </w:rPr>
        <w:t xml:space="preserve">أيضا </w:t>
      </w:r>
      <w:r w:rsidRPr="000A024C">
        <w:rPr>
          <w:rFonts w:ascii="Arabic Typesetting" w:hAnsi="Arabic Typesetting" w:cs="Arabic Typesetting"/>
          <w:szCs w:val="34"/>
          <w:rtl/>
        </w:rPr>
        <w:t xml:space="preserve">أنه لا بد من تعزيز </w:t>
      </w:r>
      <w:r>
        <w:rPr>
          <w:rFonts w:ascii="Arabic Typesetting" w:hAnsi="Arabic Typesetting" w:cs="Arabic Typesetting" w:hint="cs"/>
          <w:szCs w:val="34"/>
          <w:rtl/>
        </w:rPr>
        <w:t xml:space="preserve">وترشيد </w:t>
      </w:r>
      <w:r w:rsidRPr="000A024C">
        <w:rPr>
          <w:rFonts w:ascii="Arabic Typesetting" w:hAnsi="Arabic Typesetting" w:cs="Arabic Typesetting"/>
          <w:szCs w:val="34"/>
          <w:rtl/>
        </w:rPr>
        <w:t xml:space="preserve">التفاعل بين </w:t>
      </w:r>
      <w:r>
        <w:rPr>
          <w:rFonts w:ascii="Arabic Typesetting" w:hAnsi="Arabic Typesetting" w:cs="Arabic Typesetting" w:hint="cs"/>
          <w:szCs w:val="34"/>
          <w:rtl/>
        </w:rPr>
        <w:t>الويبو و</w:t>
      </w:r>
      <w:r w:rsidRPr="000A024C">
        <w:rPr>
          <w:rFonts w:ascii="Arabic Typesetting" w:hAnsi="Arabic Typesetting" w:cs="Arabic Typesetting"/>
          <w:szCs w:val="34"/>
          <w:rtl/>
        </w:rPr>
        <w:t xml:space="preserve">جميع أصحاب المصالح في البلدان </w:t>
      </w:r>
      <w:r>
        <w:rPr>
          <w:rFonts w:ascii="Arabic Typesetting" w:hAnsi="Arabic Typesetting" w:cs="Arabic Typesetting" w:hint="cs"/>
          <w:szCs w:val="34"/>
          <w:rtl/>
        </w:rPr>
        <w:t>المنتقلة إلى نظام الاقتصاد الحر</w:t>
      </w:r>
      <w:r w:rsidRPr="000A024C">
        <w:rPr>
          <w:rFonts w:ascii="Arabic Typesetting" w:hAnsi="Arabic Typesetting" w:cs="Arabic Typesetting"/>
          <w:szCs w:val="34"/>
          <w:rtl/>
        </w:rPr>
        <w:t xml:space="preserve"> </w:t>
      </w:r>
      <w:r>
        <w:rPr>
          <w:rFonts w:ascii="Arabic Typesetting" w:hAnsi="Arabic Typesetting" w:cs="Arabic Typesetting" w:hint="cs"/>
          <w:szCs w:val="34"/>
          <w:rtl/>
        </w:rPr>
        <w:t>و</w:t>
      </w:r>
      <w:r w:rsidRPr="000A024C">
        <w:rPr>
          <w:rFonts w:ascii="Arabic Typesetting" w:hAnsi="Arabic Typesetting" w:cs="Arabic Typesetting"/>
          <w:szCs w:val="34"/>
          <w:rtl/>
        </w:rPr>
        <w:t xml:space="preserve">البلدان المتقدمة بغية مواصلة تحسين صورة </w:t>
      </w:r>
      <w:r>
        <w:rPr>
          <w:rFonts w:ascii="Arabic Typesetting" w:hAnsi="Arabic Typesetting" w:cs="Arabic Typesetting" w:hint="cs"/>
          <w:szCs w:val="34"/>
          <w:rtl/>
        </w:rPr>
        <w:t>المنظمة</w:t>
      </w:r>
      <w:r w:rsidRPr="000A024C">
        <w:rPr>
          <w:rFonts w:ascii="Arabic Typesetting" w:hAnsi="Arabic Typesetting" w:cs="Arabic Typesetting"/>
          <w:szCs w:val="34"/>
          <w:rtl/>
        </w:rPr>
        <w:t xml:space="preserve"> و</w:t>
      </w:r>
      <w:r>
        <w:rPr>
          <w:rFonts w:ascii="Arabic Typesetting" w:hAnsi="Arabic Typesetting" w:cs="Arabic Typesetting" w:hint="cs"/>
          <w:szCs w:val="34"/>
          <w:rtl/>
        </w:rPr>
        <w:t>إ</w:t>
      </w:r>
      <w:r w:rsidRPr="000A024C">
        <w:rPr>
          <w:rFonts w:ascii="Arabic Typesetting" w:hAnsi="Arabic Typesetting" w:cs="Arabic Typesetting"/>
          <w:szCs w:val="34"/>
          <w:rtl/>
        </w:rPr>
        <w:t xml:space="preserve">علاء شأنها في البلدان المعنية، فضلاً عن زيادة الوعي بالفرص المتعلقة بجدول أعمال الويبو </w:t>
      </w:r>
      <w:r>
        <w:rPr>
          <w:rFonts w:ascii="Arabic Typesetting" w:hAnsi="Arabic Typesetting" w:cs="Arabic Typesetting" w:hint="cs"/>
          <w:szCs w:val="34"/>
          <w:rtl/>
        </w:rPr>
        <w:t>الخاص بوضع القواعد والمعايير</w:t>
      </w:r>
      <w:r w:rsidRPr="000A024C">
        <w:rPr>
          <w:rFonts w:ascii="Arabic Typesetting" w:hAnsi="Arabic Typesetting" w:cs="Arabic Typesetting"/>
          <w:szCs w:val="34"/>
          <w:rtl/>
        </w:rPr>
        <w:t xml:space="preserve"> ومبادرات</w:t>
      </w:r>
      <w:r>
        <w:rPr>
          <w:rFonts w:ascii="Arabic Typesetting" w:hAnsi="Arabic Typesetting" w:cs="Arabic Typesetting" w:hint="cs"/>
          <w:szCs w:val="34"/>
          <w:rtl/>
        </w:rPr>
        <w:t xml:space="preserve"> الويبو</w:t>
      </w:r>
      <w:r w:rsidRPr="000A024C">
        <w:rPr>
          <w:rFonts w:ascii="Arabic Typesetting" w:hAnsi="Arabic Typesetting" w:cs="Arabic Typesetting"/>
          <w:szCs w:val="34"/>
          <w:rtl/>
        </w:rPr>
        <w:t xml:space="preserve"> وخدمات</w:t>
      </w:r>
      <w:r>
        <w:rPr>
          <w:rFonts w:ascii="Arabic Typesetting" w:hAnsi="Arabic Typesetting" w:cs="Arabic Typesetting" w:hint="cs"/>
          <w:szCs w:val="34"/>
          <w:rtl/>
        </w:rPr>
        <w:t>ها</w:t>
      </w:r>
      <w:r>
        <w:rPr>
          <w:rFonts w:ascii="Arabic Typesetting" w:hAnsi="Arabic Typesetting" w:cs="Arabic Typesetting"/>
          <w:szCs w:val="34"/>
          <w:rtl/>
        </w:rPr>
        <w:t>. وس</w:t>
      </w:r>
      <w:r>
        <w:rPr>
          <w:rFonts w:ascii="Arabic Typesetting" w:hAnsi="Arabic Typesetting" w:cs="Arabic Typesetting" w:hint="cs"/>
          <w:szCs w:val="34"/>
          <w:rtl/>
        </w:rPr>
        <w:t>ي</w:t>
      </w:r>
      <w:r w:rsidRPr="000A024C">
        <w:rPr>
          <w:rFonts w:ascii="Arabic Typesetting" w:hAnsi="Arabic Typesetting" w:cs="Arabic Typesetting"/>
          <w:szCs w:val="34"/>
          <w:rtl/>
        </w:rPr>
        <w:t xml:space="preserve">ستمر في هذه الثنائية </w:t>
      </w:r>
      <w:r>
        <w:rPr>
          <w:rFonts w:ascii="Arabic Typesetting" w:hAnsi="Arabic Typesetting" w:cs="Arabic Typesetting" w:hint="cs"/>
          <w:szCs w:val="34"/>
          <w:rtl/>
        </w:rPr>
        <w:t>تزايد</w:t>
      </w:r>
      <w:r w:rsidRPr="000A024C">
        <w:rPr>
          <w:rFonts w:ascii="Arabic Typesetting" w:hAnsi="Arabic Typesetting" w:cs="Arabic Typesetting"/>
          <w:szCs w:val="34"/>
          <w:rtl/>
        </w:rPr>
        <w:t xml:space="preserve"> الطلب </w:t>
      </w:r>
      <w:r>
        <w:rPr>
          <w:rFonts w:ascii="Arabic Typesetting" w:hAnsi="Arabic Typesetting" w:cs="Arabic Typesetting" w:hint="cs"/>
          <w:szCs w:val="34"/>
          <w:rtl/>
        </w:rPr>
        <w:t>لأغراض</w:t>
      </w:r>
      <w:r w:rsidRPr="000A024C">
        <w:rPr>
          <w:rFonts w:ascii="Arabic Typesetting" w:hAnsi="Arabic Typesetting" w:cs="Arabic Typesetting"/>
          <w:szCs w:val="34"/>
          <w:rtl/>
        </w:rPr>
        <w:t xml:space="preserve"> وضع استراتيجيات الملكية الفكرية وخططها الوطنية </w:t>
      </w:r>
      <w:r>
        <w:rPr>
          <w:rFonts w:ascii="Arabic Typesetting" w:hAnsi="Arabic Typesetting" w:cs="Arabic Typesetting" w:hint="cs"/>
          <w:szCs w:val="34"/>
          <w:rtl/>
        </w:rPr>
        <w:t>المكيَّفة و</w:t>
      </w:r>
      <w:r w:rsidRPr="000A024C">
        <w:rPr>
          <w:rFonts w:ascii="Arabic Typesetting" w:hAnsi="Arabic Typesetting" w:cs="Arabic Typesetting"/>
          <w:szCs w:val="34"/>
          <w:rtl/>
        </w:rPr>
        <w:t xml:space="preserve">الطويلة الأمد </w:t>
      </w:r>
      <w:r>
        <w:rPr>
          <w:rFonts w:ascii="Arabic Typesetting" w:hAnsi="Arabic Typesetting" w:cs="Arabic Typesetting" w:hint="cs"/>
          <w:szCs w:val="34"/>
          <w:rtl/>
        </w:rPr>
        <w:t>و</w:t>
      </w:r>
      <w:r w:rsidRPr="000A024C">
        <w:rPr>
          <w:rFonts w:ascii="Arabic Typesetting" w:hAnsi="Arabic Typesetting" w:cs="Arabic Typesetting"/>
          <w:szCs w:val="34"/>
          <w:rtl/>
        </w:rPr>
        <w:t>الموجهة نحو تحقيق النتائج، بما يتماشى مع الاستراتيجيات الوطنية الاقتصادية والثقافية.</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ووجود نهج مؤسس</w:t>
      </w:r>
      <w:r>
        <w:rPr>
          <w:rFonts w:ascii="Arabic Typesetting" w:hAnsi="Arabic Typesetting" w:cs="Arabic Typesetting" w:hint="cs"/>
          <w:szCs w:val="34"/>
          <w:rtl/>
        </w:rPr>
        <w:t>ي</w:t>
      </w:r>
      <w:r w:rsidRPr="000A024C">
        <w:rPr>
          <w:rFonts w:ascii="Arabic Typesetting" w:hAnsi="Arabic Typesetting" w:cs="Arabic Typesetting"/>
          <w:szCs w:val="34"/>
          <w:rtl/>
        </w:rPr>
        <w:t xml:space="preserve"> مُنسَّق</w:t>
      </w:r>
      <w:r>
        <w:rPr>
          <w:rFonts w:ascii="Arabic Typesetting" w:hAnsi="Arabic Typesetting" w:cs="Arabic Typesetting" w:hint="cs"/>
          <w:szCs w:val="34"/>
          <w:rtl/>
        </w:rPr>
        <w:t xml:space="preserve"> </w:t>
      </w:r>
      <w:r>
        <w:rPr>
          <w:rFonts w:ascii="Arabic Typesetting" w:hAnsi="Arabic Typesetting" w:cs="Arabic Typesetting"/>
          <w:szCs w:val="34"/>
          <w:rtl/>
        </w:rPr>
        <w:t>س</w:t>
      </w:r>
      <w:r w:rsidRPr="000A024C">
        <w:rPr>
          <w:rFonts w:ascii="Arabic Typesetting" w:hAnsi="Arabic Typesetting" w:cs="Arabic Typesetting"/>
          <w:szCs w:val="34"/>
          <w:rtl/>
        </w:rPr>
        <w:t>يعود بالفائدة على كل</w:t>
      </w:r>
      <w:r>
        <w:rPr>
          <w:rFonts w:ascii="Arabic Typesetting" w:hAnsi="Arabic Typesetting" w:cs="Arabic Typesetting" w:hint="cs"/>
          <w:szCs w:val="34"/>
          <w:rtl/>
        </w:rPr>
        <w:t>ٍّ</w:t>
      </w:r>
      <w:r w:rsidRPr="000A024C">
        <w:rPr>
          <w:rFonts w:ascii="Arabic Typesetting" w:hAnsi="Arabic Typesetting" w:cs="Arabic Typesetting"/>
          <w:szCs w:val="34"/>
          <w:rtl/>
        </w:rPr>
        <w:t xml:space="preserve"> من ا</w:t>
      </w:r>
      <w:r>
        <w:rPr>
          <w:rFonts w:ascii="Arabic Typesetting" w:hAnsi="Arabic Typesetting" w:cs="Arabic Typesetting"/>
          <w:szCs w:val="34"/>
          <w:rtl/>
        </w:rPr>
        <w:t>لويبو والدول الأعضاء فيها. وس</w:t>
      </w:r>
      <w:r w:rsidRPr="000A024C">
        <w:rPr>
          <w:rFonts w:ascii="Arabic Typesetting" w:hAnsi="Arabic Typesetting" w:cs="Arabic Typesetting"/>
          <w:szCs w:val="34"/>
          <w:rtl/>
        </w:rPr>
        <w:t>يظل من الأولويات تعزيز العلاقات المؤسسية وزيادة الوعي بخدمات الويبو وأنشطتها بين جمهور أوسع في البلدان المعنية.</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وإضافةً إلى ذلك، انضم كثير</w:t>
      </w:r>
      <w:r>
        <w:rPr>
          <w:rFonts w:ascii="Arabic Typesetting" w:hAnsi="Arabic Typesetting" w:cs="Arabic Typesetting" w:hint="cs"/>
          <w:szCs w:val="34"/>
          <w:rtl/>
        </w:rPr>
        <w:t>ٌ</w:t>
      </w:r>
      <w:r w:rsidRPr="000A024C">
        <w:rPr>
          <w:rFonts w:ascii="Arabic Typesetting" w:hAnsi="Arabic Typesetting" w:cs="Arabic Typesetting"/>
          <w:szCs w:val="34"/>
          <w:rtl/>
        </w:rPr>
        <w:t xml:space="preserve"> من البلدان </w:t>
      </w:r>
      <w:r>
        <w:rPr>
          <w:rFonts w:ascii="Arabic Typesetting" w:hAnsi="Arabic Typesetting" w:cs="Arabic Typesetting" w:hint="cs"/>
          <w:szCs w:val="34"/>
          <w:rtl/>
        </w:rPr>
        <w:t>المنتقلة إلى نظام الاقتصاد الحر</w:t>
      </w:r>
      <w:r w:rsidRPr="000A024C">
        <w:rPr>
          <w:rFonts w:ascii="Arabic Typesetting" w:hAnsi="Arabic Typesetting" w:cs="Arabic Typesetting"/>
          <w:szCs w:val="34"/>
          <w:rtl/>
        </w:rPr>
        <w:t xml:space="preserve"> </w:t>
      </w:r>
      <w:r>
        <w:rPr>
          <w:rFonts w:ascii="Arabic Typesetting" w:hAnsi="Arabic Typesetting" w:cs="Arabic Typesetting" w:hint="cs"/>
          <w:szCs w:val="34"/>
          <w:rtl/>
        </w:rPr>
        <w:t>و</w:t>
      </w:r>
      <w:r w:rsidRPr="000A024C">
        <w:rPr>
          <w:rFonts w:ascii="Arabic Typesetting" w:hAnsi="Arabic Typesetting" w:cs="Arabic Typesetting"/>
          <w:szCs w:val="34"/>
          <w:rtl/>
        </w:rPr>
        <w:t xml:space="preserve">البلدان المتقدمة إلى أنظمة الويبو، لا سيما نظام معاهدة التعاون </w:t>
      </w:r>
      <w:r>
        <w:rPr>
          <w:rFonts w:ascii="Arabic Typesetting" w:hAnsi="Arabic Typesetting" w:cs="Arabic Typesetting"/>
          <w:szCs w:val="34"/>
          <w:rtl/>
        </w:rPr>
        <w:t>بشأن البراءات ونظام مدريد، وي</w:t>
      </w:r>
      <w:r>
        <w:rPr>
          <w:rFonts w:ascii="Arabic Typesetting" w:hAnsi="Arabic Typesetting" w:cs="Arabic Typesetting" w:hint="cs"/>
          <w:szCs w:val="34"/>
          <w:rtl/>
        </w:rPr>
        <w:t>عتزم</w:t>
      </w:r>
      <w:r>
        <w:rPr>
          <w:rFonts w:ascii="Arabic Typesetting" w:hAnsi="Arabic Typesetting" w:cs="Arabic Typesetting"/>
          <w:szCs w:val="34"/>
          <w:rtl/>
        </w:rPr>
        <w:t xml:space="preserve"> بعض البلدان </w:t>
      </w:r>
      <w:r>
        <w:rPr>
          <w:rFonts w:ascii="Arabic Typesetting" w:hAnsi="Arabic Typesetting" w:cs="Arabic Typesetting" w:hint="cs"/>
          <w:szCs w:val="34"/>
          <w:rtl/>
        </w:rPr>
        <w:t>ا</w:t>
      </w:r>
      <w:r w:rsidRPr="000A024C">
        <w:rPr>
          <w:rFonts w:ascii="Arabic Typesetting" w:hAnsi="Arabic Typesetting" w:cs="Arabic Typesetting"/>
          <w:szCs w:val="34"/>
          <w:rtl/>
        </w:rPr>
        <w:t>لانضمام إليها. ولم تتحقق بعدُ الإمكانات الكاملة لهذه الأنظمة في المنطقة تحققاً تاماً. ولهذا السبب توجد حاجة إلى زيادة تعزيز الترويج لها ومواصلة تنظيم تدريب هادف بشأن استخدامها.</w:t>
      </w:r>
    </w:p>
    <w:p w:rsidR="002C3C33" w:rsidRPr="006A5E69" w:rsidRDefault="002C3C33"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tl/>
        </w:rPr>
      </w:pPr>
      <w:r w:rsidRPr="006A5E69">
        <w:rPr>
          <w:rFonts w:ascii="Arabic Typesetting" w:hAnsi="Arabic Typesetting" w:cs="Arabic Typesetting"/>
          <w:sz w:val="38"/>
          <w:szCs w:val="38"/>
          <w:rtl/>
        </w:rPr>
        <w:t>استراتيجيات التنفيذ</w:t>
      </w:r>
    </w:p>
    <w:p w:rsidR="002C3C33" w:rsidRPr="008954A8" w:rsidRDefault="002C3C33" w:rsidP="00970100">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 xml:space="preserve">سيواصل البرنامج تقديم المساعدة إلى </w:t>
      </w:r>
      <w:r w:rsidR="00970100">
        <w:rPr>
          <w:rFonts w:ascii="Arabic Typesetting" w:hAnsi="Arabic Typesetting" w:cs="Arabic Typesetting" w:hint="cs"/>
          <w:szCs w:val="34"/>
          <w:rtl/>
        </w:rPr>
        <w:t>دول أوروبا الوسطى والبلطيق وبلدان آسيا الوسطى وأوروبا الشرقية والقوقاز وبعض بلدان البحر المتوسط</w:t>
      </w:r>
      <w:r w:rsidRPr="000A024C">
        <w:rPr>
          <w:rFonts w:ascii="Arabic Typesetting" w:hAnsi="Arabic Typesetting" w:cs="Arabic Typesetting"/>
          <w:szCs w:val="34"/>
          <w:rtl/>
        </w:rPr>
        <w:t>، مع التركيز على أطر الملكية الفكرية التشريعية والتنظيمية والسياسية المكيَّفة والمتوازنة</w:t>
      </w:r>
      <w:r>
        <w:rPr>
          <w:rFonts w:ascii="Arabic Typesetting" w:hAnsi="Arabic Typesetting" w:cs="Arabic Typesetting" w:hint="cs"/>
          <w:szCs w:val="34"/>
          <w:rtl/>
        </w:rPr>
        <w:t>،</w:t>
      </w:r>
      <w:r w:rsidRPr="000A024C">
        <w:rPr>
          <w:rFonts w:ascii="Arabic Typesetting" w:hAnsi="Arabic Typesetting" w:cs="Arabic Typesetting"/>
          <w:szCs w:val="34"/>
          <w:rtl/>
        </w:rPr>
        <w:t xml:space="preserve"> وتعزيز الانتفاع بخدمات الويبو، و</w:t>
      </w:r>
      <w:r>
        <w:rPr>
          <w:rFonts w:ascii="Arabic Typesetting" w:hAnsi="Arabic Typesetting" w:cs="Arabic Typesetting" w:hint="cs"/>
          <w:szCs w:val="34"/>
          <w:rtl/>
        </w:rPr>
        <w:t>ال</w:t>
      </w:r>
      <w:r w:rsidRPr="000A024C">
        <w:rPr>
          <w:rFonts w:ascii="Arabic Typesetting" w:hAnsi="Arabic Typesetting" w:cs="Arabic Typesetting"/>
          <w:szCs w:val="34"/>
          <w:rtl/>
        </w:rPr>
        <w:t>سياسات و</w:t>
      </w:r>
      <w:r>
        <w:rPr>
          <w:rFonts w:ascii="Arabic Typesetting" w:hAnsi="Arabic Typesetting" w:cs="Arabic Typesetting" w:hint="cs"/>
          <w:szCs w:val="34"/>
          <w:rtl/>
        </w:rPr>
        <w:t>ال</w:t>
      </w:r>
      <w:r w:rsidRPr="000A024C">
        <w:rPr>
          <w:rFonts w:ascii="Arabic Typesetting" w:hAnsi="Arabic Typesetting" w:cs="Arabic Typesetting"/>
          <w:szCs w:val="34"/>
          <w:rtl/>
        </w:rPr>
        <w:t>استراتيجيات و</w:t>
      </w:r>
      <w:r>
        <w:rPr>
          <w:rFonts w:ascii="Arabic Typesetting" w:hAnsi="Arabic Typesetting" w:cs="Arabic Typesetting" w:hint="cs"/>
          <w:szCs w:val="34"/>
          <w:rtl/>
        </w:rPr>
        <w:t>ال</w:t>
      </w:r>
      <w:r w:rsidRPr="000A024C">
        <w:rPr>
          <w:rFonts w:ascii="Arabic Typesetting" w:hAnsi="Arabic Typesetting" w:cs="Arabic Typesetting"/>
          <w:szCs w:val="34"/>
          <w:rtl/>
        </w:rPr>
        <w:t>خطط</w:t>
      </w:r>
      <w:r>
        <w:rPr>
          <w:rFonts w:ascii="Arabic Typesetting" w:hAnsi="Arabic Typesetting" w:cs="Arabic Typesetting" w:hint="cs"/>
          <w:szCs w:val="34"/>
          <w:rtl/>
        </w:rPr>
        <w:t xml:space="preserve"> ال</w:t>
      </w:r>
      <w:r w:rsidRPr="000A024C">
        <w:rPr>
          <w:rFonts w:ascii="Arabic Typesetting" w:hAnsi="Arabic Typesetting" w:cs="Arabic Typesetting"/>
          <w:szCs w:val="34"/>
          <w:rtl/>
        </w:rPr>
        <w:t>إنمائية</w:t>
      </w:r>
      <w:r>
        <w:rPr>
          <w:rFonts w:ascii="Arabic Typesetting" w:hAnsi="Arabic Typesetting" w:cs="Arabic Typesetting" w:hint="cs"/>
          <w:szCs w:val="34"/>
          <w:rtl/>
        </w:rPr>
        <w:t xml:space="preserve"> ال</w:t>
      </w:r>
      <w:r w:rsidRPr="000A024C">
        <w:rPr>
          <w:rFonts w:ascii="Arabic Typesetting" w:hAnsi="Arabic Typesetting" w:cs="Arabic Typesetting"/>
          <w:szCs w:val="34"/>
          <w:rtl/>
        </w:rPr>
        <w:t xml:space="preserve">وطنية </w:t>
      </w:r>
      <w:r>
        <w:rPr>
          <w:rFonts w:ascii="Arabic Typesetting" w:hAnsi="Arabic Typesetting" w:cs="Arabic Typesetting" w:hint="cs"/>
          <w:szCs w:val="34"/>
          <w:rtl/>
        </w:rPr>
        <w:t>ال</w:t>
      </w:r>
      <w:r w:rsidRPr="000A024C">
        <w:rPr>
          <w:rFonts w:ascii="Arabic Typesetting" w:hAnsi="Arabic Typesetting" w:cs="Arabic Typesetting"/>
          <w:szCs w:val="34"/>
          <w:rtl/>
        </w:rPr>
        <w:t>محددة و</w:t>
      </w:r>
      <w:r>
        <w:rPr>
          <w:rFonts w:ascii="Arabic Typesetting" w:hAnsi="Arabic Typesetting" w:cs="Arabic Typesetting" w:hint="cs"/>
          <w:szCs w:val="34"/>
          <w:rtl/>
        </w:rPr>
        <w:t>ال</w:t>
      </w:r>
      <w:r w:rsidRPr="000A024C">
        <w:rPr>
          <w:rFonts w:ascii="Arabic Typesetting" w:hAnsi="Arabic Typesetting" w:cs="Arabic Typesetting"/>
          <w:szCs w:val="34"/>
          <w:rtl/>
        </w:rPr>
        <w:t xml:space="preserve">متسقة بوضوح بشأن الابتكار والملكية الفكرية </w:t>
      </w:r>
      <w:r>
        <w:rPr>
          <w:rFonts w:ascii="Arabic Typesetting" w:hAnsi="Arabic Typesetting" w:cs="Arabic Typesetting" w:hint="cs"/>
          <w:szCs w:val="34"/>
          <w:rtl/>
        </w:rPr>
        <w:t xml:space="preserve">التي </w:t>
      </w:r>
      <w:r w:rsidRPr="000A024C">
        <w:rPr>
          <w:rFonts w:ascii="Arabic Typesetting" w:hAnsi="Arabic Typesetting" w:cs="Arabic Typesetting"/>
          <w:szCs w:val="34"/>
          <w:rtl/>
        </w:rPr>
        <w:t>تتماشى مع الغايات والأهداف الإنمائية الوطنية؛ و</w:t>
      </w:r>
      <w:r>
        <w:rPr>
          <w:rFonts w:ascii="Arabic Typesetting" w:hAnsi="Arabic Typesetting" w:cs="Arabic Typesetting" w:hint="cs"/>
          <w:szCs w:val="34"/>
          <w:rtl/>
        </w:rPr>
        <w:t>ال</w:t>
      </w:r>
      <w:r w:rsidRPr="000A024C">
        <w:rPr>
          <w:rFonts w:ascii="Arabic Typesetting" w:hAnsi="Arabic Typesetting" w:cs="Arabic Typesetting"/>
          <w:szCs w:val="34"/>
          <w:rtl/>
        </w:rPr>
        <w:t xml:space="preserve">كفاءات </w:t>
      </w:r>
      <w:r>
        <w:rPr>
          <w:rFonts w:ascii="Arabic Typesetting" w:hAnsi="Arabic Typesetting" w:cs="Arabic Typesetting" w:hint="cs"/>
          <w:szCs w:val="34"/>
          <w:rtl/>
        </w:rPr>
        <w:t>ال</w:t>
      </w:r>
      <w:r w:rsidRPr="000A024C">
        <w:rPr>
          <w:rFonts w:ascii="Arabic Typesetting" w:hAnsi="Arabic Typesetting" w:cs="Arabic Typesetting"/>
          <w:szCs w:val="34"/>
          <w:rtl/>
        </w:rPr>
        <w:t xml:space="preserve">معززة للموارد البشرية </w:t>
      </w:r>
      <w:r>
        <w:rPr>
          <w:rFonts w:ascii="Arabic Typesetting" w:hAnsi="Arabic Typesetting" w:cs="Arabic Typesetting" w:hint="cs"/>
          <w:szCs w:val="34"/>
          <w:rtl/>
        </w:rPr>
        <w:t>ال</w:t>
      </w:r>
      <w:r w:rsidRPr="000A024C">
        <w:rPr>
          <w:rFonts w:ascii="Arabic Typesetting" w:hAnsi="Arabic Typesetting" w:cs="Arabic Typesetting"/>
          <w:szCs w:val="34"/>
          <w:rtl/>
        </w:rPr>
        <w:t>قادرة على تناول طائفة واسعة من المتطلبات من أجل الانتفاع الفعال بالملكية الفكرية لأغراض التنمية، فضلاً عن تعزيز آليات التعاون وبرامجه.</w:t>
      </w:r>
      <w:r w:rsidR="00970100">
        <w:rPr>
          <w:rFonts w:ascii="Arabic Typesetting" w:hAnsi="Arabic Typesetting" w:cs="Arabic Typesetting" w:hint="cs"/>
          <w:szCs w:val="34"/>
          <w:rtl/>
        </w:rPr>
        <w:t xml:space="preserve"> وفيما يخص البلدان المتقدمة، سيركّز البرنامج على تعزيز استخدام خدمات الويبو ومبادراتها.</w:t>
      </w:r>
    </w:p>
    <w:p w:rsidR="002C3C33"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ومن خلال الدعم والتنسيق الوثيق مع ال</w:t>
      </w:r>
      <w:r>
        <w:rPr>
          <w:rFonts w:ascii="Arabic Typesetting" w:hAnsi="Arabic Typesetting" w:cs="Arabic Typesetting"/>
          <w:szCs w:val="34"/>
          <w:rtl/>
        </w:rPr>
        <w:t>برامج الأخرى ذات الصلة وال</w:t>
      </w:r>
      <w:r>
        <w:rPr>
          <w:rFonts w:ascii="Arabic Typesetting" w:hAnsi="Arabic Typesetting" w:cs="Arabic Typesetting" w:hint="cs"/>
          <w:szCs w:val="34"/>
          <w:rtl/>
        </w:rPr>
        <w:t>إسهامات</w:t>
      </w:r>
      <w:r w:rsidRPr="000A024C">
        <w:rPr>
          <w:rFonts w:ascii="Arabic Typesetting" w:hAnsi="Arabic Typesetting" w:cs="Arabic Typesetting"/>
          <w:szCs w:val="34"/>
          <w:rtl/>
        </w:rPr>
        <w:t xml:space="preserve"> المُقدَّمة من الدول الأعضاء، سوف</w:t>
      </w:r>
      <w:r>
        <w:rPr>
          <w:rFonts w:ascii="Arabic Typesetting" w:hAnsi="Arabic Typesetting" w:cs="Arabic Typesetting" w:hint="cs"/>
          <w:szCs w:val="34"/>
          <w:rtl/>
        </w:rPr>
        <w:t xml:space="preserve"> يُسترشَد ب</w:t>
      </w:r>
      <w:r>
        <w:rPr>
          <w:rFonts w:ascii="Arabic Typesetting" w:hAnsi="Arabic Typesetting" w:cs="Arabic Typesetting"/>
          <w:szCs w:val="34"/>
          <w:rtl/>
        </w:rPr>
        <w:t>البرنامج</w:t>
      </w:r>
      <w:r w:rsidRPr="000A024C">
        <w:rPr>
          <w:rFonts w:ascii="Arabic Typesetting" w:hAnsi="Arabic Typesetting" w:cs="Arabic Typesetting"/>
          <w:szCs w:val="34"/>
          <w:rtl/>
        </w:rPr>
        <w:t xml:space="preserve"> 10 </w:t>
      </w:r>
      <w:r>
        <w:rPr>
          <w:rFonts w:ascii="Arabic Typesetting" w:hAnsi="Arabic Typesetting" w:cs="Arabic Typesetting" w:hint="cs"/>
          <w:szCs w:val="34"/>
          <w:rtl/>
        </w:rPr>
        <w:t xml:space="preserve">في </w:t>
      </w:r>
      <w:r w:rsidRPr="000A024C">
        <w:rPr>
          <w:rFonts w:ascii="Arabic Typesetting" w:hAnsi="Arabic Typesetting" w:cs="Arabic Typesetting"/>
          <w:szCs w:val="34"/>
          <w:rtl/>
        </w:rPr>
        <w:t>وضع وتنفيذ خطط تعاون قطري متوازنة وطويلة الأمد ومُوجَّهة نحو تحقيق النتائج، مما يضمن توافق المساعدة التي تقدمها الويبو مع أهداف الاستراتيجية الوطنية للملكية الفكرية.</w:t>
      </w:r>
    </w:p>
    <w:p w:rsidR="002C3C33" w:rsidRDefault="002C3C33">
      <w:pPr>
        <w:bidi w:val="0"/>
        <w:rPr>
          <w:rFonts w:ascii="Arabic Typesetting" w:hAnsi="Arabic Typesetting" w:cs="Arabic Typesetting"/>
          <w:szCs w:val="34"/>
          <w:rtl/>
        </w:rPr>
      </w:pPr>
      <w:r>
        <w:rPr>
          <w:rFonts w:ascii="Arabic Typesetting" w:hAnsi="Arabic Typesetting" w:cs="Arabic Typesetting"/>
          <w:szCs w:val="34"/>
          <w:rtl/>
        </w:rPr>
        <w:br w:type="page"/>
      </w:r>
    </w:p>
    <w:p w:rsidR="002C3C33" w:rsidRDefault="002C3C33" w:rsidP="00861CFF">
      <w:pPr>
        <w:keepNext/>
        <w:numPr>
          <w:ilvl w:val="0"/>
          <w:numId w:val="23"/>
        </w:numPr>
        <w:adjustRightInd w:val="0"/>
        <w:snapToGrid w:val="0"/>
        <w:spacing w:after="120" w:line="340" w:lineRule="exact"/>
        <w:ind w:left="-6"/>
        <w:rPr>
          <w:rFonts w:ascii="Arabic Typesetting" w:hAnsi="Arabic Typesetting" w:cs="Arabic Typesetting"/>
          <w:szCs w:val="34"/>
          <w:rtl/>
        </w:rPr>
      </w:pPr>
      <w:r>
        <w:rPr>
          <w:rFonts w:ascii="Arabic Typesetting" w:hAnsi="Arabic Typesetting" w:cs="Arabic Typesetting" w:hint="cs"/>
          <w:szCs w:val="34"/>
          <w:rtl/>
        </w:rPr>
        <w:lastRenderedPageBreak/>
        <w:t>ويتعاون البرنامج 10 في الأساس مع البرامج الأخرى على النحو المبيّن أدناه:</w:t>
      </w:r>
    </w:p>
    <w:p w:rsidR="002C3C33" w:rsidRDefault="002C3C33" w:rsidP="002C3C33">
      <w:pPr>
        <w:keepNext/>
        <w:adjustRightInd w:val="0"/>
        <w:snapToGrid w:val="0"/>
        <w:spacing w:after="120" w:line="340" w:lineRule="exact"/>
        <w:ind w:left="-6"/>
        <w:rPr>
          <w:rFonts w:ascii="Arabic Typesetting" w:hAnsi="Arabic Typesetting" w:cs="Arabic Typesetting"/>
          <w:szCs w:val="34"/>
        </w:rPr>
      </w:pPr>
      <w:r w:rsidRPr="007C3A1F">
        <w:rPr>
          <w:rFonts w:ascii="Arial" w:hAnsi="Arial" w:cs="Arial"/>
          <w:noProof/>
          <w:szCs w:val="20"/>
          <w:lang w:bidi="ar-SA"/>
        </w:rPr>
        <w:drawing>
          <wp:anchor distT="0" distB="0" distL="114300" distR="114300" simplePos="0" relativeHeight="251666432" behindDoc="0" locked="0" layoutInCell="1" allowOverlap="1" wp14:anchorId="0A738F70" wp14:editId="0E525F95">
            <wp:simplePos x="0" y="0"/>
            <wp:positionH relativeFrom="column">
              <wp:posOffset>160020</wp:posOffset>
            </wp:positionH>
            <wp:positionV relativeFrom="paragraph">
              <wp:posOffset>80010</wp:posOffset>
            </wp:positionV>
            <wp:extent cx="5761355" cy="2620645"/>
            <wp:effectExtent l="0" t="38100" r="0" b="0"/>
            <wp:wrapSquare wrapText="bothSides"/>
            <wp:docPr id="245" name="Diagram 2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anchor>
        </w:drawing>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Pr>
          <w:rFonts w:ascii="Arabic Typesetting" w:hAnsi="Arabic Typesetting" w:cs="Arabic Typesetting"/>
          <w:szCs w:val="34"/>
          <w:rtl/>
        </w:rPr>
        <w:t>وس</w:t>
      </w:r>
      <w:r w:rsidRPr="000A024C">
        <w:rPr>
          <w:rFonts w:ascii="Arabic Typesetting" w:hAnsi="Arabic Typesetting" w:cs="Arabic Typesetting"/>
          <w:szCs w:val="34"/>
          <w:rtl/>
        </w:rPr>
        <w:t>تُمنح الأولوي</w:t>
      </w:r>
      <w:r>
        <w:rPr>
          <w:rFonts w:ascii="Arabic Typesetting" w:hAnsi="Arabic Typesetting" w:cs="Arabic Typesetting"/>
          <w:szCs w:val="34"/>
          <w:rtl/>
        </w:rPr>
        <w:t>ة لترويج منتجات الويبو وخدماتها</w:t>
      </w:r>
      <w:r w:rsidRPr="000A024C">
        <w:rPr>
          <w:rFonts w:ascii="Arabic Typesetting" w:hAnsi="Arabic Typesetting" w:cs="Arabic Typesetting"/>
          <w:szCs w:val="34"/>
          <w:rtl/>
        </w:rPr>
        <w:t xml:space="preserve">. </w:t>
      </w:r>
      <w:r>
        <w:rPr>
          <w:rFonts w:ascii="Arabic Typesetting" w:hAnsi="Arabic Typesetting" w:cs="Arabic Typesetting"/>
          <w:szCs w:val="34"/>
          <w:rtl/>
        </w:rPr>
        <w:t>وس</w:t>
      </w:r>
      <w:r w:rsidRPr="00416BB6">
        <w:rPr>
          <w:rFonts w:ascii="Arabic Typesetting" w:hAnsi="Arabic Typesetting" w:cs="Arabic Typesetting" w:hint="cs"/>
          <w:szCs w:val="34"/>
          <w:rtl/>
        </w:rPr>
        <w:t xml:space="preserve">يُجرى </w:t>
      </w:r>
      <w:r w:rsidRPr="00416BB6">
        <w:rPr>
          <w:rFonts w:ascii="Arabic Typesetting" w:hAnsi="Arabic Typesetting" w:cs="Arabic Typesetting"/>
          <w:szCs w:val="34"/>
          <w:rtl/>
        </w:rPr>
        <w:t>ت</w:t>
      </w:r>
      <w:r w:rsidRPr="00416BB6">
        <w:rPr>
          <w:rFonts w:ascii="Arabic Typesetting" w:hAnsi="Arabic Typesetting" w:cs="Arabic Typesetting" w:hint="cs"/>
          <w:szCs w:val="34"/>
          <w:rtl/>
        </w:rPr>
        <w:t>و</w:t>
      </w:r>
      <w:r w:rsidRPr="00416BB6">
        <w:rPr>
          <w:rFonts w:ascii="Arabic Typesetting" w:hAnsi="Arabic Typesetting" w:cs="Arabic Typesetting"/>
          <w:szCs w:val="34"/>
          <w:rtl/>
        </w:rPr>
        <w:t>س</w:t>
      </w:r>
      <w:r>
        <w:rPr>
          <w:rFonts w:ascii="Arabic Typesetting" w:hAnsi="Arabic Typesetting" w:cs="Arabic Typesetting" w:hint="cs"/>
          <w:szCs w:val="34"/>
          <w:rtl/>
        </w:rPr>
        <w:t>ي</w:t>
      </w:r>
      <w:r w:rsidRPr="00416BB6">
        <w:rPr>
          <w:rFonts w:ascii="Arabic Typesetting" w:hAnsi="Arabic Typesetting" w:cs="Arabic Typesetting"/>
          <w:szCs w:val="34"/>
          <w:rtl/>
        </w:rPr>
        <w:t>ع</w:t>
      </w:r>
      <w:r w:rsidRPr="000A024C">
        <w:rPr>
          <w:rFonts w:ascii="Arabic Typesetting" w:hAnsi="Arabic Typesetting" w:cs="Arabic Typesetting"/>
          <w:szCs w:val="34"/>
          <w:rtl/>
        </w:rPr>
        <w:t xml:space="preserve"> نطاق الحلقات الدراسية الجوالة بشأن خدمات الويبو ومبادراتها، التي نُظِّمت بنجاح في كثير من البلدان، ل</w:t>
      </w:r>
      <w:r>
        <w:rPr>
          <w:rFonts w:ascii="Arabic Typesetting" w:hAnsi="Arabic Typesetting" w:cs="Arabic Typesetting" w:hint="cs"/>
          <w:szCs w:val="34"/>
          <w:rtl/>
        </w:rPr>
        <w:t xml:space="preserve">تنظيمها في </w:t>
      </w:r>
      <w:r w:rsidRPr="000A024C">
        <w:rPr>
          <w:rFonts w:ascii="Arabic Typesetting" w:hAnsi="Arabic Typesetting" w:cs="Arabic Typesetting"/>
          <w:szCs w:val="34"/>
          <w:rtl/>
        </w:rPr>
        <w:t>مناطق جديدة.</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Pr>
          <w:rFonts w:ascii="Arabic Typesetting" w:hAnsi="Arabic Typesetting" w:cs="Arabic Typesetting"/>
          <w:szCs w:val="34"/>
          <w:rtl/>
        </w:rPr>
        <w:t>وس</w:t>
      </w:r>
      <w:r w:rsidRPr="000A024C">
        <w:rPr>
          <w:rFonts w:ascii="Arabic Typesetting" w:hAnsi="Arabic Typesetting" w:cs="Arabic Typesetting"/>
          <w:szCs w:val="34"/>
          <w:rtl/>
        </w:rPr>
        <w:t>يكون هناك جانبان مهمان للتوسع في استخدام خدمات الويبو خلال الثنائية هما: "1" ضمان أن المستخدمين الحاليين قادرون على تحقيق أقصى استفادة محتملة من الأنظمة؛ "2" و</w:t>
      </w:r>
      <w:r>
        <w:rPr>
          <w:rFonts w:ascii="Arabic Typesetting" w:hAnsi="Arabic Typesetting" w:cs="Arabic Typesetting" w:hint="cs"/>
          <w:szCs w:val="34"/>
          <w:rtl/>
        </w:rPr>
        <w:t xml:space="preserve">ضمان </w:t>
      </w:r>
      <w:r w:rsidRPr="000A024C">
        <w:rPr>
          <w:rFonts w:ascii="Arabic Typesetting" w:hAnsi="Arabic Typesetting" w:cs="Arabic Typesetting"/>
          <w:szCs w:val="34"/>
          <w:rtl/>
        </w:rPr>
        <w:t xml:space="preserve">أن المستخدمين المحتملين – وكثير منهم موجودون في الدول الأعضاء </w:t>
      </w:r>
      <w:r>
        <w:rPr>
          <w:rFonts w:ascii="Arabic Typesetting" w:hAnsi="Arabic Typesetting" w:cs="Arabic Typesetting" w:hint="cs"/>
          <w:szCs w:val="34"/>
          <w:rtl/>
        </w:rPr>
        <w:t xml:space="preserve">صاحبة </w:t>
      </w:r>
      <w:r w:rsidRPr="000A024C">
        <w:rPr>
          <w:rFonts w:ascii="Arabic Typesetting" w:hAnsi="Arabic Typesetting" w:cs="Arabic Typesetting"/>
          <w:szCs w:val="34"/>
          <w:rtl/>
        </w:rPr>
        <w:t>أعلى استخدام لأنظمة الويبو – يشا</w:t>
      </w:r>
      <w:r>
        <w:rPr>
          <w:rFonts w:ascii="Arabic Typesetting" w:hAnsi="Arabic Typesetting" w:cs="Arabic Typesetting"/>
          <w:szCs w:val="34"/>
          <w:rtl/>
        </w:rPr>
        <w:t>ركون بنشاط. واستجابةً لذلك، س</w:t>
      </w:r>
      <w:r>
        <w:rPr>
          <w:rFonts w:ascii="Arabic Typesetting" w:hAnsi="Arabic Typesetting" w:cs="Arabic Typesetting" w:hint="cs"/>
          <w:szCs w:val="34"/>
          <w:rtl/>
        </w:rPr>
        <w:t>تبدأ</w:t>
      </w:r>
      <w:r w:rsidRPr="000A024C">
        <w:rPr>
          <w:rFonts w:ascii="Arabic Typesetting" w:hAnsi="Arabic Typesetting" w:cs="Arabic Typesetting"/>
          <w:szCs w:val="34"/>
          <w:rtl/>
        </w:rPr>
        <w:t xml:space="preserve"> </w:t>
      </w:r>
      <w:r>
        <w:rPr>
          <w:rFonts w:ascii="Arabic Typesetting" w:hAnsi="Arabic Typesetting" w:cs="Arabic Typesetting" w:hint="cs"/>
          <w:szCs w:val="34"/>
          <w:rtl/>
        </w:rPr>
        <w:t>ال</w:t>
      </w:r>
      <w:r w:rsidRPr="000A024C">
        <w:rPr>
          <w:rFonts w:ascii="Arabic Typesetting" w:hAnsi="Arabic Typesetting" w:cs="Arabic Typesetting"/>
          <w:szCs w:val="34"/>
          <w:rtl/>
        </w:rPr>
        <w:t xml:space="preserve">توعية </w:t>
      </w:r>
      <w:r>
        <w:rPr>
          <w:rFonts w:ascii="Arabic Typesetting" w:hAnsi="Arabic Typesetting" w:cs="Arabic Typesetting" w:hint="cs"/>
          <w:szCs w:val="34"/>
          <w:rtl/>
        </w:rPr>
        <w:t>الهادفة</w:t>
      </w:r>
      <w:r w:rsidRPr="000A024C">
        <w:rPr>
          <w:rFonts w:ascii="Arabic Typesetting" w:hAnsi="Arabic Typesetting" w:cs="Arabic Typesetting"/>
          <w:szCs w:val="34"/>
          <w:rtl/>
        </w:rPr>
        <w:t xml:space="preserve"> و</w:t>
      </w:r>
      <w:r>
        <w:rPr>
          <w:rFonts w:ascii="Arabic Typesetting" w:hAnsi="Arabic Typesetting" w:cs="Arabic Typesetting" w:hint="cs"/>
          <w:szCs w:val="34"/>
          <w:rtl/>
        </w:rPr>
        <w:t>ال</w:t>
      </w:r>
      <w:r>
        <w:rPr>
          <w:rFonts w:ascii="Arabic Typesetting" w:hAnsi="Arabic Typesetting" w:cs="Arabic Typesetting"/>
          <w:szCs w:val="34"/>
          <w:rtl/>
        </w:rPr>
        <w:t>مستدامة ب</w:t>
      </w:r>
      <w:r>
        <w:rPr>
          <w:rFonts w:ascii="Arabic Typesetting" w:hAnsi="Arabic Typesetting" w:cs="Arabic Typesetting" w:hint="cs"/>
          <w:szCs w:val="34"/>
          <w:rtl/>
        </w:rPr>
        <w:t>غرض</w:t>
      </w:r>
      <w:r w:rsidRPr="000A024C">
        <w:rPr>
          <w:rFonts w:ascii="Arabic Typesetting" w:hAnsi="Arabic Typesetting" w:cs="Arabic Typesetting"/>
          <w:szCs w:val="34"/>
          <w:rtl/>
        </w:rPr>
        <w:t xml:space="preserve"> بلوغ أقصى استخدام في الأسواق الوطنية التي تم فيها بالفعل إثبات قيمة نظام الويبو والاعتراف بها.</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وإضافة إلى ذلك، سيواصل البرنامج الاعتماد على بعض القواسم والسمات المشتركة بين الأنظمة الاقتصادية وأنظمة الملكية الفكرية لل</w:t>
      </w:r>
      <w:r>
        <w:rPr>
          <w:rFonts w:ascii="Arabic Typesetting" w:hAnsi="Arabic Typesetting" w:cs="Arabic Typesetting"/>
          <w:szCs w:val="34"/>
          <w:rtl/>
        </w:rPr>
        <w:t xml:space="preserve">بلدان </w:t>
      </w:r>
      <w:r>
        <w:rPr>
          <w:rFonts w:ascii="Arabic Typesetting" w:hAnsi="Arabic Typesetting" w:cs="Arabic Typesetting" w:hint="cs"/>
          <w:szCs w:val="34"/>
          <w:rtl/>
        </w:rPr>
        <w:t>المنتقلة إلى نظام الاقتصاد الحر</w:t>
      </w:r>
      <w:r w:rsidRPr="000A024C">
        <w:rPr>
          <w:rFonts w:ascii="Arabic Typesetting" w:hAnsi="Arabic Typesetting" w:cs="Arabic Typesetting"/>
          <w:szCs w:val="34"/>
          <w:rtl/>
        </w:rPr>
        <w:t xml:space="preserve"> </w:t>
      </w:r>
      <w:r>
        <w:rPr>
          <w:rFonts w:ascii="Arabic Typesetting" w:hAnsi="Arabic Typesetting" w:cs="Arabic Typesetting" w:hint="cs"/>
          <w:szCs w:val="34"/>
          <w:rtl/>
        </w:rPr>
        <w:t>و</w:t>
      </w:r>
      <w:r w:rsidRPr="000A024C">
        <w:rPr>
          <w:rFonts w:ascii="Arabic Typesetting" w:hAnsi="Arabic Typesetting" w:cs="Arabic Typesetting"/>
          <w:szCs w:val="34"/>
          <w:rtl/>
        </w:rPr>
        <w:t>البلدان المتقدمة</w:t>
      </w:r>
      <w:r>
        <w:rPr>
          <w:rFonts w:ascii="Arabic Typesetting" w:hAnsi="Arabic Typesetting" w:cs="Arabic Typesetting"/>
          <w:szCs w:val="34"/>
          <w:rtl/>
        </w:rPr>
        <w:t>، وس</w:t>
      </w:r>
      <w:r w:rsidRPr="000A024C">
        <w:rPr>
          <w:rFonts w:ascii="Arabic Typesetting" w:hAnsi="Arabic Typesetting" w:cs="Arabic Typesetting"/>
          <w:szCs w:val="34"/>
          <w:rtl/>
        </w:rPr>
        <w:t xml:space="preserve">يدعم </w:t>
      </w:r>
      <w:r>
        <w:rPr>
          <w:rFonts w:ascii="Arabic Typesetting" w:hAnsi="Arabic Typesetting" w:cs="Arabic Typesetting" w:hint="cs"/>
          <w:szCs w:val="34"/>
          <w:rtl/>
        </w:rPr>
        <w:t xml:space="preserve">البرنامج </w:t>
      </w:r>
      <w:r w:rsidRPr="000A024C">
        <w:rPr>
          <w:rFonts w:ascii="Arabic Typesetting" w:hAnsi="Arabic Typesetting" w:cs="Arabic Typesetting"/>
          <w:szCs w:val="34"/>
          <w:rtl/>
        </w:rPr>
        <w:t>تبادل الخبرات والدروس المستفادة وأفضل الممارسات.</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Pr>
          <w:rFonts w:ascii="Arabic Typesetting" w:hAnsi="Arabic Typesetting" w:cs="Arabic Typesetting"/>
          <w:szCs w:val="34"/>
          <w:rtl/>
        </w:rPr>
        <w:t>وس</w:t>
      </w:r>
      <w:r w:rsidRPr="000A024C">
        <w:rPr>
          <w:rFonts w:ascii="Arabic Typesetting" w:hAnsi="Arabic Typesetting" w:cs="Arabic Typesetting"/>
          <w:szCs w:val="34"/>
          <w:rtl/>
        </w:rPr>
        <w:t xml:space="preserve">تُخطَّط وتُنفَّذ أنشطة تكوين الكفاءات بما يتماشى مع خطط التعاون الوطنية، حيثما أمكن، واستراتيجيات الملكية الفكرية الوطنية، مع التركيز على </w:t>
      </w:r>
      <w:r>
        <w:rPr>
          <w:rFonts w:ascii="Arabic Typesetting" w:hAnsi="Arabic Typesetting" w:cs="Arabic Typesetting" w:hint="cs"/>
          <w:szCs w:val="34"/>
          <w:rtl/>
        </w:rPr>
        <w:t>إقامة</w:t>
      </w:r>
      <w:r w:rsidRPr="000A024C">
        <w:rPr>
          <w:rFonts w:ascii="Arabic Typesetting" w:hAnsi="Arabic Typesetting" w:cs="Arabic Typesetting"/>
          <w:szCs w:val="34"/>
          <w:rtl/>
        </w:rPr>
        <w:t xml:space="preserve"> برامج تدريبية وطنية مكتفية ذاتيّاً، يمكن أن تقوم بها السلطات المحلية.</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0A024C">
        <w:rPr>
          <w:rFonts w:ascii="Arabic Typesetting" w:hAnsi="Arabic Typesetting" w:cs="Arabic Typesetting"/>
          <w:szCs w:val="34"/>
          <w:rtl/>
        </w:rPr>
        <w:t>وتقييم</w:t>
      </w:r>
      <w:r>
        <w:rPr>
          <w:rFonts w:ascii="Arabic Typesetting" w:hAnsi="Arabic Typesetting" w:cs="Arabic Typesetting" w:hint="cs"/>
          <w:szCs w:val="34"/>
          <w:rtl/>
        </w:rPr>
        <w:t xml:space="preserve"> الأنشطة تقييماً </w:t>
      </w:r>
      <w:r w:rsidRPr="000A024C">
        <w:rPr>
          <w:rFonts w:ascii="Arabic Typesetting" w:hAnsi="Arabic Typesetting" w:cs="Arabic Typesetting"/>
          <w:szCs w:val="34"/>
          <w:rtl/>
        </w:rPr>
        <w:t>مُعزَّز</w:t>
      </w:r>
      <w:r>
        <w:rPr>
          <w:rFonts w:ascii="Arabic Typesetting" w:hAnsi="Arabic Typesetting" w:cs="Arabic Typesetting" w:hint="cs"/>
          <w:szCs w:val="34"/>
          <w:rtl/>
        </w:rPr>
        <w:t>اً</w:t>
      </w:r>
      <w:r w:rsidRPr="000A024C">
        <w:rPr>
          <w:rFonts w:ascii="Arabic Typesetting" w:hAnsi="Arabic Typesetting" w:cs="Arabic Typesetting"/>
          <w:szCs w:val="34"/>
          <w:rtl/>
        </w:rPr>
        <w:t xml:space="preserve"> على مرحلتين </w:t>
      </w:r>
      <w:r>
        <w:rPr>
          <w:rFonts w:ascii="Arabic Typesetting" w:hAnsi="Arabic Typesetting" w:cs="Arabic Typesetting"/>
          <w:szCs w:val="34"/>
          <w:rtl/>
        </w:rPr>
        <w:t>س</w:t>
      </w:r>
      <w:r w:rsidRPr="000A024C">
        <w:rPr>
          <w:rFonts w:ascii="Arabic Typesetting" w:hAnsi="Arabic Typesetting" w:cs="Arabic Typesetting"/>
          <w:szCs w:val="34"/>
          <w:rtl/>
        </w:rPr>
        <w:t>يُمكِّن البرنامج من مواصلة تحسين وتكييف أنشطت</w:t>
      </w:r>
      <w:r>
        <w:rPr>
          <w:rFonts w:ascii="Arabic Typesetting" w:hAnsi="Arabic Typesetting" w:cs="Arabic Typesetting"/>
          <w:szCs w:val="34"/>
          <w:rtl/>
        </w:rPr>
        <w:t>ه حسب الاحتياجات المحددة لل</w:t>
      </w:r>
      <w:r>
        <w:rPr>
          <w:rFonts w:ascii="Arabic Typesetting" w:hAnsi="Arabic Typesetting" w:cs="Arabic Typesetting" w:hint="cs"/>
          <w:szCs w:val="34"/>
          <w:rtl/>
        </w:rPr>
        <w:t>بلدان</w:t>
      </w:r>
      <w:r w:rsidRPr="000A024C">
        <w:rPr>
          <w:rFonts w:ascii="Arabic Typesetting" w:hAnsi="Arabic Typesetting" w:cs="Arabic Typesetting"/>
          <w:szCs w:val="34"/>
          <w:rtl/>
        </w:rPr>
        <w:t>، بما في ذلك تعميم المساواة بين الجنسين في الأنشطة ذات الصلة.</w:t>
      </w:r>
    </w:p>
    <w:p w:rsidR="002C3C33" w:rsidRDefault="002C3C33" w:rsidP="00861CFF">
      <w:pPr>
        <w:numPr>
          <w:ilvl w:val="0"/>
          <w:numId w:val="23"/>
        </w:numPr>
        <w:adjustRightInd w:val="0"/>
        <w:snapToGrid w:val="0"/>
        <w:spacing w:after="120" w:line="340" w:lineRule="exact"/>
        <w:ind w:left="-6"/>
        <w:rPr>
          <w:rFonts w:ascii="Arabic Typesetting" w:hAnsi="Arabic Typesetting" w:cs="Arabic Typesetting"/>
          <w:sz w:val="34"/>
          <w:szCs w:val="34"/>
        </w:rPr>
      </w:pPr>
      <w:r w:rsidRPr="000A024C">
        <w:rPr>
          <w:rFonts w:ascii="Arabic Typesetting" w:hAnsi="Arabic Typesetting" w:cs="Arabic Typesetting"/>
          <w:sz w:val="34"/>
          <w:szCs w:val="34"/>
          <w:rtl/>
        </w:rPr>
        <w:t xml:space="preserve">ومن أجل </w:t>
      </w:r>
      <w:r w:rsidRPr="001559D0">
        <w:rPr>
          <w:rFonts w:ascii="Arabic Typesetting" w:hAnsi="Arabic Typesetting" w:cs="Arabic Typesetting"/>
          <w:sz w:val="34"/>
          <w:szCs w:val="34"/>
          <w:rtl/>
        </w:rPr>
        <w:t xml:space="preserve">ضمان </w:t>
      </w:r>
      <w:r>
        <w:rPr>
          <w:rFonts w:ascii="Arabic Typesetting" w:hAnsi="Arabic Typesetting" w:cs="Arabic Typesetting" w:hint="cs"/>
          <w:sz w:val="34"/>
          <w:szCs w:val="34"/>
          <w:rtl/>
        </w:rPr>
        <w:t>ال</w:t>
      </w:r>
      <w:r w:rsidRPr="001559D0">
        <w:rPr>
          <w:rFonts w:ascii="Arabic Typesetting" w:hAnsi="Arabic Typesetting" w:cs="Arabic Typesetting"/>
          <w:sz w:val="34"/>
          <w:szCs w:val="34"/>
          <w:rtl/>
        </w:rPr>
        <w:t>تطوير</w:t>
      </w:r>
      <w:r>
        <w:rPr>
          <w:rFonts w:ascii="Arabic Typesetting" w:hAnsi="Arabic Typesetting" w:cs="Arabic Typesetting" w:hint="cs"/>
          <w:sz w:val="34"/>
          <w:szCs w:val="34"/>
          <w:rtl/>
        </w:rPr>
        <w:t xml:space="preserve"> المتوازن</w:t>
      </w:r>
      <w:r w:rsidRPr="001559D0">
        <w:rPr>
          <w:rFonts w:ascii="Arabic Typesetting" w:hAnsi="Arabic Typesetting" w:cs="Arabic Typesetting"/>
          <w:sz w:val="34"/>
          <w:szCs w:val="34"/>
          <w:rtl/>
        </w:rPr>
        <w:t xml:space="preserve"> </w:t>
      </w:r>
      <w:r>
        <w:rPr>
          <w:rFonts w:ascii="Arabic Typesetting" w:hAnsi="Arabic Typesetting" w:cs="Arabic Typesetting" w:hint="cs"/>
          <w:sz w:val="34"/>
          <w:szCs w:val="34"/>
          <w:rtl/>
        </w:rPr>
        <w:t>ل</w:t>
      </w:r>
      <w:r w:rsidRPr="001559D0">
        <w:rPr>
          <w:rFonts w:ascii="Arabic Typesetting" w:hAnsi="Arabic Typesetting" w:cs="Arabic Typesetting"/>
          <w:sz w:val="34"/>
          <w:szCs w:val="34"/>
          <w:rtl/>
        </w:rPr>
        <w:t xml:space="preserve">نظام الملكية الفكرية </w:t>
      </w:r>
      <w:r>
        <w:rPr>
          <w:rFonts w:ascii="Arabic Typesetting" w:hAnsi="Arabic Typesetting" w:cs="Arabic Typesetting" w:hint="cs"/>
          <w:sz w:val="34"/>
          <w:szCs w:val="34"/>
          <w:rtl/>
        </w:rPr>
        <w:t>على نحو أفضل</w:t>
      </w:r>
      <w:r>
        <w:rPr>
          <w:rFonts w:ascii="Arabic Typesetting" w:hAnsi="Arabic Typesetting" w:cs="Arabic Typesetting"/>
          <w:sz w:val="34"/>
          <w:szCs w:val="34"/>
          <w:rtl/>
        </w:rPr>
        <w:t>، س</w:t>
      </w:r>
      <w:r w:rsidRPr="000A024C">
        <w:rPr>
          <w:rFonts w:ascii="Arabic Typesetting" w:hAnsi="Arabic Typesetting" w:cs="Arabic Typesetting"/>
          <w:sz w:val="34"/>
          <w:szCs w:val="34"/>
          <w:rtl/>
        </w:rPr>
        <w:t>يُعزَّز التفاعل مع أصحاب المصالح المعنيين، بما في ذلك الحكوم</w:t>
      </w:r>
      <w:r>
        <w:rPr>
          <w:rFonts w:ascii="Arabic Typesetting" w:hAnsi="Arabic Typesetting" w:cs="Arabic Typesetting"/>
          <w:sz w:val="34"/>
          <w:szCs w:val="34"/>
          <w:rtl/>
        </w:rPr>
        <w:t>ات والقطاعات الصناعية والمستخدم</w:t>
      </w:r>
      <w:r>
        <w:rPr>
          <w:rFonts w:ascii="Arabic Typesetting" w:hAnsi="Arabic Typesetting" w:cs="Arabic Typesetting" w:hint="cs"/>
          <w:sz w:val="34"/>
          <w:szCs w:val="34"/>
          <w:rtl/>
        </w:rPr>
        <w:t>و</w:t>
      </w:r>
      <w:r>
        <w:rPr>
          <w:rFonts w:ascii="Arabic Typesetting" w:hAnsi="Arabic Typesetting" w:cs="Arabic Typesetting"/>
          <w:sz w:val="34"/>
          <w:szCs w:val="34"/>
          <w:rtl/>
        </w:rPr>
        <w:t>ن. وس</w:t>
      </w:r>
      <w:r>
        <w:rPr>
          <w:rFonts w:ascii="Arabic Typesetting" w:hAnsi="Arabic Typesetting" w:cs="Arabic Typesetting" w:hint="cs"/>
          <w:sz w:val="34"/>
          <w:szCs w:val="34"/>
          <w:rtl/>
        </w:rPr>
        <w:t>تُستحدث</w:t>
      </w:r>
      <w:r w:rsidRPr="000A024C">
        <w:rPr>
          <w:rFonts w:ascii="Arabic Typesetting" w:hAnsi="Arabic Typesetting" w:cs="Arabic Typesetting"/>
          <w:sz w:val="34"/>
          <w:szCs w:val="34"/>
          <w:rtl/>
        </w:rPr>
        <w:t xml:space="preserve"> منصات مستدامة لتبادل </w:t>
      </w:r>
      <w:r>
        <w:rPr>
          <w:rFonts w:ascii="Arabic Typesetting" w:hAnsi="Arabic Typesetting" w:cs="Arabic Typesetting" w:hint="cs"/>
          <w:sz w:val="34"/>
          <w:szCs w:val="34"/>
          <w:rtl/>
        </w:rPr>
        <w:t>ال</w:t>
      </w:r>
      <w:r w:rsidRPr="000A024C">
        <w:rPr>
          <w:rFonts w:ascii="Arabic Typesetting" w:hAnsi="Arabic Typesetting" w:cs="Arabic Typesetting"/>
          <w:sz w:val="34"/>
          <w:szCs w:val="34"/>
          <w:rtl/>
        </w:rPr>
        <w:t xml:space="preserve">خبرات </w:t>
      </w:r>
      <w:r>
        <w:rPr>
          <w:rFonts w:ascii="Arabic Typesetting" w:hAnsi="Arabic Typesetting" w:cs="Arabic Typesetting" w:hint="cs"/>
          <w:sz w:val="34"/>
          <w:szCs w:val="34"/>
          <w:rtl/>
        </w:rPr>
        <w:t xml:space="preserve">في مجال </w:t>
      </w:r>
      <w:r w:rsidRPr="000A024C">
        <w:rPr>
          <w:rFonts w:ascii="Arabic Typesetting" w:hAnsi="Arabic Typesetting" w:cs="Arabic Typesetting"/>
          <w:sz w:val="34"/>
          <w:szCs w:val="34"/>
          <w:rtl/>
        </w:rPr>
        <w:t>الملكية الفكرية، ومن المحتمل أن تؤدي هذه المنصات إلى تحسين التنسيق بين أصحاب المصالح.</w:t>
      </w:r>
    </w:p>
    <w:p w:rsidR="002C3C33" w:rsidRDefault="002C3C33" w:rsidP="00861CFF">
      <w:pPr>
        <w:numPr>
          <w:ilvl w:val="0"/>
          <w:numId w:val="23"/>
        </w:numPr>
        <w:adjustRightInd w:val="0"/>
        <w:snapToGrid w:val="0"/>
        <w:spacing w:after="120" w:line="340" w:lineRule="exact"/>
        <w:ind w:left="-6"/>
        <w:rPr>
          <w:rFonts w:ascii="Arabic Typesetting" w:hAnsi="Arabic Typesetting" w:cs="Arabic Typesetting"/>
          <w:sz w:val="34"/>
          <w:szCs w:val="34"/>
        </w:rPr>
      </w:pPr>
      <w:r w:rsidRPr="000A024C">
        <w:rPr>
          <w:rFonts w:ascii="Arabic Typesetting" w:hAnsi="Arabic Typesetting" w:cs="Arabic Typesetting"/>
          <w:sz w:val="34"/>
          <w:szCs w:val="34"/>
          <w:rtl/>
        </w:rPr>
        <w:t xml:space="preserve">ومع مراعاة عضوية البلدان </w:t>
      </w:r>
      <w:r>
        <w:rPr>
          <w:rFonts w:ascii="Arabic Typesetting" w:hAnsi="Arabic Typesetting" w:cs="Arabic Typesetting" w:hint="cs"/>
          <w:sz w:val="34"/>
          <w:szCs w:val="34"/>
          <w:rtl/>
        </w:rPr>
        <w:t>المنتقلة إلى نظام الاقتصاد الحر</w:t>
      </w:r>
      <w:r w:rsidRPr="000A024C">
        <w:rPr>
          <w:rFonts w:ascii="Arabic Typesetting" w:hAnsi="Arabic Typesetting" w:cs="Arabic Typesetting"/>
          <w:sz w:val="34"/>
          <w:szCs w:val="34"/>
          <w:rtl/>
        </w:rPr>
        <w:t xml:space="preserve"> والبلدان المتقدمة في ال</w:t>
      </w:r>
      <w:r>
        <w:rPr>
          <w:rFonts w:ascii="Arabic Typesetting" w:hAnsi="Arabic Typesetting" w:cs="Arabic Typesetting"/>
          <w:sz w:val="34"/>
          <w:szCs w:val="34"/>
          <w:rtl/>
        </w:rPr>
        <w:t>منظمات الإقليمية ذات الصلة، سي</w:t>
      </w:r>
      <w:r>
        <w:rPr>
          <w:rFonts w:ascii="Arabic Typesetting" w:hAnsi="Arabic Typesetting" w:cs="Arabic Typesetting" w:hint="cs"/>
          <w:sz w:val="34"/>
          <w:szCs w:val="34"/>
          <w:rtl/>
        </w:rPr>
        <w:t xml:space="preserve">سعى </w:t>
      </w:r>
      <w:r w:rsidRPr="000A024C">
        <w:rPr>
          <w:rFonts w:ascii="Arabic Typesetting" w:hAnsi="Arabic Typesetting" w:cs="Arabic Typesetting"/>
          <w:sz w:val="34"/>
          <w:szCs w:val="34"/>
          <w:rtl/>
        </w:rPr>
        <w:t xml:space="preserve">البرنامج </w:t>
      </w:r>
      <w:r>
        <w:rPr>
          <w:rFonts w:ascii="Arabic Typesetting" w:hAnsi="Arabic Typesetting" w:cs="Arabic Typesetting" w:hint="cs"/>
          <w:sz w:val="34"/>
          <w:szCs w:val="34"/>
          <w:rtl/>
        </w:rPr>
        <w:t xml:space="preserve">إلى </w:t>
      </w:r>
      <w:r w:rsidRPr="00B23496">
        <w:rPr>
          <w:rFonts w:ascii="Arabic Typesetting" w:hAnsi="Arabic Typesetting" w:cs="Arabic Typesetting"/>
          <w:sz w:val="34"/>
          <w:szCs w:val="34"/>
          <w:rtl/>
        </w:rPr>
        <w:t xml:space="preserve">زيادة </w:t>
      </w:r>
      <w:r w:rsidRPr="00B23496">
        <w:rPr>
          <w:rFonts w:ascii="Arabic Typesetting" w:hAnsi="Arabic Typesetting" w:cs="Arabic Typesetting" w:hint="cs"/>
          <w:sz w:val="34"/>
          <w:szCs w:val="34"/>
          <w:rtl/>
        </w:rPr>
        <w:t>تقوية</w:t>
      </w:r>
      <w:r w:rsidRPr="00B23496">
        <w:rPr>
          <w:rFonts w:ascii="Arabic Typesetting" w:hAnsi="Arabic Typesetting" w:cs="Arabic Typesetting"/>
          <w:sz w:val="34"/>
          <w:szCs w:val="34"/>
          <w:rtl/>
        </w:rPr>
        <w:t xml:space="preserve"> </w:t>
      </w:r>
      <w:r w:rsidRPr="00B23496">
        <w:rPr>
          <w:rFonts w:ascii="Arabic Typesetting" w:hAnsi="Arabic Typesetting" w:cs="Arabic Typesetting" w:hint="cs"/>
          <w:sz w:val="34"/>
          <w:szCs w:val="34"/>
          <w:rtl/>
        </w:rPr>
        <w:t xml:space="preserve">أوجه </w:t>
      </w:r>
      <w:r w:rsidRPr="00B23496">
        <w:rPr>
          <w:rFonts w:ascii="Arabic Typesetting" w:hAnsi="Arabic Typesetting" w:cs="Arabic Typesetting"/>
          <w:sz w:val="34"/>
          <w:szCs w:val="34"/>
          <w:rtl/>
        </w:rPr>
        <w:t>التآزر وتعزيز الجهود المشتركة ل</w:t>
      </w:r>
      <w:r>
        <w:rPr>
          <w:rFonts w:ascii="Arabic Typesetting" w:hAnsi="Arabic Typesetting" w:cs="Arabic Typesetting" w:hint="cs"/>
          <w:sz w:val="34"/>
          <w:szCs w:val="34"/>
          <w:rtl/>
        </w:rPr>
        <w:t xml:space="preserve">بلوغ </w:t>
      </w:r>
      <w:r w:rsidRPr="00B23496">
        <w:rPr>
          <w:rFonts w:ascii="Arabic Typesetting" w:hAnsi="Arabic Typesetting" w:cs="Arabic Typesetting"/>
          <w:sz w:val="34"/>
          <w:szCs w:val="34"/>
          <w:rtl/>
        </w:rPr>
        <w:t xml:space="preserve">أهداف </w:t>
      </w:r>
      <w:r w:rsidRPr="00B23496">
        <w:rPr>
          <w:rFonts w:ascii="Arabic Typesetting" w:hAnsi="Arabic Typesetting" w:cs="Arabic Typesetting" w:hint="cs"/>
          <w:sz w:val="34"/>
          <w:szCs w:val="34"/>
          <w:rtl/>
        </w:rPr>
        <w:t>ال</w:t>
      </w:r>
      <w:r w:rsidRPr="00B23496">
        <w:rPr>
          <w:rFonts w:ascii="Arabic Typesetting" w:hAnsi="Arabic Typesetting" w:cs="Arabic Typesetting"/>
          <w:sz w:val="34"/>
          <w:szCs w:val="34"/>
          <w:rtl/>
        </w:rPr>
        <w:t xml:space="preserve">ملكية </w:t>
      </w:r>
      <w:r w:rsidRPr="00B23496">
        <w:rPr>
          <w:rFonts w:ascii="Arabic Typesetting" w:hAnsi="Arabic Typesetting" w:cs="Arabic Typesetting" w:hint="cs"/>
          <w:sz w:val="34"/>
          <w:szCs w:val="34"/>
          <w:rtl/>
        </w:rPr>
        <w:t>ال</w:t>
      </w:r>
      <w:r w:rsidRPr="00B23496">
        <w:rPr>
          <w:rFonts w:ascii="Arabic Typesetting" w:hAnsi="Arabic Typesetting" w:cs="Arabic Typesetting"/>
          <w:sz w:val="34"/>
          <w:szCs w:val="34"/>
          <w:rtl/>
        </w:rPr>
        <w:t xml:space="preserve">فكرية </w:t>
      </w:r>
      <w:r w:rsidRPr="00B23496">
        <w:rPr>
          <w:rFonts w:ascii="Arabic Typesetting" w:hAnsi="Arabic Typesetting" w:cs="Arabic Typesetting" w:hint="cs"/>
          <w:sz w:val="34"/>
          <w:szCs w:val="34"/>
          <w:rtl/>
        </w:rPr>
        <w:t>ال</w:t>
      </w:r>
      <w:r w:rsidRPr="00B23496">
        <w:rPr>
          <w:rFonts w:ascii="Arabic Typesetting" w:hAnsi="Arabic Typesetting" w:cs="Arabic Typesetting"/>
          <w:sz w:val="34"/>
          <w:szCs w:val="34"/>
          <w:rtl/>
        </w:rPr>
        <w:t>مشتركة</w:t>
      </w:r>
      <w:r>
        <w:rPr>
          <w:rFonts w:ascii="Arabic Typesetting" w:hAnsi="Arabic Typesetting" w:cs="Arabic Typesetting"/>
          <w:sz w:val="34"/>
          <w:szCs w:val="34"/>
          <w:rtl/>
        </w:rPr>
        <w:t>. ومن ثمَّ، س</w:t>
      </w:r>
      <w:r w:rsidRPr="000A024C">
        <w:rPr>
          <w:rFonts w:ascii="Arabic Typesetting" w:hAnsi="Arabic Typesetting" w:cs="Arabic Typesetting"/>
          <w:sz w:val="34"/>
          <w:szCs w:val="34"/>
          <w:rtl/>
        </w:rPr>
        <w:t xml:space="preserve">يتعاون تعاوناً وثيقاً، إلى جانب </w:t>
      </w:r>
      <w:r>
        <w:rPr>
          <w:rFonts w:ascii="Arabic Typesetting" w:hAnsi="Arabic Typesetting" w:cs="Arabic Typesetting" w:hint="cs"/>
          <w:sz w:val="34"/>
          <w:szCs w:val="34"/>
          <w:rtl/>
        </w:rPr>
        <w:t>جهات</w:t>
      </w:r>
      <w:r w:rsidRPr="000A024C">
        <w:rPr>
          <w:rFonts w:ascii="Arabic Typesetting" w:hAnsi="Arabic Typesetting" w:cs="Arabic Typesetting"/>
          <w:sz w:val="34"/>
          <w:szCs w:val="34"/>
          <w:rtl/>
        </w:rPr>
        <w:t xml:space="preserve"> أخرى، مع الاتحاد الأوروبي، والمنظمة الأوروبية ل</w:t>
      </w:r>
      <w:r>
        <w:rPr>
          <w:rFonts w:ascii="Arabic Typesetting" w:hAnsi="Arabic Typesetting" w:cs="Arabic Typesetting" w:hint="cs"/>
          <w:sz w:val="34"/>
          <w:szCs w:val="34"/>
          <w:rtl/>
        </w:rPr>
        <w:t>ل</w:t>
      </w:r>
      <w:r w:rsidRPr="000A024C">
        <w:rPr>
          <w:rFonts w:ascii="Arabic Typesetting" w:hAnsi="Arabic Typesetting" w:cs="Arabic Typesetting"/>
          <w:sz w:val="34"/>
          <w:szCs w:val="34"/>
          <w:rtl/>
        </w:rPr>
        <w:t>براءات (</w:t>
      </w:r>
      <w:r w:rsidRPr="000A024C">
        <w:rPr>
          <w:rFonts w:ascii="Arabic Typesetting" w:hAnsi="Arabic Typesetting" w:cs="Arabic Typesetting"/>
          <w:sz w:val="34"/>
          <w:szCs w:val="34"/>
        </w:rPr>
        <w:t>EPO</w:t>
      </w:r>
      <w:r w:rsidRPr="000A024C">
        <w:rPr>
          <w:rFonts w:ascii="Arabic Typesetting" w:hAnsi="Arabic Typesetting" w:cs="Arabic Typesetting"/>
          <w:sz w:val="34"/>
          <w:szCs w:val="34"/>
          <w:rtl/>
        </w:rPr>
        <w:t>)، والمجلس المشترك بين الدول ل</w:t>
      </w:r>
      <w:r>
        <w:rPr>
          <w:rFonts w:ascii="Arabic Typesetting" w:hAnsi="Arabic Typesetting" w:cs="Arabic Typesetting" w:hint="cs"/>
          <w:sz w:val="34"/>
          <w:szCs w:val="34"/>
          <w:rtl/>
        </w:rPr>
        <w:t>ل</w:t>
      </w:r>
      <w:r w:rsidRPr="000A024C">
        <w:rPr>
          <w:rFonts w:ascii="Arabic Typesetting" w:hAnsi="Arabic Typesetting" w:cs="Arabic Typesetting"/>
          <w:sz w:val="34"/>
          <w:szCs w:val="34"/>
          <w:rtl/>
        </w:rPr>
        <w:t xml:space="preserve">حماية </w:t>
      </w:r>
      <w:r>
        <w:rPr>
          <w:rFonts w:ascii="Arabic Typesetting" w:hAnsi="Arabic Typesetting" w:cs="Arabic Typesetting" w:hint="cs"/>
          <w:sz w:val="34"/>
          <w:szCs w:val="34"/>
          <w:rtl/>
        </w:rPr>
        <w:t>والإنفاذ القانونيين ل</w:t>
      </w:r>
      <w:r w:rsidRPr="000A024C">
        <w:rPr>
          <w:rFonts w:ascii="Arabic Typesetting" w:hAnsi="Arabic Typesetting" w:cs="Arabic Typesetting"/>
          <w:sz w:val="34"/>
          <w:szCs w:val="34"/>
          <w:rtl/>
        </w:rPr>
        <w:t xml:space="preserve">لملكية </w:t>
      </w:r>
      <w:r>
        <w:rPr>
          <w:rFonts w:ascii="Arabic Typesetting" w:hAnsi="Arabic Typesetting" w:cs="Arabic Typesetting" w:hint="cs"/>
          <w:sz w:val="34"/>
          <w:szCs w:val="34"/>
          <w:rtl/>
        </w:rPr>
        <w:t>الفكرية</w:t>
      </w:r>
      <w:r w:rsidRPr="000A024C">
        <w:rPr>
          <w:rFonts w:ascii="Arabic Typesetting" w:hAnsi="Arabic Typesetting" w:cs="Arabic Typesetting"/>
          <w:sz w:val="34"/>
          <w:szCs w:val="34"/>
          <w:rtl/>
        </w:rPr>
        <w:t xml:space="preserve"> (</w:t>
      </w:r>
      <w:r w:rsidRPr="000A024C">
        <w:rPr>
          <w:rFonts w:ascii="Arabic Typesetting" w:hAnsi="Arabic Typesetting" w:cs="Arabic Typesetting"/>
          <w:sz w:val="34"/>
          <w:szCs w:val="34"/>
        </w:rPr>
        <w:t>ICPIP</w:t>
      </w:r>
      <w:r w:rsidRPr="000A024C">
        <w:rPr>
          <w:rFonts w:ascii="Arabic Typesetting" w:hAnsi="Arabic Typesetting" w:cs="Arabic Typesetting"/>
          <w:sz w:val="34"/>
          <w:szCs w:val="34"/>
          <w:rtl/>
        </w:rPr>
        <w:t xml:space="preserve">)، والجمعية المشتركة بين برلمانات الدول الأعضاء في </w:t>
      </w:r>
      <w:r>
        <w:rPr>
          <w:rFonts w:ascii="Arabic Typesetting" w:hAnsi="Arabic Typesetting" w:cs="Arabic Typesetting" w:hint="cs"/>
          <w:sz w:val="34"/>
          <w:szCs w:val="34"/>
          <w:rtl/>
        </w:rPr>
        <w:t>رابطة</w:t>
      </w:r>
      <w:r w:rsidRPr="000A024C">
        <w:rPr>
          <w:rFonts w:ascii="Arabic Typesetting" w:hAnsi="Arabic Typesetting" w:cs="Arabic Typesetting"/>
          <w:sz w:val="34"/>
          <w:szCs w:val="34"/>
          <w:rtl/>
        </w:rPr>
        <w:t xml:space="preserve"> الدول المستقلة (</w:t>
      </w:r>
      <w:r w:rsidRPr="000A024C">
        <w:rPr>
          <w:rFonts w:ascii="Arabic Typesetting" w:hAnsi="Arabic Typesetting" w:cs="Arabic Typesetting"/>
          <w:sz w:val="34"/>
          <w:szCs w:val="34"/>
        </w:rPr>
        <w:t>IPACIS</w:t>
      </w:r>
      <w:r w:rsidRPr="000A024C">
        <w:rPr>
          <w:rFonts w:ascii="Arabic Typesetting" w:hAnsi="Arabic Typesetting" w:cs="Arabic Typesetting"/>
          <w:sz w:val="34"/>
          <w:szCs w:val="34"/>
          <w:rtl/>
        </w:rPr>
        <w:t>)، والمنظمة الأوروبية الآسيوية للبراءات، واللجنة الاقتصادية للمنطقة الأوروبية الآسيوية (</w:t>
      </w:r>
      <w:r w:rsidRPr="000A024C">
        <w:rPr>
          <w:rFonts w:ascii="Arabic Typesetting" w:hAnsi="Arabic Typesetting" w:cs="Arabic Typesetting"/>
          <w:sz w:val="34"/>
          <w:szCs w:val="34"/>
        </w:rPr>
        <w:t>EEC</w:t>
      </w:r>
      <w:r w:rsidRPr="000A024C">
        <w:rPr>
          <w:rFonts w:ascii="Arabic Typesetting" w:hAnsi="Arabic Typesetting" w:cs="Arabic Typesetting"/>
          <w:sz w:val="34"/>
          <w:szCs w:val="34"/>
          <w:rtl/>
        </w:rPr>
        <w:t>).</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 w:val="34"/>
          <w:szCs w:val="34"/>
        </w:rPr>
      </w:pPr>
      <w:r>
        <w:rPr>
          <w:rFonts w:ascii="Arabic Typesetting" w:hAnsi="Arabic Typesetting" w:cs="Arabic Typesetting"/>
          <w:sz w:val="34"/>
          <w:szCs w:val="34"/>
          <w:rtl/>
        </w:rPr>
        <w:t>وس</w:t>
      </w:r>
      <w:r w:rsidRPr="000A024C">
        <w:rPr>
          <w:rFonts w:ascii="Arabic Typesetting" w:hAnsi="Arabic Typesetting" w:cs="Arabic Typesetting"/>
          <w:sz w:val="34"/>
          <w:szCs w:val="34"/>
          <w:rtl/>
        </w:rPr>
        <w:t>يستمر البرنامج 10 في الاسترشاد بتوصيات جدول أعمال التنمية في أنشطته الخاصة بالمساعدة التقنية، لا سيما التوصيات 1 و3 و4 و6 و10 و11 و13.</w:t>
      </w:r>
    </w:p>
    <w:p w:rsidR="002C3C33" w:rsidRPr="00F52B1D" w:rsidRDefault="002C3C33"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F52B1D">
        <w:rPr>
          <w:rFonts w:ascii="Arabic Typesetting" w:hAnsi="Arabic Typesetting" w:cs="Arabic Typesetting"/>
          <w:sz w:val="38"/>
          <w:szCs w:val="38"/>
          <w:rtl/>
        </w:rPr>
        <w:lastRenderedPageBreak/>
        <w:t>المخاطر الرئيسية واستراتيجيات التخفيف</w:t>
      </w:r>
      <w:r w:rsidRPr="00F52B1D">
        <w:rPr>
          <w:rFonts w:ascii="Arabic Typesetting" w:hAnsi="Arabic Typesetting" w:cs="Arabic Typesetting" w:hint="cs"/>
          <w:sz w:val="38"/>
          <w:szCs w:val="38"/>
          <w:rtl/>
        </w:rPr>
        <w:t xml:space="preserve"> منها</w:t>
      </w:r>
    </w:p>
    <w:tbl>
      <w:tblPr>
        <w:bidiVisual/>
        <w:tblW w:w="9496"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00"/>
        <w:gridCol w:w="5096"/>
      </w:tblGrid>
      <w:tr w:rsidR="002C3C33" w:rsidRPr="008954A8" w:rsidTr="00302EBB">
        <w:trPr>
          <w:cantSplit/>
          <w:trHeight w:val="347"/>
        </w:trPr>
        <w:tc>
          <w:tcPr>
            <w:tcW w:w="4400" w:type="dxa"/>
            <w:shd w:val="clear" w:color="auto" w:fill="C6D9F1"/>
            <w:tcMar>
              <w:top w:w="113" w:type="dxa"/>
            </w:tcMar>
            <w:vAlign w:val="center"/>
          </w:tcPr>
          <w:p w:rsidR="002C3C33" w:rsidRPr="008954A8" w:rsidRDefault="002C3C33"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Pr>
                <w:rFonts w:ascii="Arabic Typesetting" w:hAnsi="Arabic Typesetting" w:cs="Arabic Typesetting"/>
                <w:b/>
                <w:bCs/>
                <w:i/>
                <w:sz w:val="30"/>
                <w:szCs w:val="30"/>
                <w:rtl/>
              </w:rPr>
              <w:t>المخاطر</w:t>
            </w:r>
          </w:p>
        </w:tc>
        <w:tc>
          <w:tcPr>
            <w:tcW w:w="5096" w:type="dxa"/>
            <w:shd w:val="clear" w:color="auto" w:fill="C6D9F1"/>
            <w:tcMar>
              <w:top w:w="113" w:type="dxa"/>
            </w:tcMar>
            <w:vAlign w:val="center"/>
          </w:tcPr>
          <w:p w:rsidR="002C3C33" w:rsidRPr="008954A8" w:rsidRDefault="002C3C33" w:rsidP="002C3C33">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Pr>
                <w:rFonts w:ascii="Arabic Typesetting" w:hAnsi="Arabic Typesetting" w:cs="Arabic Typesetting"/>
                <w:b/>
                <w:bCs/>
                <w:i/>
                <w:sz w:val="30"/>
                <w:szCs w:val="30"/>
                <w:rtl/>
              </w:rPr>
              <w:t>التخفيف منها</w:t>
            </w:r>
          </w:p>
        </w:tc>
      </w:tr>
      <w:tr w:rsidR="002C3C33" w:rsidRPr="008954A8" w:rsidTr="00302EBB">
        <w:trPr>
          <w:cantSplit/>
          <w:trHeight w:val="785"/>
        </w:trPr>
        <w:tc>
          <w:tcPr>
            <w:tcW w:w="4400" w:type="dxa"/>
            <w:shd w:val="clear" w:color="auto" w:fill="auto"/>
            <w:tcMar>
              <w:top w:w="113" w:type="dxa"/>
            </w:tcMar>
          </w:tcPr>
          <w:p w:rsidR="002C3C33" w:rsidRDefault="002C3C33" w:rsidP="002C3C33">
            <w:pPr>
              <w:keepNext/>
              <w:autoSpaceDE w:val="0"/>
              <w:autoSpaceDN w:val="0"/>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التغيرات الاقتصادية والسياسية قد تعرقل تنفيذ الاستراتيجيات </w:t>
            </w:r>
            <w:r w:rsidRPr="008954A8">
              <w:rPr>
                <w:rFonts w:ascii="Arabic Typesetting" w:hAnsi="Arabic Typesetting" w:cs="Arabic Typesetting" w:hint="cs"/>
                <w:sz w:val="30"/>
                <w:szCs w:val="30"/>
                <w:rtl/>
              </w:rPr>
              <w:t xml:space="preserve">الوطنية للملكية الفكرية </w:t>
            </w:r>
            <w:r w:rsidRPr="008954A8">
              <w:rPr>
                <w:rFonts w:ascii="Arabic Typesetting" w:hAnsi="Arabic Typesetting" w:cs="Arabic Typesetting"/>
                <w:sz w:val="30"/>
                <w:szCs w:val="30"/>
                <w:rtl/>
              </w:rPr>
              <w:t>أو تتسبب في إبطاء تنفيذها</w:t>
            </w:r>
            <w:r w:rsidRPr="008954A8">
              <w:rPr>
                <w:rFonts w:ascii="Arabic Typesetting" w:hAnsi="Arabic Typesetting" w:cs="Arabic Typesetting"/>
                <w:sz w:val="30"/>
                <w:szCs w:val="30"/>
              </w:rPr>
              <w:t>.</w:t>
            </w:r>
          </w:p>
          <w:p w:rsidR="002C3C33" w:rsidRDefault="002C3C33" w:rsidP="002C3C33">
            <w:pPr>
              <w:keepNext/>
              <w:autoSpaceDE w:val="0"/>
              <w:autoSpaceDN w:val="0"/>
              <w:adjustRightInd w:val="0"/>
              <w:snapToGrid w:val="0"/>
              <w:spacing w:before="60" w:after="60" w:line="300" w:lineRule="exact"/>
              <w:rPr>
                <w:rFonts w:ascii="Arabic Typesetting" w:hAnsi="Arabic Typesetting" w:cs="Arabic Typesetting"/>
                <w:sz w:val="30"/>
                <w:szCs w:val="30"/>
                <w:rtl/>
              </w:rPr>
            </w:pPr>
          </w:p>
          <w:p w:rsidR="002C3C33" w:rsidRDefault="002C3C33" w:rsidP="002C3C33">
            <w:pPr>
              <w:keepNext/>
              <w:autoSpaceDE w:val="0"/>
              <w:autoSpaceDN w:val="0"/>
              <w:adjustRightInd w:val="0"/>
              <w:snapToGrid w:val="0"/>
              <w:spacing w:before="60" w:after="60" w:line="300" w:lineRule="exact"/>
              <w:rPr>
                <w:rFonts w:ascii="Arabic Typesetting" w:hAnsi="Arabic Typesetting" w:cs="Arabic Typesetting"/>
                <w:sz w:val="30"/>
                <w:szCs w:val="30"/>
                <w:rtl/>
              </w:rPr>
            </w:pPr>
          </w:p>
          <w:p w:rsidR="002C3C33" w:rsidRPr="008954A8" w:rsidRDefault="002C3C33" w:rsidP="002C3C33">
            <w:pPr>
              <w:keepNext/>
              <w:autoSpaceDE w:val="0"/>
              <w:autoSpaceDN w:val="0"/>
              <w:adjustRightInd w:val="0"/>
              <w:snapToGrid w:val="0"/>
              <w:spacing w:before="60" w:after="60" w:line="300" w:lineRule="exact"/>
              <w:rPr>
                <w:rFonts w:ascii="Arabic Typesetting" w:hAnsi="Arabic Typesetting" w:cs="Arabic Typesetting"/>
                <w:sz w:val="30"/>
                <w:szCs w:val="30"/>
                <w:rtl/>
              </w:rPr>
            </w:pPr>
            <w:r w:rsidRPr="000A024C">
              <w:rPr>
                <w:rFonts w:ascii="Arabic Typesetting" w:hAnsi="Arabic Typesetting" w:cs="Arabic Typesetting"/>
                <w:sz w:val="30"/>
                <w:szCs w:val="30"/>
                <w:rtl/>
              </w:rPr>
              <w:t xml:space="preserve">القرارات المتخذة على الصعيد الدولي أو الوطني تسفر عن </w:t>
            </w:r>
            <w:r>
              <w:rPr>
                <w:rFonts w:ascii="Arabic Typesetting" w:hAnsi="Arabic Typesetting" w:cs="Arabic Typesetting" w:hint="cs"/>
                <w:sz w:val="30"/>
                <w:szCs w:val="30"/>
                <w:rtl/>
              </w:rPr>
              <w:t>عدم</w:t>
            </w:r>
            <w:r w:rsidRPr="000A024C">
              <w:rPr>
                <w:rFonts w:ascii="Arabic Typesetting" w:hAnsi="Arabic Typesetting" w:cs="Arabic Typesetting"/>
                <w:sz w:val="30"/>
                <w:szCs w:val="30"/>
                <w:rtl/>
              </w:rPr>
              <w:t xml:space="preserve"> التزام أصحاب المص</w:t>
            </w:r>
            <w:r>
              <w:rPr>
                <w:rFonts w:ascii="Arabic Typesetting" w:hAnsi="Arabic Typesetting" w:cs="Arabic Typesetting" w:hint="cs"/>
                <w:sz w:val="30"/>
                <w:szCs w:val="30"/>
                <w:rtl/>
              </w:rPr>
              <w:t>ا</w:t>
            </w:r>
            <w:r w:rsidRPr="000A024C">
              <w:rPr>
                <w:rFonts w:ascii="Arabic Typesetting" w:hAnsi="Arabic Typesetting" w:cs="Arabic Typesetting"/>
                <w:sz w:val="30"/>
                <w:szCs w:val="30"/>
                <w:rtl/>
              </w:rPr>
              <w:t xml:space="preserve">لح بالمشاركة بنشاط في تنفيذ الأنشطة التي تؤثر في الخطط الطويلة الأمد لتعزيز كفاءات الموارد البشرية في </w:t>
            </w:r>
            <w:r>
              <w:rPr>
                <w:rFonts w:ascii="Arabic Typesetting" w:hAnsi="Arabic Typesetting" w:cs="Arabic Typesetting"/>
                <w:sz w:val="30"/>
                <w:szCs w:val="30"/>
                <w:rtl/>
              </w:rPr>
              <w:t>البلدان ال</w:t>
            </w:r>
            <w:r>
              <w:rPr>
                <w:rFonts w:ascii="Arabic Typesetting" w:hAnsi="Arabic Typesetting" w:cs="Arabic Typesetting" w:hint="cs"/>
                <w:sz w:val="30"/>
                <w:szCs w:val="30"/>
                <w:rtl/>
              </w:rPr>
              <w:t>منتقلة إلى نظام الاقتصاد الحر</w:t>
            </w:r>
            <w:r w:rsidRPr="000A024C">
              <w:rPr>
                <w:rFonts w:ascii="Arabic Typesetting" w:hAnsi="Arabic Typesetting" w:cs="Arabic Typesetting"/>
                <w:sz w:val="30"/>
                <w:szCs w:val="30"/>
                <w:rtl/>
              </w:rPr>
              <w:t>.</w:t>
            </w:r>
          </w:p>
        </w:tc>
        <w:tc>
          <w:tcPr>
            <w:tcW w:w="5096" w:type="dxa"/>
            <w:shd w:val="clear" w:color="auto" w:fill="auto"/>
            <w:tcMar>
              <w:top w:w="113" w:type="dxa"/>
            </w:tcMar>
          </w:tcPr>
          <w:p w:rsidR="002C3C33" w:rsidRDefault="002C3C33" w:rsidP="002C3C33">
            <w:pPr>
              <w:keepNext/>
              <w:autoSpaceDE w:val="0"/>
              <w:autoSpaceDN w:val="0"/>
              <w:adjustRightInd w:val="0"/>
              <w:snapToGrid w:val="0"/>
              <w:spacing w:before="60" w:after="60" w:line="300" w:lineRule="exact"/>
              <w:rPr>
                <w:rFonts w:ascii="Arabic Typesetting" w:hAnsi="Arabic Typesetting" w:cs="Arabic Typesetting"/>
                <w:sz w:val="30"/>
                <w:szCs w:val="30"/>
                <w:rtl/>
              </w:rPr>
            </w:pPr>
            <w:r w:rsidRPr="000A024C">
              <w:rPr>
                <w:rFonts w:ascii="Arabic Typesetting" w:hAnsi="Arabic Typesetting" w:cs="Arabic Typesetting"/>
                <w:sz w:val="30"/>
                <w:szCs w:val="30"/>
                <w:rtl/>
              </w:rPr>
              <w:t>التواصل الفوري للمتابعة حين حدوث تغيير ذي صلة في البلد؛ والتخطيط المتقدم على جميع المستويات؛ والحفاظ على العلاقات مع جميع أصحاب المصالح في البلدان؛ وتوفير المرونة في خطط التعاون.</w:t>
            </w:r>
          </w:p>
          <w:p w:rsidR="002C3C33" w:rsidRDefault="002C3C33" w:rsidP="002C3C33">
            <w:pPr>
              <w:keepNext/>
              <w:autoSpaceDE w:val="0"/>
              <w:autoSpaceDN w:val="0"/>
              <w:adjustRightInd w:val="0"/>
              <w:snapToGrid w:val="0"/>
              <w:spacing w:before="60" w:after="60" w:line="300" w:lineRule="exact"/>
              <w:rPr>
                <w:rFonts w:ascii="Arabic Typesetting" w:hAnsi="Arabic Typesetting" w:cs="Arabic Typesetting"/>
                <w:sz w:val="30"/>
                <w:szCs w:val="30"/>
                <w:rtl/>
              </w:rPr>
            </w:pPr>
          </w:p>
          <w:p w:rsidR="002C3C33" w:rsidRPr="008954A8" w:rsidRDefault="002C3C33" w:rsidP="002C3C33">
            <w:pPr>
              <w:keepNext/>
              <w:autoSpaceDE w:val="0"/>
              <w:autoSpaceDN w:val="0"/>
              <w:adjustRightInd w:val="0"/>
              <w:snapToGrid w:val="0"/>
              <w:spacing w:before="60" w:after="60" w:line="300" w:lineRule="exact"/>
              <w:rPr>
                <w:rFonts w:ascii="Arabic Typesetting" w:hAnsi="Arabic Typesetting" w:cs="Arabic Typesetting"/>
                <w:sz w:val="30"/>
                <w:szCs w:val="30"/>
                <w:rtl/>
              </w:rPr>
            </w:pPr>
            <w:r w:rsidRPr="000A024C">
              <w:rPr>
                <w:rFonts w:ascii="Arabic Typesetting" w:hAnsi="Arabic Typesetting" w:cs="Arabic Typesetting"/>
                <w:sz w:val="30"/>
                <w:szCs w:val="30"/>
                <w:rtl/>
              </w:rPr>
              <w:t xml:space="preserve">العمل بشكل وثيق مع المستفيدين والمانحين والدول الأعضاء. وتخطيط جميع الأمور المتعلقة بالملكية الفكرية </w:t>
            </w:r>
            <w:r>
              <w:rPr>
                <w:rFonts w:ascii="Arabic Typesetting" w:hAnsi="Arabic Typesetting" w:cs="Arabic Typesetting" w:hint="cs"/>
                <w:sz w:val="30"/>
                <w:szCs w:val="30"/>
                <w:rtl/>
              </w:rPr>
              <w:t>و</w:t>
            </w:r>
            <w:r w:rsidRPr="000A024C">
              <w:rPr>
                <w:rFonts w:ascii="Arabic Typesetting" w:hAnsi="Arabic Typesetting" w:cs="Arabic Typesetting"/>
                <w:sz w:val="30"/>
                <w:szCs w:val="30"/>
                <w:rtl/>
              </w:rPr>
              <w:t>تنسيق</w:t>
            </w:r>
            <w:r>
              <w:rPr>
                <w:rFonts w:ascii="Arabic Typesetting" w:hAnsi="Arabic Typesetting" w:cs="Arabic Typesetting" w:hint="cs"/>
                <w:sz w:val="30"/>
                <w:szCs w:val="30"/>
                <w:rtl/>
              </w:rPr>
              <w:t xml:space="preserve">ها </w:t>
            </w:r>
            <w:r w:rsidRPr="000A024C">
              <w:rPr>
                <w:rFonts w:ascii="Arabic Typesetting" w:hAnsi="Arabic Typesetting" w:cs="Arabic Typesetting"/>
                <w:sz w:val="30"/>
                <w:szCs w:val="30"/>
                <w:rtl/>
              </w:rPr>
              <w:t xml:space="preserve">مع </w:t>
            </w:r>
            <w:r>
              <w:rPr>
                <w:rFonts w:ascii="Arabic Typesetting" w:hAnsi="Arabic Typesetting" w:cs="Arabic Typesetting" w:hint="cs"/>
                <w:sz w:val="30"/>
                <w:szCs w:val="30"/>
                <w:rtl/>
              </w:rPr>
              <w:t xml:space="preserve">سائر </w:t>
            </w:r>
            <w:r w:rsidRPr="007E66A3">
              <w:rPr>
                <w:rFonts w:ascii="Arabic Typesetting" w:hAnsi="Arabic Typesetting" w:cs="Arabic Typesetting"/>
                <w:sz w:val="30"/>
                <w:szCs w:val="30"/>
                <w:rtl/>
              </w:rPr>
              <w:t>المنظمات والشركاء الدوليين والوطنيين.</w:t>
            </w:r>
          </w:p>
        </w:tc>
      </w:tr>
    </w:tbl>
    <w:p w:rsidR="002C3C33" w:rsidRPr="008954A8" w:rsidRDefault="002C3C33" w:rsidP="002C3C33">
      <w:pPr>
        <w:tabs>
          <w:tab w:val="left" w:pos="567"/>
          <w:tab w:val="left" w:pos="1985"/>
        </w:tabs>
        <w:adjustRightInd w:val="0"/>
        <w:snapToGrid w:val="0"/>
        <w:spacing w:after="240" w:line="360" w:lineRule="exact"/>
        <w:jc w:val="both"/>
        <w:rPr>
          <w:rFonts w:ascii="Arabic Typesetting" w:hAnsi="Arabic Typesetting" w:cs="Arabic Typesetting"/>
          <w:b/>
          <w:sz w:val="36"/>
          <w:szCs w:val="36"/>
          <w:rtl/>
        </w:rPr>
      </w:pPr>
    </w:p>
    <w:p w:rsidR="002C3C33" w:rsidRPr="009E7A4C" w:rsidRDefault="002C3C33"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9E7A4C">
        <w:rPr>
          <w:rFonts w:ascii="Arabic Typesetting" w:hAnsi="Arabic Typesetting" w:cs="Arabic Typesetting"/>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0"/>
        <w:gridCol w:w="2848"/>
        <w:gridCol w:w="2174"/>
        <w:gridCol w:w="2033"/>
      </w:tblGrid>
      <w:tr w:rsidR="002C3C33" w:rsidRPr="008954A8" w:rsidTr="002C3C33">
        <w:trPr>
          <w:cantSplit/>
          <w:trHeight w:val="425"/>
          <w:tblHeader/>
        </w:trPr>
        <w:tc>
          <w:tcPr>
            <w:tcW w:w="1249" w:type="pct"/>
            <w:tcBorders>
              <w:top w:val="single" w:sz="4" w:space="0" w:color="auto"/>
              <w:bottom w:val="single" w:sz="4" w:space="0" w:color="auto"/>
            </w:tcBorders>
            <w:shd w:val="clear" w:color="auto" w:fill="C6D9F1"/>
            <w:vAlign w:val="center"/>
          </w:tcPr>
          <w:p w:rsidR="002C3C33" w:rsidRPr="008954A8" w:rsidRDefault="002C3C33" w:rsidP="002C3C33">
            <w:pPr>
              <w:adjustRightInd w:val="0"/>
              <w:snapToGrid w:val="0"/>
              <w:spacing w:beforeLines="60" w:before="144" w:afterLines="60" w:after="144" w:line="300" w:lineRule="exact"/>
              <w:jc w:val="center"/>
              <w:rPr>
                <w:rFonts w:ascii="Arabic Typesetting" w:hAnsi="Arabic Typesetting" w:cs="Arabic Typesetting"/>
                <w:b/>
                <w:bCs/>
                <w:sz w:val="30"/>
                <w:szCs w:val="30"/>
                <w:rtl/>
              </w:rPr>
            </w:pPr>
            <w:r w:rsidRPr="008954A8">
              <w:rPr>
                <w:rFonts w:ascii="Arabic Typesetting" w:hAnsi="Arabic Typesetting" w:cs="Arabic Typesetting"/>
                <w:b/>
                <w:bCs/>
                <w:sz w:val="30"/>
                <w:szCs w:val="30"/>
                <w:rtl/>
              </w:rPr>
              <w:t>النتائج المرتقبة</w:t>
            </w:r>
          </w:p>
        </w:tc>
        <w:tc>
          <w:tcPr>
            <w:tcW w:w="1514" w:type="pct"/>
            <w:tcBorders>
              <w:top w:val="single" w:sz="4" w:space="0" w:color="auto"/>
              <w:bottom w:val="single" w:sz="4" w:space="0" w:color="auto"/>
            </w:tcBorders>
            <w:shd w:val="clear" w:color="auto" w:fill="C6D9F1"/>
            <w:tcMar>
              <w:top w:w="110" w:type="dxa"/>
            </w:tcMar>
            <w:vAlign w:val="center"/>
          </w:tcPr>
          <w:p w:rsidR="002C3C33" w:rsidRPr="008954A8" w:rsidRDefault="002C3C33" w:rsidP="002C3C33">
            <w:pPr>
              <w:keepNext/>
              <w:adjustRightInd w:val="0"/>
              <w:snapToGrid w:val="0"/>
              <w:spacing w:beforeLines="60" w:before="144" w:afterLines="60" w:after="144"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مؤشرات الأداء</w:t>
            </w:r>
          </w:p>
        </w:tc>
        <w:tc>
          <w:tcPr>
            <w:tcW w:w="1156" w:type="pct"/>
            <w:tcBorders>
              <w:top w:val="single" w:sz="4" w:space="0" w:color="auto"/>
              <w:bottom w:val="single" w:sz="4" w:space="0" w:color="auto"/>
            </w:tcBorders>
            <w:shd w:val="clear" w:color="auto" w:fill="C6D9F1"/>
            <w:tcMar>
              <w:top w:w="110" w:type="dxa"/>
            </w:tcMar>
            <w:vAlign w:val="center"/>
          </w:tcPr>
          <w:p w:rsidR="002C3C33" w:rsidRPr="008954A8" w:rsidRDefault="002C3C33" w:rsidP="002C3C33">
            <w:pPr>
              <w:keepNext/>
              <w:adjustRightInd w:val="0"/>
              <w:snapToGrid w:val="0"/>
              <w:spacing w:beforeLines="60" w:before="144" w:afterLines="60" w:after="144"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tcBorders>
            <w:shd w:val="clear" w:color="auto" w:fill="C6D9F1"/>
            <w:tcMar>
              <w:top w:w="110" w:type="dxa"/>
            </w:tcMar>
            <w:vAlign w:val="center"/>
          </w:tcPr>
          <w:p w:rsidR="002C3C33" w:rsidRPr="008954A8" w:rsidRDefault="002C3C33" w:rsidP="002C3C33">
            <w:pPr>
              <w:keepNext/>
              <w:adjustRightInd w:val="0"/>
              <w:snapToGrid w:val="0"/>
              <w:spacing w:beforeLines="60" w:before="144" w:afterLines="60" w:after="144"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الأهداف</w:t>
            </w:r>
          </w:p>
        </w:tc>
      </w:tr>
      <w:tr w:rsidR="002C3C33" w:rsidRPr="008954A8" w:rsidTr="00302EBB">
        <w:trPr>
          <w:cantSplit/>
          <w:trHeight w:val="22"/>
        </w:trPr>
        <w:tc>
          <w:tcPr>
            <w:tcW w:w="1249" w:type="pct"/>
            <w:tcBorders>
              <w:top w:val="single" w:sz="4" w:space="0" w:color="auto"/>
              <w:bottom w:val="nil"/>
            </w:tcBorders>
            <w:shd w:val="clear" w:color="auto" w:fill="auto"/>
            <w:tcMar>
              <w:top w:w="113" w:type="dxa"/>
              <w:bottom w:w="85" w:type="dxa"/>
            </w:tcMar>
          </w:tcPr>
          <w:p w:rsidR="002C3C33" w:rsidRPr="00636E9D" w:rsidRDefault="009800D4" w:rsidP="002C3C33">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2C3C33">
              <w:rPr>
                <w:rFonts w:ascii="Arabic Typesetting" w:hAnsi="Arabic Typesetting" w:cs="Arabic Typesetting" w:hint="cs"/>
                <w:sz w:val="30"/>
                <w:szCs w:val="30"/>
                <w:rtl/>
              </w:rPr>
              <w:t xml:space="preserve"> </w:t>
            </w:r>
            <w:r w:rsidR="002C3C33" w:rsidRPr="00636E9D">
              <w:rPr>
                <w:rFonts w:ascii="Arabic Typesetting" w:hAnsi="Arabic Typesetting" w:cs="Arabic Typesetting"/>
                <w:sz w:val="30"/>
                <w:szCs w:val="30"/>
                <w:rtl/>
              </w:rPr>
              <w:t>2.1 أطر تشريعية وتنظيمية وسياسية مكيّفة ومتوازنة في مجال الملكية الفكرية</w:t>
            </w:r>
          </w:p>
        </w:tc>
        <w:tc>
          <w:tcPr>
            <w:tcW w:w="1514" w:type="pct"/>
            <w:tcBorders>
              <w:top w:val="single" w:sz="4" w:space="0" w:color="auto"/>
              <w:bottom w:val="nil"/>
            </w:tcBorders>
            <w:shd w:val="clear" w:color="auto" w:fill="auto"/>
            <w:tcMar>
              <w:top w:w="113" w:type="dxa"/>
              <w:bottom w:w="85" w:type="dxa"/>
            </w:tcMar>
          </w:tcPr>
          <w:p w:rsidR="002C3C33" w:rsidRPr="00636E9D"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sidRPr="00636E9D">
              <w:rPr>
                <w:rFonts w:ascii="Arabic Typesetting" w:hAnsi="Arabic Typesetting" w:cs="Arabic Typesetting"/>
                <w:sz w:val="30"/>
                <w:szCs w:val="30"/>
                <w:rtl/>
              </w:rPr>
              <w:t xml:space="preserve">عدد البلدان </w:t>
            </w:r>
            <w:r>
              <w:rPr>
                <w:rFonts w:ascii="Arabic Typesetting" w:hAnsi="Arabic Typesetting" w:cs="Arabic Typesetting" w:hint="cs"/>
                <w:sz w:val="30"/>
                <w:szCs w:val="30"/>
                <w:rtl/>
              </w:rPr>
              <w:t xml:space="preserve">المنتقلة إلى نظام الاقتصاد الحر وبها </w:t>
            </w:r>
            <w:r w:rsidRPr="00636E9D">
              <w:rPr>
                <w:rFonts w:ascii="Arabic Typesetting" w:hAnsi="Arabic Typesetting" w:cs="Arabic Typesetting"/>
                <w:sz w:val="30"/>
                <w:szCs w:val="30"/>
                <w:rtl/>
              </w:rPr>
              <w:t xml:space="preserve">قوانين </w:t>
            </w:r>
            <w:r>
              <w:rPr>
                <w:rFonts w:ascii="Arabic Typesetting" w:hAnsi="Arabic Typesetting" w:cs="Arabic Typesetting" w:hint="cs"/>
                <w:sz w:val="30"/>
                <w:szCs w:val="30"/>
                <w:rtl/>
              </w:rPr>
              <w:t xml:space="preserve">ولوائح </w:t>
            </w:r>
            <w:r w:rsidRPr="00636E9D">
              <w:rPr>
                <w:rFonts w:ascii="Arabic Typesetting" w:hAnsi="Arabic Typesetting" w:cs="Arabic Typesetting"/>
                <w:sz w:val="30"/>
                <w:szCs w:val="30"/>
                <w:rtl/>
              </w:rPr>
              <w:t>وطنية م</w:t>
            </w:r>
            <w:r>
              <w:rPr>
                <w:rFonts w:ascii="Arabic Typesetting" w:hAnsi="Arabic Typesetting" w:cs="Arabic Typesetting" w:hint="cs"/>
                <w:sz w:val="30"/>
                <w:szCs w:val="30"/>
                <w:rtl/>
              </w:rPr>
              <w:t>ُ</w:t>
            </w:r>
            <w:r w:rsidRPr="00636E9D">
              <w:rPr>
                <w:rFonts w:ascii="Arabic Typesetting" w:hAnsi="Arabic Typesetting" w:cs="Arabic Typesetting"/>
                <w:sz w:val="30"/>
                <w:szCs w:val="30"/>
                <w:rtl/>
              </w:rPr>
              <w:t>حد</w:t>
            </w:r>
            <w:r>
              <w:rPr>
                <w:rFonts w:ascii="Arabic Typesetting" w:hAnsi="Arabic Typesetting" w:cs="Arabic Typesetting" w:hint="cs"/>
                <w:sz w:val="30"/>
                <w:szCs w:val="30"/>
                <w:rtl/>
              </w:rPr>
              <w:t>َّ</w:t>
            </w:r>
            <w:r w:rsidRPr="00636E9D">
              <w:rPr>
                <w:rFonts w:ascii="Arabic Typesetting" w:hAnsi="Arabic Typesetting" w:cs="Arabic Typesetting"/>
                <w:sz w:val="30"/>
                <w:szCs w:val="30"/>
                <w:rtl/>
              </w:rPr>
              <w:t>ثة</w:t>
            </w:r>
          </w:p>
        </w:tc>
        <w:tc>
          <w:tcPr>
            <w:tcW w:w="1156" w:type="pct"/>
            <w:tcBorders>
              <w:top w:val="single" w:sz="4" w:space="0" w:color="auto"/>
              <w:bottom w:val="nil"/>
            </w:tcBorders>
            <w:shd w:val="clear" w:color="auto" w:fill="FFFFFF"/>
            <w:tcMar>
              <w:top w:w="113" w:type="dxa"/>
              <w:bottom w:w="85" w:type="dxa"/>
            </w:tcMar>
          </w:tcPr>
          <w:p w:rsidR="002C3C33"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6 بلدان (2014)</w:t>
            </w:r>
          </w:p>
        </w:tc>
        <w:tc>
          <w:tcPr>
            <w:tcW w:w="1081" w:type="pct"/>
            <w:tcBorders>
              <w:top w:val="single" w:sz="4" w:space="0" w:color="auto"/>
              <w:bottom w:val="nil"/>
            </w:tcBorders>
            <w:shd w:val="clear" w:color="auto" w:fill="auto"/>
            <w:tcMar>
              <w:top w:w="113" w:type="dxa"/>
              <w:bottom w:w="85" w:type="dxa"/>
            </w:tcMar>
          </w:tcPr>
          <w:p w:rsidR="002C3C33"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6</w:t>
            </w:r>
            <w:r w:rsidRPr="008954A8">
              <w:rPr>
                <w:rFonts w:ascii="Arabic Typesetting" w:hAnsi="Arabic Typesetting" w:cs="Arabic Typesetting"/>
                <w:b/>
                <w:sz w:val="30"/>
                <w:szCs w:val="30"/>
                <w:rtl/>
              </w:rPr>
              <w:t xml:space="preserve"> بلدان إضافية</w:t>
            </w:r>
          </w:p>
        </w:tc>
      </w:tr>
      <w:tr w:rsidR="002C3C33" w:rsidRPr="008954A8" w:rsidTr="00302EBB">
        <w:trPr>
          <w:cantSplit/>
          <w:trHeight w:val="318"/>
        </w:trPr>
        <w:tc>
          <w:tcPr>
            <w:tcW w:w="1249" w:type="pct"/>
            <w:tcBorders>
              <w:top w:val="nil"/>
              <w:bottom w:val="nil"/>
            </w:tcBorders>
            <w:shd w:val="clear" w:color="auto" w:fill="auto"/>
            <w:tcMar>
              <w:top w:w="113" w:type="dxa"/>
              <w:bottom w:w="85" w:type="dxa"/>
            </w:tcMar>
          </w:tcPr>
          <w:p w:rsidR="002C3C33" w:rsidRPr="008954A8" w:rsidRDefault="002C3C33" w:rsidP="002C3C33">
            <w:pPr>
              <w:adjustRightInd w:val="0"/>
              <w:snapToGrid w:val="0"/>
              <w:spacing w:beforeLines="60" w:before="144" w:afterLines="60" w:after="144"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sidRPr="00636E9D">
              <w:rPr>
                <w:rFonts w:ascii="Arabic Typesetting" w:hAnsi="Arabic Typesetting" w:cs="Arabic Typesetting"/>
                <w:sz w:val="30"/>
                <w:szCs w:val="30"/>
                <w:rtl/>
              </w:rPr>
              <w:t>عدد التصديقات على المعاهدات التي تديرها الويبو</w:t>
            </w:r>
          </w:p>
        </w:tc>
        <w:tc>
          <w:tcPr>
            <w:tcW w:w="1156" w:type="pct"/>
            <w:tcBorders>
              <w:top w:val="nil"/>
              <w:bottom w:val="nil"/>
            </w:tcBorders>
            <w:shd w:val="clear" w:color="auto" w:fill="FFFFFF"/>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غير متاحة</w:t>
            </w:r>
          </w:p>
        </w:tc>
        <w:tc>
          <w:tcPr>
            <w:tcW w:w="1081" w:type="pct"/>
            <w:tcBorders>
              <w:top w:val="nil"/>
              <w:bottom w:val="nil"/>
            </w:tcBorders>
            <w:shd w:val="clear" w:color="auto" w:fill="auto"/>
            <w:tcMar>
              <w:top w:w="113" w:type="dxa"/>
              <w:bottom w:w="85" w:type="dxa"/>
            </w:tcMar>
          </w:tcPr>
          <w:p w:rsidR="002C3C33" w:rsidRPr="008954A8"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4 بلدان إضافية</w:t>
            </w:r>
          </w:p>
        </w:tc>
      </w:tr>
      <w:tr w:rsidR="002C3C33" w:rsidRPr="008954A8" w:rsidTr="002C3C33">
        <w:trPr>
          <w:cantSplit/>
          <w:trHeight w:val="1510"/>
        </w:trPr>
        <w:tc>
          <w:tcPr>
            <w:tcW w:w="1249" w:type="pct"/>
            <w:tcBorders>
              <w:top w:val="nil"/>
            </w:tcBorders>
            <w:shd w:val="clear" w:color="auto" w:fill="auto"/>
            <w:tcMar>
              <w:top w:w="113" w:type="dxa"/>
              <w:bottom w:w="85" w:type="dxa"/>
            </w:tcMar>
          </w:tcPr>
          <w:p w:rsidR="002C3C33" w:rsidRPr="002D6E4D" w:rsidRDefault="009800D4" w:rsidP="002C3C33">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2C3C33">
              <w:rPr>
                <w:rFonts w:ascii="Arabic Typesetting" w:hAnsi="Arabic Typesetting" w:cs="Arabic Typesetting" w:hint="cs"/>
                <w:sz w:val="30"/>
                <w:szCs w:val="30"/>
                <w:rtl/>
              </w:rPr>
              <w:t xml:space="preserve"> </w:t>
            </w:r>
            <w:r w:rsidR="002C3C33" w:rsidRPr="002D6E4D">
              <w:rPr>
                <w:rFonts w:ascii="Arabic Typesetting" w:hAnsi="Arabic Typesetting" w:cs="Arabic Typesetting"/>
                <w:sz w:val="30"/>
                <w:szCs w:val="30"/>
                <w:rtl/>
              </w:rPr>
              <w:t xml:space="preserve">1.2 استخدام نظام معاهدة التعاون بشأن البراءات على نطاق أوسع وبفعالية أكبر لإيداع طلبات البراءات </w:t>
            </w:r>
            <w:r w:rsidR="002C3C33">
              <w:rPr>
                <w:rFonts w:ascii="Arabic Typesetting" w:hAnsi="Arabic Typesetting" w:cs="Arabic Typesetting" w:hint="cs"/>
                <w:sz w:val="30"/>
                <w:szCs w:val="30"/>
                <w:rtl/>
              </w:rPr>
              <w:t>الدولية</w:t>
            </w:r>
          </w:p>
        </w:tc>
        <w:tc>
          <w:tcPr>
            <w:tcW w:w="1514" w:type="pct"/>
            <w:tcBorders>
              <w:top w:val="nil"/>
            </w:tcBorders>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w:t>
            </w:r>
            <w:r w:rsidRPr="008954A8">
              <w:rPr>
                <w:rFonts w:ascii="Arabic Typesetting" w:hAnsi="Arabic Typesetting" w:cs="Arabic Typesetting"/>
                <w:sz w:val="30"/>
                <w:szCs w:val="30"/>
                <w:rtl/>
              </w:rPr>
              <w:t xml:space="preserve">دد </w:t>
            </w:r>
            <w:r w:rsidRPr="008954A8">
              <w:rPr>
                <w:rFonts w:ascii="Arabic Typesetting" w:hAnsi="Arabic Typesetting" w:cs="Arabic Typesetting" w:hint="cs"/>
                <w:sz w:val="30"/>
                <w:szCs w:val="30"/>
                <w:rtl/>
              </w:rPr>
              <w:t>الطلبات المودعة</w:t>
            </w:r>
            <w:r w:rsidRPr="008954A8">
              <w:rPr>
                <w:rFonts w:ascii="Arabic Typesetting" w:hAnsi="Arabic Typesetting" w:cs="Arabic Typesetting"/>
                <w:sz w:val="30"/>
                <w:szCs w:val="30"/>
                <w:rtl/>
              </w:rPr>
              <w:t xml:space="preserve"> بناء على معاهدة التعاون بشأن البراءات </w:t>
            </w:r>
            <w:r w:rsidRPr="008954A8">
              <w:rPr>
                <w:rFonts w:ascii="Arabic Typesetting" w:hAnsi="Arabic Typesetting" w:cs="Arabic Typesetting" w:hint="cs"/>
                <w:sz w:val="30"/>
                <w:szCs w:val="30"/>
                <w:rtl/>
              </w:rPr>
              <w:t>والصادرة من</w:t>
            </w:r>
            <w:r w:rsidRPr="008954A8">
              <w:rPr>
                <w:rFonts w:ascii="Arabic Typesetting" w:hAnsi="Arabic Typesetting" w:cs="Arabic Typesetting"/>
                <w:sz w:val="30"/>
                <w:szCs w:val="30"/>
                <w:rtl/>
              </w:rPr>
              <w:t xml:space="preserve"> البلدان المنتقلة إلى نظام الاقتصاد الحر والبلدان المتقدمة</w:t>
            </w:r>
          </w:p>
        </w:tc>
        <w:tc>
          <w:tcPr>
            <w:tcW w:w="1156" w:type="pct"/>
            <w:tcBorders>
              <w:top w:val="nil"/>
            </w:tcBorders>
            <w:shd w:val="clear" w:color="auto" w:fill="FFFFFF"/>
            <w:tcMar>
              <w:top w:w="113" w:type="dxa"/>
              <w:bottom w:w="85" w:type="dxa"/>
            </w:tcMar>
          </w:tcPr>
          <w:p w:rsidR="002C3C33" w:rsidRPr="00D065B6"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sidRPr="00D065B6">
              <w:rPr>
                <w:rFonts w:ascii="Arabic Typesetting" w:hAnsi="Arabic Typesetting" w:cs="Arabic Typesetting"/>
                <w:sz w:val="30"/>
                <w:szCs w:val="30"/>
                <w:rtl/>
              </w:rPr>
              <w:t>317 170 (2014)</w:t>
            </w:r>
          </w:p>
        </w:tc>
        <w:tc>
          <w:tcPr>
            <w:tcW w:w="1081" w:type="pct"/>
            <w:tcBorders>
              <w:top w:val="nil"/>
            </w:tcBorders>
            <w:shd w:val="clear" w:color="auto" w:fill="auto"/>
            <w:tcMar>
              <w:top w:w="113" w:type="dxa"/>
              <w:bottom w:w="85" w:type="dxa"/>
            </w:tcMar>
          </w:tcPr>
          <w:p w:rsidR="002C3C33" w:rsidRPr="00504692" w:rsidRDefault="002C3C33" w:rsidP="00C87C41">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504692">
              <w:rPr>
                <w:rFonts w:ascii="Arabic Typesetting" w:hAnsi="Arabic Typesetting" w:cs="Arabic Typesetting"/>
                <w:b/>
                <w:sz w:val="30"/>
                <w:szCs w:val="30"/>
                <w:rtl/>
              </w:rPr>
              <w:t>زيادة بنسبة 1.5%</w:t>
            </w:r>
            <w:r w:rsidR="00C87C41">
              <w:rPr>
                <w:rFonts w:ascii="Arabic Typesetting" w:hAnsi="Arabic Typesetting" w:cs="Arabic Typesetting" w:hint="cs"/>
                <w:b/>
                <w:sz w:val="30"/>
                <w:szCs w:val="30"/>
                <w:rtl/>
              </w:rPr>
              <w:t xml:space="preserve"> (سنويا)</w:t>
            </w:r>
          </w:p>
        </w:tc>
      </w:tr>
      <w:tr w:rsidR="002C3C33" w:rsidRPr="008954A8" w:rsidTr="002C3C33">
        <w:trPr>
          <w:cantSplit/>
        </w:trPr>
        <w:tc>
          <w:tcPr>
            <w:tcW w:w="1249" w:type="pct"/>
            <w:tcBorders>
              <w:top w:val="nil"/>
            </w:tcBorders>
            <w:shd w:val="clear" w:color="auto" w:fill="auto"/>
            <w:tcMar>
              <w:top w:w="113" w:type="dxa"/>
              <w:bottom w:w="85" w:type="dxa"/>
            </w:tcMar>
          </w:tcPr>
          <w:p w:rsidR="002C3C33" w:rsidRPr="008954A8" w:rsidRDefault="002C3C33"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514" w:type="pct"/>
            <w:tcBorders>
              <w:top w:val="nil"/>
            </w:tcBorders>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w:t>
            </w:r>
            <w:r w:rsidRPr="002D6E4D">
              <w:rPr>
                <w:rFonts w:ascii="Arabic Typesetting" w:hAnsi="Arabic Typesetting" w:cs="Arabic Typesetting"/>
                <w:sz w:val="30"/>
                <w:szCs w:val="30"/>
                <w:rtl/>
              </w:rPr>
              <w:t xml:space="preserve">لمشاركين في </w:t>
            </w:r>
            <w:r>
              <w:rPr>
                <w:rFonts w:ascii="Arabic Typesetting" w:hAnsi="Arabic Typesetting" w:cs="Arabic Typesetting" w:hint="cs"/>
                <w:sz w:val="30"/>
                <w:szCs w:val="30"/>
                <w:rtl/>
              </w:rPr>
              <w:t>الاستقصاء</w:t>
            </w:r>
            <w:r w:rsidRPr="002D6E4D">
              <w:rPr>
                <w:rFonts w:ascii="Arabic Typesetting" w:hAnsi="Arabic Typesetting" w:cs="Arabic Typesetting"/>
                <w:sz w:val="30"/>
                <w:szCs w:val="30"/>
                <w:rtl/>
              </w:rPr>
              <w:t xml:space="preserve"> </w:t>
            </w:r>
            <w:r w:rsidRPr="00B31E9D">
              <w:rPr>
                <w:rFonts w:ascii="Arabic Typesetting" w:hAnsi="Arabic Typesetting" w:cs="Arabic Typesetting"/>
                <w:sz w:val="30"/>
                <w:szCs w:val="30"/>
                <w:rtl/>
              </w:rPr>
              <w:t>الذي ي</w:t>
            </w:r>
            <w:r>
              <w:rPr>
                <w:rFonts w:ascii="Arabic Typesetting" w:hAnsi="Arabic Typesetting" w:cs="Arabic Typesetting" w:hint="cs"/>
                <w:sz w:val="30"/>
                <w:szCs w:val="30"/>
                <w:rtl/>
              </w:rPr>
              <w:t xml:space="preserve">دل على </w:t>
            </w:r>
            <w:r w:rsidRPr="00B31E9D">
              <w:rPr>
                <w:rFonts w:ascii="Arabic Typesetting" w:hAnsi="Arabic Typesetting" w:cs="Arabic Typesetting"/>
                <w:sz w:val="30"/>
                <w:szCs w:val="30"/>
                <w:rtl/>
              </w:rPr>
              <w:t>وجود</w:t>
            </w:r>
            <w:r>
              <w:rPr>
                <w:rFonts w:ascii="Arabic Typesetting" w:hAnsi="Arabic Typesetting" w:cs="Arabic Typesetting" w:hint="cs"/>
                <w:sz w:val="30"/>
                <w:szCs w:val="30"/>
                <w:rtl/>
              </w:rPr>
              <w:t xml:space="preserve"> </w:t>
            </w:r>
            <w:r w:rsidRPr="002D6E4D">
              <w:rPr>
                <w:rFonts w:ascii="Arabic Typesetting" w:hAnsi="Arabic Typesetting" w:cs="Arabic Typesetting"/>
                <w:sz w:val="30"/>
                <w:szCs w:val="30"/>
                <w:rtl/>
              </w:rPr>
              <w:t xml:space="preserve">زيادة </w:t>
            </w:r>
            <w:r>
              <w:rPr>
                <w:rFonts w:ascii="Arabic Typesetting" w:hAnsi="Arabic Typesetting" w:cs="Arabic Typesetting" w:hint="cs"/>
                <w:sz w:val="30"/>
                <w:szCs w:val="30"/>
                <w:rtl/>
              </w:rPr>
              <w:t xml:space="preserve">في </w:t>
            </w:r>
            <w:r w:rsidRPr="002D6E4D">
              <w:rPr>
                <w:rFonts w:ascii="Arabic Typesetting" w:hAnsi="Arabic Typesetting" w:cs="Arabic Typesetting"/>
                <w:sz w:val="30"/>
                <w:szCs w:val="30"/>
                <w:rtl/>
              </w:rPr>
              <w:t xml:space="preserve">استخدام خدمات الويبو في غضون 6 أشهر من حضور </w:t>
            </w:r>
            <w:r>
              <w:rPr>
                <w:rFonts w:ascii="Arabic Typesetting" w:hAnsi="Arabic Typesetting" w:cs="Arabic Typesetting" w:hint="cs"/>
                <w:sz w:val="30"/>
                <w:szCs w:val="30"/>
                <w:rtl/>
              </w:rPr>
              <w:t>ال</w:t>
            </w:r>
            <w:r w:rsidRPr="002D6E4D">
              <w:rPr>
                <w:rFonts w:ascii="Arabic Typesetting" w:hAnsi="Arabic Typesetting" w:cs="Arabic Typesetting"/>
                <w:sz w:val="30"/>
                <w:szCs w:val="30"/>
                <w:rtl/>
              </w:rPr>
              <w:t xml:space="preserve">حلقات </w:t>
            </w:r>
            <w:r>
              <w:rPr>
                <w:rFonts w:ascii="Arabic Typesetting" w:hAnsi="Arabic Typesetting" w:cs="Arabic Typesetting" w:hint="cs"/>
                <w:sz w:val="30"/>
                <w:szCs w:val="30"/>
                <w:rtl/>
              </w:rPr>
              <w:t>ال</w:t>
            </w:r>
            <w:r w:rsidRPr="002D6E4D">
              <w:rPr>
                <w:rFonts w:ascii="Arabic Typesetting" w:hAnsi="Arabic Typesetting" w:cs="Arabic Typesetting"/>
                <w:sz w:val="30"/>
                <w:szCs w:val="30"/>
                <w:rtl/>
              </w:rPr>
              <w:t>دراسية</w:t>
            </w:r>
            <w:r>
              <w:rPr>
                <w:rFonts w:ascii="Arabic Typesetting" w:hAnsi="Arabic Typesetting" w:cs="Arabic Typesetting" w:hint="cs"/>
                <w:sz w:val="30"/>
                <w:szCs w:val="30"/>
                <w:rtl/>
              </w:rPr>
              <w:t xml:space="preserve"> ال</w:t>
            </w:r>
            <w:r w:rsidRPr="002D6E4D">
              <w:rPr>
                <w:rFonts w:ascii="Arabic Typesetting" w:hAnsi="Arabic Typesetting" w:cs="Arabic Typesetting"/>
                <w:sz w:val="30"/>
                <w:szCs w:val="30"/>
                <w:rtl/>
              </w:rPr>
              <w:t>جوال</w:t>
            </w:r>
            <w:r>
              <w:rPr>
                <w:rFonts w:ascii="Arabic Typesetting" w:hAnsi="Arabic Typesetting" w:cs="Arabic Typesetting" w:hint="cs"/>
                <w:sz w:val="30"/>
                <w:szCs w:val="30"/>
                <w:rtl/>
              </w:rPr>
              <w:t xml:space="preserve">ة بشأن </w:t>
            </w:r>
            <w:r w:rsidRPr="002D6E4D">
              <w:rPr>
                <w:rFonts w:ascii="Arabic Typesetting" w:hAnsi="Arabic Typesetting" w:cs="Arabic Typesetting"/>
                <w:sz w:val="30"/>
                <w:szCs w:val="30"/>
                <w:rtl/>
              </w:rPr>
              <w:t xml:space="preserve">خدمات الويبو </w:t>
            </w:r>
            <w:r>
              <w:rPr>
                <w:rFonts w:ascii="Arabic Typesetting" w:hAnsi="Arabic Typesetting" w:cs="Arabic Typesetting" w:hint="cs"/>
                <w:sz w:val="30"/>
                <w:szCs w:val="30"/>
                <w:rtl/>
              </w:rPr>
              <w:t>و</w:t>
            </w:r>
            <w:r w:rsidRPr="002D6E4D">
              <w:rPr>
                <w:rFonts w:ascii="Arabic Typesetting" w:hAnsi="Arabic Typesetting" w:cs="Arabic Typesetting"/>
                <w:sz w:val="30"/>
                <w:szCs w:val="30"/>
                <w:rtl/>
              </w:rPr>
              <w:t>مبادرات</w:t>
            </w:r>
            <w:r>
              <w:rPr>
                <w:rFonts w:ascii="Arabic Typesetting" w:hAnsi="Arabic Typesetting" w:cs="Arabic Typesetting" w:hint="cs"/>
                <w:sz w:val="30"/>
                <w:szCs w:val="30"/>
                <w:rtl/>
              </w:rPr>
              <w:t>ها</w:t>
            </w:r>
          </w:p>
        </w:tc>
        <w:tc>
          <w:tcPr>
            <w:tcW w:w="1156" w:type="pct"/>
            <w:tcBorders>
              <w:top w:val="nil"/>
            </w:tcBorders>
            <w:shd w:val="clear" w:color="auto" w:fill="FFFFFF"/>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18%</w:t>
            </w:r>
          </w:p>
        </w:tc>
        <w:tc>
          <w:tcPr>
            <w:tcW w:w="1081" w:type="pct"/>
            <w:tcBorders>
              <w:top w:val="nil"/>
            </w:tcBorders>
            <w:shd w:val="clear" w:color="auto" w:fill="auto"/>
            <w:tcMar>
              <w:top w:w="113" w:type="dxa"/>
              <w:bottom w:w="85" w:type="dxa"/>
            </w:tcMar>
          </w:tcPr>
          <w:p w:rsidR="002C3C33" w:rsidRPr="008954A8"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20% من</w:t>
            </w:r>
            <w:r w:rsidRPr="00B31E9D">
              <w:rPr>
                <w:rFonts w:ascii="Arabic Typesetting" w:hAnsi="Arabic Typesetting" w:cs="Arabic Typesetting"/>
                <w:b/>
                <w:sz w:val="30"/>
                <w:szCs w:val="30"/>
                <w:rtl/>
              </w:rPr>
              <w:t xml:space="preserve"> المشاركين في </w:t>
            </w:r>
            <w:r>
              <w:rPr>
                <w:rFonts w:ascii="Arabic Typesetting" w:hAnsi="Arabic Typesetting" w:cs="Arabic Typesetting" w:hint="cs"/>
                <w:b/>
                <w:sz w:val="30"/>
                <w:szCs w:val="30"/>
                <w:rtl/>
              </w:rPr>
              <w:t>الاستقصاء</w:t>
            </w:r>
            <w:r w:rsidRPr="00B31E9D">
              <w:rPr>
                <w:rFonts w:ascii="Arabic Typesetting" w:hAnsi="Arabic Typesetting" w:cs="Arabic Typesetting"/>
                <w:b/>
                <w:sz w:val="30"/>
                <w:szCs w:val="30"/>
                <w:rtl/>
              </w:rPr>
              <w:t xml:space="preserve"> الذي </w:t>
            </w:r>
            <w:r>
              <w:rPr>
                <w:rFonts w:ascii="Arabic Typesetting" w:hAnsi="Arabic Typesetting" w:cs="Arabic Typesetting" w:hint="cs"/>
                <w:b/>
                <w:sz w:val="30"/>
                <w:szCs w:val="30"/>
                <w:rtl/>
              </w:rPr>
              <w:t>يدل على</w:t>
            </w:r>
            <w:r w:rsidRPr="00B31E9D">
              <w:rPr>
                <w:rFonts w:ascii="Arabic Typesetting" w:hAnsi="Arabic Typesetting" w:cs="Arabic Typesetting"/>
                <w:b/>
                <w:sz w:val="30"/>
                <w:szCs w:val="30"/>
                <w:rtl/>
              </w:rPr>
              <w:t xml:space="preserve"> وجود زيادة في استخدام خدمات الويبو.</w:t>
            </w:r>
          </w:p>
        </w:tc>
      </w:tr>
      <w:tr w:rsidR="002C3C33" w:rsidRPr="008954A8" w:rsidTr="002C3C33">
        <w:trPr>
          <w:cantSplit/>
          <w:trHeight w:val="653"/>
        </w:trPr>
        <w:tc>
          <w:tcPr>
            <w:tcW w:w="1249" w:type="pct"/>
            <w:shd w:val="clear" w:color="auto" w:fill="auto"/>
            <w:tcMar>
              <w:top w:w="113" w:type="dxa"/>
              <w:bottom w:w="85" w:type="dxa"/>
            </w:tcMar>
          </w:tcPr>
          <w:p w:rsidR="002C3C33" w:rsidRPr="008954A8" w:rsidRDefault="009800D4" w:rsidP="002C3C33">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2C3C33">
              <w:rPr>
                <w:rFonts w:ascii="Arabic Typesetting" w:hAnsi="Arabic Typesetting" w:cs="Arabic Typesetting" w:hint="cs"/>
                <w:sz w:val="30"/>
                <w:szCs w:val="30"/>
                <w:rtl/>
              </w:rPr>
              <w:t xml:space="preserve"> </w:t>
            </w:r>
            <w:r w:rsidR="002C3C33" w:rsidRPr="00B31E9D">
              <w:rPr>
                <w:rFonts w:ascii="Arabic Typesetting" w:hAnsi="Arabic Typesetting" w:cs="Arabic Typesetting"/>
                <w:sz w:val="30"/>
                <w:szCs w:val="30"/>
                <w:rtl/>
              </w:rPr>
              <w:t>4.2 استخدام نظ</w:t>
            </w:r>
            <w:r w:rsidR="002C3C33">
              <w:rPr>
                <w:rFonts w:ascii="Arabic Typesetting" w:hAnsi="Arabic Typesetting" w:cs="Arabic Typesetting"/>
                <w:sz w:val="30"/>
                <w:szCs w:val="30"/>
                <w:rtl/>
              </w:rPr>
              <w:t>ام لاهاي على نطاق أوسع و</w:t>
            </w:r>
            <w:r w:rsidR="002C3C33">
              <w:rPr>
                <w:rFonts w:ascii="Arabic Typesetting" w:hAnsi="Arabic Typesetting" w:cs="Arabic Typesetting" w:hint="cs"/>
                <w:sz w:val="30"/>
                <w:szCs w:val="30"/>
                <w:rtl/>
              </w:rPr>
              <w:t>بفعالية أكبر</w:t>
            </w:r>
            <w:r w:rsidR="002C3C33" w:rsidRPr="00B31E9D">
              <w:rPr>
                <w:rFonts w:ascii="Arabic Typesetting" w:hAnsi="Arabic Typesetting" w:cs="Arabic Typesetting"/>
                <w:sz w:val="30"/>
                <w:szCs w:val="30"/>
                <w:rtl/>
              </w:rPr>
              <w:t>، بما في ذلك من قبل البلدان النامية والبلدان الأقل نموا</w:t>
            </w:r>
            <w:r w:rsidR="002C3C33">
              <w:rPr>
                <w:rFonts w:ascii="Arabic Typesetting" w:hAnsi="Arabic Typesetting" w:cs="Arabic Typesetting" w:hint="cs"/>
                <w:sz w:val="30"/>
                <w:szCs w:val="30"/>
                <w:rtl/>
              </w:rPr>
              <w:t>ً</w:t>
            </w:r>
          </w:p>
        </w:tc>
        <w:tc>
          <w:tcPr>
            <w:tcW w:w="1514" w:type="pct"/>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 xml:space="preserve">عدد </w:t>
            </w:r>
            <w:r w:rsidRPr="008954A8">
              <w:rPr>
                <w:rFonts w:ascii="Arabic Typesetting" w:hAnsi="Arabic Typesetting" w:cs="Arabic Typesetting" w:hint="cs"/>
                <w:sz w:val="30"/>
                <w:szCs w:val="30"/>
                <w:rtl/>
              </w:rPr>
              <w:t xml:space="preserve">الطلبات المودعة </w:t>
            </w:r>
            <w:r w:rsidRPr="008954A8">
              <w:rPr>
                <w:rFonts w:ascii="Arabic Typesetting" w:hAnsi="Arabic Typesetting" w:cs="Arabic Typesetting"/>
                <w:sz w:val="30"/>
                <w:szCs w:val="30"/>
                <w:rtl/>
              </w:rPr>
              <w:t xml:space="preserve">بناء على نظام لاهاي </w:t>
            </w:r>
            <w:r w:rsidRPr="008954A8">
              <w:rPr>
                <w:rFonts w:ascii="Arabic Typesetting" w:hAnsi="Arabic Typesetting" w:cs="Arabic Typesetting" w:hint="cs"/>
                <w:sz w:val="30"/>
                <w:szCs w:val="30"/>
                <w:rtl/>
              </w:rPr>
              <w:t xml:space="preserve">والصادرة من </w:t>
            </w:r>
            <w:r w:rsidRPr="008954A8">
              <w:rPr>
                <w:rFonts w:ascii="Arabic Typesetting" w:hAnsi="Arabic Typesetting" w:cs="Arabic Typesetting"/>
                <w:sz w:val="30"/>
                <w:szCs w:val="30"/>
                <w:rtl/>
              </w:rPr>
              <w:t>البلدان المنتقلة إلى نظام الاقتصاد الحر والبلدان المتقدمة</w:t>
            </w:r>
          </w:p>
        </w:tc>
        <w:tc>
          <w:tcPr>
            <w:tcW w:w="1156" w:type="pct"/>
            <w:shd w:val="clear" w:color="auto" w:fill="FFFFFF"/>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776 2 (2014)</w:t>
            </w:r>
          </w:p>
        </w:tc>
        <w:tc>
          <w:tcPr>
            <w:tcW w:w="1081" w:type="pct"/>
            <w:shd w:val="clear" w:color="auto" w:fill="auto"/>
            <w:tcMar>
              <w:top w:w="113" w:type="dxa"/>
              <w:bottom w:w="85" w:type="dxa"/>
            </w:tcMar>
          </w:tcPr>
          <w:p w:rsidR="002C3C33" w:rsidRPr="00CC4E0C"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504692">
              <w:rPr>
                <w:rFonts w:ascii="Arabic Typesetting" w:hAnsi="Arabic Typesetting" w:cs="Arabic Typesetting"/>
                <w:b/>
                <w:sz w:val="30"/>
                <w:szCs w:val="30"/>
                <w:rtl/>
              </w:rPr>
              <w:t>زيادة بنسبة 1.5%</w:t>
            </w:r>
            <w:r w:rsidR="00AE6B82">
              <w:rPr>
                <w:rFonts w:ascii="Arabic Typesetting" w:hAnsi="Arabic Typesetting" w:cs="Arabic Typesetting" w:hint="cs"/>
                <w:b/>
                <w:sz w:val="30"/>
                <w:szCs w:val="30"/>
                <w:rtl/>
              </w:rPr>
              <w:t xml:space="preserve"> (سنويا)</w:t>
            </w:r>
          </w:p>
        </w:tc>
      </w:tr>
      <w:tr w:rsidR="002C3C33" w:rsidRPr="008954A8" w:rsidTr="002C3C33">
        <w:trPr>
          <w:cantSplit/>
          <w:trHeight w:val="983"/>
        </w:trPr>
        <w:tc>
          <w:tcPr>
            <w:tcW w:w="1249" w:type="pct"/>
            <w:shd w:val="clear" w:color="auto" w:fill="auto"/>
            <w:tcMar>
              <w:top w:w="113" w:type="dxa"/>
              <w:bottom w:w="85" w:type="dxa"/>
            </w:tcMar>
          </w:tcPr>
          <w:p w:rsidR="002C3C33" w:rsidRPr="00CC4E0C" w:rsidRDefault="009800D4" w:rsidP="00C200D6">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lastRenderedPageBreak/>
              <w:t>ه</w:t>
            </w:r>
            <w:r w:rsidR="002C3C33">
              <w:rPr>
                <w:rFonts w:ascii="Arabic Typesetting" w:hAnsi="Arabic Typesetting" w:cs="Arabic Typesetting" w:hint="cs"/>
                <w:sz w:val="30"/>
                <w:szCs w:val="30"/>
                <w:rtl/>
              </w:rPr>
              <w:t xml:space="preserve"> </w:t>
            </w:r>
            <w:r w:rsidR="002C3C33" w:rsidRPr="00CC4E0C">
              <w:rPr>
                <w:rFonts w:ascii="Arabic Typesetting" w:hAnsi="Arabic Typesetting" w:cs="Arabic Typesetting"/>
                <w:sz w:val="30"/>
                <w:szCs w:val="30"/>
                <w:rtl/>
              </w:rPr>
              <w:t>6.2 استخدام نظام مدريد على نطاق أوسع وبفعالية أكبر، بما في ذلك من قبل البلدان النامية والبلدان الأقل نموا</w:t>
            </w:r>
            <w:r w:rsidR="002C3C33">
              <w:rPr>
                <w:rFonts w:ascii="Arabic Typesetting" w:hAnsi="Arabic Typesetting" w:cs="Arabic Typesetting" w:hint="cs"/>
                <w:sz w:val="30"/>
                <w:szCs w:val="30"/>
                <w:rtl/>
              </w:rPr>
              <w:t>ً</w:t>
            </w:r>
          </w:p>
        </w:tc>
        <w:tc>
          <w:tcPr>
            <w:tcW w:w="1514" w:type="pct"/>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عدد </w:t>
            </w:r>
            <w:r w:rsidRPr="008954A8">
              <w:rPr>
                <w:rFonts w:ascii="Arabic Typesetting" w:hAnsi="Arabic Typesetting" w:cs="Arabic Typesetting" w:hint="cs"/>
                <w:sz w:val="30"/>
                <w:szCs w:val="30"/>
                <w:rtl/>
              </w:rPr>
              <w:t xml:space="preserve">الطلبات </w:t>
            </w:r>
            <w:r w:rsidRPr="008954A8">
              <w:rPr>
                <w:rFonts w:ascii="Arabic Typesetting" w:hAnsi="Arabic Typesetting" w:cs="Arabic Typesetting"/>
                <w:sz w:val="30"/>
                <w:szCs w:val="30"/>
                <w:rtl/>
              </w:rPr>
              <w:t>المودع</w:t>
            </w:r>
            <w:r w:rsidRPr="008954A8">
              <w:rPr>
                <w:rFonts w:ascii="Arabic Typesetting" w:hAnsi="Arabic Typesetting" w:cs="Arabic Typesetting" w:hint="cs"/>
                <w:sz w:val="30"/>
                <w:szCs w:val="30"/>
                <w:rtl/>
              </w:rPr>
              <w:t>ة</w:t>
            </w:r>
            <w:r w:rsidRPr="008954A8">
              <w:rPr>
                <w:rFonts w:ascii="Arabic Typesetting" w:hAnsi="Arabic Typesetting" w:cs="Arabic Typesetting"/>
                <w:sz w:val="30"/>
                <w:szCs w:val="30"/>
                <w:rtl/>
              </w:rPr>
              <w:t xml:space="preserve"> بناء على نظام مدريد </w:t>
            </w:r>
            <w:r w:rsidRPr="008954A8">
              <w:rPr>
                <w:rFonts w:ascii="Arabic Typesetting" w:hAnsi="Arabic Typesetting" w:cs="Arabic Typesetting" w:hint="cs"/>
                <w:sz w:val="30"/>
                <w:szCs w:val="30"/>
                <w:rtl/>
              </w:rPr>
              <w:t xml:space="preserve">الصادرة من </w:t>
            </w:r>
            <w:r w:rsidRPr="008954A8">
              <w:rPr>
                <w:rFonts w:ascii="Arabic Typesetting" w:hAnsi="Arabic Typesetting" w:cs="Arabic Typesetting"/>
                <w:sz w:val="30"/>
                <w:szCs w:val="30"/>
                <w:rtl/>
              </w:rPr>
              <w:t>البلدان المنتقلة إلى نظام الاقتصاد الحر والبلدان المتقدمة</w:t>
            </w:r>
          </w:p>
        </w:tc>
        <w:tc>
          <w:tcPr>
            <w:tcW w:w="1156" w:type="pct"/>
            <w:shd w:val="clear" w:color="auto" w:fill="FFFFFF"/>
            <w:tcMar>
              <w:top w:w="113" w:type="dxa"/>
              <w:bottom w:w="85" w:type="dxa"/>
            </w:tcMar>
          </w:tcPr>
          <w:p w:rsidR="002C3C33"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748 43 (تقديرات 2014)</w:t>
            </w:r>
          </w:p>
        </w:tc>
        <w:tc>
          <w:tcPr>
            <w:tcW w:w="1081" w:type="pct"/>
            <w:shd w:val="clear" w:color="auto" w:fill="auto"/>
            <w:tcMar>
              <w:top w:w="113" w:type="dxa"/>
              <w:bottom w:w="85" w:type="dxa"/>
            </w:tcMar>
          </w:tcPr>
          <w:p w:rsidR="002C3C33" w:rsidRPr="00504692"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504692">
              <w:rPr>
                <w:rFonts w:ascii="Arabic Typesetting" w:hAnsi="Arabic Typesetting" w:cs="Arabic Typesetting"/>
                <w:b/>
                <w:sz w:val="30"/>
                <w:szCs w:val="30"/>
                <w:rtl/>
              </w:rPr>
              <w:t xml:space="preserve">زيادة بنسبة </w:t>
            </w:r>
            <w:r>
              <w:rPr>
                <w:rFonts w:ascii="Arabic Typesetting" w:hAnsi="Arabic Typesetting" w:cs="Arabic Typesetting" w:hint="cs"/>
                <w:b/>
                <w:sz w:val="30"/>
                <w:szCs w:val="30"/>
                <w:rtl/>
              </w:rPr>
              <w:t>2</w:t>
            </w:r>
            <w:r w:rsidRPr="00504692">
              <w:rPr>
                <w:rFonts w:ascii="Arabic Typesetting" w:hAnsi="Arabic Typesetting" w:cs="Arabic Typesetting"/>
                <w:b/>
                <w:sz w:val="30"/>
                <w:szCs w:val="30"/>
                <w:rtl/>
              </w:rPr>
              <w:t>%</w:t>
            </w:r>
            <w:r w:rsidR="00F05028">
              <w:rPr>
                <w:rFonts w:ascii="Arabic Typesetting" w:hAnsi="Arabic Typesetting" w:cs="Arabic Typesetting" w:hint="cs"/>
                <w:b/>
                <w:sz w:val="30"/>
                <w:szCs w:val="30"/>
                <w:rtl/>
              </w:rPr>
              <w:t xml:space="preserve"> (سنويا)</w:t>
            </w:r>
          </w:p>
        </w:tc>
      </w:tr>
      <w:tr w:rsidR="002C3C33" w:rsidRPr="008954A8" w:rsidTr="002C3C33">
        <w:trPr>
          <w:cantSplit/>
          <w:trHeight w:val="1417"/>
        </w:trPr>
        <w:tc>
          <w:tcPr>
            <w:tcW w:w="1249" w:type="pct"/>
            <w:shd w:val="clear" w:color="auto" w:fill="auto"/>
            <w:tcMar>
              <w:top w:w="113" w:type="dxa"/>
              <w:bottom w:w="85" w:type="dxa"/>
            </w:tcMar>
          </w:tcPr>
          <w:p w:rsidR="002C3C33" w:rsidRPr="008954A8" w:rsidRDefault="009800D4" w:rsidP="002C3C33">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sz w:val="30"/>
                <w:szCs w:val="30"/>
                <w:rtl/>
              </w:rPr>
              <w:t>ه</w:t>
            </w:r>
            <w:r w:rsidR="002C3C33">
              <w:rPr>
                <w:rFonts w:ascii="Arabic Typesetting" w:hAnsi="Arabic Typesetting" w:cs="Arabic Typesetting" w:hint="cs"/>
                <w:sz w:val="30"/>
                <w:szCs w:val="30"/>
                <w:rtl/>
              </w:rPr>
              <w:t xml:space="preserve"> </w:t>
            </w:r>
            <w:r w:rsidR="002C3C33" w:rsidRPr="0044388A">
              <w:rPr>
                <w:rFonts w:ascii="Arabic Typesetting" w:hAnsi="Arabic Typesetting" w:cs="Arabic Typesetting"/>
                <w:sz w:val="30"/>
                <w:szCs w:val="30"/>
                <w:rtl/>
              </w:rPr>
              <w:t>8.2 تزايد تفادي نشوء المنازعات المتعلقة بالملكية الفكرية دوليا</w:t>
            </w:r>
            <w:r w:rsidR="002C3C33">
              <w:rPr>
                <w:rFonts w:ascii="Arabic Typesetting" w:hAnsi="Arabic Typesetting" w:cs="Arabic Typesetting" w:hint="cs"/>
                <w:sz w:val="30"/>
                <w:szCs w:val="30"/>
                <w:rtl/>
              </w:rPr>
              <w:t>ً</w:t>
            </w:r>
            <w:r w:rsidR="002C3C33" w:rsidRPr="0044388A">
              <w:rPr>
                <w:rFonts w:ascii="Arabic Typesetting" w:hAnsi="Arabic Typesetting" w:cs="Arabic Typesetting"/>
                <w:sz w:val="30"/>
                <w:szCs w:val="30"/>
                <w:rtl/>
              </w:rPr>
              <w:t xml:space="preserve"> وداخليا</w:t>
            </w:r>
            <w:r w:rsidR="002C3C33">
              <w:rPr>
                <w:rFonts w:ascii="Arabic Typesetting" w:hAnsi="Arabic Typesetting" w:cs="Arabic Typesetting" w:hint="cs"/>
                <w:sz w:val="30"/>
                <w:szCs w:val="30"/>
                <w:rtl/>
              </w:rPr>
              <w:t>ً</w:t>
            </w:r>
            <w:r w:rsidR="002C3C33" w:rsidRPr="0044388A">
              <w:rPr>
                <w:rFonts w:ascii="Arabic Typesetting" w:hAnsi="Arabic Typesetting" w:cs="Arabic Typesetting"/>
                <w:sz w:val="30"/>
                <w:szCs w:val="30"/>
                <w:rtl/>
              </w:rPr>
              <w:t xml:space="preserve"> وتسويتها عبر الوساطة والتحكيم وغيرها من أساليب الويبو البديلة لتسوية المنازعات</w:t>
            </w:r>
          </w:p>
        </w:tc>
        <w:tc>
          <w:tcPr>
            <w:tcW w:w="1514" w:type="pct"/>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sidRPr="009C2A5D">
              <w:rPr>
                <w:rFonts w:ascii="Arabic Typesetting" w:hAnsi="Arabic Typesetting" w:cs="Arabic Typesetting"/>
                <w:sz w:val="30"/>
                <w:szCs w:val="30"/>
                <w:rtl/>
              </w:rPr>
              <w:t>عدد منازعات الملكية الفكرية التي بدأت في البلدان المنتقلة إلى نظام الاقتصاد الحر والمتقدمة التي تم منعها أو حلها عن طريق الوساطة والتحكيم وغيرها من أساليب الويبو البديلة لتسوية المنازعات</w:t>
            </w:r>
          </w:p>
        </w:tc>
        <w:tc>
          <w:tcPr>
            <w:tcW w:w="1156" w:type="pct"/>
            <w:shd w:val="clear" w:color="auto" w:fill="FFFFFF"/>
            <w:tcMar>
              <w:top w:w="113" w:type="dxa"/>
              <w:bottom w:w="85" w:type="dxa"/>
            </w:tcMar>
          </w:tcPr>
          <w:p w:rsidR="002C3C33"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sidRPr="00FF057E">
              <w:rPr>
                <w:rFonts w:ascii="Arabic Typesetting" w:hAnsi="Arabic Typesetting" w:cs="Arabic Typesetting"/>
                <w:sz w:val="30"/>
                <w:szCs w:val="30"/>
                <w:rtl/>
              </w:rPr>
              <w:t xml:space="preserve">18 </w:t>
            </w:r>
            <w:r>
              <w:rPr>
                <w:rFonts w:ascii="Arabic Typesetting" w:hAnsi="Arabic Typesetting" w:cs="Arabic Typesetting" w:hint="cs"/>
                <w:sz w:val="30"/>
                <w:szCs w:val="30"/>
                <w:rtl/>
              </w:rPr>
              <w:t>منازعة</w:t>
            </w:r>
            <w:r w:rsidRPr="00FF057E">
              <w:rPr>
                <w:rFonts w:ascii="Arabic Typesetting" w:hAnsi="Arabic Typesetting" w:cs="Arabic Typesetting"/>
                <w:sz w:val="30"/>
                <w:szCs w:val="30"/>
                <w:rtl/>
              </w:rPr>
              <w:t xml:space="preserve"> إضافية و25 </w:t>
            </w:r>
            <w:r>
              <w:rPr>
                <w:rFonts w:ascii="Arabic Typesetting" w:hAnsi="Arabic Typesetting" w:cs="Arabic Typesetting" w:hint="cs"/>
                <w:sz w:val="30"/>
                <w:szCs w:val="30"/>
                <w:rtl/>
              </w:rPr>
              <w:t xml:space="preserve">مسعى </w:t>
            </w:r>
            <w:r w:rsidRPr="005C7F32">
              <w:rPr>
                <w:rFonts w:ascii="Arabic Typesetting" w:hAnsi="Arabic Typesetting" w:cs="Arabic Typesetting"/>
                <w:sz w:val="30"/>
                <w:szCs w:val="30"/>
                <w:rtl/>
              </w:rPr>
              <w:t>من المساعي الحميدة</w:t>
            </w:r>
            <w:r w:rsidRPr="00FF057E">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الإضافية التي </w:t>
            </w:r>
            <w:r w:rsidRPr="00FF057E">
              <w:rPr>
                <w:rFonts w:ascii="Arabic Typesetting" w:hAnsi="Arabic Typesetting" w:cs="Arabic Typesetting"/>
                <w:sz w:val="30"/>
                <w:szCs w:val="30"/>
                <w:rtl/>
              </w:rPr>
              <w:t>تشمل أطراف</w:t>
            </w:r>
            <w:r>
              <w:rPr>
                <w:rFonts w:ascii="Arabic Typesetting" w:hAnsi="Arabic Typesetting" w:cs="Arabic Typesetting" w:hint="cs"/>
                <w:sz w:val="30"/>
                <w:szCs w:val="30"/>
                <w:rtl/>
              </w:rPr>
              <w:t>اً</w:t>
            </w:r>
            <w:r w:rsidRPr="00FF057E">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من بلدان منتقلة إلى نظام الاقتصاد الحر أو </w:t>
            </w:r>
            <w:r w:rsidRPr="00FF057E">
              <w:rPr>
                <w:rFonts w:ascii="Arabic Typesetting" w:hAnsi="Arabic Typesetting" w:cs="Arabic Typesetting"/>
                <w:sz w:val="30"/>
                <w:szCs w:val="30"/>
                <w:rtl/>
              </w:rPr>
              <w:t>بلدان متقدمة (2014)</w:t>
            </w:r>
          </w:p>
          <w:p w:rsidR="00F05028" w:rsidRPr="008954A8" w:rsidRDefault="00F05028"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377 منازعة و76 مسعى من المساعي الحميدة (تراكمي)</w:t>
            </w:r>
          </w:p>
        </w:tc>
        <w:tc>
          <w:tcPr>
            <w:tcW w:w="1081" w:type="pct"/>
            <w:shd w:val="clear" w:color="auto" w:fill="auto"/>
            <w:tcMar>
              <w:top w:w="113" w:type="dxa"/>
              <w:bottom w:w="85" w:type="dxa"/>
            </w:tcMar>
          </w:tcPr>
          <w:p w:rsidR="002C3C33" w:rsidRPr="008954A8" w:rsidRDefault="002C3C33" w:rsidP="002C3C33">
            <w:pPr>
              <w:keepNext/>
              <w:keepLines/>
              <w:adjustRightInd w:val="0"/>
              <w:snapToGrid w:val="0"/>
              <w:spacing w:beforeLines="60" w:before="144" w:afterLines="60" w:after="144" w:line="300" w:lineRule="exact"/>
              <w:rPr>
                <w:rFonts w:ascii="Arabic Typesetting" w:hAnsi="Arabic Typesetting" w:cs="Arabic Typesetting"/>
                <w:bCs/>
                <w:sz w:val="30"/>
                <w:szCs w:val="30"/>
              </w:rPr>
            </w:pPr>
            <w:r>
              <w:rPr>
                <w:rFonts w:ascii="Arabic Typesetting" w:hAnsi="Arabic Typesetting" w:cs="Arabic Typesetting" w:hint="cs"/>
                <w:b/>
                <w:sz w:val="30"/>
                <w:szCs w:val="30"/>
                <w:rtl/>
              </w:rPr>
              <w:t>33 حالة إضافية من حالات المنازعات والمساعي الحميدة التي تشمل أطرافا من البلدان المنتقلة إلى نظام الاقتصاد الحر والبلدان المتقدمة</w:t>
            </w:r>
          </w:p>
        </w:tc>
      </w:tr>
      <w:tr w:rsidR="00C200D6" w:rsidRPr="008954A8" w:rsidTr="002C3C33">
        <w:trPr>
          <w:cantSplit/>
          <w:trHeight w:val="638"/>
        </w:trPr>
        <w:tc>
          <w:tcPr>
            <w:tcW w:w="1249" w:type="pct"/>
            <w:shd w:val="clear" w:color="auto" w:fill="auto"/>
            <w:tcMar>
              <w:top w:w="113" w:type="dxa"/>
              <w:bottom w:w="85" w:type="dxa"/>
            </w:tcMar>
          </w:tcPr>
          <w:p w:rsidR="00C200D6" w:rsidRDefault="00C200D6" w:rsidP="002C3C33">
            <w:pPr>
              <w:adjustRightInd w:val="0"/>
              <w:snapToGrid w:val="0"/>
              <w:spacing w:beforeLines="60" w:before="144" w:afterLines="60" w:after="144" w:line="300" w:lineRule="exact"/>
              <w:rPr>
                <w:rFonts w:ascii="Arabic Typesetting" w:hAnsi="Arabic Typesetting" w:cs="Arabic Typesetting"/>
                <w:sz w:val="30"/>
                <w:szCs w:val="30"/>
                <w:rtl/>
              </w:rPr>
            </w:pPr>
            <w:r w:rsidRPr="00C200D6">
              <w:rPr>
                <w:rFonts w:ascii="Arabic Typesetting" w:hAnsi="Arabic Typesetting" w:cs="Arabic Typesetting"/>
                <w:sz w:val="30"/>
                <w:szCs w:val="30"/>
                <w:rtl/>
              </w:rPr>
              <w:t>ھ 10.2 استخدام نظام لشبونة على نطاق أوسع وبفعالية أكبر، بما في ذلك من قبل البلدان النامية والبلدان الأقل نمواً</w:t>
            </w:r>
          </w:p>
        </w:tc>
        <w:tc>
          <w:tcPr>
            <w:tcW w:w="1514" w:type="pct"/>
            <w:shd w:val="clear" w:color="auto" w:fill="auto"/>
            <w:tcMar>
              <w:top w:w="113" w:type="dxa"/>
              <w:bottom w:w="85" w:type="dxa"/>
            </w:tcMar>
          </w:tcPr>
          <w:p w:rsidR="00C200D6" w:rsidRPr="008954A8" w:rsidRDefault="00C200D6" w:rsidP="00EE1812">
            <w:pPr>
              <w:keepNext/>
              <w:adjustRightInd w:val="0"/>
              <w:snapToGrid w:val="0"/>
              <w:spacing w:beforeLines="60" w:before="144" w:afterLines="60" w:after="144" w:line="300" w:lineRule="exact"/>
              <w:rPr>
                <w:rFonts w:ascii="Arabic Typesetting" w:hAnsi="Arabic Typesetting" w:cs="Arabic Typesetting"/>
                <w:sz w:val="30"/>
                <w:szCs w:val="30"/>
                <w:rtl/>
              </w:rPr>
            </w:pPr>
            <w:r w:rsidRPr="00823E6E">
              <w:rPr>
                <w:rFonts w:ascii="Arabic Typesetting" w:hAnsi="Arabic Typesetting" w:cs="Arabic Typesetting"/>
                <w:sz w:val="30"/>
                <w:szCs w:val="30"/>
                <w:rtl/>
              </w:rPr>
              <w:t xml:space="preserve">عدد التسجيلات الدولية </w:t>
            </w:r>
            <w:r w:rsidR="00EE1812">
              <w:rPr>
                <w:rFonts w:ascii="Arabic Typesetting" w:hAnsi="Arabic Typesetting" w:cs="Arabic Typesetting" w:hint="cs"/>
                <w:sz w:val="30"/>
                <w:szCs w:val="30"/>
                <w:rtl/>
              </w:rPr>
              <w:t>السارية بموجب نظام لشبونة للبلدان المتحولة والمتقدمة</w:t>
            </w:r>
          </w:p>
        </w:tc>
        <w:tc>
          <w:tcPr>
            <w:tcW w:w="1156" w:type="pct"/>
            <w:shd w:val="clear" w:color="auto" w:fill="FFFFFF"/>
            <w:tcMar>
              <w:top w:w="113" w:type="dxa"/>
              <w:bottom w:w="85" w:type="dxa"/>
            </w:tcMar>
          </w:tcPr>
          <w:p w:rsidR="00C200D6" w:rsidRDefault="00EE1812" w:rsidP="00EE1812">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818</w:t>
            </w:r>
            <w:r w:rsidR="00C200D6" w:rsidRPr="00823E6E">
              <w:rPr>
                <w:rFonts w:ascii="Arabic Typesetting" w:hAnsi="Arabic Typesetting" w:cs="Arabic Typesetting"/>
                <w:sz w:val="30"/>
                <w:szCs w:val="30"/>
                <w:rtl/>
              </w:rPr>
              <w:t xml:space="preserve"> من أصل 896</w:t>
            </w:r>
            <w:r>
              <w:rPr>
                <w:rFonts w:ascii="Arabic Typesetting" w:hAnsi="Arabic Typesetting" w:cs="Arabic Typesetting" w:hint="cs"/>
                <w:sz w:val="30"/>
                <w:szCs w:val="30"/>
                <w:rtl/>
              </w:rPr>
              <w:t xml:space="preserve"> تسجيلات سارية </w:t>
            </w:r>
            <w:r w:rsidR="00C200D6" w:rsidRPr="00823E6E">
              <w:rPr>
                <w:rFonts w:ascii="Arabic Typesetting" w:hAnsi="Arabic Typesetting" w:cs="Arabic Typesetting"/>
                <w:sz w:val="30"/>
                <w:szCs w:val="30"/>
                <w:rtl/>
              </w:rPr>
              <w:t>(</w:t>
            </w:r>
            <w:r>
              <w:rPr>
                <w:rFonts w:ascii="Arabic Typesetting" w:hAnsi="Arabic Typesetting" w:cs="Arabic Typesetting" w:hint="cs"/>
                <w:sz w:val="30"/>
                <w:szCs w:val="30"/>
                <w:rtl/>
              </w:rPr>
              <w:t>2014</w:t>
            </w:r>
            <w:r w:rsidR="00C200D6" w:rsidRPr="00823E6E">
              <w:rPr>
                <w:rFonts w:ascii="Arabic Typesetting" w:hAnsi="Arabic Typesetting" w:cs="Arabic Typesetting"/>
                <w:sz w:val="30"/>
                <w:szCs w:val="30"/>
                <w:rtl/>
              </w:rPr>
              <w:t>)</w:t>
            </w:r>
          </w:p>
        </w:tc>
        <w:tc>
          <w:tcPr>
            <w:tcW w:w="1081" w:type="pct"/>
            <w:shd w:val="clear" w:color="auto" w:fill="auto"/>
            <w:tcMar>
              <w:top w:w="113" w:type="dxa"/>
              <w:bottom w:w="85" w:type="dxa"/>
            </w:tcMar>
          </w:tcPr>
          <w:p w:rsidR="00C200D6" w:rsidRDefault="00EE1812"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2% زيادة (الثنائية)</w:t>
            </w:r>
          </w:p>
        </w:tc>
      </w:tr>
      <w:tr w:rsidR="002C3C33" w:rsidRPr="008954A8" w:rsidTr="002C3C33">
        <w:trPr>
          <w:cantSplit/>
          <w:trHeight w:val="638"/>
        </w:trPr>
        <w:tc>
          <w:tcPr>
            <w:tcW w:w="1249" w:type="pct"/>
            <w:shd w:val="clear" w:color="auto" w:fill="auto"/>
            <w:tcMar>
              <w:top w:w="113" w:type="dxa"/>
              <w:bottom w:w="85" w:type="dxa"/>
            </w:tcMar>
          </w:tcPr>
          <w:p w:rsidR="002C3C33" w:rsidRPr="008954A8" w:rsidRDefault="007951DD" w:rsidP="002C3C33">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w:t>
            </w:r>
            <w:r w:rsidR="002C3C33">
              <w:rPr>
                <w:rFonts w:ascii="Arabic Typesetting" w:hAnsi="Arabic Typesetting" w:cs="Arabic Typesetting" w:hint="cs"/>
                <w:sz w:val="30"/>
                <w:szCs w:val="30"/>
                <w:rtl/>
              </w:rPr>
              <w:t xml:space="preserve"> </w:t>
            </w:r>
            <w:r w:rsidR="002C3C33" w:rsidRPr="00711E8C">
              <w:rPr>
                <w:rFonts w:ascii="Arabic Typesetting" w:hAnsi="Arabic Typesetting" w:cs="Arabic Typesetting"/>
                <w:sz w:val="30"/>
                <w:szCs w:val="30"/>
                <w:rtl/>
              </w:rPr>
              <w:t>1.3 استراتيجيات وخطط وطنية في مجالي الابتكار والملكية الفكرية تتماشى مع الأهداف الإنمائية الوطنية</w:t>
            </w:r>
          </w:p>
        </w:tc>
        <w:tc>
          <w:tcPr>
            <w:tcW w:w="1514" w:type="pct"/>
            <w:shd w:val="clear" w:color="auto" w:fill="auto"/>
            <w:tcMar>
              <w:top w:w="113" w:type="dxa"/>
              <w:bottom w:w="85" w:type="dxa"/>
            </w:tcMar>
          </w:tcPr>
          <w:p w:rsidR="002C3C33" w:rsidRPr="008954A8" w:rsidRDefault="007951DD"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عدد البلدان </w:t>
            </w:r>
            <w:r>
              <w:rPr>
                <w:rFonts w:ascii="Arabic Typesetting" w:hAnsi="Arabic Typesetting" w:cs="Arabic Typesetting" w:hint="cs"/>
                <w:sz w:val="30"/>
                <w:szCs w:val="30"/>
                <w:rtl/>
              </w:rPr>
              <w:t>في طور</w:t>
            </w:r>
            <w:r w:rsidRPr="008954A8">
              <w:rPr>
                <w:rFonts w:ascii="Arabic Typesetting" w:hAnsi="Arabic Typesetting" w:cs="Arabic Typesetting"/>
                <w:sz w:val="30"/>
                <w:szCs w:val="30"/>
                <w:rtl/>
              </w:rPr>
              <w:t xml:space="preserve"> صياغة الاستر</w:t>
            </w:r>
            <w:r>
              <w:rPr>
                <w:rFonts w:ascii="Arabic Typesetting" w:hAnsi="Arabic Typesetting" w:cs="Arabic Typesetting"/>
                <w:sz w:val="30"/>
                <w:szCs w:val="30"/>
                <w:rtl/>
              </w:rPr>
              <w:t>اتيجيات الوطنية للملكية الفكرية</w:t>
            </w:r>
          </w:p>
        </w:tc>
        <w:tc>
          <w:tcPr>
            <w:tcW w:w="1156" w:type="pct"/>
            <w:shd w:val="clear" w:color="auto" w:fill="FFFFFF"/>
            <w:tcMar>
              <w:top w:w="113" w:type="dxa"/>
              <w:bottom w:w="85" w:type="dxa"/>
            </w:tcMar>
          </w:tcPr>
          <w:p w:rsidR="002C3C33" w:rsidRPr="008954A8" w:rsidRDefault="007951DD" w:rsidP="002C3C33">
            <w:pPr>
              <w:keepNext/>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4 بلدان في 2014 (21 تراكمي)</w:t>
            </w:r>
          </w:p>
        </w:tc>
        <w:tc>
          <w:tcPr>
            <w:tcW w:w="1081" w:type="pct"/>
            <w:shd w:val="clear" w:color="auto" w:fill="auto"/>
            <w:tcMar>
              <w:top w:w="113" w:type="dxa"/>
              <w:bottom w:w="85" w:type="dxa"/>
            </w:tcMar>
          </w:tcPr>
          <w:p w:rsidR="002C3C33" w:rsidRPr="008954A8" w:rsidRDefault="007951DD" w:rsidP="002C3C33">
            <w:pPr>
              <w:keepNext/>
              <w:keepLines/>
              <w:adjustRightInd w:val="0"/>
              <w:snapToGrid w:val="0"/>
              <w:spacing w:beforeLines="60" w:before="144" w:afterLines="60" w:after="144"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7 بلدان إضافية</w:t>
            </w:r>
          </w:p>
        </w:tc>
      </w:tr>
      <w:tr w:rsidR="007951DD" w:rsidRPr="008954A8" w:rsidTr="002C3C33">
        <w:trPr>
          <w:cantSplit/>
          <w:trHeight w:val="638"/>
        </w:trPr>
        <w:tc>
          <w:tcPr>
            <w:tcW w:w="1249" w:type="pct"/>
            <w:shd w:val="clear" w:color="auto" w:fill="auto"/>
            <w:tcMar>
              <w:top w:w="113" w:type="dxa"/>
              <w:bottom w:w="85" w:type="dxa"/>
            </w:tcMar>
          </w:tcPr>
          <w:p w:rsidR="007951DD" w:rsidRPr="00711E8C" w:rsidRDefault="007951DD" w:rsidP="002C3C33">
            <w:pPr>
              <w:adjustRightInd w:val="0"/>
              <w:snapToGrid w:val="0"/>
              <w:spacing w:beforeLines="60" w:before="144" w:afterLines="60" w:after="144" w:line="300" w:lineRule="exact"/>
              <w:rPr>
                <w:rFonts w:ascii="Arabic Typesetting" w:hAnsi="Arabic Typesetting" w:cs="Arabic Typesetting"/>
                <w:sz w:val="30"/>
                <w:szCs w:val="30"/>
                <w:rtl/>
              </w:rPr>
            </w:pPr>
          </w:p>
        </w:tc>
        <w:tc>
          <w:tcPr>
            <w:tcW w:w="1514" w:type="pct"/>
            <w:shd w:val="clear" w:color="auto" w:fill="auto"/>
            <w:tcMar>
              <w:top w:w="113" w:type="dxa"/>
              <w:bottom w:w="85" w:type="dxa"/>
            </w:tcMar>
          </w:tcPr>
          <w:p w:rsidR="007951DD" w:rsidRPr="00711E8C" w:rsidRDefault="007951DD"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sidRPr="00711E8C">
              <w:rPr>
                <w:rFonts w:ascii="Arabic Typesetting" w:hAnsi="Arabic Typesetting" w:cs="Arabic Typesetting"/>
                <w:sz w:val="30"/>
                <w:szCs w:val="30"/>
                <w:rtl/>
              </w:rPr>
              <w:t xml:space="preserve">عدد البلدان التي وضعت استراتيجيات </w:t>
            </w:r>
            <w:r>
              <w:rPr>
                <w:rFonts w:ascii="Arabic Typesetting" w:hAnsi="Arabic Typesetting" w:cs="Arabic Typesetting" w:hint="cs"/>
                <w:sz w:val="30"/>
                <w:szCs w:val="30"/>
                <w:rtl/>
              </w:rPr>
              <w:t>أو خطط وطنية لل</w:t>
            </w:r>
            <w:r w:rsidRPr="00711E8C">
              <w:rPr>
                <w:rFonts w:ascii="Arabic Typesetting" w:hAnsi="Arabic Typesetting" w:cs="Arabic Typesetting"/>
                <w:sz w:val="30"/>
                <w:szCs w:val="30"/>
                <w:rtl/>
              </w:rPr>
              <w:t xml:space="preserve">ملكية </w:t>
            </w:r>
            <w:r>
              <w:rPr>
                <w:rFonts w:ascii="Arabic Typesetting" w:hAnsi="Arabic Typesetting" w:cs="Arabic Typesetting" w:hint="cs"/>
                <w:sz w:val="30"/>
                <w:szCs w:val="30"/>
                <w:rtl/>
              </w:rPr>
              <w:t>ال</w:t>
            </w:r>
            <w:r w:rsidRPr="00711E8C">
              <w:rPr>
                <w:rFonts w:ascii="Arabic Typesetting" w:hAnsi="Arabic Typesetting" w:cs="Arabic Typesetting"/>
                <w:sz w:val="30"/>
                <w:szCs w:val="30"/>
                <w:rtl/>
              </w:rPr>
              <w:t>فكرية</w:t>
            </w:r>
            <w:r>
              <w:rPr>
                <w:rFonts w:ascii="Arabic Typesetting" w:hAnsi="Arabic Typesetting" w:cs="Arabic Typesetting" w:hint="cs"/>
                <w:sz w:val="30"/>
                <w:szCs w:val="30"/>
                <w:rtl/>
              </w:rPr>
              <w:t xml:space="preserve"> متوافقة</w:t>
            </w:r>
            <w:r w:rsidRPr="00711E8C">
              <w:rPr>
                <w:rFonts w:ascii="Arabic Typesetting" w:hAnsi="Arabic Typesetting" w:cs="Arabic Typesetting"/>
                <w:sz w:val="30"/>
                <w:szCs w:val="30"/>
                <w:rtl/>
              </w:rPr>
              <w:t xml:space="preserve"> مع </w:t>
            </w:r>
            <w:r>
              <w:rPr>
                <w:rFonts w:ascii="Arabic Typesetting" w:hAnsi="Arabic Typesetting" w:cs="Arabic Typesetting" w:hint="cs"/>
                <w:sz w:val="30"/>
                <w:szCs w:val="30"/>
                <w:rtl/>
              </w:rPr>
              <w:t>ال</w:t>
            </w:r>
            <w:r w:rsidRPr="00711E8C">
              <w:rPr>
                <w:rFonts w:ascii="Arabic Typesetting" w:hAnsi="Arabic Typesetting" w:cs="Arabic Typesetting"/>
                <w:sz w:val="30"/>
                <w:szCs w:val="30"/>
                <w:rtl/>
              </w:rPr>
              <w:t>أهداف</w:t>
            </w:r>
            <w:r>
              <w:rPr>
                <w:rFonts w:ascii="Arabic Typesetting" w:hAnsi="Arabic Typesetting" w:cs="Arabic Typesetting" w:hint="cs"/>
                <w:sz w:val="30"/>
                <w:szCs w:val="30"/>
                <w:rtl/>
              </w:rPr>
              <w:t xml:space="preserve"> الإنمائية</w:t>
            </w:r>
            <w:r w:rsidRPr="00711E8C">
              <w:rPr>
                <w:rFonts w:ascii="Arabic Typesetting" w:hAnsi="Arabic Typesetting" w:cs="Arabic Typesetting"/>
                <w:sz w:val="30"/>
                <w:szCs w:val="30"/>
                <w:rtl/>
              </w:rPr>
              <w:t xml:space="preserve"> الوطنية</w:t>
            </w:r>
          </w:p>
        </w:tc>
        <w:tc>
          <w:tcPr>
            <w:tcW w:w="1156" w:type="pct"/>
            <w:shd w:val="clear" w:color="auto" w:fill="FFFFFF"/>
            <w:tcMar>
              <w:top w:w="113" w:type="dxa"/>
              <w:bottom w:w="85" w:type="dxa"/>
            </w:tcMar>
          </w:tcPr>
          <w:p w:rsidR="007951DD" w:rsidRDefault="007951DD"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3 بلدان في 2014 (17 تراكمي)</w:t>
            </w:r>
          </w:p>
        </w:tc>
        <w:tc>
          <w:tcPr>
            <w:tcW w:w="1081" w:type="pct"/>
            <w:shd w:val="clear" w:color="auto" w:fill="auto"/>
            <w:tcMar>
              <w:top w:w="113" w:type="dxa"/>
              <w:bottom w:w="85" w:type="dxa"/>
            </w:tcMar>
          </w:tcPr>
          <w:p w:rsidR="007951DD" w:rsidRDefault="007951DD"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7 بلدان إضافية</w:t>
            </w:r>
          </w:p>
        </w:tc>
      </w:tr>
      <w:tr w:rsidR="002C3C33" w:rsidRPr="008954A8" w:rsidTr="002C3C33">
        <w:trPr>
          <w:cantSplit/>
          <w:trHeight w:val="1689"/>
        </w:trPr>
        <w:tc>
          <w:tcPr>
            <w:tcW w:w="1249" w:type="pct"/>
            <w:shd w:val="clear" w:color="auto" w:fill="auto"/>
            <w:tcMar>
              <w:top w:w="113" w:type="dxa"/>
              <w:bottom w:w="85" w:type="dxa"/>
            </w:tcMar>
          </w:tcPr>
          <w:p w:rsidR="002C3C33" w:rsidRPr="008954A8" w:rsidRDefault="007951DD" w:rsidP="002C3C33">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w:t>
            </w:r>
            <w:r w:rsidR="002C3C33">
              <w:rPr>
                <w:rFonts w:ascii="Arabic Typesetting" w:hAnsi="Arabic Typesetting" w:cs="Arabic Typesetting" w:hint="cs"/>
                <w:sz w:val="30"/>
                <w:szCs w:val="30"/>
                <w:rtl/>
              </w:rPr>
              <w:t xml:space="preserve"> </w:t>
            </w:r>
            <w:r w:rsidR="002C3C33" w:rsidRPr="004451B9">
              <w:rPr>
                <w:rFonts w:ascii="Arabic Typesetting" w:hAnsi="Arabic Typesetting" w:cs="Arabic Typesetting"/>
                <w:sz w:val="30"/>
                <w:szCs w:val="30"/>
                <w:rtl/>
              </w:rPr>
              <w:t>2.3 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1514" w:type="pct"/>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عدد البلدان المنتقلة إلى نظام الاقتصاد الحر التي وضعت برامج تدريبية سنوية في مجال الملكية الفكرية و</w:t>
            </w:r>
            <w:r>
              <w:rPr>
                <w:rFonts w:ascii="Arabic Typesetting" w:hAnsi="Arabic Typesetting" w:cs="Arabic Typesetting"/>
                <w:sz w:val="30"/>
                <w:szCs w:val="30"/>
                <w:rtl/>
              </w:rPr>
              <w:t>/أو دورات للمهنيين المتخصصين في</w:t>
            </w:r>
            <w:r>
              <w:rPr>
                <w:rFonts w:ascii="Arabic Typesetting" w:hAnsi="Arabic Typesetting" w:cs="Arabic Typesetting" w:hint="cs"/>
                <w:sz w:val="30"/>
                <w:szCs w:val="30"/>
                <w:rtl/>
              </w:rPr>
              <w:t xml:space="preserve"> </w:t>
            </w:r>
            <w:r w:rsidRPr="008954A8">
              <w:rPr>
                <w:rFonts w:ascii="Arabic Typesetting" w:hAnsi="Arabic Typesetting" w:cs="Arabic Typesetting"/>
                <w:sz w:val="30"/>
                <w:szCs w:val="30"/>
                <w:rtl/>
              </w:rPr>
              <w:t>الملكية الفكرية</w:t>
            </w:r>
          </w:p>
        </w:tc>
        <w:tc>
          <w:tcPr>
            <w:tcW w:w="1156" w:type="pct"/>
            <w:shd w:val="clear" w:color="auto" w:fill="FFFFFF"/>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6 بلدان (2014)</w:t>
            </w:r>
          </w:p>
        </w:tc>
        <w:tc>
          <w:tcPr>
            <w:tcW w:w="1081" w:type="pct"/>
            <w:shd w:val="clear" w:color="auto" w:fill="auto"/>
            <w:tcMar>
              <w:top w:w="113" w:type="dxa"/>
              <w:bottom w:w="85" w:type="dxa"/>
            </w:tcMar>
          </w:tcPr>
          <w:p w:rsidR="002C3C33" w:rsidRPr="008954A8"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8 بلدان</w:t>
            </w:r>
          </w:p>
        </w:tc>
      </w:tr>
      <w:tr w:rsidR="002C3C33" w:rsidRPr="008954A8" w:rsidTr="002C3C33">
        <w:trPr>
          <w:cantSplit/>
          <w:trHeight w:val="489"/>
        </w:trPr>
        <w:tc>
          <w:tcPr>
            <w:tcW w:w="1249" w:type="pct"/>
            <w:shd w:val="clear" w:color="auto" w:fill="auto"/>
            <w:tcMar>
              <w:top w:w="113" w:type="dxa"/>
              <w:bottom w:w="85" w:type="dxa"/>
            </w:tcMar>
          </w:tcPr>
          <w:p w:rsidR="002C3C33" w:rsidRPr="008954A8" w:rsidRDefault="002C3C33" w:rsidP="002C3C33">
            <w:pPr>
              <w:adjustRightInd w:val="0"/>
              <w:snapToGrid w:val="0"/>
              <w:spacing w:beforeLines="60" w:before="144" w:afterLines="60" w:after="144" w:line="300" w:lineRule="exact"/>
              <w:rPr>
                <w:rFonts w:ascii="Arabic Typesetting" w:hAnsi="Arabic Typesetting" w:cs="Arabic Typesetting"/>
                <w:sz w:val="30"/>
                <w:szCs w:val="30"/>
              </w:rPr>
            </w:pPr>
          </w:p>
        </w:tc>
        <w:tc>
          <w:tcPr>
            <w:tcW w:w="1514" w:type="pct"/>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sidRPr="00EC5724">
              <w:rPr>
                <w:rFonts w:ascii="Arabic Typesetting" w:hAnsi="Arabic Typesetting" w:cs="Arabic Typesetting"/>
                <w:sz w:val="30"/>
                <w:szCs w:val="30"/>
                <w:rtl/>
              </w:rPr>
              <w:t>النسبة المئوية للمهنيين المُدرَّبين المتخصصين في الملكية الفكرية ومسؤولي الملكية الفكرية المُدرَّبين الذين يستخدمون مهارات محسنة في عملهم.</w:t>
            </w:r>
          </w:p>
        </w:tc>
        <w:tc>
          <w:tcPr>
            <w:tcW w:w="1156" w:type="pct"/>
            <w:shd w:val="clear" w:color="auto" w:fill="FFFFFF"/>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8</w:t>
            </w:r>
            <w:r w:rsidRPr="008954A8">
              <w:rPr>
                <w:rFonts w:ascii="Arabic Typesetting" w:hAnsi="Arabic Typesetting" w:cs="Arabic Typesetting"/>
                <w:sz w:val="30"/>
                <w:szCs w:val="30"/>
                <w:rtl/>
              </w:rPr>
              <w:t>0%</w:t>
            </w:r>
          </w:p>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lang w:bidi="th-TH"/>
              </w:rPr>
            </w:pPr>
          </w:p>
        </w:tc>
        <w:tc>
          <w:tcPr>
            <w:tcW w:w="1081" w:type="pct"/>
            <w:shd w:val="clear" w:color="auto" w:fill="auto"/>
            <w:tcMar>
              <w:top w:w="113" w:type="dxa"/>
              <w:bottom w:w="85" w:type="dxa"/>
            </w:tcMar>
          </w:tcPr>
          <w:p w:rsidR="002C3C33" w:rsidRPr="008954A8"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7</w:t>
            </w:r>
            <w:r w:rsidRPr="008954A8">
              <w:rPr>
                <w:rFonts w:ascii="Arabic Typesetting" w:hAnsi="Arabic Typesetting" w:cs="Arabic Typesetting"/>
                <w:b/>
                <w:sz w:val="30"/>
                <w:szCs w:val="30"/>
                <w:rtl/>
              </w:rPr>
              <w:t>0%</w:t>
            </w:r>
          </w:p>
        </w:tc>
      </w:tr>
      <w:tr w:rsidR="002C3C33" w:rsidRPr="008954A8" w:rsidTr="002C3C33">
        <w:trPr>
          <w:cantSplit/>
          <w:trHeight w:val="948"/>
        </w:trPr>
        <w:tc>
          <w:tcPr>
            <w:tcW w:w="1249" w:type="pct"/>
            <w:shd w:val="clear" w:color="auto" w:fill="auto"/>
            <w:tcMar>
              <w:top w:w="113" w:type="dxa"/>
              <w:bottom w:w="85" w:type="dxa"/>
            </w:tcMar>
          </w:tcPr>
          <w:p w:rsidR="002C3C33" w:rsidRPr="004F35BA" w:rsidRDefault="009800D4" w:rsidP="00D00364">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sz w:val="30"/>
                <w:szCs w:val="30"/>
                <w:rtl/>
              </w:rPr>
              <w:t>ه</w:t>
            </w:r>
            <w:r w:rsidR="002C3C33">
              <w:rPr>
                <w:rFonts w:ascii="Arabic Typesetting" w:hAnsi="Arabic Typesetting" w:cs="Arabic Typesetting" w:hint="cs"/>
                <w:sz w:val="30"/>
                <w:szCs w:val="30"/>
                <w:rtl/>
              </w:rPr>
              <w:t xml:space="preserve"> </w:t>
            </w:r>
            <w:r w:rsidR="002C3C33" w:rsidRPr="00EC5724">
              <w:rPr>
                <w:rFonts w:ascii="Arabic Typesetting" w:hAnsi="Arabic Typesetting" w:cs="Arabic Typesetting"/>
                <w:sz w:val="30"/>
                <w:szCs w:val="30"/>
                <w:rtl/>
              </w:rPr>
              <w:t>4.3 آليات وبرامج تعاونية معزّزة ومكيّفة حسب احتياجات البلدان النامية والبلدان الأقل نموا</w:t>
            </w:r>
            <w:r w:rsidR="002C3C33">
              <w:rPr>
                <w:rFonts w:ascii="Arabic Typesetting" w:hAnsi="Arabic Typesetting" w:cs="Arabic Typesetting" w:hint="cs"/>
                <w:sz w:val="30"/>
                <w:szCs w:val="30"/>
                <w:rtl/>
              </w:rPr>
              <w:t>ً</w:t>
            </w:r>
            <w:r w:rsidR="00D00364">
              <w:rPr>
                <w:rFonts w:ascii="Arabic Typesetting" w:hAnsi="Arabic Typesetting" w:cs="Arabic Typesetting" w:hint="cs"/>
                <w:sz w:val="30"/>
                <w:szCs w:val="30"/>
                <w:rtl/>
              </w:rPr>
              <w:t xml:space="preserve"> </w:t>
            </w:r>
            <w:r w:rsidR="00D00364" w:rsidRPr="00D00364">
              <w:rPr>
                <w:rFonts w:ascii="Arabic Typesetting" w:hAnsi="Arabic Typesetting" w:cs="Arabic Typesetting" w:hint="cs"/>
                <w:sz w:val="30"/>
                <w:szCs w:val="30"/>
                <w:rtl/>
                <w:lang w:bidi="ar-SA"/>
              </w:rPr>
              <w:t>والبلدان المنتقلة إلى نظام الاقتصاد الحر</w:t>
            </w:r>
          </w:p>
        </w:tc>
        <w:tc>
          <w:tcPr>
            <w:tcW w:w="1514" w:type="pct"/>
            <w:shd w:val="clear" w:color="auto" w:fill="auto"/>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Pr>
            </w:pPr>
            <w:r w:rsidRPr="008954A8">
              <w:rPr>
                <w:rFonts w:ascii="Arabic Typesetting" w:hAnsi="Arabic Typesetting" w:cs="Arabic Typesetting"/>
                <w:sz w:val="30"/>
                <w:szCs w:val="30"/>
                <w:rtl/>
              </w:rPr>
              <w:t>عدد الشراكات القائمة</w:t>
            </w:r>
          </w:p>
        </w:tc>
        <w:tc>
          <w:tcPr>
            <w:tcW w:w="1156" w:type="pct"/>
            <w:shd w:val="clear" w:color="auto" w:fill="FFFFFF"/>
            <w:tcMar>
              <w:top w:w="113" w:type="dxa"/>
              <w:bottom w:w="85" w:type="dxa"/>
            </w:tcMar>
          </w:tcPr>
          <w:p w:rsidR="002C3C33" w:rsidRPr="008954A8" w:rsidRDefault="002C3C33" w:rsidP="002C3C33">
            <w:pPr>
              <w:keepNext/>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توقيع 4 مذكرات تفاهم (2014)</w:t>
            </w:r>
          </w:p>
        </w:tc>
        <w:tc>
          <w:tcPr>
            <w:tcW w:w="1081" w:type="pct"/>
            <w:shd w:val="clear" w:color="auto" w:fill="auto"/>
            <w:tcMar>
              <w:top w:w="113" w:type="dxa"/>
              <w:bottom w:w="85" w:type="dxa"/>
            </w:tcMar>
          </w:tcPr>
          <w:p w:rsidR="002C3C33" w:rsidRPr="008954A8" w:rsidRDefault="002C3C33" w:rsidP="002C3C33">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إقامة 6 شراكات في مجال الملكية الفكرية</w:t>
            </w:r>
          </w:p>
        </w:tc>
      </w:tr>
    </w:tbl>
    <w:p w:rsidR="002C3C33" w:rsidRPr="008954A8" w:rsidRDefault="002C3C33" w:rsidP="002C3C33">
      <w:pPr>
        <w:pStyle w:val="BodyTextIndent"/>
        <w:keepNext/>
        <w:bidi/>
        <w:adjustRightInd w:val="0"/>
        <w:snapToGrid w:val="0"/>
        <w:spacing w:after="240" w:line="360" w:lineRule="exact"/>
        <w:ind w:left="0"/>
        <w:jc w:val="both"/>
        <w:rPr>
          <w:rFonts w:ascii="Arabic Typesetting" w:hAnsi="Arabic Typesetting" w:cs="Arabic Typesetting"/>
          <w:sz w:val="38"/>
          <w:szCs w:val="38"/>
          <w:rtl/>
        </w:rPr>
      </w:pPr>
      <w:r w:rsidRPr="008954A8">
        <w:rPr>
          <w:rFonts w:ascii="Arabic Typesetting" w:hAnsi="Arabic Typesetting" w:cs="Arabic Typesetting"/>
          <w:sz w:val="38"/>
          <w:szCs w:val="38"/>
          <w:rtl/>
        </w:rPr>
        <w:t>الموارد المخصصة للبرنامج 10</w:t>
      </w:r>
    </w:p>
    <w:p w:rsidR="002C3C33"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sidRPr="00254215">
        <w:rPr>
          <w:rFonts w:ascii="Arabic Typesetting" w:hAnsi="Arabic Typesetting" w:cs="Arabic Typesetting"/>
          <w:szCs w:val="34"/>
          <w:rtl/>
        </w:rPr>
        <w:t xml:space="preserve">تدل الموارد الإجمالية للبرنامج 10 على وجود انخفاض </w:t>
      </w:r>
      <w:r>
        <w:rPr>
          <w:rFonts w:ascii="Arabic Typesetting" w:hAnsi="Arabic Typesetting" w:cs="Arabic Typesetting" w:hint="cs"/>
          <w:szCs w:val="34"/>
          <w:rtl/>
        </w:rPr>
        <w:t>بمقدار</w:t>
      </w:r>
      <w:r w:rsidRPr="00254215">
        <w:rPr>
          <w:rFonts w:ascii="Arabic Typesetting" w:hAnsi="Arabic Typesetting" w:cs="Arabic Typesetting"/>
          <w:szCs w:val="34"/>
          <w:rtl/>
        </w:rPr>
        <w:t xml:space="preserve"> 0.43 مليون فرنك سويسري، ويرجع ذلك في المقام الأول إلى: "1" نقل مسؤوليات الأنشطة التي تستهدف الشركات الصغيرة والمتوسطة إلى البرنامج 30 (الشركات الصغيرة والمتوسطة ودعم المقاولة)، "2" وخفض موارد الموظفين </w:t>
      </w:r>
      <w:r w:rsidRPr="00ED5D80">
        <w:rPr>
          <w:rFonts w:ascii="Arabic Typesetting" w:hAnsi="Arabic Typesetting" w:cs="Arabic Typesetting"/>
          <w:szCs w:val="34"/>
          <w:rtl/>
        </w:rPr>
        <w:t xml:space="preserve">بما يعادل </w:t>
      </w:r>
      <w:r>
        <w:rPr>
          <w:rFonts w:ascii="Arabic Typesetting" w:hAnsi="Arabic Typesetting" w:cs="Arabic Typesetting" w:hint="cs"/>
          <w:szCs w:val="34"/>
          <w:rtl/>
        </w:rPr>
        <w:t xml:space="preserve">وظيفة </w:t>
      </w:r>
      <w:r w:rsidRPr="00ED5D80">
        <w:rPr>
          <w:rFonts w:ascii="Arabic Typesetting" w:hAnsi="Arabic Typesetting" w:cs="Arabic Typesetting"/>
          <w:szCs w:val="34"/>
          <w:rtl/>
        </w:rPr>
        <w:t>واحد</w:t>
      </w:r>
      <w:r>
        <w:rPr>
          <w:rFonts w:ascii="Arabic Typesetting" w:hAnsi="Arabic Typesetting" w:cs="Arabic Typesetting" w:hint="cs"/>
          <w:szCs w:val="34"/>
          <w:rtl/>
        </w:rPr>
        <w:t>ة</w:t>
      </w:r>
      <w:r w:rsidRPr="00254215">
        <w:rPr>
          <w:rFonts w:ascii="Arabic Typesetting" w:hAnsi="Arabic Typesetting" w:cs="Arabic Typesetting"/>
          <w:szCs w:val="34"/>
          <w:rtl/>
        </w:rPr>
        <w:t xml:space="preserve">. وينبغي أن يُنظَر إلى خفض الموظفين على أنه مؤقت بطبيعته إلى حين </w:t>
      </w:r>
      <w:r>
        <w:rPr>
          <w:rFonts w:ascii="Arabic Typesetting" w:hAnsi="Arabic Typesetting" w:cs="Arabic Typesetting" w:hint="cs"/>
          <w:szCs w:val="34"/>
          <w:rtl/>
        </w:rPr>
        <w:t>استكمال</w:t>
      </w:r>
      <w:r w:rsidRPr="00254215">
        <w:rPr>
          <w:rFonts w:ascii="Arabic Typesetting" w:hAnsi="Arabic Typesetting" w:cs="Arabic Typesetting"/>
          <w:szCs w:val="34"/>
          <w:rtl/>
        </w:rPr>
        <w:t xml:space="preserve"> </w:t>
      </w:r>
      <w:r>
        <w:rPr>
          <w:rFonts w:ascii="Arabic Typesetting" w:hAnsi="Arabic Typesetting" w:cs="Arabic Typesetting" w:hint="cs"/>
          <w:szCs w:val="34"/>
          <w:rtl/>
        </w:rPr>
        <w:t>تسوية</w:t>
      </w:r>
      <w:r w:rsidRPr="00676600">
        <w:rPr>
          <w:rFonts w:ascii="Arabic Typesetting" w:hAnsi="Arabic Typesetting" w:cs="Arabic Typesetting"/>
          <w:szCs w:val="34"/>
          <w:rtl/>
        </w:rPr>
        <w:t xml:space="preserve"> وظيفة مستمرة</w:t>
      </w:r>
      <w:r w:rsidRPr="00254215">
        <w:rPr>
          <w:rFonts w:ascii="Arabic Typesetting" w:hAnsi="Arabic Typesetting" w:cs="Arabic Typesetting"/>
          <w:szCs w:val="34"/>
          <w:rtl/>
        </w:rPr>
        <w:t xml:space="preserve"> في البرنامج من المتوقع أن يتم الانتهاء منها في النصف الثاني من 2015.</w:t>
      </w:r>
    </w:p>
    <w:p w:rsidR="002C3C33" w:rsidRPr="008954A8" w:rsidRDefault="002C3C33" w:rsidP="00861CFF">
      <w:pPr>
        <w:numPr>
          <w:ilvl w:val="0"/>
          <w:numId w:val="23"/>
        </w:numPr>
        <w:adjustRightInd w:val="0"/>
        <w:snapToGrid w:val="0"/>
        <w:spacing w:after="120" w:line="340" w:lineRule="exact"/>
        <w:ind w:left="-6"/>
        <w:rPr>
          <w:rFonts w:ascii="Arabic Typesetting" w:hAnsi="Arabic Typesetting" w:cs="Arabic Typesetting"/>
          <w:szCs w:val="34"/>
        </w:rPr>
      </w:pPr>
      <w:r>
        <w:rPr>
          <w:rFonts w:ascii="Arabic Typesetting" w:hAnsi="Arabic Typesetting" w:cs="Arabic Typesetting" w:hint="cs"/>
          <w:szCs w:val="34"/>
          <w:rtl/>
        </w:rPr>
        <w:t>و</w:t>
      </w:r>
      <w:r w:rsidRPr="00254215">
        <w:rPr>
          <w:rFonts w:ascii="Arabic Typesetting" w:hAnsi="Arabic Typesetting" w:cs="Arabic Typesetting"/>
          <w:szCs w:val="34"/>
          <w:rtl/>
        </w:rPr>
        <w:t xml:space="preserve">يعكس </w:t>
      </w:r>
      <w:r>
        <w:rPr>
          <w:rFonts w:ascii="Arabic Typesetting" w:hAnsi="Arabic Typesetting" w:cs="Arabic Typesetting" w:hint="cs"/>
          <w:szCs w:val="34"/>
          <w:rtl/>
        </w:rPr>
        <w:t>تحويل ا</w:t>
      </w:r>
      <w:r w:rsidRPr="00254215">
        <w:rPr>
          <w:rFonts w:ascii="Arabic Typesetting" w:hAnsi="Arabic Typesetting" w:cs="Arabic Typesetting"/>
          <w:szCs w:val="34"/>
          <w:rtl/>
        </w:rPr>
        <w:t xml:space="preserve">لموارد </w:t>
      </w:r>
      <w:r>
        <w:rPr>
          <w:rFonts w:ascii="Arabic Typesetting" w:hAnsi="Arabic Typesetting" w:cs="Arabic Typesetting" w:hint="cs"/>
          <w:szCs w:val="34"/>
          <w:rtl/>
        </w:rPr>
        <w:t xml:space="preserve">المُلاحَظ في </w:t>
      </w:r>
      <w:r w:rsidRPr="00254215">
        <w:rPr>
          <w:rFonts w:ascii="Arabic Typesetting" w:hAnsi="Arabic Typesetting" w:cs="Arabic Typesetting"/>
          <w:szCs w:val="34"/>
          <w:rtl/>
        </w:rPr>
        <w:t>النتائج الم</w:t>
      </w:r>
      <w:r>
        <w:rPr>
          <w:rFonts w:ascii="Arabic Typesetting" w:hAnsi="Arabic Typesetting" w:cs="Arabic Typesetting" w:hint="cs"/>
          <w:szCs w:val="34"/>
          <w:rtl/>
        </w:rPr>
        <w:t>رتقبة استكمال</w:t>
      </w:r>
      <w:r w:rsidRPr="00254215">
        <w:rPr>
          <w:rFonts w:ascii="Arabic Typesetting" w:hAnsi="Arabic Typesetting" w:cs="Arabic Typesetting"/>
          <w:szCs w:val="34"/>
          <w:rtl/>
        </w:rPr>
        <w:t xml:space="preserve"> تعميم الأنشطة المت</w:t>
      </w:r>
      <w:r>
        <w:rPr>
          <w:rFonts w:ascii="Arabic Typesetting" w:hAnsi="Arabic Typesetting" w:cs="Arabic Typesetting" w:hint="cs"/>
          <w:szCs w:val="34"/>
          <w:rtl/>
        </w:rPr>
        <w:t>علقة بم</w:t>
      </w:r>
      <w:r w:rsidRPr="00254215">
        <w:rPr>
          <w:rFonts w:ascii="Arabic Typesetting" w:hAnsi="Arabic Typesetting" w:cs="Arabic Typesetting"/>
          <w:szCs w:val="34"/>
          <w:rtl/>
        </w:rPr>
        <w:t>راكز دعم التكنولوجيا والابتكار وحلول الأعمال لمكاتب الملكية الفكرية</w:t>
      </w:r>
      <w:r>
        <w:rPr>
          <w:rFonts w:ascii="Arabic Typesetting" w:hAnsi="Arabic Typesetting" w:cs="Arabic Typesetting" w:hint="cs"/>
          <w:szCs w:val="34"/>
          <w:rtl/>
        </w:rPr>
        <w:t xml:space="preserve"> على</w:t>
      </w:r>
      <w:r w:rsidRPr="00254215">
        <w:rPr>
          <w:rFonts w:ascii="Arabic Typesetting" w:hAnsi="Arabic Typesetting" w:cs="Arabic Typesetting"/>
          <w:szCs w:val="34"/>
          <w:rtl/>
        </w:rPr>
        <w:t xml:space="preserve"> </w:t>
      </w:r>
      <w:r>
        <w:rPr>
          <w:rFonts w:ascii="Arabic Typesetting" w:hAnsi="Arabic Typesetting" w:cs="Arabic Typesetting" w:hint="cs"/>
          <w:szCs w:val="34"/>
          <w:rtl/>
        </w:rPr>
        <w:t>ال</w:t>
      </w:r>
      <w:r w:rsidRPr="00254215">
        <w:rPr>
          <w:rFonts w:ascii="Arabic Typesetting" w:hAnsi="Arabic Typesetting" w:cs="Arabic Typesetting"/>
          <w:szCs w:val="34"/>
          <w:rtl/>
        </w:rPr>
        <w:t>بر</w:t>
      </w:r>
      <w:r>
        <w:rPr>
          <w:rFonts w:ascii="Arabic Typesetting" w:hAnsi="Arabic Typesetting" w:cs="Arabic Typesetting" w:hint="cs"/>
          <w:szCs w:val="34"/>
          <w:rtl/>
        </w:rPr>
        <w:t>ن</w:t>
      </w:r>
      <w:r w:rsidRPr="00254215">
        <w:rPr>
          <w:rFonts w:ascii="Arabic Typesetting" w:hAnsi="Arabic Typesetting" w:cs="Arabic Typesetting"/>
          <w:szCs w:val="34"/>
          <w:rtl/>
        </w:rPr>
        <w:t>امج</w:t>
      </w:r>
      <w:r>
        <w:rPr>
          <w:rFonts w:ascii="Arabic Typesetting" w:hAnsi="Arabic Typesetting" w:cs="Arabic Typesetting" w:hint="cs"/>
          <w:szCs w:val="34"/>
          <w:rtl/>
        </w:rPr>
        <w:t>ين</w:t>
      </w:r>
      <w:r w:rsidRPr="00254215">
        <w:rPr>
          <w:rFonts w:ascii="Arabic Typesetting" w:hAnsi="Arabic Typesetting" w:cs="Arabic Typesetting"/>
          <w:szCs w:val="34"/>
          <w:rtl/>
        </w:rPr>
        <w:t xml:space="preserve"> 14 و15 على التوالي.</w:t>
      </w:r>
    </w:p>
    <w:p w:rsidR="002C3C33" w:rsidRPr="008954A8" w:rsidRDefault="002C3C33" w:rsidP="009800D4">
      <w:pPr>
        <w:pStyle w:val="ARNormal"/>
        <w:keepNext/>
        <w:spacing w:after="0"/>
        <w:jc w:val="center"/>
        <w:rPr>
          <w:b/>
          <w:bCs/>
          <w:rtl/>
        </w:rPr>
      </w:pPr>
      <w:r w:rsidRPr="008954A8">
        <w:rPr>
          <w:rFonts w:hint="cs"/>
          <w:b/>
          <w:bCs/>
          <w:rtl/>
        </w:rPr>
        <w:lastRenderedPageBreak/>
        <w:t>البرنامج 10: الموارد بحسب كل نتيجة</w:t>
      </w:r>
    </w:p>
    <w:p w:rsidR="002C3C33" w:rsidRPr="008954A8" w:rsidRDefault="002C3C33" w:rsidP="009800D4">
      <w:pPr>
        <w:pStyle w:val="ARNormal"/>
        <w:keepNext/>
        <w:spacing w:after="0"/>
        <w:jc w:val="center"/>
        <w:rPr>
          <w:i/>
          <w:iCs/>
        </w:rPr>
      </w:pPr>
      <w:r w:rsidRPr="008954A8">
        <w:rPr>
          <w:rFonts w:hint="cs"/>
          <w:i/>
          <w:iCs/>
          <w:rtl/>
        </w:rPr>
        <w:t>(بآلاف الفرنكات السويسرية)</w:t>
      </w:r>
    </w:p>
    <w:p w:rsidR="002C3C33" w:rsidRPr="002C3C33" w:rsidRDefault="003A25E1" w:rsidP="002C3C33">
      <w:pPr>
        <w:pStyle w:val="ARNormal"/>
        <w:spacing w:after="0" w:line="240" w:lineRule="auto"/>
        <w:jc w:val="center"/>
        <w:rPr>
          <w:rtl/>
        </w:rPr>
      </w:pPr>
      <w:r w:rsidRPr="003A25E1">
        <w:rPr>
          <w:noProof/>
          <w:rtl/>
          <w:lang w:val="en-US"/>
        </w:rPr>
        <w:drawing>
          <wp:inline distT="0" distB="0" distL="0" distR="0" wp14:anchorId="09298AD5" wp14:editId="19BFCD98">
            <wp:extent cx="5676265" cy="6198870"/>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76265" cy="6198870"/>
                    </a:xfrm>
                    <a:prstGeom prst="rect">
                      <a:avLst/>
                    </a:prstGeom>
                    <a:noFill/>
                    <a:ln>
                      <a:noFill/>
                    </a:ln>
                  </pic:spPr>
                </pic:pic>
              </a:graphicData>
            </a:graphic>
          </wp:inline>
        </w:drawing>
      </w:r>
    </w:p>
    <w:p w:rsidR="002C3C33" w:rsidRPr="008954A8" w:rsidRDefault="002C3C33" w:rsidP="00C912C2">
      <w:pPr>
        <w:pStyle w:val="ARNormal"/>
        <w:keepNext/>
        <w:spacing w:after="0"/>
        <w:ind w:left="-2"/>
        <w:jc w:val="center"/>
        <w:rPr>
          <w:b/>
          <w:bCs/>
          <w:rtl/>
        </w:rPr>
      </w:pPr>
      <w:r w:rsidRPr="008954A8">
        <w:rPr>
          <w:rFonts w:hint="cs"/>
          <w:b/>
          <w:bCs/>
          <w:rtl/>
        </w:rPr>
        <w:lastRenderedPageBreak/>
        <w:t>البرنامج 10: الموارد بحسب غرض الإنفاق</w:t>
      </w:r>
    </w:p>
    <w:p w:rsidR="002C3C33" w:rsidRPr="008954A8" w:rsidRDefault="002C3C33" w:rsidP="00C912C2">
      <w:pPr>
        <w:pStyle w:val="ARNormal"/>
        <w:keepNext/>
        <w:spacing w:after="0"/>
        <w:ind w:left="720"/>
        <w:jc w:val="center"/>
        <w:rPr>
          <w:i/>
          <w:iCs/>
        </w:rPr>
      </w:pPr>
      <w:r w:rsidRPr="008954A8">
        <w:rPr>
          <w:rFonts w:hint="cs"/>
          <w:i/>
          <w:iCs/>
          <w:rtl/>
        </w:rPr>
        <w:t>(بآلاف الفرنكات السويسرية)</w:t>
      </w:r>
    </w:p>
    <w:p w:rsidR="002C3C33" w:rsidRPr="008954A8" w:rsidRDefault="00C912C2" w:rsidP="002C3C33">
      <w:pPr>
        <w:autoSpaceDE w:val="0"/>
        <w:autoSpaceDN w:val="0"/>
        <w:adjustRightInd w:val="0"/>
        <w:snapToGrid w:val="0"/>
        <w:spacing w:after="120"/>
        <w:jc w:val="center"/>
        <w:rPr>
          <w:rFonts w:ascii="Arabic Typesetting" w:hAnsi="Arabic Typesetting" w:cs="Arabic Typesetting"/>
          <w:color w:val="000000"/>
          <w:szCs w:val="34"/>
          <w:lang w:val="fr-CH"/>
        </w:rPr>
      </w:pPr>
      <w:r w:rsidRPr="00C912C2">
        <w:rPr>
          <w:noProof/>
          <w:szCs w:val="20"/>
          <w:rtl/>
          <w:lang w:bidi="ar-SA"/>
        </w:rPr>
        <w:drawing>
          <wp:inline distT="0" distB="0" distL="0" distR="0" wp14:anchorId="6E3F0D3E" wp14:editId="03EBF93D">
            <wp:extent cx="5514975" cy="6343650"/>
            <wp:effectExtent l="0" t="0" r="952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14975" cy="6343650"/>
                    </a:xfrm>
                    <a:prstGeom prst="rect">
                      <a:avLst/>
                    </a:prstGeom>
                    <a:noFill/>
                    <a:ln>
                      <a:noFill/>
                    </a:ln>
                  </pic:spPr>
                </pic:pic>
              </a:graphicData>
            </a:graphic>
          </wp:inline>
        </w:drawing>
      </w:r>
    </w:p>
    <w:p w:rsidR="005A0EB6" w:rsidRPr="00A67728" w:rsidRDefault="005A0EB6" w:rsidP="002C3C33">
      <w:pPr>
        <w:pStyle w:val="ARNormal"/>
        <w:rPr>
          <w:rtl/>
        </w:rPr>
      </w:pPr>
    </w:p>
    <w:p w:rsidR="00C912C2" w:rsidRDefault="00C912C2">
      <w:pPr>
        <w:bidi w:val="0"/>
        <w:rPr>
          <w:rFonts w:ascii="Arabic Typesetting" w:hAnsi="Arabic Typesetting" w:cs="Arabic Typesetting"/>
          <w:sz w:val="34"/>
          <w:szCs w:val="34"/>
          <w:rtl/>
          <w:lang w:val="fr-CH" w:bidi="ar-SA"/>
        </w:rPr>
      </w:pPr>
      <w:r>
        <w:rPr>
          <w:rtl/>
        </w:rPr>
        <w:br w:type="page"/>
      </w:r>
    </w:p>
    <w:p w:rsidR="00C912C2" w:rsidRPr="009C3E19" w:rsidRDefault="00C912C2" w:rsidP="0031375C">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52" w:name="_Toc356567760"/>
      <w:bookmarkStart w:id="53" w:name="_Toc364355372"/>
      <w:bookmarkStart w:id="54" w:name="_Toc420595511"/>
      <w:r w:rsidRPr="009C3E19">
        <w:rPr>
          <w:rFonts w:ascii="Arabic Typesetting" w:hAnsi="Arabic Typesetting" w:cs="Arabic Typesetting"/>
          <w:bCs/>
          <w:iCs w:val="0"/>
          <w:noProof/>
          <w:snapToGrid/>
          <w:sz w:val="42"/>
          <w:szCs w:val="42"/>
          <w:rtl/>
          <w:lang w:bidi="ar-EG"/>
        </w:rPr>
        <w:lastRenderedPageBreak/>
        <w:t>البرنامج 11</w:t>
      </w:r>
      <w:bookmarkEnd w:id="52"/>
      <w:r w:rsidRPr="009C3E19">
        <w:rPr>
          <w:rFonts w:ascii="Arabic Typesetting" w:hAnsi="Arabic Typesetting" w:cs="Arabic Typesetting"/>
          <w:bCs/>
          <w:iCs w:val="0"/>
          <w:noProof/>
          <w:snapToGrid/>
          <w:sz w:val="42"/>
          <w:szCs w:val="42"/>
          <w:rtl/>
          <w:lang w:bidi="ar-EG"/>
        </w:rPr>
        <w:tab/>
      </w:r>
      <w:r w:rsidRPr="009C3E19">
        <w:rPr>
          <w:rFonts w:ascii="Arabic Typesetting" w:hAnsi="Arabic Typesetting" w:cs="Arabic Typesetting" w:hint="cs"/>
          <w:bCs/>
          <w:iCs w:val="0"/>
          <w:noProof/>
          <w:snapToGrid/>
          <w:sz w:val="42"/>
          <w:szCs w:val="42"/>
          <w:rtl/>
          <w:lang w:bidi="ar-EG"/>
        </w:rPr>
        <w:t>أكاديمية</w:t>
      </w:r>
      <w:r w:rsidRPr="009C3E19">
        <w:rPr>
          <w:rFonts w:ascii="Arabic Typesetting" w:hAnsi="Arabic Typesetting" w:cs="Arabic Typesetting"/>
          <w:bCs/>
          <w:iCs w:val="0"/>
          <w:noProof/>
          <w:snapToGrid/>
          <w:sz w:val="42"/>
          <w:szCs w:val="42"/>
          <w:rtl/>
          <w:lang w:bidi="ar-EG"/>
        </w:rPr>
        <w:t xml:space="preserve"> الويبو</w:t>
      </w:r>
      <w:bookmarkEnd w:id="53"/>
      <w:bookmarkEnd w:id="54"/>
    </w:p>
    <w:p w:rsidR="00C912C2" w:rsidRPr="008954A8" w:rsidRDefault="00C912C2" w:rsidP="0031375C">
      <w:pPr>
        <w:pStyle w:val="BodyTextIndent"/>
        <w:keepNext/>
        <w:bidi/>
        <w:adjustRightInd w:val="0"/>
        <w:snapToGrid w:val="0"/>
        <w:spacing w:before="120" w:after="240" w:line="360" w:lineRule="exact"/>
        <w:ind w:left="0"/>
        <w:jc w:val="both"/>
        <w:rPr>
          <w:rFonts w:ascii="Arabic Typesetting" w:hAnsi="Arabic Typesetting" w:cs="Arabic Typesetting"/>
          <w:sz w:val="38"/>
          <w:szCs w:val="38"/>
        </w:rPr>
      </w:pPr>
      <w:r w:rsidRPr="008954A8">
        <w:rPr>
          <w:rFonts w:ascii="Arabic Typesetting" w:hAnsi="Arabic Typesetting" w:cs="Arabic Typesetting"/>
          <w:sz w:val="38"/>
          <w:szCs w:val="38"/>
          <w:rtl/>
        </w:rPr>
        <w:t>سياق التخطيط</w:t>
      </w:r>
    </w:p>
    <w:p w:rsidR="00C912C2" w:rsidRPr="008954A8" w:rsidRDefault="00C912C2" w:rsidP="00C912C2">
      <w:pPr>
        <w:pStyle w:val="ONUMFS"/>
        <w:tabs>
          <w:tab w:val="clear" w:pos="683"/>
          <w:tab w:val="num" w:pos="967"/>
        </w:tabs>
        <w:spacing w:after="120" w:line="340" w:lineRule="exact"/>
        <w:rPr>
          <w:rFonts w:ascii="Arabic Typesetting" w:hAnsi="Arabic Typesetting" w:cs="Arabic Typesetting"/>
          <w:sz w:val="34"/>
          <w:szCs w:val="34"/>
        </w:rPr>
      </w:pPr>
      <w:r w:rsidRPr="0067139F">
        <w:rPr>
          <w:rFonts w:ascii="Arabic Typesetting" w:hAnsi="Arabic Typesetting" w:cs="Arabic Typesetting"/>
          <w:sz w:val="34"/>
          <w:szCs w:val="34"/>
          <w:rtl/>
        </w:rPr>
        <w:t xml:space="preserve">أكاديمية الويبو هي الكيان الأساسي في الويبو المعني بتقديم أنشطة التدريب وتكوين الكفاءات البشرية، لا سيما للبلدان النامية والبلدان الأقل نمواً والبلدان التي تمر بمرحلة انتقالية. </w:t>
      </w:r>
      <w:r w:rsidRPr="00B01FF3">
        <w:rPr>
          <w:rFonts w:ascii="Arabic Typesetting" w:hAnsi="Arabic Typesetting" w:cs="Arabic Typesetting"/>
          <w:sz w:val="34"/>
          <w:szCs w:val="34"/>
          <w:rtl/>
        </w:rPr>
        <w:t>وت</w:t>
      </w:r>
      <w:r>
        <w:rPr>
          <w:rFonts w:ascii="Arabic Typesetting" w:hAnsi="Arabic Typesetting" w:cs="Arabic Typesetting" w:hint="cs"/>
          <w:sz w:val="34"/>
          <w:szCs w:val="34"/>
          <w:rtl/>
        </w:rPr>
        <w:t xml:space="preserve">قوم </w:t>
      </w:r>
      <w:r w:rsidRPr="00B01FF3">
        <w:rPr>
          <w:rFonts w:ascii="Arabic Typesetting" w:hAnsi="Arabic Typesetting" w:cs="Arabic Typesetting"/>
          <w:sz w:val="34"/>
          <w:szCs w:val="34"/>
          <w:rtl/>
        </w:rPr>
        <w:t>الأكاديمية</w:t>
      </w:r>
      <w:r>
        <w:rPr>
          <w:rFonts w:ascii="Arabic Typesetting" w:hAnsi="Arabic Typesetting" w:cs="Arabic Typesetting" w:hint="cs"/>
          <w:sz w:val="34"/>
          <w:szCs w:val="34"/>
          <w:rtl/>
        </w:rPr>
        <w:t xml:space="preserve"> بالأدوار التالية:</w:t>
      </w:r>
      <w:r w:rsidRPr="00B01FF3">
        <w:rPr>
          <w:rFonts w:ascii="Arabic Typesetting" w:hAnsi="Arabic Typesetting" w:cs="Arabic Typesetting"/>
          <w:sz w:val="34"/>
          <w:szCs w:val="34"/>
          <w:rtl/>
        </w:rPr>
        <w:t xml:space="preserve"> </w:t>
      </w:r>
      <w:r w:rsidRPr="0067139F">
        <w:rPr>
          <w:rFonts w:ascii="Arabic Typesetting" w:hAnsi="Arabic Typesetting" w:cs="Arabic Typesetting"/>
          <w:sz w:val="34"/>
          <w:szCs w:val="34"/>
          <w:rtl/>
        </w:rPr>
        <w:t>مركز امتياز داخلي في مجال التدريب، بما في ذلك التدريب المهني؛ ومُحفِّز على إقامة شبكات وشراكات لتوسيع نطاق فرص التدريب على الصعيد الوطني وزيادة تأثير هذه الفرص؛ ومركز متاح للجميع على الإنترنت لتبادل المعلومات عن جميع أنشطة الويبو وأدواتها وخدماتها التدريبية؛ ومُقدِّم فريد ومتعدد اللغات للتعلم عن بعد والتدريب عبر الإنترنت؛ ومركز شبكة افتراضية من الشركاء والخبراء والمعلمين في التدريب الموجهة نحو التنمية في مجال الملكية الفكرية.</w:t>
      </w:r>
    </w:p>
    <w:p w:rsidR="00C912C2" w:rsidRPr="00FC7CFA" w:rsidRDefault="00C912C2" w:rsidP="0031375C">
      <w:pPr>
        <w:pStyle w:val="ONUMFS"/>
        <w:tabs>
          <w:tab w:val="num" w:pos="360"/>
        </w:tabs>
        <w:spacing w:after="120" w:line="340" w:lineRule="exact"/>
        <w:rPr>
          <w:rFonts w:ascii="Arabic Typesetting" w:hAnsi="Arabic Typesetting" w:cs="Arabic Typesetting"/>
          <w:sz w:val="34"/>
          <w:szCs w:val="34"/>
        </w:rPr>
      </w:pPr>
      <w:r w:rsidRPr="00FC7CFA">
        <w:rPr>
          <w:rFonts w:ascii="Arabic Typesetting" w:hAnsi="Arabic Typesetting" w:cs="Arabic Typesetting"/>
          <w:sz w:val="34"/>
          <w:szCs w:val="34"/>
          <w:rtl/>
        </w:rPr>
        <w:t>وفي الثنائية 2014/15، شرعت الأكاديمية في عملية إصلاح تدريجية ومستمرة لاستعادة وضع الأكاديمية بوصفها أداة التدريب المهني وتكوين الكفاءات على نطاق المنظمة.</w:t>
      </w:r>
    </w:p>
    <w:p w:rsidR="00C912C2" w:rsidRPr="008954A8" w:rsidRDefault="00C912C2" w:rsidP="0031375C">
      <w:pPr>
        <w:pStyle w:val="BodyTextIndent"/>
        <w:keepNext/>
        <w:bidi/>
        <w:adjustRightInd w:val="0"/>
        <w:snapToGrid w:val="0"/>
        <w:spacing w:before="120" w:after="240" w:line="360" w:lineRule="exact"/>
        <w:ind w:left="0"/>
        <w:jc w:val="both"/>
        <w:rPr>
          <w:rFonts w:ascii="Arabic Typesetting" w:hAnsi="Arabic Typesetting" w:cs="Arabic Typesetting"/>
          <w:sz w:val="38"/>
          <w:szCs w:val="38"/>
          <w:rtl/>
        </w:rPr>
      </w:pPr>
      <w:r w:rsidRPr="008954A8">
        <w:rPr>
          <w:rFonts w:ascii="Arabic Typesetting" w:hAnsi="Arabic Typesetting" w:cs="Arabic Typesetting"/>
          <w:sz w:val="38"/>
          <w:szCs w:val="38"/>
          <w:rtl/>
        </w:rPr>
        <w:t>استراتيجيات التنفيذ</w:t>
      </w:r>
    </w:p>
    <w:p w:rsidR="00C912C2" w:rsidRPr="00FC7CFA" w:rsidRDefault="00C912C2" w:rsidP="0031375C">
      <w:pPr>
        <w:pStyle w:val="ONUMFS"/>
        <w:tabs>
          <w:tab w:val="num" w:pos="360"/>
        </w:tabs>
        <w:spacing w:after="120" w:line="340" w:lineRule="exact"/>
        <w:rPr>
          <w:rFonts w:ascii="Arabic Typesetting" w:hAnsi="Arabic Typesetting" w:cs="Arabic Typesetting"/>
          <w:sz w:val="34"/>
          <w:szCs w:val="34"/>
        </w:rPr>
      </w:pPr>
      <w:r w:rsidRPr="00FC7CFA">
        <w:rPr>
          <w:rFonts w:ascii="Arabic Typesetting" w:hAnsi="Arabic Typesetting" w:cs="Arabic Typesetting"/>
          <w:sz w:val="34"/>
          <w:szCs w:val="34"/>
          <w:rtl/>
        </w:rPr>
        <w:t>سوف تستعين الأكاديمية على تحقيق أهداف إصلاحها بخبرتها ومزاياها النسبية. ومن هذه المزايا النسبية حيادها ومصداقيتها واسمها التجاري؛ واستثماراتها السابقة في مواد وأدوات التدريب والتدريس، بما في ذلك منصتها الخاصة بالتعلم عن بعد؛ وشبكتها الدولية الكبيرة من الخبراء والمعلمين والمدرسين؛ وتعاونها وشراكتها مع المؤسسات الوطنية والإقليمية منذ عهدٍ طويل؛ ومحتواها اللغوي المتنوع؛ وخبرتها في تحديد وتلبية الأولويات والاحتياجات التدريبية للدول الأعضاء وغيرها من أصحاب المصلحة؛ وكونها غير هادفة للربح.</w:t>
      </w:r>
    </w:p>
    <w:p w:rsidR="00C912C2" w:rsidRPr="00FC7CFA" w:rsidRDefault="00C912C2" w:rsidP="0031375C">
      <w:pPr>
        <w:pStyle w:val="ONUMFS"/>
        <w:tabs>
          <w:tab w:val="num" w:pos="360"/>
        </w:tabs>
        <w:spacing w:after="120" w:line="340" w:lineRule="exact"/>
        <w:rPr>
          <w:rFonts w:ascii="Arabic Typesetting" w:hAnsi="Arabic Typesetting" w:cs="Arabic Typesetting"/>
          <w:sz w:val="34"/>
          <w:szCs w:val="34"/>
        </w:rPr>
      </w:pPr>
      <w:r w:rsidRPr="00FC7CFA">
        <w:rPr>
          <w:rFonts w:ascii="Arabic Typesetting" w:hAnsi="Arabic Typesetting" w:cs="Arabic Typesetting"/>
          <w:sz w:val="34"/>
          <w:szCs w:val="34"/>
          <w:rtl/>
        </w:rPr>
        <w:t>وسوف تتعاون الأكاديمية تعاوناً وثيقاً مع جميع القطاعات المعنية في المنظمة من أجل وضع إجراءات وآليات منتظمة وفعالة للتشاور الداخلي والتخطيط وتبادل المعلومات بغرض تحديد الاحتياجات والطلبات التدريبية وتلبيتها في الوقت المناسب وعلى نحو فعال.</w:t>
      </w:r>
    </w:p>
    <w:p w:rsidR="00C912C2" w:rsidRPr="00FC7CFA" w:rsidRDefault="00C912C2" w:rsidP="0031375C">
      <w:pPr>
        <w:pStyle w:val="ONUMFS"/>
        <w:tabs>
          <w:tab w:val="num" w:pos="360"/>
        </w:tabs>
        <w:spacing w:after="120" w:line="340" w:lineRule="exact"/>
        <w:rPr>
          <w:rFonts w:ascii="Arabic Typesetting" w:hAnsi="Arabic Typesetting" w:cs="Arabic Typesetting"/>
          <w:sz w:val="34"/>
          <w:szCs w:val="34"/>
        </w:rPr>
      </w:pPr>
      <w:r w:rsidRPr="00FC7CFA">
        <w:rPr>
          <w:rFonts w:ascii="Arabic Typesetting" w:hAnsi="Arabic Typesetting" w:cs="Arabic Typesetting"/>
          <w:sz w:val="34"/>
          <w:szCs w:val="34"/>
          <w:rtl/>
        </w:rPr>
        <w:t>وسوف تواصل الأكاديمية مراجعة وتحديث محتوى موادها التدريبية ودورات التعلم عن بعد الخاصة بها، وذلك بالتعاون الوثيق مع القطاعات الفنية المعنية في الويبو، والمعلمين، والخبراء المعروفين، وأساتذة الجامعات. وسوف ينصب التركيز أيضاً على الترجمة إلى لغات مختلفة حيثما وجد طلب واضح. وسوف تُبذَل الجهود لتطوير أدوات تكنولوجيا المعلومات والاتصالات التي من شأنها أن تُمكِّن من إدارة دورات التعلم عن بعد وتقديمها على نحو أكثر فعالية. وسوف تُمنح الأولوية لتعزيز زيادة مشاركة المرأة في برامج الأكاديمية والتوزيع الجغرافي العادل في جميع الحالات التي تمتلك فيها الأكاديمية حق الاختيار. وسوف تسعى الأكاديمية أيضاً إلى تحسين أ</w:t>
      </w:r>
      <w:r>
        <w:rPr>
          <w:rFonts w:ascii="Arabic Typesetting" w:hAnsi="Arabic Typesetting" w:cs="Arabic Typesetting"/>
          <w:sz w:val="34"/>
          <w:szCs w:val="34"/>
          <w:rtl/>
        </w:rPr>
        <w:t xml:space="preserve">دوات التقييم </w:t>
      </w:r>
      <w:r>
        <w:rPr>
          <w:rFonts w:ascii="Arabic Typesetting" w:hAnsi="Arabic Typesetting" w:cs="Arabic Typesetting" w:hint="cs"/>
          <w:sz w:val="34"/>
          <w:szCs w:val="34"/>
          <w:rtl/>
        </w:rPr>
        <w:t xml:space="preserve">من أجل </w:t>
      </w:r>
      <w:r w:rsidRPr="00FC7CFA">
        <w:rPr>
          <w:rFonts w:ascii="Arabic Typesetting" w:hAnsi="Arabic Typesetting" w:cs="Arabic Typesetting"/>
          <w:sz w:val="34"/>
          <w:szCs w:val="34"/>
          <w:rtl/>
        </w:rPr>
        <w:t xml:space="preserve">استخلاص الدروس </w:t>
      </w:r>
      <w:r>
        <w:rPr>
          <w:rFonts w:ascii="Arabic Typesetting" w:hAnsi="Arabic Typesetting" w:cs="Arabic Typesetting" w:hint="cs"/>
          <w:sz w:val="34"/>
          <w:szCs w:val="34"/>
          <w:rtl/>
        </w:rPr>
        <w:t xml:space="preserve">ومن ثمّ تكييف </w:t>
      </w:r>
      <w:r w:rsidRPr="00FC7CFA">
        <w:rPr>
          <w:rFonts w:ascii="Arabic Typesetting" w:hAnsi="Arabic Typesetting" w:cs="Arabic Typesetting"/>
          <w:sz w:val="34"/>
          <w:szCs w:val="34"/>
          <w:rtl/>
        </w:rPr>
        <w:t xml:space="preserve">البرامج التدريبية ا </w:t>
      </w:r>
      <w:r>
        <w:rPr>
          <w:rFonts w:ascii="Arabic Typesetting" w:hAnsi="Arabic Typesetting" w:cs="Arabic Typesetting" w:hint="cs"/>
          <w:sz w:val="34"/>
          <w:szCs w:val="34"/>
          <w:rtl/>
        </w:rPr>
        <w:t>بغرض</w:t>
      </w:r>
      <w:r w:rsidRPr="00FC7CFA">
        <w:rPr>
          <w:rFonts w:ascii="Arabic Typesetting" w:hAnsi="Arabic Typesetting" w:cs="Arabic Typesetting"/>
          <w:sz w:val="34"/>
          <w:szCs w:val="34"/>
          <w:rtl/>
        </w:rPr>
        <w:t xml:space="preserve"> تحقيق المتطلبات التدريبية </w:t>
      </w:r>
      <w:r>
        <w:rPr>
          <w:rFonts w:ascii="Arabic Typesetting" w:hAnsi="Arabic Typesetting" w:cs="Arabic Typesetting" w:hint="cs"/>
          <w:sz w:val="34"/>
          <w:szCs w:val="34"/>
          <w:rtl/>
        </w:rPr>
        <w:t>ل</w:t>
      </w:r>
      <w:r w:rsidRPr="00FC7CFA">
        <w:rPr>
          <w:rFonts w:ascii="Arabic Typesetting" w:hAnsi="Arabic Typesetting" w:cs="Arabic Typesetting"/>
          <w:sz w:val="34"/>
          <w:szCs w:val="34"/>
          <w:rtl/>
        </w:rPr>
        <w:t>لمستفيدين المستهدفين</w:t>
      </w:r>
      <w:r w:rsidRPr="00FC7CFA">
        <w:rPr>
          <w:rFonts w:ascii="Arabic Typesetting" w:hAnsi="Arabic Typesetting" w:cs="Arabic Typesetting" w:hint="cs"/>
          <w:sz w:val="34"/>
          <w:szCs w:val="34"/>
          <w:rtl/>
        </w:rPr>
        <w:t xml:space="preserve"> </w:t>
      </w:r>
      <w:r w:rsidRPr="00FC7CFA">
        <w:rPr>
          <w:rFonts w:ascii="Arabic Typesetting" w:hAnsi="Arabic Typesetting" w:cs="Arabic Typesetting"/>
          <w:sz w:val="34"/>
          <w:szCs w:val="34"/>
          <w:rtl/>
        </w:rPr>
        <w:t>على نحو أفضل.</w:t>
      </w:r>
    </w:p>
    <w:p w:rsidR="00C912C2" w:rsidRPr="00FC7CFA" w:rsidRDefault="00C912C2" w:rsidP="0031375C">
      <w:pPr>
        <w:pStyle w:val="ONUMFS"/>
        <w:tabs>
          <w:tab w:val="num" w:pos="360"/>
        </w:tabs>
        <w:spacing w:after="120" w:line="340" w:lineRule="exact"/>
        <w:rPr>
          <w:rFonts w:ascii="Arabic Typesetting" w:hAnsi="Arabic Typesetting" w:cs="Arabic Typesetting"/>
          <w:sz w:val="34"/>
          <w:szCs w:val="34"/>
        </w:rPr>
      </w:pPr>
      <w:r w:rsidRPr="00FC7CFA">
        <w:rPr>
          <w:rFonts w:ascii="Arabic Typesetting" w:hAnsi="Arabic Typesetting" w:cs="Arabic Typesetting"/>
          <w:sz w:val="34"/>
          <w:szCs w:val="34"/>
          <w:rtl/>
        </w:rPr>
        <w:t>وسوف تسعى الأكاديميةُ جاهدةً إلى إقامة شراكات جديدة مع المؤسسات الوطنية والإقليمية في الدول الأعضاء عند تنفيذ برامج الأكاديمية في الثنائية 2016/17. وسوف تهدف هذه الشراكات إلى تنمية الخبرات الوطنية والقدرات المحلية الطويل</w:t>
      </w:r>
      <w:r>
        <w:rPr>
          <w:rFonts w:ascii="Arabic Typesetting" w:hAnsi="Arabic Typesetting" w:cs="Arabic Typesetting"/>
          <w:sz w:val="34"/>
          <w:szCs w:val="34"/>
          <w:rtl/>
        </w:rPr>
        <w:t xml:space="preserve">ة الأمد، وتعزيز الأثر، وتوسيع </w:t>
      </w:r>
      <w:r w:rsidRPr="00FC7CFA">
        <w:rPr>
          <w:rFonts w:ascii="Arabic Typesetting" w:hAnsi="Arabic Typesetting" w:cs="Arabic Typesetting"/>
          <w:sz w:val="34"/>
          <w:szCs w:val="34"/>
          <w:rtl/>
        </w:rPr>
        <w:t xml:space="preserve">نطاق </w:t>
      </w:r>
      <w:r>
        <w:rPr>
          <w:rFonts w:ascii="Arabic Typesetting" w:hAnsi="Arabic Typesetting" w:cs="Arabic Typesetting" w:hint="cs"/>
          <w:sz w:val="34"/>
          <w:szCs w:val="34"/>
          <w:rtl/>
        </w:rPr>
        <w:t xml:space="preserve">التوعية </w:t>
      </w:r>
      <w:r w:rsidRPr="00FC7CFA">
        <w:rPr>
          <w:rFonts w:ascii="Arabic Typesetting" w:hAnsi="Arabic Typesetting" w:cs="Arabic Typesetting"/>
          <w:sz w:val="34"/>
          <w:szCs w:val="34"/>
          <w:rtl/>
        </w:rPr>
        <w:t>الجغرافي</w:t>
      </w:r>
      <w:r>
        <w:rPr>
          <w:rFonts w:ascii="Arabic Typesetting" w:hAnsi="Arabic Typesetting" w:cs="Arabic Typesetting" w:hint="cs"/>
          <w:sz w:val="34"/>
          <w:szCs w:val="34"/>
          <w:rtl/>
        </w:rPr>
        <w:t>ة</w:t>
      </w:r>
      <w:r w:rsidRPr="00FC7CFA">
        <w:rPr>
          <w:rFonts w:ascii="Arabic Typesetting" w:hAnsi="Arabic Typesetting" w:cs="Arabic Typesetting"/>
          <w:sz w:val="34"/>
          <w:szCs w:val="34"/>
          <w:rtl/>
        </w:rPr>
        <w:t>. وسوف تُوضَع سياسة ذات معايير وشروط مُحدَّدة لإقامة الشراكات.</w:t>
      </w:r>
    </w:p>
    <w:p w:rsidR="00C912C2" w:rsidRPr="00FC7CFA" w:rsidRDefault="00C912C2" w:rsidP="0031375C">
      <w:pPr>
        <w:pStyle w:val="ONUMFS"/>
        <w:tabs>
          <w:tab w:val="num" w:pos="360"/>
        </w:tabs>
        <w:spacing w:after="120" w:line="340" w:lineRule="exact"/>
        <w:rPr>
          <w:rFonts w:ascii="Arabic Typesetting" w:hAnsi="Arabic Typesetting" w:cs="Arabic Typesetting"/>
          <w:sz w:val="34"/>
          <w:szCs w:val="34"/>
        </w:rPr>
      </w:pPr>
      <w:r w:rsidRPr="00FC7CFA">
        <w:rPr>
          <w:rFonts w:ascii="Arabic Typesetting" w:hAnsi="Arabic Typesetting" w:cs="Arabic Typesetting"/>
          <w:sz w:val="34"/>
          <w:szCs w:val="34"/>
          <w:rtl/>
        </w:rPr>
        <w:t>وفي الثنائية 2016/17، سوف تُركِّز الأكاديمية بشكل خاص على ما يلي:</w:t>
      </w:r>
    </w:p>
    <w:p w:rsidR="00C912C2" w:rsidRPr="00FC7CFA" w:rsidRDefault="00C912C2" w:rsidP="0031375C">
      <w:pPr>
        <w:pStyle w:val="ONUMFS"/>
        <w:numPr>
          <w:ilvl w:val="0"/>
          <w:numId w:val="0"/>
        </w:numPr>
        <w:ind w:left="714"/>
        <w:rPr>
          <w:rFonts w:ascii="Arabic Typesetting" w:hAnsi="Arabic Typesetting" w:cs="Arabic Typesetting"/>
          <w:sz w:val="34"/>
          <w:szCs w:val="34"/>
          <w:rtl/>
        </w:rPr>
      </w:pPr>
      <w:r w:rsidRPr="0067139F">
        <w:rPr>
          <w:rFonts w:ascii="Arabic Typesetting" w:hAnsi="Arabic Typesetting" w:cs="Arabic Typesetting"/>
          <w:szCs w:val="34"/>
          <w:rtl/>
        </w:rPr>
        <w:t>"1"</w:t>
      </w:r>
      <w:r w:rsidRPr="0067139F">
        <w:rPr>
          <w:rFonts w:ascii="Arabic Typesetting" w:hAnsi="Arabic Typesetting" w:cs="Arabic Typesetting"/>
          <w:szCs w:val="34"/>
          <w:rtl/>
        </w:rPr>
        <w:tab/>
      </w:r>
      <w:r w:rsidRPr="00FC7CFA">
        <w:rPr>
          <w:rFonts w:ascii="Arabic Typesetting" w:hAnsi="Arabic Typesetting" w:cs="Arabic Typesetting"/>
          <w:sz w:val="34"/>
          <w:szCs w:val="34"/>
          <w:rtl/>
        </w:rPr>
        <w:t>برنامج التطوير المهني: سوف يستمر تقديم مجموعة من الدورات التدريبية الأساسية التي تتناول موضوعات ذات أولوية قصوى إلى المسؤولين الحكوميين وموظفي القطاع العام. وسوف تُصمَّم وتُعدّ بعناية مجموعة جديدة من الدورات للوفاء بالأولويات التي تضعها الدول الأعضاء. وسوف تواصل الأكاديمية مساعدة الدول الأعضاء على إنشاء أكاديميات وطنية ناشئة استناداً إلى الخبرة المكتسبة والدروس المستفادة، فضلاً عن مساعدة أكاديميات الملكية الفكرية القائمة على أن تصبح مستدامةً وأن تكون جزءاً من شبكة نشطة لأكاديميات الملكية الفكرية.</w:t>
      </w:r>
    </w:p>
    <w:p w:rsidR="00C912C2" w:rsidRPr="00FC7CFA" w:rsidRDefault="00C912C2" w:rsidP="0031375C">
      <w:pPr>
        <w:pStyle w:val="ONUMFS"/>
        <w:numPr>
          <w:ilvl w:val="0"/>
          <w:numId w:val="0"/>
        </w:numPr>
        <w:ind w:left="714"/>
        <w:rPr>
          <w:rFonts w:ascii="Arabic Typesetting" w:hAnsi="Arabic Typesetting" w:cs="Arabic Typesetting"/>
          <w:sz w:val="34"/>
          <w:szCs w:val="34"/>
          <w:rtl/>
        </w:rPr>
      </w:pPr>
      <w:r w:rsidRPr="0067139F">
        <w:rPr>
          <w:rFonts w:ascii="Arabic Typesetting" w:hAnsi="Arabic Typesetting" w:cs="Arabic Typesetting"/>
          <w:szCs w:val="34"/>
          <w:rtl/>
        </w:rPr>
        <w:lastRenderedPageBreak/>
        <w:t>"2"</w:t>
      </w:r>
      <w:r w:rsidRPr="00FC7CFA">
        <w:rPr>
          <w:rFonts w:ascii="Arabic Typesetting" w:hAnsi="Arabic Typesetting" w:cs="Arabic Typesetting"/>
          <w:sz w:val="34"/>
          <w:szCs w:val="34"/>
          <w:rtl/>
        </w:rPr>
        <w:tab/>
        <w:t>برنامج التعلم عن بعد: يتابع نحو 000</w:t>
      </w:r>
      <w:r w:rsidRPr="00FC7CFA">
        <w:rPr>
          <w:rFonts w:ascii="Arabic Typesetting" w:hAnsi="Arabic Typesetting" w:cs="Arabic Typesetting" w:hint="cs"/>
          <w:sz w:val="34"/>
          <w:szCs w:val="34"/>
          <w:rtl/>
        </w:rPr>
        <w:t> </w:t>
      </w:r>
      <w:r w:rsidRPr="00FC7CFA">
        <w:rPr>
          <w:rFonts w:ascii="Arabic Typesetting" w:hAnsi="Arabic Typesetting" w:cs="Arabic Typesetting"/>
          <w:sz w:val="34"/>
          <w:szCs w:val="34"/>
          <w:rtl/>
        </w:rPr>
        <w:t>35 مشارك كل عام في جميع أنحاء العالم دورات التعلم عن بعد التي تقدمها أكاديمية الويبو. وسوف يستمر تسهيل مشاركتهم عن طريق منصة تسجيل وتعلم مُخصَّصة، وتوفير مجموعة مُنتقاة من 17</w:t>
      </w:r>
      <w:r w:rsidRPr="00FC7CFA">
        <w:rPr>
          <w:rFonts w:ascii="Arabic Typesetting" w:hAnsi="Arabic Typesetting" w:cs="Arabic Typesetting" w:hint="cs"/>
          <w:sz w:val="34"/>
          <w:szCs w:val="34"/>
          <w:rtl/>
        </w:rPr>
        <w:t> </w:t>
      </w:r>
      <w:r w:rsidRPr="00FC7CFA">
        <w:rPr>
          <w:rFonts w:ascii="Arabic Typesetting" w:hAnsi="Arabic Typesetting" w:cs="Arabic Typesetting"/>
          <w:sz w:val="34"/>
          <w:szCs w:val="34"/>
          <w:rtl/>
        </w:rPr>
        <w:t>وحدةً بإحدى عشر لغة مختلفة. وسوف تعمل الأكاديمية أيضاً على تشجيع استخدام دورات التعلم عن بعد الخاصة بها كشرط أساسي مسبق للمشاركة في بعض الأنشطة التدريبية المتخصصة التي تنظمها شتى القطاعات في الويبو.</w:t>
      </w:r>
    </w:p>
    <w:p w:rsidR="00C912C2" w:rsidRDefault="00C912C2" w:rsidP="0031375C">
      <w:pPr>
        <w:pStyle w:val="ONUMFS"/>
        <w:numPr>
          <w:ilvl w:val="0"/>
          <w:numId w:val="0"/>
        </w:numPr>
        <w:ind w:left="714"/>
        <w:rPr>
          <w:rFonts w:ascii="Arabic Typesetting" w:hAnsi="Arabic Typesetting" w:cs="Arabic Typesetting"/>
          <w:sz w:val="34"/>
          <w:szCs w:val="34"/>
          <w:rtl/>
        </w:rPr>
      </w:pPr>
      <w:r w:rsidRPr="0067139F">
        <w:rPr>
          <w:rFonts w:ascii="Arabic Typesetting" w:hAnsi="Arabic Typesetting" w:cs="Arabic Typesetting"/>
          <w:szCs w:val="34"/>
          <w:rtl/>
        </w:rPr>
        <w:t>"3"</w:t>
      </w:r>
      <w:r w:rsidRPr="00FC7CFA">
        <w:rPr>
          <w:rFonts w:ascii="Arabic Typesetting" w:hAnsi="Arabic Typesetting" w:cs="Arabic Typesetting"/>
          <w:sz w:val="34"/>
          <w:szCs w:val="34"/>
          <w:rtl/>
        </w:rPr>
        <w:tab/>
        <w:t>برنامج المؤسسات الأكاديمية: سوف تواصل أكاديمية الويبو دعمها للتعليم على مستوى الدراسات العليا في مجال الملكية الفكرية من خلال برامج الماجستير المشتركة. وسوف يُعاد النظر في النموذج الحالي بغية تطوير دور الأكاديمية وتحويله من إعطاء مِنَحٍ دراسية للمستفيدين من الأفراد إلى نموذج هجين تُقدَّم فيه مجموعة متنوعة من خدمات المشورة والمساعدة إلى المؤسسات الأكاديمية، ومنها المؤسسات الأكاديمية الشهيرة التي تحافظ الويبو على إقامة تعاون وثيق ومتميز معها. وسوف ينصب التركيز على إعداد دورات ومناهج جديدة ومُحسَّنة بشأن الملكية الفكرية مع زيادة التركيز الوطني والإقليمي، وتعزيز الاستفادة من الخبرات الوطنية والإقليمية، وتنمية القدرات والمواهب المحلية، واستخدام منصات تكنولوجيا المعلومات والاتصالات، مثل منصة التعلم عن بعد، لتوفير المواد والتعليمات اللازمة. وسوف يستمر التنظيم المشترك لعدد محدود من المدارس الصيفية بالتعاون مع الشركاء الحاليين والجدد على أساس تناوبي، مع مراعاة عوامل مثل مساهمات الشركاء، والموقع الجغرافي، والتوازن اللغوي، واستدامة البرنامج.</w:t>
      </w:r>
    </w:p>
    <w:p w:rsidR="00C912C2" w:rsidRPr="00FC7CFA" w:rsidRDefault="00C912C2" w:rsidP="0031375C">
      <w:pPr>
        <w:pStyle w:val="ONUMFS"/>
        <w:tabs>
          <w:tab w:val="num" w:pos="360"/>
        </w:tabs>
        <w:spacing w:after="120" w:line="340" w:lineRule="exact"/>
        <w:rPr>
          <w:rFonts w:ascii="Arabic Typesetting" w:hAnsi="Arabic Typesetting" w:cs="Arabic Typesetting"/>
          <w:sz w:val="34"/>
          <w:szCs w:val="34"/>
          <w:rtl/>
        </w:rPr>
      </w:pPr>
      <w:r>
        <w:rPr>
          <w:rFonts w:ascii="Arabic Typesetting" w:hAnsi="Arabic Typesetting" w:cs="Arabic Typesetting" w:hint="cs"/>
          <w:sz w:val="34"/>
          <w:szCs w:val="34"/>
          <w:rtl/>
        </w:rPr>
        <w:t>في حين تتعاون أكاديمية الويبو مع معظم برامج المنظمة على وضع وتوفير برامج تدريبية مصممة وفق الاحتياجات، فإن الشكل الوارد أدناه يبيّن أهم البرامج التي تتعاون الأكاديمية معها يوميا وبشكل منتظم.</w:t>
      </w:r>
    </w:p>
    <w:p w:rsidR="00C912C2" w:rsidRPr="008954A8" w:rsidRDefault="00C912C2" w:rsidP="0031375C">
      <w:pPr>
        <w:pStyle w:val="ONUMFS"/>
        <w:numPr>
          <w:ilvl w:val="0"/>
          <w:numId w:val="0"/>
        </w:numPr>
        <w:ind w:left="-2"/>
        <w:rPr>
          <w:rFonts w:ascii="Arabic Typesetting" w:hAnsi="Arabic Typesetting" w:cs="Arabic Typesetting"/>
          <w:szCs w:val="34"/>
        </w:rPr>
      </w:pPr>
      <w:r w:rsidRPr="009B4A78">
        <w:rPr>
          <w:rFonts w:ascii="Arial" w:hAnsi="Arial" w:cs="Arial"/>
          <w:noProof/>
          <w:lang w:val="en-US" w:eastAsia="en-US" w:bidi="ar-SA"/>
        </w:rPr>
        <w:drawing>
          <wp:inline distT="0" distB="0" distL="0" distR="0" wp14:anchorId="0EC55A6D" wp14:editId="442AC317">
            <wp:extent cx="5939790" cy="1516677"/>
            <wp:effectExtent l="57150" t="0" r="3810" b="26670"/>
            <wp:docPr id="249" name="Diagram 2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rsidR="00C912C2" w:rsidRPr="008954A8" w:rsidRDefault="00C912C2" w:rsidP="0031375C">
      <w:pPr>
        <w:bidi w:val="0"/>
        <w:rPr>
          <w:rFonts w:ascii="Arabic Typesetting" w:hAnsi="Arabic Typesetting" w:cs="Arabic Typesetting"/>
          <w:sz w:val="38"/>
          <w:szCs w:val="38"/>
          <w:rtl/>
        </w:rPr>
      </w:pPr>
      <w:r w:rsidRPr="008954A8">
        <w:rPr>
          <w:rFonts w:ascii="Arabic Typesetting" w:hAnsi="Arabic Typesetting" w:cs="Arabic Typesetting"/>
          <w:sz w:val="38"/>
          <w:szCs w:val="38"/>
          <w:rtl/>
        </w:rPr>
        <w:br w:type="page"/>
      </w:r>
    </w:p>
    <w:p w:rsidR="00C912C2" w:rsidRPr="008954A8" w:rsidRDefault="00C912C2" w:rsidP="0031375C">
      <w:pPr>
        <w:pStyle w:val="BodyTextIndent"/>
        <w:keepNext/>
        <w:bidi/>
        <w:adjustRightInd w:val="0"/>
        <w:snapToGrid w:val="0"/>
        <w:spacing w:before="120" w:after="240" w:line="360" w:lineRule="exact"/>
        <w:ind w:left="0"/>
        <w:jc w:val="both"/>
        <w:rPr>
          <w:rFonts w:ascii="Arabic Typesetting" w:hAnsi="Arabic Typesetting" w:cs="Arabic Typesetting"/>
          <w:sz w:val="38"/>
          <w:szCs w:val="38"/>
          <w:rtl/>
        </w:rPr>
      </w:pPr>
      <w:r w:rsidRPr="008954A8">
        <w:rPr>
          <w:rFonts w:ascii="Arabic Typesetting" w:hAnsi="Arabic Typesetting" w:cs="Arabic Typesetting"/>
          <w:sz w:val="38"/>
          <w:szCs w:val="38"/>
          <w:rtl/>
        </w:rPr>
        <w:lastRenderedPageBreak/>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90"/>
        <w:gridCol w:w="4589"/>
      </w:tblGrid>
      <w:tr w:rsidR="00C912C2" w:rsidRPr="008954A8" w:rsidTr="0031375C">
        <w:trPr>
          <w:trHeight w:val="488"/>
        </w:trPr>
        <w:tc>
          <w:tcPr>
            <w:tcW w:w="4590" w:type="dxa"/>
            <w:tcBorders>
              <w:top w:val="single" w:sz="4" w:space="0" w:color="auto"/>
              <w:bottom w:val="single" w:sz="4" w:space="0" w:color="auto"/>
            </w:tcBorders>
            <w:shd w:val="clear" w:color="auto" w:fill="C6D9F1"/>
            <w:tcMar>
              <w:top w:w="113" w:type="dxa"/>
              <w:bottom w:w="113" w:type="dxa"/>
            </w:tcMar>
            <w:vAlign w:val="center"/>
          </w:tcPr>
          <w:p w:rsidR="00C912C2" w:rsidRPr="008954A8" w:rsidRDefault="00C912C2" w:rsidP="0031375C">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tl/>
              </w:rPr>
            </w:pPr>
            <w:r>
              <w:rPr>
                <w:rFonts w:ascii="Arabic Typesetting" w:hAnsi="Arabic Typesetting" w:cs="Arabic Typesetting"/>
                <w:bCs/>
                <w:i/>
                <w:sz w:val="30"/>
                <w:szCs w:val="30"/>
                <w:rtl/>
              </w:rPr>
              <w:t>المخاطر</w:t>
            </w:r>
          </w:p>
        </w:tc>
        <w:tc>
          <w:tcPr>
            <w:tcW w:w="4589" w:type="dxa"/>
            <w:tcBorders>
              <w:top w:val="single" w:sz="4" w:space="0" w:color="auto"/>
              <w:bottom w:val="single" w:sz="4" w:space="0" w:color="auto"/>
            </w:tcBorders>
            <w:shd w:val="clear" w:color="auto" w:fill="C6D9F1"/>
            <w:tcMar>
              <w:top w:w="113" w:type="dxa"/>
              <w:bottom w:w="113" w:type="dxa"/>
            </w:tcMar>
            <w:vAlign w:val="center"/>
          </w:tcPr>
          <w:p w:rsidR="00C912C2" w:rsidRPr="008954A8" w:rsidRDefault="00C912C2" w:rsidP="0031375C">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Pr>
            </w:pPr>
            <w:r>
              <w:rPr>
                <w:rFonts w:ascii="Arabic Typesetting" w:hAnsi="Arabic Typesetting" w:cs="Arabic Typesetting"/>
                <w:bCs/>
                <w:i/>
                <w:sz w:val="30"/>
                <w:szCs w:val="30"/>
                <w:rtl/>
              </w:rPr>
              <w:t>التخفيف منها</w:t>
            </w:r>
          </w:p>
        </w:tc>
      </w:tr>
      <w:tr w:rsidR="00C912C2" w:rsidRPr="008954A8" w:rsidTr="0031375C">
        <w:trPr>
          <w:trHeight w:val="530"/>
        </w:trPr>
        <w:tc>
          <w:tcPr>
            <w:tcW w:w="4590" w:type="dxa"/>
            <w:tcBorders>
              <w:top w:val="single" w:sz="4" w:space="0" w:color="auto"/>
              <w:bottom w:val="nil"/>
            </w:tcBorders>
            <w:shd w:val="clear" w:color="auto" w:fill="auto"/>
            <w:tcMar>
              <w:top w:w="113" w:type="dxa"/>
              <w:bottom w:w="113" w:type="dxa"/>
            </w:tcMar>
          </w:tcPr>
          <w:p w:rsidR="00C912C2" w:rsidRPr="008954A8" w:rsidRDefault="00C912C2" w:rsidP="0031375C">
            <w:pPr>
              <w:tabs>
                <w:tab w:val="left" w:pos="1170"/>
              </w:tabs>
              <w:adjustRightInd w:val="0"/>
              <w:snapToGrid w:val="0"/>
              <w:spacing w:before="60" w:after="60" w:line="300" w:lineRule="exact"/>
              <w:rPr>
                <w:rFonts w:ascii="Arabic Typesetting" w:hAnsi="Arabic Typesetting" w:cs="Arabic Typesetting"/>
                <w:sz w:val="30"/>
                <w:szCs w:val="30"/>
                <w:rtl/>
              </w:rPr>
            </w:pPr>
            <w:r w:rsidRPr="00E951F9">
              <w:rPr>
                <w:rFonts w:ascii="Arabic Typesetting" w:hAnsi="Arabic Typesetting" w:cs="Arabic Typesetting"/>
                <w:sz w:val="30"/>
                <w:szCs w:val="30"/>
                <w:rtl/>
              </w:rPr>
              <w:t>انخفاض المساهمة المالية المُقدَّمة من مؤسسات شريكة قد يؤثر في تقديم البرامج التدريبية وإقامة دورات تدريبية جديدة.</w:t>
            </w:r>
          </w:p>
        </w:tc>
        <w:tc>
          <w:tcPr>
            <w:tcW w:w="4589" w:type="dxa"/>
            <w:tcBorders>
              <w:top w:val="single" w:sz="4" w:space="0" w:color="auto"/>
              <w:bottom w:val="nil"/>
            </w:tcBorders>
            <w:shd w:val="clear" w:color="auto" w:fill="auto"/>
            <w:tcMar>
              <w:top w:w="113" w:type="dxa"/>
              <w:bottom w:w="113" w:type="dxa"/>
            </w:tcMar>
          </w:tcPr>
          <w:p w:rsidR="00C912C2" w:rsidRPr="008954A8" w:rsidRDefault="00C912C2" w:rsidP="0031375C">
            <w:pPr>
              <w:autoSpaceDE w:val="0"/>
              <w:autoSpaceDN w:val="0"/>
              <w:adjustRightInd w:val="0"/>
              <w:snapToGrid w:val="0"/>
              <w:spacing w:before="60" w:after="60" w:line="300" w:lineRule="exact"/>
              <w:rPr>
                <w:rFonts w:ascii="Arabic Typesetting" w:hAnsi="Arabic Typesetting" w:cs="Arabic Typesetting"/>
                <w:sz w:val="30"/>
                <w:szCs w:val="30"/>
              </w:rPr>
            </w:pPr>
            <w:r w:rsidRPr="00E951F9">
              <w:rPr>
                <w:rFonts w:ascii="Arabic Typesetting" w:hAnsi="Arabic Typesetting" w:cs="Arabic Typesetting"/>
                <w:sz w:val="30"/>
                <w:szCs w:val="30"/>
                <w:rtl/>
              </w:rPr>
              <w:t>مناقشات مستمرة مع المؤسسات الشريكة الحالية والجديدة المحتملة</w:t>
            </w:r>
          </w:p>
        </w:tc>
      </w:tr>
      <w:tr w:rsidR="00C912C2" w:rsidRPr="008954A8" w:rsidTr="0031375C">
        <w:trPr>
          <w:trHeight w:val="530"/>
        </w:trPr>
        <w:tc>
          <w:tcPr>
            <w:tcW w:w="4590" w:type="dxa"/>
            <w:tcBorders>
              <w:top w:val="nil"/>
              <w:bottom w:val="nil"/>
            </w:tcBorders>
            <w:shd w:val="clear" w:color="auto" w:fill="auto"/>
            <w:tcMar>
              <w:top w:w="113" w:type="dxa"/>
              <w:bottom w:w="113" w:type="dxa"/>
            </w:tcMar>
          </w:tcPr>
          <w:p w:rsidR="00C912C2" w:rsidRPr="008954A8" w:rsidRDefault="00C912C2" w:rsidP="0031375C">
            <w:pPr>
              <w:tabs>
                <w:tab w:val="left" w:pos="1170"/>
              </w:tabs>
              <w:adjustRightInd w:val="0"/>
              <w:snapToGrid w:val="0"/>
              <w:spacing w:before="60" w:after="60" w:line="300" w:lineRule="exact"/>
              <w:rPr>
                <w:rFonts w:ascii="Arabic Typesetting" w:hAnsi="Arabic Typesetting" w:cs="Arabic Typesetting"/>
                <w:sz w:val="30"/>
                <w:szCs w:val="30"/>
                <w:rtl/>
              </w:rPr>
            </w:pPr>
            <w:r w:rsidRPr="00E951F9">
              <w:rPr>
                <w:rFonts w:ascii="Arabic Typesetting" w:hAnsi="Arabic Typesetting" w:cs="Arabic Typesetting"/>
                <w:sz w:val="30"/>
                <w:szCs w:val="30"/>
                <w:rtl/>
              </w:rPr>
              <w:t>في مجال التكنولوجيا والملكية الفكرية الذي يتسم بالتغير السريع، تتطور أيضاً توقعات المستخدمين وتفضيلاتهم بسرعة. فواجهة محتوى دورات التعلم عن بعد ورسومات هذه الدورات ومنصة تكنولوجيا المعلومات الخاصة بها يمكن أن تصبح قديمةً</w:t>
            </w:r>
          </w:p>
        </w:tc>
        <w:tc>
          <w:tcPr>
            <w:tcW w:w="4589" w:type="dxa"/>
            <w:tcBorders>
              <w:top w:val="nil"/>
              <w:bottom w:val="nil"/>
            </w:tcBorders>
            <w:shd w:val="clear" w:color="auto" w:fill="auto"/>
            <w:tcMar>
              <w:top w:w="113" w:type="dxa"/>
              <w:bottom w:w="113" w:type="dxa"/>
            </w:tcMar>
          </w:tcPr>
          <w:p w:rsidR="00C912C2" w:rsidRPr="008954A8" w:rsidRDefault="00C912C2" w:rsidP="0031375C">
            <w:pPr>
              <w:autoSpaceDE w:val="0"/>
              <w:autoSpaceDN w:val="0"/>
              <w:adjustRightInd w:val="0"/>
              <w:snapToGrid w:val="0"/>
              <w:spacing w:before="60" w:after="60" w:line="300" w:lineRule="exact"/>
              <w:rPr>
                <w:rFonts w:ascii="Arabic Typesetting" w:hAnsi="Arabic Typesetting" w:cs="Arabic Typesetting"/>
                <w:sz w:val="30"/>
                <w:szCs w:val="30"/>
                <w:rtl/>
              </w:rPr>
            </w:pPr>
            <w:r w:rsidRPr="00E951F9">
              <w:rPr>
                <w:rFonts w:ascii="Arabic Typesetting" w:hAnsi="Arabic Typesetting" w:cs="Arabic Typesetting"/>
                <w:sz w:val="30"/>
                <w:szCs w:val="30"/>
                <w:rtl/>
              </w:rPr>
              <w:t xml:space="preserve">إجراء </w:t>
            </w:r>
            <w:proofErr w:type="spellStart"/>
            <w:r w:rsidRPr="00E951F9">
              <w:rPr>
                <w:rFonts w:ascii="Arabic Typesetting" w:hAnsi="Arabic Typesetting" w:cs="Arabic Typesetting"/>
                <w:sz w:val="30"/>
                <w:szCs w:val="30"/>
                <w:rtl/>
              </w:rPr>
              <w:t>استقصاءات</w:t>
            </w:r>
            <w:proofErr w:type="spellEnd"/>
            <w:r w:rsidRPr="00E951F9">
              <w:rPr>
                <w:rFonts w:ascii="Arabic Typesetting" w:hAnsi="Arabic Typesetting" w:cs="Arabic Typesetting"/>
                <w:sz w:val="30"/>
                <w:szCs w:val="30"/>
                <w:rtl/>
              </w:rPr>
              <w:t xml:space="preserve"> للحصول على تعقيبات طلاب ومعلمي التعلم عن بعد. والاستعانة بخبراء لمراجعة الدورات وتحديث المنصات</w:t>
            </w:r>
          </w:p>
        </w:tc>
      </w:tr>
      <w:tr w:rsidR="00C912C2" w:rsidRPr="008954A8" w:rsidTr="0031375C">
        <w:trPr>
          <w:trHeight w:val="530"/>
        </w:trPr>
        <w:tc>
          <w:tcPr>
            <w:tcW w:w="4590" w:type="dxa"/>
            <w:tcBorders>
              <w:top w:val="nil"/>
              <w:bottom w:val="single" w:sz="4" w:space="0" w:color="auto"/>
            </w:tcBorders>
            <w:shd w:val="clear" w:color="auto" w:fill="auto"/>
            <w:tcMar>
              <w:top w:w="113" w:type="dxa"/>
              <w:bottom w:w="113" w:type="dxa"/>
            </w:tcMar>
          </w:tcPr>
          <w:p w:rsidR="00C912C2" w:rsidRPr="008954A8" w:rsidRDefault="00C912C2" w:rsidP="0031375C">
            <w:pPr>
              <w:tabs>
                <w:tab w:val="left" w:pos="1170"/>
              </w:tabs>
              <w:adjustRightInd w:val="0"/>
              <w:snapToGrid w:val="0"/>
              <w:spacing w:before="60" w:after="60" w:line="300" w:lineRule="exact"/>
              <w:rPr>
                <w:rFonts w:ascii="Arabic Typesetting" w:hAnsi="Arabic Typesetting" w:cs="Arabic Typesetting"/>
                <w:sz w:val="30"/>
                <w:szCs w:val="30"/>
                <w:rtl/>
              </w:rPr>
            </w:pPr>
            <w:r w:rsidRPr="00E951F9">
              <w:rPr>
                <w:rFonts w:ascii="Arabic Typesetting" w:hAnsi="Arabic Typesetting" w:cs="Arabic Typesetting"/>
                <w:sz w:val="30"/>
                <w:szCs w:val="30"/>
                <w:rtl/>
              </w:rPr>
              <w:t>محتوى الملكية الفكرية للبرامج التدريبية الخاصة بالأكاديمية يمكن أن يصبح غير مناسب من حيث التحديات والتطورات العالمية الناشئة لنظام الملكية الفكرية.</w:t>
            </w:r>
          </w:p>
        </w:tc>
        <w:tc>
          <w:tcPr>
            <w:tcW w:w="4589" w:type="dxa"/>
            <w:tcBorders>
              <w:top w:val="nil"/>
              <w:bottom w:val="single" w:sz="4" w:space="0" w:color="auto"/>
            </w:tcBorders>
            <w:shd w:val="clear" w:color="auto" w:fill="auto"/>
            <w:tcMar>
              <w:top w:w="113" w:type="dxa"/>
              <w:bottom w:w="113" w:type="dxa"/>
            </w:tcMar>
          </w:tcPr>
          <w:p w:rsidR="00C912C2" w:rsidRPr="008954A8" w:rsidRDefault="00C912C2" w:rsidP="0031375C">
            <w:pPr>
              <w:autoSpaceDE w:val="0"/>
              <w:autoSpaceDN w:val="0"/>
              <w:adjustRightInd w:val="0"/>
              <w:snapToGrid w:val="0"/>
              <w:spacing w:before="60" w:after="60" w:line="300" w:lineRule="exact"/>
              <w:rPr>
                <w:rFonts w:ascii="Arabic Typesetting" w:hAnsi="Arabic Typesetting" w:cs="Arabic Typesetting"/>
                <w:sz w:val="30"/>
                <w:szCs w:val="30"/>
                <w:rtl/>
              </w:rPr>
            </w:pPr>
            <w:r w:rsidRPr="00E951F9">
              <w:rPr>
                <w:rFonts w:ascii="Arabic Typesetting" w:hAnsi="Arabic Typesetting" w:cs="Arabic Typesetting"/>
                <w:sz w:val="30"/>
                <w:szCs w:val="30"/>
                <w:rtl/>
              </w:rPr>
              <w:t>التقييم المستمر واستقاء التعقيبات من أصحاب المصلحة في الدول الأعضاء وكذلك من شركاء التدريب والمشاركين والمعلمين والخبراء المساهمين في أنشطة أكاديمية الويبو</w:t>
            </w:r>
          </w:p>
        </w:tc>
      </w:tr>
    </w:tbl>
    <w:p w:rsidR="00C912C2" w:rsidRPr="008954A8" w:rsidRDefault="00C912C2" w:rsidP="0031375C">
      <w:pPr>
        <w:keepNext/>
        <w:keepLines/>
        <w:tabs>
          <w:tab w:val="left" w:pos="567"/>
          <w:tab w:val="left" w:pos="1985"/>
        </w:tabs>
        <w:adjustRightInd w:val="0"/>
        <w:snapToGrid w:val="0"/>
        <w:spacing w:after="240" w:line="360" w:lineRule="exact"/>
        <w:jc w:val="both"/>
        <w:rPr>
          <w:rFonts w:ascii="Arabic Typesetting" w:hAnsi="Arabic Typesetting" w:cs="Arabic Typesetting"/>
          <w:b/>
          <w:sz w:val="36"/>
          <w:szCs w:val="36"/>
          <w:rtl/>
        </w:rPr>
      </w:pPr>
    </w:p>
    <w:p w:rsidR="00C912C2" w:rsidRPr="008954A8" w:rsidRDefault="00C912C2" w:rsidP="0031375C">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r w:rsidRPr="008954A8">
        <w:rPr>
          <w:rFonts w:ascii="Arabic Typesetting" w:hAnsi="Arabic Typesetting" w:cs="Arabic Typesetting"/>
          <w:b/>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848"/>
        <w:gridCol w:w="2174"/>
        <w:gridCol w:w="2033"/>
      </w:tblGrid>
      <w:tr w:rsidR="00C912C2" w:rsidRPr="008954A8" w:rsidTr="0031375C">
        <w:trPr>
          <w:cantSplit/>
          <w:trHeight w:val="428"/>
          <w:tblHeader/>
        </w:trPr>
        <w:tc>
          <w:tcPr>
            <w:tcW w:w="1249" w:type="pct"/>
            <w:tcBorders>
              <w:top w:val="single" w:sz="4" w:space="0" w:color="auto"/>
              <w:bottom w:val="single" w:sz="4" w:space="0" w:color="auto"/>
            </w:tcBorders>
            <w:shd w:val="clear" w:color="auto" w:fill="C6D9F1"/>
            <w:vAlign w:val="center"/>
          </w:tcPr>
          <w:p w:rsidR="00C912C2" w:rsidRPr="008954A8" w:rsidRDefault="00C912C2" w:rsidP="0031375C">
            <w:pPr>
              <w:keepNext/>
              <w:adjustRightInd w:val="0"/>
              <w:snapToGrid w:val="0"/>
              <w:spacing w:before="60" w:after="60" w:line="300" w:lineRule="exact"/>
              <w:jc w:val="center"/>
              <w:rPr>
                <w:rFonts w:ascii="Arabic Typesetting" w:hAnsi="Arabic Typesetting" w:cs="Arabic Typesetting"/>
                <w:b/>
                <w:bCs/>
                <w:sz w:val="30"/>
                <w:szCs w:val="30"/>
                <w:rtl/>
              </w:rPr>
            </w:pPr>
            <w:r w:rsidRPr="008954A8">
              <w:rPr>
                <w:rFonts w:ascii="Arabic Typesetting" w:hAnsi="Arabic Typesetting" w:cs="Arabic Typesetting"/>
                <w:b/>
                <w:bCs/>
                <w:sz w:val="30"/>
                <w:szCs w:val="30"/>
                <w:rtl/>
              </w:rPr>
              <w:t>النتائج المرتقبة</w:t>
            </w:r>
          </w:p>
        </w:tc>
        <w:tc>
          <w:tcPr>
            <w:tcW w:w="1514" w:type="pct"/>
            <w:tcBorders>
              <w:top w:val="single" w:sz="4" w:space="0" w:color="auto"/>
              <w:bottom w:val="single" w:sz="4" w:space="0" w:color="auto"/>
            </w:tcBorders>
            <w:shd w:val="clear" w:color="auto" w:fill="C6D9F1"/>
            <w:tcMar>
              <w:top w:w="110" w:type="dxa"/>
            </w:tcMar>
            <w:vAlign w:val="center"/>
          </w:tcPr>
          <w:p w:rsidR="00C912C2" w:rsidRPr="008954A8" w:rsidRDefault="00C912C2" w:rsidP="0031375C">
            <w:pPr>
              <w:keepNext/>
              <w:adjustRightInd w:val="0"/>
              <w:snapToGrid w:val="0"/>
              <w:spacing w:before="60" w:after="60" w:line="300" w:lineRule="exact"/>
              <w:jc w:val="center"/>
              <w:rPr>
                <w:rFonts w:ascii="Arabic Typesetting" w:hAnsi="Arabic Typesetting" w:cs="Arabic Typesetting"/>
                <w:bCs/>
                <w:sz w:val="30"/>
                <w:szCs w:val="30"/>
              </w:rPr>
            </w:pPr>
            <w:r w:rsidRPr="008954A8">
              <w:rPr>
                <w:rFonts w:ascii="Arabic Typesetting" w:hAnsi="Arabic Typesetting" w:cs="Arabic Typesetting"/>
                <w:bCs/>
                <w:sz w:val="30"/>
                <w:szCs w:val="30"/>
                <w:rtl/>
              </w:rPr>
              <w:t>مؤشرات الأداء</w:t>
            </w:r>
          </w:p>
        </w:tc>
        <w:tc>
          <w:tcPr>
            <w:tcW w:w="1156" w:type="pct"/>
            <w:tcBorders>
              <w:top w:val="single" w:sz="4" w:space="0" w:color="auto"/>
              <w:bottom w:val="single" w:sz="4" w:space="0" w:color="auto"/>
            </w:tcBorders>
            <w:shd w:val="clear" w:color="auto" w:fill="C6D9F1"/>
            <w:tcMar>
              <w:top w:w="110" w:type="dxa"/>
            </w:tcMar>
            <w:vAlign w:val="center"/>
          </w:tcPr>
          <w:p w:rsidR="00C912C2" w:rsidRPr="008954A8" w:rsidRDefault="00C912C2" w:rsidP="0031375C">
            <w:pPr>
              <w:keepNext/>
              <w:adjustRightInd w:val="0"/>
              <w:snapToGrid w:val="0"/>
              <w:spacing w:before="60" w:after="60" w:line="300" w:lineRule="exact"/>
              <w:jc w:val="center"/>
              <w:rPr>
                <w:rFonts w:ascii="Arabic Typesetting" w:hAnsi="Arabic Typesetting" w:cs="Arabic Typesetting"/>
                <w:sz w:val="30"/>
                <w:szCs w:val="30"/>
              </w:rPr>
            </w:pPr>
            <w:r w:rsidRPr="008954A8">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tcBorders>
            <w:shd w:val="clear" w:color="auto" w:fill="C6D9F1"/>
            <w:tcMar>
              <w:top w:w="110" w:type="dxa"/>
            </w:tcMar>
            <w:vAlign w:val="center"/>
          </w:tcPr>
          <w:p w:rsidR="00C912C2" w:rsidRPr="008954A8" w:rsidRDefault="00C912C2" w:rsidP="0031375C">
            <w:pPr>
              <w:keepNext/>
              <w:tabs>
                <w:tab w:val="left" w:pos="0"/>
              </w:tabs>
              <w:adjustRightInd w:val="0"/>
              <w:snapToGrid w:val="0"/>
              <w:spacing w:before="60" w:after="60"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الأهداف</w:t>
            </w:r>
          </w:p>
        </w:tc>
      </w:tr>
      <w:tr w:rsidR="00C912C2" w:rsidRPr="008954A8" w:rsidTr="0031375C">
        <w:trPr>
          <w:cantSplit/>
          <w:trHeight w:val="1403"/>
        </w:trPr>
        <w:tc>
          <w:tcPr>
            <w:tcW w:w="1249" w:type="pct"/>
            <w:vMerge w:val="restart"/>
            <w:tcBorders>
              <w:top w:val="single" w:sz="4" w:space="0" w:color="auto"/>
            </w:tcBorders>
            <w:shd w:val="clear" w:color="auto" w:fill="auto"/>
            <w:tcMar>
              <w:top w:w="113" w:type="dxa"/>
            </w:tcMar>
          </w:tcPr>
          <w:p w:rsidR="00C912C2" w:rsidRPr="008954A8" w:rsidRDefault="009800D4"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C912C2">
              <w:rPr>
                <w:rFonts w:ascii="Arabic Typesetting" w:hAnsi="Arabic Typesetting" w:cs="Arabic Typesetting" w:hint="cs"/>
                <w:sz w:val="30"/>
                <w:szCs w:val="30"/>
                <w:rtl/>
              </w:rPr>
              <w:t xml:space="preserve"> </w:t>
            </w:r>
            <w:r w:rsidR="00C912C2" w:rsidRPr="00E951F9">
              <w:rPr>
                <w:rFonts w:ascii="Arabic Typesetting" w:hAnsi="Arabic Typesetting" w:cs="Arabic Typesetting"/>
                <w:sz w:val="30"/>
                <w:szCs w:val="30"/>
                <w:rtl/>
              </w:rPr>
              <w:t>2.3 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1514" w:type="pct"/>
            <w:tcBorders>
              <w:top w:val="single" w:sz="4" w:space="0" w:color="auto"/>
            </w:tcBorders>
            <w:shd w:val="clear" w:color="auto" w:fill="auto"/>
            <w:tcMar>
              <w:top w:w="113" w:type="dxa"/>
            </w:tcMar>
          </w:tcPr>
          <w:p w:rsidR="00C912C2" w:rsidRPr="008954A8" w:rsidRDefault="00C912C2" w:rsidP="0031375C">
            <w:pPr>
              <w:keepNext/>
              <w:keepLines/>
              <w:adjustRightInd w:val="0"/>
              <w:snapToGrid w:val="0"/>
              <w:spacing w:before="60" w:after="60" w:line="300" w:lineRule="exact"/>
              <w:rPr>
                <w:rFonts w:ascii="Arabic Typesetting" w:hAnsi="Arabic Typesetting" w:cs="Arabic Typesetting"/>
                <w:sz w:val="30"/>
                <w:szCs w:val="30"/>
              </w:rPr>
            </w:pPr>
            <w:r w:rsidRPr="00623EB7">
              <w:rPr>
                <w:rFonts w:ascii="Arabic Typesetting" w:hAnsi="Arabic Typesetting" w:cs="Arabic Typesetting"/>
                <w:sz w:val="30"/>
                <w:szCs w:val="30"/>
                <w:rtl/>
              </w:rPr>
              <w:t>النسبة المئوية للمتدربين والمشرفين الراضين عن البرامج التدريبية التي أُعدَّت بناءً على تمارين تقييم الاحتياجات التدريبية.</w:t>
            </w:r>
          </w:p>
        </w:tc>
        <w:tc>
          <w:tcPr>
            <w:tcW w:w="1156" w:type="pct"/>
            <w:tcBorders>
              <w:top w:val="single" w:sz="4" w:space="0" w:color="auto"/>
            </w:tcBorders>
            <w:shd w:val="clear" w:color="auto" w:fill="FFFFFF"/>
            <w:tcMar>
              <w:top w:w="113" w:type="dxa"/>
            </w:tcMar>
          </w:tcPr>
          <w:p w:rsidR="00C912C2" w:rsidRPr="008954A8" w:rsidRDefault="00C912C2" w:rsidP="0031375C">
            <w:pPr>
              <w:keepNext/>
              <w:keepLines/>
              <w:adjustRightInd w:val="0"/>
              <w:snapToGrid w:val="0"/>
              <w:spacing w:before="60" w:after="60" w:line="300" w:lineRule="exact"/>
              <w:rPr>
                <w:rFonts w:ascii="Arabic Typesetting" w:hAnsi="Arabic Typesetting" w:cs="Arabic Typesetting"/>
                <w:sz w:val="30"/>
                <w:szCs w:val="30"/>
              </w:rPr>
            </w:pPr>
            <w:r w:rsidRPr="00623EB7">
              <w:rPr>
                <w:rFonts w:ascii="Arabic Typesetting" w:hAnsi="Arabic Typesetting" w:cs="Arabic Typesetting"/>
                <w:sz w:val="30"/>
                <w:szCs w:val="30"/>
                <w:rtl/>
              </w:rPr>
              <w:t>لا توجد بيانات متاحة</w:t>
            </w:r>
          </w:p>
        </w:tc>
        <w:tc>
          <w:tcPr>
            <w:tcW w:w="1081" w:type="pct"/>
            <w:tcBorders>
              <w:top w:val="single" w:sz="4" w:space="0" w:color="auto"/>
            </w:tcBorders>
            <w:shd w:val="clear" w:color="auto" w:fill="auto"/>
            <w:tcMar>
              <w:top w:w="113" w:type="dxa"/>
            </w:tcMar>
          </w:tcPr>
          <w:p w:rsidR="00C912C2" w:rsidRPr="008954A8" w:rsidRDefault="00C912C2" w:rsidP="0031375C">
            <w:pPr>
              <w:keepNext/>
              <w:keepLines/>
              <w:adjustRightInd w:val="0"/>
              <w:snapToGrid w:val="0"/>
              <w:spacing w:before="60" w:after="60" w:line="300" w:lineRule="exact"/>
              <w:rPr>
                <w:rFonts w:ascii="Arabic Typesetting" w:hAnsi="Arabic Typesetting" w:cs="Arabic Typesetting"/>
                <w:b/>
                <w:sz w:val="30"/>
                <w:szCs w:val="30"/>
                <w:rtl/>
              </w:rPr>
            </w:pPr>
            <w:r w:rsidRPr="00623EB7">
              <w:rPr>
                <w:rFonts w:ascii="Arabic Typesetting" w:hAnsi="Arabic Typesetting" w:cs="Arabic Typesetting"/>
                <w:b/>
                <w:sz w:val="30"/>
                <w:szCs w:val="30"/>
                <w:rtl/>
              </w:rPr>
              <w:t>70% من المجيبين</w:t>
            </w:r>
          </w:p>
        </w:tc>
      </w:tr>
      <w:tr w:rsidR="00C912C2" w:rsidRPr="008954A8" w:rsidTr="0031375C">
        <w:trPr>
          <w:cantSplit/>
          <w:trHeight w:val="1133"/>
        </w:trPr>
        <w:tc>
          <w:tcPr>
            <w:tcW w:w="1249" w:type="pct"/>
            <w:vMerge/>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Pr>
            </w:pPr>
            <w:r w:rsidRPr="00623EB7">
              <w:rPr>
                <w:rFonts w:ascii="Arabic Typesetting" w:hAnsi="Arabic Typesetting" w:cs="Arabic Typesetting"/>
                <w:sz w:val="30"/>
                <w:szCs w:val="30"/>
                <w:rtl/>
              </w:rPr>
              <w:t>النسبة المئوية للمشاركين الذين يستخدمون معارف ومهارات مُعزَّزة في شتى مجالات الملكية الفكرية</w:t>
            </w:r>
          </w:p>
        </w:tc>
        <w:tc>
          <w:tcPr>
            <w:tcW w:w="1156" w:type="pct"/>
            <w:shd w:val="clear" w:color="auto" w:fill="FFFFFF"/>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tl/>
              </w:rPr>
            </w:pPr>
            <w:r w:rsidRPr="00623EB7">
              <w:rPr>
                <w:rFonts w:ascii="Arabic Typesetting" w:hAnsi="Arabic Typesetting" w:cs="Arabic Typesetting"/>
                <w:sz w:val="30"/>
                <w:szCs w:val="30"/>
                <w:rtl/>
              </w:rPr>
              <w:t>لا توجد بيانات متاحة</w:t>
            </w:r>
          </w:p>
        </w:tc>
        <w:tc>
          <w:tcPr>
            <w:tcW w:w="1081" w:type="pct"/>
            <w:shd w:val="clear" w:color="auto" w:fill="auto"/>
            <w:tcMar>
              <w:top w:w="113" w:type="dxa"/>
            </w:tcMar>
          </w:tcPr>
          <w:p w:rsidR="00C912C2" w:rsidRPr="008954A8" w:rsidRDefault="00C912C2" w:rsidP="0031375C">
            <w:pPr>
              <w:keepNext/>
              <w:keepLines/>
              <w:tabs>
                <w:tab w:val="left" w:pos="2051"/>
              </w:tabs>
              <w:adjustRightInd w:val="0"/>
              <w:snapToGrid w:val="0"/>
              <w:spacing w:before="60" w:after="60" w:line="300" w:lineRule="exact"/>
              <w:rPr>
                <w:rFonts w:ascii="Arabic Typesetting" w:hAnsi="Arabic Typesetting" w:cs="Arabic Typesetting"/>
                <w:b/>
                <w:sz w:val="30"/>
                <w:szCs w:val="30"/>
                <w:rtl/>
              </w:rPr>
            </w:pPr>
            <w:r w:rsidRPr="00623EB7">
              <w:rPr>
                <w:rFonts w:ascii="Arabic Typesetting" w:hAnsi="Arabic Typesetting" w:cs="Arabic Typesetting"/>
                <w:b/>
                <w:sz w:val="30"/>
                <w:szCs w:val="30"/>
                <w:rtl/>
              </w:rPr>
              <w:t>60% من المجيبين</w:t>
            </w:r>
          </w:p>
        </w:tc>
      </w:tr>
      <w:tr w:rsidR="00C912C2" w:rsidRPr="008954A8" w:rsidTr="0031375C">
        <w:trPr>
          <w:cantSplit/>
          <w:trHeight w:val="1151"/>
        </w:trPr>
        <w:tc>
          <w:tcPr>
            <w:tcW w:w="1249" w:type="pct"/>
            <w:vMerge/>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Pr>
            </w:pPr>
            <w:r w:rsidRPr="00623EB7">
              <w:rPr>
                <w:rFonts w:ascii="Arabic Typesetting" w:hAnsi="Arabic Typesetting" w:cs="Arabic Typesetting"/>
                <w:sz w:val="30"/>
                <w:szCs w:val="30"/>
                <w:rtl/>
              </w:rPr>
              <w:t>عدد اتفاقات التعاون والشراكات التي أُقيمت بما يتماشى مع الرؤية الجديدة للأكاديمية</w:t>
            </w:r>
          </w:p>
        </w:tc>
        <w:tc>
          <w:tcPr>
            <w:tcW w:w="1156" w:type="pct"/>
            <w:shd w:val="clear" w:color="auto" w:fill="FFFFFF"/>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tl/>
              </w:rPr>
            </w:pPr>
            <w:r w:rsidRPr="00623EB7">
              <w:rPr>
                <w:rFonts w:ascii="Arabic Typesetting" w:hAnsi="Arabic Typesetting" w:cs="Arabic Typesetting"/>
                <w:sz w:val="30"/>
                <w:szCs w:val="30"/>
                <w:rtl/>
              </w:rPr>
              <w:t>غير متاحة</w:t>
            </w:r>
          </w:p>
        </w:tc>
        <w:tc>
          <w:tcPr>
            <w:tcW w:w="1081" w:type="pct"/>
            <w:shd w:val="clear" w:color="auto" w:fill="auto"/>
            <w:tcMar>
              <w:top w:w="113" w:type="dxa"/>
            </w:tcMar>
          </w:tcPr>
          <w:p w:rsidR="00C912C2" w:rsidRPr="008954A8" w:rsidRDefault="00C912C2" w:rsidP="0031375C">
            <w:pPr>
              <w:keepNext/>
              <w:keepLines/>
              <w:adjustRightInd w:val="0"/>
              <w:snapToGrid w:val="0"/>
              <w:spacing w:before="60" w:after="60" w:line="300" w:lineRule="exact"/>
              <w:rPr>
                <w:rFonts w:ascii="Arabic Typesetting" w:hAnsi="Arabic Typesetting" w:cs="Arabic Typesetting"/>
                <w:b/>
                <w:sz w:val="30"/>
                <w:szCs w:val="30"/>
                <w:rtl/>
              </w:rPr>
            </w:pPr>
            <w:r w:rsidRPr="00623EB7">
              <w:rPr>
                <w:rFonts w:ascii="Arabic Typesetting" w:hAnsi="Arabic Typesetting" w:cs="Arabic Typesetting"/>
                <w:b/>
                <w:sz w:val="30"/>
                <w:szCs w:val="30"/>
                <w:rtl/>
              </w:rPr>
              <w:t>5</w:t>
            </w:r>
          </w:p>
        </w:tc>
      </w:tr>
      <w:tr w:rsidR="009800D4" w:rsidRPr="008954A8" w:rsidTr="0031375C">
        <w:trPr>
          <w:cantSplit/>
          <w:trHeight w:val="1151"/>
        </w:trPr>
        <w:tc>
          <w:tcPr>
            <w:tcW w:w="1249" w:type="pct"/>
            <w:vMerge/>
            <w:shd w:val="clear" w:color="auto" w:fill="auto"/>
            <w:tcMar>
              <w:top w:w="113" w:type="dxa"/>
            </w:tcMar>
          </w:tcPr>
          <w:p w:rsidR="009800D4" w:rsidRPr="008954A8" w:rsidRDefault="009800D4" w:rsidP="0031375C">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9800D4" w:rsidRPr="00623EB7" w:rsidRDefault="0017184F" w:rsidP="0017184F">
            <w:pPr>
              <w:adjustRightInd w:val="0"/>
              <w:snapToGrid w:val="0"/>
              <w:spacing w:before="60" w:after="60" w:line="300" w:lineRule="exact"/>
              <w:rPr>
                <w:rFonts w:ascii="Arabic Typesetting" w:hAnsi="Arabic Typesetting" w:cs="Arabic Typesetting"/>
                <w:sz w:val="30"/>
                <w:szCs w:val="30"/>
                <w:rtl/>
              </w:rPr>
            </w:pPr>
            <w:r w:rsidRPr="0017184F">
              <w:rPr>
                <w:rFonts w:ascii="Arabic Typesetting" w:hAnsi="Arabic Typesetting" w:cs="Arabic Typesetting" w:hint="cs"/>
                <w:sz w:val="30"/>
                <w:szCs w:val="30"/>
                <w:rtl/>
              </w:rPr>
              <w:t>نسبة الزيادة في عدد المشاركين في دورات التعلم عن البعد التي تنظمها الأكاديمية</w:t>
            </w:r>
          </w:p>
        </w:tc>
        <w:tc>
          <w:tcPr>
            <w:tcW w:w="1156" w:type="pct"/>
            <w:shd w:val="clear" w:color="auto" w:fill="FFFFFF"/>
            <w:tcMar>
              <w:top w:w="113" w:type="dxa"/>
            </w:tcMar>
          </w:tcPr>
          <w:p w:rsidR="009800D4" w:rsidRPr="00623EB7" w:rsidRDefault="0017184F" w:rsidP="0017184F">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000</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35 (2014)</w:t>
            </w:r>
          </w:p>
        </w:tc>
        <w:tc>
          <w:tcPr>
            <w:tcW w:w="1081" w:type="pct"/>
            <w:shd w:val="clear" w:color="auto" w:fill="auto"/>
            <w:tcMar>
              <w:top w:w="113" w:type="dxa"/>
            </w:tcMar>
          </w:tcPr>
          <w:p w:rsidR="009800D4" w:rsidRPr="00623EB7" w:rsidRDefault="0017184F" w:rsidP="0031375C">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10%</w:t>
            </w:r>
          </w:p>
        </w:tc>
      </w:tr>
      <w:tr w:rsidR="009800D4" w:rsidRPr="008954A8" w:rsidTr="0031375C">
        <w:trPr>
          <w:cantSplit/>
          <w:trHeight w:val="1151"/>
        </w:trPr>
        <w:tc>
          <w:tcPr>
            <w:tcW w:w="1249" w:type="pct"/>
            <w:vMerge/>
            <w:shd w:val="clear" w:color="auto" w:fill="auto"/>
            <w:tcMar>
              <w:top w:w="113" w:type="dxa"/>
            </w:tcMar>
          </w:tcPr>
          <w:p w:rsidR="009800D4" w:rsidRPr="008954A8" w:rsidRDefault="009800D4" w:rsidP="0031375C">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9800D4" w:rsidRPr="00623EB7" w:rsidRDefault="0017184F" w:rsidP="0017184F">
            <w:pPr>
              <w:adjustRightInd w:val="0"/>
              <w:snapToGrid w:val="0"/>
              <w:spacing w:before="60" w:after="60" w:line="300" w:lineRule="exact"/>
              <w:rPr>
                <w:rFonts w:ascii="Arabic Typesetting" w:hAnsi="Arabic Typesetting" w:cs="Arabic Typesetting"/>
                <w:sz w:val="30"/>
                <w:szCs w:val="30"/>
                <w:rtl/>
              </w:rPr>
            </w:pPr>
            <w:r w:rsidRPr="0017184F">
              <w:rPr>
                <w:rFonts w:ascii="Arabic Typesetting" w:hAnsi="Arabic Typesetting" w:cs="Arabic Typesetting" w:hint="cs"/>
                <w:sz w:val="30"/>
                <w:szCs w:val="30"/>
                <w:rtl/>
              </w:rPr>
              <w:t>عدد دورات التعلم عن بعد التي استُعرضت وحُدّثت</w:t>
            </w:r>
          </w:p>
        </w:tc>
        <w:tc>
          <w:tcPr>
            <w:tcW w:w="1156" w:type="pct"/>
            <w:shd w:val="clear" w:color="auto" w:fill="FFFFFF"/>
            <w:tcMar>
              <w:top w:w="113" w:type="dxa"/>
            </w:tcMar>
          </w:tcPr>
          <w:p w:rsidR="009800D4" w:rsidRPr="00623EB7" w:rsidRDefault="0017184F"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صفر</w:t>
            </w:r>
          </w:p>
        </w:tc>
        <w:tc>
          <w:tcPr>
            <w:tcW w:w="1081" w:type="pct"/>
            <w:shd w:val="clear" w:color="auto" w:fill="auto"/>
            <w:tcMar>
              <w:top w:w="113" w:type="dxa"/>
            </w:tcMar>
          </w:tcPr>
          <w:p w:rsidR="009800D4" w:rsidRPr="00623EB7" w:rsidRDefault="0017184F" w:rsidP="0031375C">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4</w:t>
            </w:r>
          </w:p>
        </w:tc>
      </w:tr>
      <w:tr w:rsidR="00C912C2" w:rsidRPr="008954A8" w:rsidTr="0031375C">
        <w:trPr>
          <w:cantSplit/>
          <w:trHeight w:val="962"/>
        </w:trPr>
        <w:tc>
          <w:tcPr>
            <w:tcW w:w="1249" w:type="pct"/>
            <w:vMerge/>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tl/>
              </w:rPr>
            </w:pPr>
            <w:r w:rsidRPr="00623EB7">
              <w:rPr>
                <w:rFonts w:ascii="Arabic Typesetting" w:hAnsi="Arabic Typesetting" w:cs="Arabic Typesetting"/>
                <w:sz w:val="30"/>
                <w:szCs w:val="30"/>
                <w:rtl/>
              </w:rPr>
              <w:t>عدد الأكاديميات الوطنية الناشئة التي أُنشئت في إطار المشروع وأصبحت مستدامةً</w:t>
            </w:r>
            <w:r w:rsidR="00563992" w:rsidRPr="00563992">
              <w:rPr>
                <w:rStyle w:val="FootnoteReference"/>
                <w:rFonts w:ascii="Arabic Typesetting" w:hAnsi="Arabic Typesetting" w:cs="Arabic Typesetting"/>
                <w:sz w:val="30"/>
                <w:rtl/>
              </w:rPr>
              <w:footnoteReference w:id="19"/>
            </w:r>
          </w:p>
        </w:tc>
        <w:tc>
          <w:tcPr>
            <w:tcW w:w="1156" w:type="pct"/>
            <w:shd w:val="clear" w:color="auto" w:fill="FFFFFF"/>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صفر</w:t>
            </w:r>
          </w:p>
        </w:tc>
        <w:tc>
          <w:tcPr>
            <w:tcW w:w="1081" w:type="pct"/>
            <w:shd w:val="clear" w:color="auto" w:fill="auto"/>
            <w:tcMar>
              <w:top w:w="113" w:type="dxa"/>
            </w:tcMar>
          </w:tcPr>
          <w:p w:rsidR="00C912C2" w:rsidRPr="008954A8" w:rsidRDefault="00C912C2" w:rsidP="0031375C">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4</w:t>
            </w:r>
          </w:p>
        </w:tc>
      </w:tr>
      <w:tr w:rsidR="00C912C2" w:rsidRPr="008954A8" w:rsidTr="0031375C">
        <w:trPr>
          <w:cantSplit/>
          <w:trHeight w:val="962"/>
        </w:trPr>
        <w:tc>
          <w:tcPr>
            <w:tcW w:w="1249" w:type="pct"/>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tl/>
              </w:rPr>
            </w:pPr>
            <w:r w:rsidRPr="00623EB7">
              <w:rPr>
                <w:rFonts w:ascii="Arabic Typesetting" w:hAnsi="Arabic Typesetting" w:cs="Arabic Typesetting"/>
                <w:sz w:val="30"/>
                <w:szCs w:val="30"/>
                <w:rtl/>
              </w:rPr>
              <w:t>دورات ومناهج جديدة ومُحسَّنة بشأن الملكية الفكرية في المؤسسات التعليمية</w:t>
            </w:r>
          </w:p>
        </w:tc>
        <w:tc>
          <w:tcPr>
            <w:tcW w:w="1156" w:type="pct"/>
            <w:shd w:val="clear" w:color="auto" w:fill="FFFFFF"/>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5</w:t>
            </w:r>
          </w:p>
        </w:tc>
        <w:tc>
          <w:tcPr>
            <w:tcW w:w="1081" w:type="pct"/>
            <w:shd w:val="clear" w:color="auto" w:fill="auto"/>
            <w:tcMar>
              <w:top w:w="113" w:type="dxa"/>
            </w:tcMar>
          </w:tcPr>
          <w:p w:rsidR="00C912C2" w:rsidRPr="008954A8" w:rsidRDefault="00C912C2" w:rsidP="0031375C">
            <w:pPr>
              <w:keepNext/>
              <w:keepLines/>
              <w:adjustRightInd w:val="0"/>
              <w:snapToGrid w:val="0"/>
              <w:spacing w:before="60" w:after="60" w:line="300" w:lineRule="exact"/>
              <w:rPr>
                <w:rFonts w:ascii="Arabic Typesetting" w:hAnsi="Arabic Typesetting" w:cs="Arabic Typesetting"/>
                <w:b/>
                <w:sz w:val="30"/>
                <w:szCs w:val="30"/>
                <w:rtl/>
              </w:rPr>
            </w:pPr>
            <w:r w:rsidRPr="00623EB7">
              <w:rPr>
                <w:rFonts w:ascii="Arabic Typesetting" w:hAnsi="Arabic Typesetting" w:cs="Arabic Typesetting"/>
                <w:b/>
                <w:sz w:val="30"/>
                <w:szCs w:val="30"/>
                <w:rtl/>
              </w:rPr>
              <w:t>زيادة بنسبة 20%</w:t>
            </w:r>
          </w:p>
        </w:tc>
      </w:tr>
      <w:tr w:rsidR="00C912C2" w:rsidRPr="008954A8" w:rsidTr="0031375C">
        <w:trPr>
          <w:cantSplit/>
          <w:trHeight w:val="836"/>
        </w:trPr>
        <w:tc>
          <w:tcPr>
            <w:tcW w:w="1249" w:type="pct"/>
            <w:shd w:val="clear" w:color="auto" w:fill="auto"/>
            <w:tcMar>
              <w:top w:w="113" w:type="dxa"/>
            </w:tcMar>
          </w:tcPr>
          <w:p w:rsidR="00C912C2" w:rsidRPr="008954A8" w:rsidRDefault="00C912C2" w:rsidP="0031375C">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C912C2" w:rsidRPr="00623EB7" w:rsidRDefault="00C912C2" w:rsidP="0031375C">
            <w:pPr>
              <w:adjustRightInd w:val="0"/>
              <w:snapToGrid w:val="0"/>
              <w:spacing w:before="60" w:after="60" w:line="300" w:lineRule="exact"/>
              <w:rPr>
                <w:rFonts w:ascii="Arabic Typesetting" w:hAnsi="Arabic Typesetting" w:cs="Arabic Typesetting"/>
                <w:sz w:val="30"/>
                <w:szCs w:val="30"/>
                <w:rtl/>
              </w:rPr>
            </w:pPr>
            <w:r w:rsidRPr="00623EB7">
              <w:rPr>
                <w:rFonts w:ascii="Arabic Typesetting" w:hAnsi="Arabic Typesetting" w:cs="Arabic Typesetting"/>
                <w:sz w:val="30"/>
                <w:szCs w:val="30"/>
                <w:rtl/>
              </w:rPr>
              <w:t>تعزيز التوازن في التوزيع الجغرافي للمدارس الصيفية</w:t>
            </w:r>
          </w:p>
        </w:tc>
        <w:tc>
          <w:tcPr>
            <w:tcW w:w="1156" w:type="pct"/>
            <w:shd w:val="clear" w:color="auto" w:fill="FFFFFF"/>
            <w:tcMar>
              <w:top w:w="113" w:type="dxa"/>
            </w:tcMar>
          </w:tcPr>
          <w:p w:rsidR="00C912C2" w:rsidRDefault="00C912C2" w:rsidP="0031375C">
            <w:pPr>
              <w:adjustRightInd w:val="0"/>
              <w:snapToGrid w:val="0"/>
              <w:spacing w:before="60" w:after="60" w:line="300" w:lineRule="exact"/>
              <w:rPr>
                <w:rFonts w:ascii="Arabic Typesetting" w:hAnsi="Arabic Typesetting" w:cs="Arabic Typesetting"/>
                <w:sz w:val="30"/>
                <w:szCs w:val="30"/>
                <w:rtl/>
              </w:rPr>
            </w:pPr>
            <w:r w:rsidRPr="00623EB7">
              <w:rPr>
                <w:rFonts w:ascii="Arabic Typesetting" w:hAnsi="Arabic Typesetting" w:cs="Arabic Typesetting"/>
                <w:sz w:val="30"/>
                <w:szCs w:val="30"/>
                <w:rtl/>
              </w:rPr>
              <w:t>6 مناطق</w:t>
            </w:r>
          </w:p>
        </w:tc>
        <w:tc>
          <w:tcPr>
            <w:tcW w:w="1081" w:type="pct"/>
            <w:shd w:val="clear" w:color="auto" w:fill="auto"/>
            <w:tcMar>
              <w:top w:w="113" w:type="dxa"/>
            </w:tcMar>
          </w:tcPr>
          <w:p w:rsidR="00C912C2" w:rsidRPr="00623EB7" w:rsidRDefault="00C912C2" w:rsidP="0031375C">
            <w:pPr>
              <w:keepNext/>
              <w:keepLines/>
              <w:adjustRightInd w:val="0"/>
              <w:snapToGrid w:val="0"/>
              <w:spacing w:before="60" w:after="60" w:line="300" w:lineRule="exact"/>
              <w:rPr>
                <w:rFonts w:ascii="Arabic Typesetting" w:hAnsi="Arabic Typesetting" w:cs="Arabic Typesetting"/>
                <w:b/>
                <w:sz w:val="30"/>
                <w:szCs w:val="30"/>
                <w:rtl/>
              </w:rPr>
            </w:pPr>
            <w:r w:rsidRPr="00623EB7">
              <w:rPr>
                <w:rFonts w:ascii="Arabic Typesetting" w:hAnsi="Arabic Typesetting" w:cs="Arabic Typesetting"/>
                <w:b/>
                <w:sz w:val="30"/>
                <w:szCs w:val="30"/>
                <w:rtl/>
              </w:rPr>
              <w:t>7 مناطق</w:t>
            </w:r>
          </w:p>
        </w:tc>
      </w:tr>
    </w:tbl>
    <w:p w:rsidR="00C912C2" w:rsidRDefault="00C912C2" w:rsidP="0031375C">
      <w:pPr>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p>
    <w:p w:rsidR="00C912C2" w:rsidRDefault="00C912C2" w:rsidP="0031375C">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r>
        <w:rPr>
          <w:rFonts w:ascii="Arabic Typesetting" w:hAnsi="Arabic Typesetting" w:cs="Arabic Typesetting" w:hint="cs"/>
          <w:b/>
          <w:sz w:val="38"/>
          <w:szCs w:val="38"/>
          <w:rtl/>
        </w:rPr>
        <w:t>الموارد المخصصة للبرنامج 11</w:t>
      </w:r>
    </w:p>
    <w:p w:rsidR="00C912C2" w:rsidRDefault="00C912C2" w:rsidP="0031375C">
      <w:pPr>
        <w:pStyle w:val="ONUMFS"/>
        <w:tabs>
          <w:tab w:val="num" w:pos="360"/>
        </w:tabs>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يشهد إجمالي الموارد المخصصة للبرنامج 11 زيادة بنسبة 13.9 بالمائة في الثنائية 2016/17 مقارنة بميزانية 2014/15 بعد التحويلات. وتُعزى هذه الزيادة أساسا إلى: "1" إعادة التوزيع الداخلي للموارد على أكاديمية الويبو دعما لعملية الإصلاح الجارية، "2" وتخصيص موارد من الميزانية لأغراض مشروع جدول أعمال التنمية الجديد المعنون "التعاون مع معاهد التدريب القضائي في البلدان النامية والبلدان الأقل نموا".</w:t>
      </w:r>
    </w:p>
    <w:p w:rsidR="00C912C2" w:rsidRPr="008954A8" w:rsidRDefault="00C912C2" w:rsidP="0031375C">
      <w:pPr>
        <w:pStyle w:val="ARNormal"/>
        <w:keepNext/>
        <w:spacing w:after="0"/>
        <w:jc w:val="center"/>
        <w:rPr>
          <w:b/>
          <w:bCs/>
          <w:rtl/>
        </w:rPr>
      </w:pPr>
      <w:r w:rsidRPr="008954A8">
        <w:rPr>
          <w:rFonts w:hint="cs"/>
          <w:b/>
          <w:bCs/>
          <w:rtl/>
        </w:rPr>
        <w:t xml:space="preserve">البرنامج </w:t>
      </w:r>
      <w:r>
        <w:rPr>
          <w:rFonts w:hint="cs"/>
          <w:b/>
          <w:bCs/>
          <w:rtl/>
        </w:rPr>
        <w:t>11</w:t>
      </w:r>
      <w:r w:rsidRPr="008954A8">
        <w:rPr>
          <w:rFonts w:hint="cs"/>
          <w:b/>
          <w:bCs/>
          <w:rtl/>
        </w:rPr>
        <w:t>: الموارد بحسب كل نتيجة</w:t>
      </w:r>
    </w:p>
    <w:p w:rsidR="00C912C2" w:rsidRPr="008954A8" w:rsidRDefault="00C912C2" w:rsidP="0031375C">
      <w:pPr>
        <w:pStyle w:val="ARNormal"/>
        <w:spacing w:after="0"/>
        <w:jc w:val="center"/>
        <w:rPr>
          <w:i/>
          <w:iCs/>
        </w:rPr>
      </w:pPr>
      <w:r w:rsidRPr="008954A8">
        <w:rPr>
          <w:rFonts w:hint="cs"/>
          <w:i/>
          <w:iCs/>
          <w:rtl/>
        </w:rPr>
        <w:t>(بآلاف الفرنكات السويسرية)</w:t>
      </w:r>
    </w:p>
    <w:p w:rsidR="00C912C2" w:rsidRDefault="00D94F9D" w:rsidP="00D94F9D">
      <w:pPr>
        <w:jc w:val="center"/>
        <w:rPr>
          <w:rFonts w:ascii="Arabic Typesetting" w:hAnsi="Arabic Typesetting" w:cs="Arabic Typesetting"/>
          <w:sz w:val="34"/>
          <w:szCs w:val="34"/>
          <w:rtl/>
          <w:lang w:eastAsia="x-none"/>
        </w:rPr>
      </w:pPr>
      <w:r w:rsidRPr="00D94F9D">
        <w:rPr>
          <w:noProof/>
          <w:szCs w:val="20"/>
          <w:rtl/>
          <w:lang w:bidi="ar-SA"/>
        </w:rPr>
        <w:drawing>
          <wp:inline distT="0" distB="0" distL="0" distR="0" wp14:anchorId="378B2BBD" wp14:editId="7119B817">
            <wp:extent cx="5676900" cy="120015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676900" cy="1200150"/>
                    </a:xfrm>
                    <a:prstGeom prst="rect">
                      <a:avLst/>
                    </a:prstGeom>
                    <a:noFill/>
                    <a:ln>
                      <a:noFill/>
                    </a:ln>
                  </pic:spPr>
                </pic:pic>
              </a:graphicData>
            </a:graphic>
          </wp:inline>
        </w:drawing>
      </w:r>
    </w:p>
    <w:p w:rsidR="00C912C2" w:rsidRPr="008954A8" w:rsidRDefault="00C912C2" w:rsidP="0031375C">
      <w:pPr>
        <w:pStyle w:val="ARNormal"/>
        <w:keepNext/>
        <w:spacing w:after="0"/>
        <w:jc w:val="center"/>
        <w:rPr>
          <w:b/>
          <w:bCs/>
          <w:rtl/>
        </w:rPr>
      </w:pPr>
      <w:r w:rsidRPr="008954A8">
        <w:rPr>
          <w:rFonts w:hint="cs"/>
          <w:b/>
          <w:bCs/>
          <w:rtl/>
        </w:rPr>
        <w:lastRenderedPageBreak/>
        <w:t xml:space="preserve">البرنامج </w:t>
      </w:r>
      <w:r>
        <w:rPr>
          <w:rFonts w:hint="cs"/>
          <w:b/>
          <w:bCs/>
          <w:rtl/>
        </w:rPr>
        <w:t>11</w:t>
      </w:r>
      <w:r w:rsidRPr="008954A8">
        <w:rPr>
          <w:rFonts w:hint="cs"/>
          <w:b/>
          <w:bCs/>
          <w:rtl/>
        </w:rPr>
        <w:t>: الموارد بحسب غرض الإنفاق</w:t>
      </w:r>
    </w:p>
    <w:p w:rsidR="00C912C2" w:rsidRPr="008954A8" w:rsidRDefault="00C912C2" w:rsidP="00D94F9D">
      <w:pPr>
        <w:pStyle w:val="ARNormal"/>
        <w:keepNext/>
        <w:spacing w:after="0"/>
        <w:ind w:left="720"/>
        <w:jc w:val="center"/>
        <w:rPr>
          <w:i/>
          <w:iCs/>
        </w:rPr>
      </w:pPr>
      <w:r w:rsidRPr="008954A8">
        <w:rPr>
          <w:rFonts w:hint="cs"/>
          <w:i/>
          <w:iCs/>
          <w:rtl/>
        </w:rPr>
        <w:t>(بآلاف الفرنكات السويسرية)</w:t>
      </w:r>
    </w:p>
    <w:p w:rsidR="00D94F9D" w:rsidRDefault="00D94F9D" w:rsidP="00D94F9D">
      <w:pPr>
        <w:jc w:val="center"/>
        <w:rPr>
          <w:rFonts w:ascii="Arabic Typesetting" w:hAnsi="Arabic Typesetting" w:cs="Arabic Typesetting"/>
          <w:sz w:val="34"/>
          <w:szCs w:val="34"/>
          <w:rtl/>
        </w:rPr>
      </w:pPr>
      <w:r w:rsidRPr="00D94F9D">
        <w:rPr>
          <w:rFonts w:hint="cs"/>
          <w:noProof/>
          <w:szCs w:val="20"/>
          <w:rtl/>
          <w:lang w:bidi="ar-SA"/>
        </w:rPr>
        <w:drawing>
          <wp:inline distT="0" distB="0" distL="0" distR="0" wp14:anchorId="02B840AC" wp14:editId="7195B2C4">
            <wp:extent cx="5514975" cy="6943725"/>
            <wp:effectExtent l="0" t="0" r="9525"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14975" cy="6943725"/>
                    </a:xfrm>
                    <a:prstGeom prst="rect">
                      <a:avLst/>
                    </a:prstGeom>
                    <a:noFill/>
                    <a:ln>
                      <a:noFill/>
                    </a:ln>
                  </pic:spPr>
                </pic:pic>
              </a:graphicData>
            </a:graphic>
          </wp:inline>
        </w:drawing>
      </w:r>
    </w:p>
    <w:p w:rsidR="00C912C2" w:rsidRDefault="00C912C2" w:rsidP="00D94F9D">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C912C2" w:rsidRPr="00293863" w:rsidRDefault="00C912C2" w:rsidP="0031375C">
      <w:pPr>
        <w:pStyle w:val="ARNormal"/>
        <w:keepNext/>
        <w:spacing w:after="0"/>
        <w:jc w:val="center"/>
        <w:rPr>
          <w:b/>
          <w:bCs/>
          <w:rtl/>
        </w:rPr>
      </w:pPr>
      <w:r w:rsidRPr="00487D33">
        <w:rPr>
          <w:rFonts w:hint="cs"/>
          <w:b/>
          <w:bCs/>
          <w:rtl/>
        </w:rPr>
        <w:lastRenderedPageBreak/>
        <w:t>الموارد الاستئمانية المحتمل توافرها لأغراض البرامج في</w:t>
      </w:r>
      <w:r w:rsidRPr="00487D33">
        <w:rPr>
          <w:b/>
          <w:bCs/>
          <w:rtl/>
        </w:rPr>
        <w:t xml:space="preserve"> </w:t>
      </w:r>
      <w:r>
        <w:rPr>
          <w:rFonts w:hint="cs"/>
          <w:b/>
          <w:bCs/>
          <w:rtl/>
        </w:rPr>
        <w:t>2016</w:t>
      </w:r>
      <w:r w:rsidRPr="00487D33">
        <w:rPr>
          <w:b/>
          <w:bCs/>
          <w:rtl/>
        </w:rPr>
        <w:t>/</w:t>
      </w:r>
      <w:r>
        <w:rPr>
          <w:rFonts w:hint="cs"/>
          <w:b/>
          <w:bCs/>
          <w:rtl/>
        </w:rPr>
        <w:t>17 (بحسب البرنامج)</w:t>
      </w:r>
      <w:r w:rsidRPr="00487D33">
        <w:rPr>
          <w:rFonts w:hint="cs"/>
          <w:b/>
          <w:bCs/>
          <w:vertAlign w:val="superscript"/>
          <w:rtl/>
        </w:rPr>
        <w:t>1</w:t>
      </w:r>
    </w:p>
    <w:p w:rsidR="00C912C2" w:rsidRPr="00487D33" w:rsidRDefault="00C912C2" w:rsidP="0031375C">
      <w:pPr>
        <w:pStyle w:val="ARNormal"/>
        <w:spacing w:after="0"/>
        <w:ind w:left="720"/>
        <w:jc w:val="center"/>
        <w:rPr>
          <w:i/>
          <w:iCs/>
          <w:rtl/>
        </w:rPr>
      </w:pPr>
      <w:r w:rsidRPr="00487D33">
        <w:rPr>
          <w:i/>
          <w:iCs/>
          <w:rtl/>
        </w:rPr>
        <w:t>(بآلاف الفرنكات السويسرية)</w:t>
      </w:r>
    </w:p>
    <w:p w:rsidR="00C912C2" w:rsidRPr="008954A8" w:rsidRDefault="00D94F9D" w:rsidP="0031375C">
      <w:pPr>
        <w:pStyle w:val="ARNormal"/>
        <w:spacing w:line="240" w:lineRule="auto"/>
        <w:jc w:val="center"/>
        <w:rPr>
          <w:sz w:val="30"/>
          <w:szCs w:val="30"/>
          <w:rtl/>
        </w:rPr>
      </w:pPr>
      <w:r w:rsidRPr="00D94F9D">
        <w:rPr>
          <w:noProof/>
          <w:rtl/>
          <w:lang w:val="en-US"/>
        </w:rPr>
        <w:drawing>
          <wp:inline distT="0" distB="0" distL="0" distR="0" wp14:anchorId="16F7F076" wp14:editId="40D08E72">
            <wp:extent cx="5939790" cy="931732"/>
            <wp:effectExtent l="0" t="0" r="3810" b="190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39790" cy="931732"/>
                    </a:xfrm>
                    <a:prstGeom prst="rect">
                      <a:avLst/>
                    </a:prstGeom>
                    <a:noFill/>
                    <a:ln>
                      <a:noFill/>
                    </a:ln>
                  </pic:spPr>
                </pic:pic>
              </a:graphicData>
            </a:graphic>
          </wp:inline>
        </w:drawing>
      </w:r>
    </w:p>
    <w:p w:rsidR="00C912C2" w:rsidRPr="004B2C22" w:rsidRDefault="00C912C2" w:rsidP="0031375C">
      <w:pPr>
        <w:adjustRightInd w:val="0"/>
        <w:snapToGrid w:val="0"/>
        <w:spacing w:after="120"/>
        <w:ind w:left="1242"/>
        <w:jc w:val="both"/>
        <w:rPr>
          <w:rFonts w:ascii="Arabic Typesetting" w:hAnsi="Arabic Typesetting" w:cs="Arabic Typesetting"/>
          <w:i/>
          <w:iCs/>
          <w:sz w:val="24"/>
          <w:rtl/>
        </w:rPr>
      </w:pPr>
      <w:r w:rsidRPr="00487D33">
        <w:rPr>
          <w:rFonts w:ascii="Arabic Typesetting" w:hAnsi="Arabic Typesetting" w:cs="Arabic Typesetting" w:hint="cs"/>
          <w:i/>
          <w:iCs/>
          <w:sz w:val="24"/>
          <w:vertAlign w:val="superscript"/>
          <w:rtl/>
        </w:rPr>
        <w:t>1</w:t>
      </w:r>
      <w:r w:rsidRPr="00487D33">
        <w:rPr>
          <w:rFonts w:ascii="Arabic Typesetting" w:hAnsi="Arabic Typesetting" w:cs="Arabic Typesetting" w:hint="cs"/>
          <w:i/>
          <w:iCs/>
          <w:sz w:val="24"/>
          <w:rtl/>
        </w:rPr>
        <w:t xml:space="preserve"> </w:t>
      </w:r>
      <w:r w:rsidRPr="004B2C22">
        <w:rPr>
          <w:rFonts w:ascii="Arabic Typesetting" w:hAnsi="Arabic Typesetting" w:cs="Arabic Typesetting"/>
          <w:i/>
          <w:iCs/>
          <w:sz w:val="24"/>
          <w:rtl/>
        </w:rPr>
        <w:t>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4B2C22">
        <w:rPr>
          <w:rFonts w:ascii="Arabic Typesetting" w:hAnsi="Arabic Typesetting" w:cs="Arabic Typesetting"/>
          <w:i/>
          <w:iCs/>
          <w:sz w:val="24"/>
        </w:rPr>
        <w:t>.</w:t>
      </w:r>
    </w:p>
    <w:p w:rsidR="00C912C2" w:rsidRDefault="00C912C2" w:rsidP="0031375C">
      <w:pPr>
        <w:adjustRightInd w:val="0"/>
        <w:snapToGrid w:val="0"/>
        <w:spacing w:after="120"/>
        <w:ind w:left="1242"/>
        <w:jc w:val="both"/>
        <w:rPr>
          <w:rFonts w:ascii="Arabic Typesetting" w:hAnsi="Arabic Typesetting" w:cs="Arabic Typesetting"/>
          <w:i/>
          <w:iCs/>
          <w:sz w:val="24"/>
          <w:rtl/>
        </w:rPr>
      </w:pPr>
      <w:r w:rsidRPr="00487D33">
        <w:rPr>
          <w:rFonts w:ascii="Arabic Typesetting" w:hAnsi="Arabic Typesetting" w:cs="Arabic Typesetting" w:hint="cs"/>
          <w:i/>
          <w:iCs/>
          <w:sz w:val="24"/>
          <w:vertAlign w:val="superscript"/>
          <w:rtl/>
        </w:rPr>
        <w:t>2</w:t>
      </w:r>
      <w:r w:rsidRPr="00487D33">
        <w:rPr>
          <w:rFonts w:ascii="Arabic Typesetting" w:hAnsi="Arabic Typesetting" w:cs="Arabic Typesetting" w:hint="cs"/>
          <w:i/>
          <w:iCs/>
          <w:sz w:val="24"/>
          <w:rtl/>
        </w:rPr>
        <w:t xml:space="preserve"> </w:t>
      </w:r>
      <w:r w:rsidRPr="00487D33">
        <w:rPr>
          <w:rFonts w:ascii="Arabic Typesetting" w:hAnsi="Arabic Typesetting" w:cs="Arabic Typesetting"/>
          <w:i/>
          <w:iCs/>
          <w:sz w:val="24"/>
          <w:rtl/>
        </w:rPr>
        <w:t xml:space="preserve">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87D33">
        <w:rPr>
          <w:rFonts w:ascii="Arabic Typesetting" w:hAnsi="Arabic Typesetting" w:cs="Arabic Typesetting"/>
          <w:i/>
          <w:iCs/>
          <w:sz w:val="24"/>
          <w:rtl/>
        </w:rPr>
        <w:t>الاستئماني</w:t>
      </w:r>
      <w:proofErr w:type="spellEnd"/>
      <w:r w:rsidRPr="00487D33">
        <w:rPr>
          <w:rFonts w:ascii="Arabic Typesetting" w:hAnsi="Arabic Typesetting" w:cs="Arabic Typesetting"/>
          <w:i/>
          <w:iCs/>
          <w:sz w:val="24"/>
          <w:rtl/>
        </w:rPr>
        <w:t xml:space="preserve"> التزاما من هذا القبيل</w:t>
      </w:r>
      <w:r w:rsidRPr="00487D33">
        <w:rPr>
          <w:rFonts w:ascii="Arabic Typesetting" w:hAnsi="Arabic Typesetting" w:cs="Arabic Typesetting"/>
          <w:i/>
          <w:iCs/>
          <w:sz w:val="24"/>
        </w:rPr>
        <w:t>.</w:t>
      </w:r>
    </w:p>
    <w:p w:rsidR="00C912C2" w:rsidRPr="00487D33" w:rsidRDefault="00C912C2" w:rsidP="0031375C">
      <w:pPr>
        <w:adjustRightInd w:val="0"/>
        <w:snapToGrid w:val="0"/>
        <w:spacing w:after="120"/>
        <w:ind w:left="1242"/>
        <w:jc w:val="both"/>
        <w:rPr>
          <w:rFonts w:ascii="Arabic Typesetting" w:hAnsi="Arabic Typesetting" w:cs="Arabic Typesetting"/>
          <w:i/>
          <w:iCs/>
          <w:sz w:val="24"/>
          <w:rtl/>
        </w:rPr>
      </w:pPr>
      <w:r w:rsidRPr="00487D33">
        <w:rPr>
          <w:rFonts w:ascii="Arabic Typesetting" w:hAnsi="Arabic Typesetting" w:cs="Arabic Typesetting" w:hint="cs"/>
          <w:i/>
          <w:iCs/>
          <w:sz w:val="24"/>
          <w:vertAlign w:val="superscript"/>
          <w:rtl/>
        </w:rPr>
        <w:t>3</w:t>
      </w:r>
      <w:r w:rsidRPr="00487D33">
        <w:rPr>
          <w:rFonts w:ascii="Arabic Typesetting" w:hAnsi="Arabic Typesetting" w:cs="Arabic Typesetting" w:hint="cs"/>
          <w:i/>
          <w:iCs/>
          <w:sz w:val="24"/>
          <w:rtl/>
        </w:rPr>
        <w:t xml:space="preserve"> </w:t>
      </w:r>
      <w:r>
        <w:rPr>
          <w:rFonts w:ascii="Arabic Typesetting" w:hAnsi="Arabic Typesetting" w:cs="Arabic Typesetting" w:hint="cs"/>
          <w:i/>
          <w:iCs/>
          <w:sz w:val="24"/>
          <w:rtl/>
        </w:rPr>
        <w:t>يأخذ الرصيد المتوقع في نهاية 2015 في الحسبان الأعباء المالية والالتزامات</w:t>
      </w:r>
      <w:r w:rsidRPr="00487D33">
        <w:rPr>
          <w:rFonts w:ascii="Arabic Typesetting" w:hAnsi="Arabic Typesetting" w:cs="Arabic Typesetting" w:hint="cs"/>
          <w:i/>
          <w:iCs/>
          <w:sz w:val="24"/>
          <w:rtl/>
        </w:rPr>
        <w:t>.</w:t>
      </w:r>
    </w:p>
    <w:p w:rsidR="00C912C2" w:rsidRPr="00681947" w:rsidRDefault="00C912C2" w:rsidP="0031375C">
      <w:pPr>
        <w:pStyle w:val="ONUMFS"/>
        <w:numPr>
          <w:ilvl w:val="0"/>
          <w:numId w:val="0"/>
        </w:numPr>
        <w:tabs>
          <w:tab w:val="num" w:pos="683"/>
        </w:tabs>
        <w:spacing w:after="120" w:line="340" w:lineRule="exact"/>
        <w:rPr>
          <w:rFonts w:ascii="Arabic Typesetting" w:hAnsi="Arabic Typesetting" w:cs="Arabic Typesetting"/>
          <w:sz w:val="34"/>
          <w:szCs w:val="34"/>
          <w:rtl/>
          <w:lang w:val="en-US"/>
        </w:rPr>
      </w:pPr>
    </w:p>
    <w:p w:rsidR="00D94F9D" w:rsidRDefault="00D94F9D">
      <w:pPr>
        <w:bidi w:val="0"/>
        <w:rPr>
          <w:rFonts w:ascii="Arabic Typesetting" w:hAnsi="Arabic Typesetting" w:cs="Arabic Typesetting"/>
          <w:sz w:val="34"/>
          <w:szCs w:val="34"/>
          <w:rtl/>
          <w:lang w:val="fr-CH"/>
        </w:rPr>
      </w:pPr>
      <w:r>
        <w:rPr>
          <w:rtl/>
        </w:rPr>
        <w:br w:type="page"/>
      </w:r>
    </w:p>
    <w:p w:rsidR="00386BD0" w:rsidRPr="00702982" w:rsidRDefault="00386BD0" w:rsidP="0031375C">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55" w:name="_Toc364355373"/>
      <w:bookmarkStart w:id="56" w:name="_Toc420595512"/>
      <w:bookmarkStart w:id="57" w:name="_Toc358745221"/>
      <w:r w:rsidRPr="00702982">
        <w:rPr>
          <w:rFonts w:ascii="Arabic Typesetting" w:hAnsi="Arabic Typesetting" w:cs="Arabic Typesetting" w:hint="cs"/>
          <w:bCs/>
          <w:iCs w:val="0"/>
          <w:noProof/>
          <w:sz w:val="42"/>
          <w:szCs w:val="42"/>
          <w:rtl/>
        </w:rPr>
        <w:lastRenderedPageBreak/>
        <w:t>البرنامج 30</w:t>
      </w:r>
      <w:r w:rsidRPr="00702982">
        <w:rPr>
          <w:rFonts w:ascii="Arabic Typesetting" w:hAnsi="Arabic Typesetting" w:cs="Arabic Typesetting"/>
          <w:bCs/>
          <w:iCs w:val="0"/>
          <w:noProof/>
          <w:sz w:val="42"/>
          <w:szCs w:val="42"/>
          <w:rtl/>
        </w:rPr>
        <w:tab/>
      </w:r>
      <w:bookmarkEnd w:id="55"/>
      <w:r w:rsidRPr="00702982">
        <w:rPr>
          <w:rFonts w:ascii="Arabic Typesetting" w:hAnsi="Arabic Typesetting" w:cs="Arabic Typesetting"/>
          <w:bCs/>
          <w:iCs w:val="0"/>
          <w:noProof/>
          <w:sz w:val="42"/>
          <w:szCs w:val="42"/>
          <w:rtl/>
        </w:rPr>
        <w:t>الشركات الصغيرة والمتوسطة ودعم المقاولة</w:t>
      </w:r>
      <w:bookmarkEnd w:id="56"/>
    </w:p>
    <w:p w:rsidR="00386BD0" w:rsidRPr="008954A8" w:rsidRDefault="00386BD0" w:rsidP="0031375C">
      <w:pPr>
        <w:pStyle w:val="BodyTextIndent"/>
        <w:keepNext/>
        <w:bidi/>
        <w:adjustRightInd w:val="0"/>
        <w:snapToGrid w:val="0"/>
        <w:spacing w:after="240" w:line="360" w:lineRule="exact"/>
        <w:ind w:left="0"/>
        <w:jc w:val="both"/>
        <w:rPr>
          <w:rFonts w:ascii="Arabic Typesetting" w:hAnsi="Arabic Typesetting" w:cs="Arabic Typesetting"/>
          <w:sz w:val="38"/>
          <w:szCs w:val="38"/>
          <w:rtl/>
        </w:rPr>
      </w:pPr>
      <w:r w:rsidRPr="008954A8">
        <w:rPr>
          <w:rFonts w:ascii="Arabic Typesetting" w:hAnsi="Arabic Typesetting" w:cs="Arabic Typesetting" w:hint="cs"/>
          <w:sz w:val="38"/>
          <w:szCs w:val="38"/>
          <w:rtl/>
        </w:rPr>
        <w:t>سياق التخطيط</w:t>
      </w:r>
    </w:p>
    <w:p w:rsidR="00386BD0"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r>
        <w:rPr>
          <w:rFonts w:ascii="Arabic Typesetting" w:hAnsi="Arabic Typesetting" w:cs="Arabic Typesetting" w:hint="cs"/>
          <w:b w:val="0"/>
          <w:bCs w:val="0"/>
          <w:iCs w:val="0"/>
          <w:caps w:val="0"/>
          <w:szCs w:val="34"/>
          <w:rtl/>
          <w:lang w:val="en-US"/>
        </w:rPr>
        <w:t xml:space="preserve">تسهم </w:t>
      </w:r>
      <w:r w:rsidRPr="009C2A34">
        <w:rPr>
          <w:rFonts w:ascii="Arabic Typesetting" w:hAnsi="Arabic Typesetting" w:cs="Arabic Typesetting"/>
          <w:b w:val="0"/>
          <w:bCs w:val="0"/>
          <w:iCs w:val="0"/>
          <w:caps w:val="0"/>
          <w:szCs w:val="34"/>
          <w:rtl/>
          <w:lang w:val="en-US"/>
        </w:rPr>
        <w:t xml:space="preserve">الشركات الصغيرة والمتوسطة في </w:t>
      </w:r>
      <w:r>
        <w:rPr>
          <w:rFonts w:ascii="Arabic Typesetting" w:hAnsi="Arabic Typesetting" w:cs="Arabic Typesetting" w:hint="cs"/>
          <w:b w:val="0"/>
          <w:bCs w:val="0"/>
          <w:iCs w:val="0"/>
          <w:caps w:val="0"/>
          <w:szCs w:val="34"/>
          <w:rtl/>
          <w:lang w:val="en-US"/>
        </w:rPr>
        <w:t>شتى</w:t>
      </w:r>
      <w:r w:rsidRPr="009C2A34">
        <w:rPr>
          <w:rFonts w:ascii="Arabic Typesetting" w:hAnsi="Arabic Typesetting" w:cs="Arabic Typesetting"/>
          <w:b w:val="0"/>
          <w:bCs w:val="0"/>
          <w:iCs w:val="0"/>
          <w:caps w:val="0"/>
          <w:szCs w:val="34"/>
          <w:rtl/>
          <w:lang w:val="en-US"/>
        </w:rPr>
        <w:t xml:space="preserve"> بلدان العالم إسهاما</w:t>
      </w:r>
      <w:r>
        <w:rPr>
          <w:rFonts w:ascii="Arabic Typesetting" w:hAnsi="Arabic Typesetting" w:cs="Arabic Typesetting" w:hint="cs"/>
          <w:b w:val="0"/>
          <w:bCs w:val="0"/>
          <w:iCs w:val="0"/>
          <w:caps w:val="0"/>
          <w:szCs w:val="34"/>
          <w:rtl/>
          <w:lang w:val="en-US"/>
        </w:rPr>
        <w:t>ً</w:t>
      </w:r>
      <w:r w:rsidRPr="009C2A34">
        <w:rPr>
          <w:rFonts w:ascii="Arabic Typesetting" w:hAnsi="Arabic Typesetting" w:cs="Arabic Typesetting"/>
          <w:b w:val="0"/>
          <w:bCs w:val="0"/>
          <w:iCs w:val="0"/>
          <w:caps w:val="0"/>
          <w:szCs w:val="34"/>
          <w:rtl/>
          <w:lang w:val="en-US"/>
        </w:rPr>
        <w:t xml:space="preserve"> كبير</w:t>
      </w:r>
      <w:r>
        <w:rPr>
          <w:rFonts w:ascii="Arabic Typesetting" w:hAnsi="Arabic Typesetting" w:cs="Arabic Typesetting" w:hint="cs"/>
          <w:b w:val="0"/>
          <w:bCs w:val="0"/>
          <w:iCs w:val="0"/>
          <w:caps w:val="0"/>
          <w:szCs w:val="34"/>
          <w:rtl/>
          <w:lang w:val="en-US"/>
        </w:rPr>
        <w:t>اً</w:t>
      </w:r>
      <w:r w:rsidRPr="009C2A34">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 xml:space="preserve">في </w:t>
      </w:r>
      <w:r w:rsidRPr="009C2A34">
        <w:rPr>
          <w:rFonts w:ascii="Arabic Typesetting" w:hAnsi="Arabic Typesetting" w:cs="Arabic Typesetting"/>
          <w:b w:val="0"/>
          <w:bCs w:val="0"/>
          <w:iCs w:val="0"/>
          <w:caps w:val="0"/>
          <w:szCs w:val="34"/>
          <w:rtl/>
          <w:lang w:val="en-US"/>
        </w:rPr>
        <w:t>الناتج المحلي الإجمالي، وتو</w:t>
      </w:r>
      <w:r>
        <w:rPr>
          <w:rFonts w:ascii="Arabic Typesetting" w:hAnsi="Arabic Typesetting" w:cs="Arabic Typesetting" w:hint="cs"/>
          <w:b w:val="0"/>
          <w:bCs w:val="0"/>
          <w:iCs w:val="0"/>
          <w:caps w:val="0"/>
          <w:szCs w:val="34"/>
          <w:rtl/>
          <w:lang w:val="en-US"/>
        </w:rPr>
        <w:t>فير</w:t>
      </w:r>
      <w:r w:rsidRPr="009C2A34">
        <w:rPr>
          <w:rFonts w:ascii="Arabic Typesetting" w:hAnsi="Arabic Typesetting" w:cs="Arabic Typesetting"/>
          <w:b w:val="0"/>
          <w:bCs w:val="0"/>
          <w:iCs w:val="0"/>
          <w:caps w:val="0"/>
          <w:szCs w:val="34"/>
          <w:rtl/>
          <w:lang w:val="en-US"/>
        </w:rPr>
        <w:t xml:space="preserve"> فرص عمل، والابتكار، والصادرات، وتمكين المرأة</w:t>
      </w:r>
      <w:r>
        <w:rPr>
          <w:rFonts w:ascii="Arabic Typesetting" w:hAnsi="Arabic Typesetting" w:cs="Arabic Typesetting" w:hint="cs"/>
          <w:b w:val="0"/>
          <w:bCs w:val="0"/>
          <w:iCs w:val="0"/>
          <w:caps w:val="0"/>
          <w:szCs w:val="34"/>
          <w:rtl/>
          <w:lang w:val="en-US"/>
        </w:rPr>
        <w:t>،</w:t>
      </w:r>
      <w:r w:rsidRPr="009C2A34">
        <w:rPr>
          <w:rFonts w:ascii="Arabic Typesetting" w:hAnsi="Arabic Typesetting" w:cs="Arabic Typesetting"/>
          <w:b w:val="0"/>
          <w:bCs w:val="0"/>
          <w:iCs w:val="0"/>
          <w:caps w:val="0"/>
          <w:szCs w:val="34"/>
          <w:rtl/>
          <w:lang w:val="en-US"/>
        </w:rPr>
        <w:t xml:space="preserve"> و</w:t>
      </w:r>
      <w:r w:rsidRPr="00541AB8">
        <w:rPr>
          <w:rFonts w:ascii="Arabic Typesetting" w:hAnsi="Arabic Typesetting" w:cs="Arabic Typesetting"/>
          <w:b w:val="0"/>
          <w:bCs w:val="0"/>
          <w:iCs w:val="0"/>
          <w:caps w:val="0"/>
          <w:szCs w:val="34"/>
          <w:rtl/>
          <w:lang w:val="en-US"/>
        </w:rPr>
        <w:t>تخفيف وطأة الفقر</w:t>
      </w:r>
      <w:r>
        <w:rPr>
          <w:rFonts w:ascii="Arabic Typesetting" w:hAnsi="Arabic Typesetting" w:cs="Arabic Typesetting" w:hint="cs"/>
          <w:b w:val="0"/>
          <w:bCs w:val="0"/>
          <w:iCs w:val="0"/>
          <w:caps w:val="0"/>
          <w:szCs w:val="34"/>
          <w:rtl/>
          <w:lang w:val="en-US"/>
        </w:rPr>
        <w:t>،</w:t>
      </w:r>
      <w:r w:rsidRPr="009C2A34">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و</w:t>
      </w:r>
      <w:r w:rsidRPr="009C2A34">
        <w:rPr>
          <w:rFonts w:ascii="Arabic Typesetting" w:hAnsi="Arabic Typesetting" w:cs="Arabic Typesetting"/>
          <w:b w:val="0"/>
          <w:bCs w:val="0"/>
          <w:iCs w:val="0"/>
          <w:caps w:val="0"/>
          <w:szCs w:val="34"/>
          <w:rtl/>
          <w:lang w:val="en-US"/>
        </w:rPr>
        <w:t xml:space="preserve">النمو المستدام. </w:t>
      </w:r>
      <w:r>
        <w:rPr>
          <w:rFonts w:ascii="Arabic Typesetting" w:hAnsi="Arabic Typesetting" w:cs="Arabic Typesetting" w:hint="cs"/>
          <w:b w:val="0"/>
          <w:bCs w:val="0"/>
          <w:iCs w:val="0"/>
          <w:caps w:val="0"/>
          <w:szCs w:val="34"/>
          <w:rtl/>
          <w:lang w:val="en-US"/>
        </w:rPr>
        <w:t xml:space="preserve">وتُقدَّم </w:t>
      </w:r>
      <w:r w:rsidRPr="009C2A34">
        <w:rPr>
          <w:rFonts w:ascii="Arabic Typesetting" w:hAnsi="Arabic Typesetting" w:cs="Arabic Typesetting"/>
          <w:b w:val="0"/>
          <w:bCs w:val="0"/>
          <w:iCs w:val="0"/>
          <w:caps w:val="0"/>
          <w:szCs w:val="34"/>
          <w:rtl/>
          <w:lang w:val="en-US"/>
        </w:rPr>
        <w:t>أيضا</w:t>
      </w:r>
      <w:r>
        <w:rPr>
          <w:rFonts w:ascii="Arabic Typesetting" w:hAnsi="Arabic Typesetting" w:cs="Arabic Typesetting" w:hint="cs"/>
          <w:b w:val="0"/>
          <w:bCs w:val="0"/>
          <w:iCs w:val="0"/>
          <w:caps w:val="0"/>
          <w:szCs w:val="34"/>
          <w:rtl/>
          <w:lang w:val="en-US"/>
        </w:rPr>
        <w:t>ً</w:t>
      </w:r>
      <w:r w:rsidRPr="009C2A34">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إسهامات</w:t>
      </w:r>
      <w:r w:rsidRPr="009C2A34">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كبيرة</w:t>
      </w:r>
      <w:r w:rsidRPr="009C2A34">
        <w:rPr>
          <w:rFonts w:ascii="Arabic Typesetting" w:hAnsi="Arabic Typesetting" w:cs="Arabic Typesetting"/>
          <w:b w:val="0"/>
          <w:bCs w:val="0"/>
          <w:iCs w:val="0"/>
          <w:caps w:val="0"/>
          <w:szCs w:val="34"/>
          <w:rtl/>
          <w:lang w:val="en-US"/>
        </w:rPr>
        <w:t xml:space="preserve"> للغاية في الابتكار وفوائده </w:t>
      </w:r>
      <w:r>
        <w:rPr>
          <w:rFonts w:ascii="Arabic Typesetting" w:hAnsi="Arabic Typesetting" w:cs="Arabic Typesetting" w:hint="cs"/>
          <w:b w:val="0"/>
          <w:bCs w:val="0"/>
          <w:iCs w:val="0"/>
          <w:caps w:val="0"/>
          <w:szCs w:val="34"/>
          <w:rtl/>
          <w:lang w:val="en-US"/>
        </w:rPr>
        <w:t xml:space="preserve">من قِبل </w:t>
      </w:r>
      <w:r w:rsidRPr="009C2A34">
        <w:rPr>
          <w:rFonts w:ascii="Arabic Typesetting" w:hAnsi="Arabic Typesetting" w:cs="Arabic Typesetting"/>
          <w:b w:val="0"/>
          <w:bCs w:val="0"/>
          <w:iCs w:val="0"/>
          <w:caps w:val="0"/>
          <w:szCs w:val="34"/>
          <w:rtl/>
          <w:lang w:val="en-US"/>
        </w:rPr>
        <w:t xml:space="preserve">الجامعات ومؤسسات </w:t>
      </w:r>
      <w:r w:rsidRPr="00566234">
        <w:rPr>
          <w:rFonts w:ascii="Arabic Typesetting" w:hAnsi="Arabic Typesetting" w:cs="Arabic Typesetting"/>
          <w:b w:val="0"/>
          <w:bCs w:val="0"/>
          <w:iCs w:val="0"/>
          <w:caps w:val="0"/>
          <w:szCs w:val="34"/>
          <w:rtl/>
          <w:lang w:val="en-US"/>
        </w:rPr>
        <w:t xml:space="preserve">البحوث العامة التي </w:t>
      </w:r>
      <w:r w:rsidRPr="00566234">
        <w:rPr>
          <w:rFonts w:ascii="Arabic Typesetting" w:hAnsi="Arabic Typesetting" w:cs="Arabic Typesetting" w:hint="cs"/>
          <w:b w:val="0"/>
          <w:bCs w:val="0"/>
          <w:iCs w:val="0"/>
          <w:caps w:val="0"/>
          <w:szCs w:val="34"/>
          <w:rtl/>
          <w:lang w:val="en-US"/>
        </w:rPr>
        <w:t>تتمتع ب</w:t>
      </w:r>
      <w:r w:rsidRPr="00566234">
        <w:rPr>
          <w:rFonts w:ascii="Arabic Typesetting" w:hAnsi="Arabic Typesetting" w:cs="Arabic Typesetting"/>
          <w:b w:val="0"/>
          <w:bCs w:val="0"/>
          <w:iCs w:val="0"/>
          <w:caps w:val="0"/>
          <w:szCs w:val="34"/>
          <w:rtl/>
          <w:lang w:val="en-US"/>
        </w:rPr>
        <w:t xml:space="preserve">قدرات وكفاءات متفاوتة فيما يتعلق بنقل المعرفة الاستراتيجية وتسويق </w:t>
      </w:r>
      <w:r w:rsidRPr="00566234">
        <w:rPr>
          <w:rFonts w:ascii="Arabic Typesetting" w:hAnsi="Arabic Typesetting" w:cs="Arabic Typesetting" w:hint="cs"/>
          <w:b w:val="0"/>
          <w:bCs w:val="0"/>
          <w:iCs w:val="0"/>
          <w:caps w:val="0"/>
          <w:szCs w:val="34"/>
          <w:rtl/>
          <w:lang w:val="en-US"/>
        </w:rPr>
        <w:t>الملكية الفكرية ل</w:t>
      </w:r>
      <w:r w:rsidRPr="00566234">
        <w:rPr>
          <w:rFonts w:ascii="Arabic Typesetting" w:hAnsi="Arabic Typesetting" w:cs="Arabic Typesetting"/>
          <w:b w:val="0"/>
          <w:bCs w:val="0"/>
          <w:iCs w:val="0"/>
          <w:caps w:val="0"/>
          <w:szCs w:val="34"/>
          <w:rtl/>
          <w:lang w:val="en-US"/>
        </w:rPr>
        <w:t>نتائج البحوث</w:t>
      </w:r>
      <w:r w:rsidRPr="003A326C">
        <w:rPr>
          <w:rFonts w:ascii="Arabic Typesetting" w:hAnsi="Arabic Typesetting" w:cs="Arabic Typesetting"/>
          <w:b w:val="0"/>
          <w:bCs w:val="0"/>
          <w:iCs w:val="0"/>
          <w:caps w:val="0"/>
          <w:szCs w:val="34"/>
          <w:rtl/>
          <w:lang w:val="en-US"/>
        </w:rPr>
        <w:t xml:space="preserve">. </w:t>
      </w:r>
      <w:r w:rsidRPr="003A326C">
        <w:rPr>
          <w:rFonts w:ascii="Arabic Typesetting" w:hAnsi="Arabic Typesetting" w:cs="Arabic Typesetting" w:hint="cs"/>
          <w:b w:val="0"/>
          <w:bCs w:val="0"/>
          <w:iCs w:val="0"/>
          <w:caps w:val="0"/>
          <w:szCs w:val="34"/>
          <w:rtl/>
          <w:lang w:val="en-US"/>
        </w:rPr>
        <w:t>وي</w:t>
      </w:r>
      <w:r w:rsidRPr="003A326C">
        <w:rPr>
          <w:rFonts w:ascii="Arabic Typesetting" w:hAnsi="Arabic Typesetting" w:cs="Arabic Typesetting"/>
          <w:b w:val="0"/>
          <w:bCs w:val="0"/>
          <w:iCs w:val="0"/>
          <w:caps w:val="0"/>
          <w:szCs w:val="34"/>
          <w:rtl/>
          <w:lang w:val="en-US"/>
        </w:rPr>
        <w:t>تأثر</w:t>
      </w:r>
      <w:r w:rsidRPr="003A326C">
        <w:rPr>
          <w:rFonts w:ascii="Arabic Typesetting" w:hAnsi="Arabic Typesetting" w:cs="Arabic Typesetting" w:hint="cs"/>
          <w:b w:val="0"/>
          <w:bCs w:val="0"/>
          <w:iCs w:val="0"/>
          <w:caps w:val="0"/>
          <w:szCs w:val="34"/>
          <w:rtl/>
          <w:lang w:val="en-US"/>
        </w:rPr>
        <w:t xml:space="preserve"> شِقّا هذا النشاط بال</w:t>
      </w:r>
      <w:r w:rsidRPr="003A326C">
        <w:rPr>
          <w:rFonts w:ascii="Arabic Typesetting" w:hAnsi="Arabic Typesetting" w:cs="Arabic Typesetting"/>
          <w:b w:val="0"/>
          <w:bCs w:val="0"/>
          <w:iCs w:val="0"/>
          <w:caps w:val="0"/>
          <w:szCs w:val="34"/>
          <w:rtl/>
          <w:lang w:val="en-US"/>
        </w:rPr>
        <w:t xml:space="preserve">استراتيجيات الوطنية للملكية الفكرية في </w:t>
      </w:r>
      <w:r>
        <w:rPr>
          <w:rFonts w:ascii="Arabic Typesetting" w:hAnsi="Arabic Typesetting" w:cs="Arabic Typesetting" w:hint="cs"/>
          <w:b w:val="0"/>
          <w:bCs w:val="0"/>
          <w:iCs w:val="0"/>
          <w:caps w:val="0"/>
          <w:szCs w:val="34"/>
          <w:rtl/>
          <w:lang w:val="en-US"/>
        </w:rPr>
        <w:t>ال</w:t>
      </w:r>
      <w:r w:rsidRPr="003A326C">
        <w:rPr>
          <w:rFonts w:ascii="Arabic Typesetting" w:hAnsi="Arabic Typesetting" w:cs="Arabic Typesetting"/>
          <w:b w:val="0"/>
          <w:bCs w:val="0"/>
          <w:iCs w:val="0"/>
          <w:caps w:val="0"/>
          <w:szCs w:val="34"/>
          <w:rtl/>
          <w:lang w:val="en-US"/>
        </w:rPr>
        <w:t>بلد</w:t>
      </w:r>
      <w:r w:rsidRPr="003A326C">
        <w:rPr>
          <w:rFonts w:ascii="Arabic Typesetting" w:hAnsi="Arabic Typesetting" w:cs="Arabic Typesetting" w:hint="cs"/>
          <w:b w:val="0"/>
          <w:bCs w:val="0"/>
          <w:iCs w:val="0"/>
          <w:caps w:val="0"/>
          <w:szCs w:val="34"/>
          <w:rtl/>
          <w:lang w:val="en-US"/>
        </w:rPr>
        <w:t>ان</w:t>
      </w:r>
      <w:r>
        <w:rPr>
          <w:rFonts w:ascii="Arabic Typesetting" w:hAnsi="Arabic Typesetting" w:cs="Arabic Typesetting" w:hint="cs"/>
          <w:b w:val="0"/>
          <w:bCs w:val="0"/>
          <w:iCs w:val="0"/>
          <w:caps w:val="0"/>
          <w:szCs w:val="34"/>
          <w:rtl/>
          <w:lang w:val="en-US"/>
        </w:rPr>
        <w:t xml:space="preserve"> المعنية</w:t>
      </w:r>
      <w:r w:rsidRPr="009C2A34">
        <w:rPr>
          <w:rFonts w:ascii="Arabic Typesetting" w:hAnsi="Arabic Typesetting" w:cs="Arabic Typesetting"/>
          <w:b w:val="0"/>
          <w:bCs w:val="0"/>
          <w:iCs w:val="0"/>
          <w:caps w:val="0"/>
          <w:szCs w:val="34"/>
          <w:rtl/>
          <w:lang w:val="en-US"/>
        </w:rPr>
        <w:t>.</w:t>
      </w:r>
    </w:p>
    <w:p w:rsidR="00386BD0"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r>
        <w:rPr>
          <w:rFonts w:ascii="Arabic Typesetting" w:hAnsi="Arabic Typesetting" w:cs="Arabic Typesetting" w:hint="cs"/>
          <w:b w:val="0"/>
          <w:bCs w:val="0"/>
          <w:iCs w:val="0"/>
          <w:caps w:val="0"/>
          <w:szCs w:val="34"/>
          <w:rtl/>
          <w:lang w:val="en-US"/>
        </w:rPr>
        <w:t xml:space="preserve">وقلّة </w:t>
      </w:r>
      <w:r w:rsidRPr="00E43867">
        <w:rPr>
          <w:rFonts w:ascii="Arabic Typesetting" w:hAnsi="Arabic Typesetting" w:cs="Arabic Typesetting"/>
          <w:b w:val="0"/>
          <w:bCs w:val="0"/>
          <w:iCs w:val="0"/>
          <w:caps w:val="0"/>
          <w:szCs w:val="34"/>
          <w:rtl/>
          <w:lang w:val="en-US"/>
        </w:rPr>
        <w:t>الوعي والكفاءة في مجال إدارة الملكية الفكرية، و</w:t>
      </w:r>
      <w:r>
        <w:rPr>
          <w:rFonts w:ascii="Arabic Typesetting" w:hAnsi="Arabic Typesetting" w:cs="Arabic Typesetting" w:hint="cs"/>
          <w:b w:val="0"/>
          <w:bCs w:val="0"/>
          <w:iCs w:val="0"/>
          <w:caps w:val="0"/>
          <w:szCs w:val="34"/>
          <w:rtl/>
          <w:lang w:val="en-US"/>
        </w:rPr>
        <w:t xml:space="preserve">النظر إلى نظام الملكية الفكرية على أنه مرتفع التكلفة وشديد التعقيد، </w:t>
      </w:r>
      <w:r w:rsidRPr="00E43867">
        <w:rPr>
          <w:rFonts w:ascii="Arabic Typesetting" w:hAnsi="Arabic Typesetting" w:cs="Arabic Typesetting"/>
          <w:b w:val="0"/>
          <w:bCs w:val="0"/>
          <w:iCs w:val="0"/>
          <w:caps w:val="0"/>
          <w:szCs w:val="34"/>
          <w:rtl/>
          <w:lang w:val="en-US"/>
        </w:rPr>
        <w:t>وصعوبات حماية حقوق الملكية الفكرية والدفاع عن</w:t>
      </w:r>
      <w:r>
        <w:rPr>
          <w:rFonts w:ascii="Arabic Typesetting" w:hAnsi="Arabic Typesetting" w:cs="Arabic Typesetting" w:hint="cs"/>
          <w:b w:val="0"/>
          <w:bCs w:val="0"/>
          <w:iCs w:val="0"/>
          <w:caps w:val="0"/>
          <w:szCs w:val="34"/>
          <w:rtl/>
          <w:lang w:val="en-US"/>
        </w:rPr>
        <w:t>ها، كلُ ذلك يحول دون استفادة</w:t>
      </w:r>
      <w:r w:rsidRPr="00E43867">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الشركات</w:t>
      </w:r>
      <w:r w:rsidRPr="00E43867">
        <w:rPr>
          <w:rFonts w:ascii="Arabic Typesetting" w:hAnsi="Arabic Typesetting" w:cs="Arabic Typesetting"/>
          <w:b w:val="0"/>
          <w:bCs w:val="0"/>
          <w:iCs w:val="0"/>
          <w:caps w:val="0"/>
          <w:szCs w:val="34"/>
          <w:rtl/>
          <w:lang w:val="en-US"/>
        </w:rPr>
        <w:t xml:space="preserve"> الصغيرة والمتوسطة والجامعات ومؤسسات </w:t>
      </w:r>
      <w:r>
        <w:rPr>
          <w:rFonts w:ascii="Arabic Typesetting" w:hAnsi="Arabic Typesetting" w:cs="Arabic Typesetting" w:hint="cs"/>
          <w:b w:val="0"/>
          <w:bCs w:val="0"/>
          <w:iCs w:val="0"/>
          <w:caps w:val="0"/>
          <w:szCs w:val="34"/>
          <w:rtl/>
          <w:lang w:val="en-US"/>
        </w:rPr>
        <w:t xml:space="preserve">البحوث العامة </w:t>
      </w:r>
      <w:r w:rsidRPr="00E43867">
        <w:rPr>
          <w:rFonts w:ascii="Arabic Typesetting" w:hAnsi="Arabic Typesetting" w:cs="Arabic Typesetting"/>
          <w:b w:val="0"/>
          <w:bCs w:val="0"/>
          <w:iCs w:val="0"/>
          <w:caps w:val="0"/>
          <w:szCs w:val="34"/>
          <w:rtl/>
          <w:lang w:val="en-US"/>
        </w:rPr>
        <w:t xml:space="preserve">في </w:t>
      </w:r>
      <w:r>
        <w:rPr>
          <w:rFonts w:ascii="Arabic Typesetting" w:hAnsi="Arabic Typesetting" w:cs="Arabic Typesetting" w:hint="cs"/>
          <w:b w:val="0"/>
          <w:bCs w:val="0"/>
          <w:iCs w:val="0"/>
          <w:caps w:val="0"/>
          <w:szCs w:val="34"/>
          <w:rtl/>
          <w:lang w:val="en-US"/>
        </w:rPr>
        <w:t>كل</w:t>
      </w:r>
      <w:r w:rsidRPr="00E43867">
        <w:rPr>
          <w:rFonts w:ascii="Arabic Typesetting" w:hAnsi="Arabic Typesetting" w:cs="Arabic Typesetting"/>
          <w:b w:val="0"/>
          <w:bCs w:val="0"/>
          <w:iCs w:val="0"/>
          <w:caps w:val="0"/>
          <w:szCs w:val="34"/>
          <w:rtl/>
          <w:lang w:val="en-US"/>
        </w:rPr>
        <w:t xml:space="preserve"> أنحاء العال</w:t>
      </w:r>
      <w:r>
        <w:rPr>
          <w:rFonts w:ascii="Arabic Typesetting" w:hAnsi="Arabic Typesetting" w:cs="Arabic Typesetting"/>
          <w:b w:val="0"/>
          <w:bCs w:val="0"/>
          <w:iCs w:val="0"/>
          <w:caps w:val="0"/>
          <w:szCs w:val="34"/>
          <w:rtl/>
          <w:lang w:val="en-US"/>
        </w:rPr>
        <w:t>م من مزايا نظام الملكية الفكرية</w:t>
      </w:r>
      <w:r>
        <w:rPr>
          <w:rFonts w:ascii="Arabic Typesetting" w:hAnsi="Arabic Typesetting" w:cs="Arabic Typesetting" w:hint="cs"/>
          <w:b w:val="0"/>
          <w:bCs w:val="0"/>
          <w:iCs w:val="0"/>
          <w:caps w:val="0"/>
          <w:szCs w:val="34"/>
          <w:rtl/>
          <w:lang w:val="en-US"/>
        </w:rPr>
        <w:t>. وينعكس ذلك</w:t>
      </w:r>
      <w:r w:rsidRPr="00E43867">
        <w:rPr>
          <w:rFonts w:ascii="Arabic Typesetting" w:hAnsi="Arabic Typesetting" w:cs="Arabic Typesetting"/>
          <w:b w:val="0"/>
          <w:bCs w:val="0"/>
          <w:iCs w:val="0"/>
          <w:caps w:val="0"/>
          <w:szCs w:val="34"/>
          <w:rtl/>
          <w:lang w:val="en-US"/>
        </w:rPr>
        <w:t xml:space="preserve"> في قل</w:t>
      </w:r>
      <w:r>
        <w:rPr>
          <w:rFonts w:ascii="Arabic Typesetting" w:hAnsi="Arabic Typesetting" w:cs="Arabic Typesetting" w:hint="cs"/>
          <w:b w:val="0"/>
          <w:bCs w:val="0"/>
          <w:iCs w:val="0"/>
          <w:caps w:val="0"/>
          <w:szCs w:val="34"/>
          <w:rtl/>
          <w:lang w:val="en-US"/>
        </w:rPr>
        <w:t>ّ</w:t>
      </w:r>
      <w:r w:rsidRPr="00E43867">
        <w:rPr>
          <w:rFonts w:ascii="Arabic Typesetting" w:hAnsi="Arabic Typesetting" w:cs="Arabic Typesetting"/>
          <w:b w:val="0"/>
          <w:bCs w:val="0"/>
          <w:iCs w:val="0"/>
          <w:caps w:val="0"/>
          <w:szCs w:val="34"/>
          <w:rtl/>
          <w:lang w:val="en-US"/>
        </w:rPr>
        <w:t>ة استخدام</w:t>
      </w:r>
      <w:r>
        <w:rPr>
          <w:rFonts w:ascii="Arabic Typesetting" w:hAnsi="Arabic Typesetting" w:cs="Arabic Typesetting" w:hint="cs"/>
          <w:b w:val="0"/>
          <w:bCs w:val="0"/>
          <w:iCs w:val="0"/>
          <w:caps w:val="0"/>
          <w:szCs w:val="34"/>
          <w:rtl/>
          <w:lang w:val="en-US"/>
        </w:rPr>
        <w:t>ها</w:t>
      </w:r>
      <w:r w:rsidRPr="00E43867">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ل</w:t>
      </w:r>
      <w:r w:rsidRPr="00E43867">
        <w:rPr>
          <w:rFonts w:ascii="Arabic Typesetting" w:hAnsi="Arabic Typesetting" w:cs="Arabic Typesetting"/>
          <w:b w:val="0"/>
          <w:bCs w:val="0"/>
          <w:iCs w:val="0"/>
          <w:caps w:val="0"/>
          <w:szCs w:val="34"/>
          <w:rtl/>
          <w:lang w:val="en-US"/>
        </w:rPr>
        <w:t>نظام الملكية الفكرية ب</w:t>
      </w:r>
      <w:r>
        <w:rPr>
          <w:rFonts w:ascii="Arabic Typesetting" w:hAnsi="Arabic Typesetting" w:cs="Arabic Typesetting" w:hint="cs"/>
          <w:b w:val="0"/>
          <w:bCs w:val="0"/>
          <w:iCs w:val="0"/>
          <w:caps w:val="0"/>
          <w:szCs w:val="34"/>
          <w:rtl/>
          <w:lang w:val="en-US"/>
        </w:rPr>
        <w:t>وجه</w:t>
      </w:r>
      <w:r w:rsidRPr="00E43867">
        <w:rPr>
          <w:rFonts w:ascii="Arabic Typesetting" w:hAnsi="Arabic Typesetting" w:cs="Arabic Typesetting"/>
          <w:b w:val="0"/>
          <w:bCs w:val="0"/>
          <w:iCs w:val="0"/>
          <w:caps w:val="0"/>
          <w:szCs w:val="34"/>
          <w:rtl/>
          <w:lang w:val="en-US"/>
        </w:rPr>
        <w:t xml:space="preserve"> عام وخدمات الويبو العالمية </w:t>
      </w:r>
      <w:r>
        <w:rPr>
          <w:rFonts w:ascii="Arabic Typesetting" w:hAnsi="Arabic Typesetting" w:cs="Arabic Typesetting" w:hint="cs"/>
          <w:b w:val="0"/>
          <w:bCs w:val="0"/>
          <w:iCs w:val="0"/>
          <w:caps w:val="0"/>
          <w:szCs w:val="34"/>
          <w:rtl/>
          <w:lang w:val="en-US"/>
        </w:rPr>
        <w:t>ب</w:t>
      </w:r>
      <w:r w:rsidRPr="00E43867">
        <w:rPr>
          <w:rFonts w:ascii="Arabic Typesetting" w:hAnsi="Arabic Typesetting" w:cs="Arabic Typesetting"/>
          <w:b w:val="0"/>
          <w:bCs w:val="0"/>
          <w:iCs w:val="0"/>
          <w:caps w:val="0"/>
          <w:szCs w:val="34"/>
          <w:rtl/>
          <w:lang w:val="en-US"/>
        </w:rPr>
        <w:t>وجه خ</w:t>
      </w:r>
      <w:r>
        <w:rPr>
          <w:rFonts w:ascii="Arabic Typesetting" w:hAnsi="Arabic Typesetting" w:cs="Arabic Typesetting" w:hint="cs"/>
          <w:b w:val="0"/>
          <w:bCs w:val="0"/>
          <w:iCs w:val="0"/>
          <w:caps w:val="0"/>
          <w:szCs w:val="34"/>
          <w:rtl/>
          <w:lang w:val="en-US"/>
        </w:rPr>
        <w:t>ا</w:t>
      </w:r>
      <w:r w:rsidRPr="00E43867">
        <w:rPr>
          <w:rFonts w:ascii="Arabic Typesetting" w:hAnsi="Arabic Typesetting" w:cs="Arabic Typesetting"/>
          <w:b w:val="0"/>
          <w:bCs w:val="0"/>
          <w:iCs w:val="0"/>
          <w:caps w:val="0"/>
          <w:szCs w:val="34"/>
          <w:rtl/>
          <w:lang w:val="en-US"/>
        </w:rPr>
        <w:t>ص.</w:t>
      </w:r>
    </w:p>
    <w:p w:rsidR="00386BD0"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r w:rsidRPr="00E21351">
        <w:rPr>
          <w:rFonts w:ascii="Arabic Typesetting" w:hAnsi="Arabic Typesetting" w:cs="Arabic Typesetting"/>
          <w:b w:val="0"/>
          <w:bCs w:val="0"/>
          <w:iCs w:val="0"/>
          <w:caps w:val="0"/>
          <w:szCs w:val="34"/>
          <w:rtl/>
          <w:lang w:val="en-US"/>
        </w:rPr>
        <w:t>و</w:t>
      </w:r>
      <w:r>
        <w:rPr>
          <w:rFonts w:ascii="Arabic Typesetting" w:hAnsi="Arabic Typesetting" w:cs="Arabic Typesetting" w:hint="cs"/>
          <w:b w:val="0"/>
          <w:bCs w:val="0"/>
          <w:iCs w:val="0"/>
          <w:caps w:val="0"/>
          <w:szCs w:val="34"/>
          <w:rtl/>
          <w:lang w:val="en-US"/>
        </w:rPr>
        <w:t xml:space="preserve">من </w:t>
      </w:r>
      <w:r w:rsidRPr="00E21351">
        <w:rPr>
          <w:rFonts w:ascii="Arabic Typesetting" w:hAnsi="Arabic Typesetting" w:cs="Arabic Typesetting"/>
          <w:b w:val="0"/>
          <w:bCs w:val="0"/>
          <w:iCs w:val="0"/>
          <w:caps w:val="0"/>
          <w:szCs w:val="34"/>
          <w:rtl/>
          <w:lang w:val="en-US"/>
        </w:rPr>
        <w:t>التحديات المتعلقة</w:t>
      </w:r>
      <w:r>
        <w:rPr>
          <w:rFonts w:ascii="Arabic Typesetting" w:hAnsi="Arabic Typesetting" w:cs="Arabic Typesetting" w:hint="cs"/>
          <w:b w:val="0"/>
          <w:bCs w:val="0"/>
          <w:iCs w:val="0"/>
          <w:caps w:val="0"/>
          <w:szCs w:val="34"/>
          <w:rtl/>
          <w:lang w:val="en-US"/>
        </w:rPr>
        <w:t xml:space="preserve"> بذلك</w:t>
      </w:r>
      <w:r w:rsidRPr="00E21351">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 xml:space="preserve">انخفاض </w:t>
      </w:r>
      <w:r w:rsidRPr="00E21351">
        <w:rPr>
          <w:rFonts w:ascii="Arabic Typesetting" w:hAnsi="Arabic Typesetting" w:cs="Arabic Typesetting"/>
          <w:b w:val="0"/>
          <w:bCs w:val="0"/>
          <w:iCs w:val="0"/>
          <w:caps w:val="0"/>
          <w:szCs w:val="34"/>
          <w:rtl/>
          <w:lang w:val="en-US"/>
        </w:rPr>
        <w:t>الإنفاق</w:t>
      </w:r>
      <w:r>
        <w:rPr>
          <w:rFonts w:ascii="Arabic Typesetting" w:hAnsi="Arabic Typesetting" w:cs="Arabic Typesetting" w:hint="cs"/>
          <w:b w:val="0"/>
          <w:bCs w:val="0"/>
          <w:iCs w:val="0"/>
          <w:caps w:val="0"/>
          <w:szCs w:val="34"/>
          <w:rtl/>
          <w:lang w:val="en-US"/>
        </w:rPr>
        <w:t xml:space="preserve"> على البحث والتطوير</w:t>
      </w:r>
      <w:r w:rsidRPr="00E21351">
        <w:rPr>
          <w:rFonts w:ascii="Arabic Typesetting" w:hAnsi="Arabic Typesetting" w:cs="Arabic Typesetting"/>
          <w:b w:val="0"/>
          <w:bCs w:val="0"/>
          <w:iCs w:val="0"/>
          <w:caps w:val="0"/>
          <w:szCs w:val="34"/>
          <w:rtl/>
          <w:lang w:val="en-US"/>
        </w:rPr>
        <w:t>، و</w:t>
      </w:r>
      <w:r>
        <w:rPr>
          <w:rFonts w:ascii="Arabic Typesetting" w:hAnsi="Arabic Typesetting" w:cs="Arabic Typesetting" w:hint="cs"/>
          <w:b w:val="0"/>
          <w:bCs w:val="0"/>
          <w:iCs w:val="0"/>
          <w:caps w:val="0"/>
          <w:szCs w:val="34"/>
          <w:rtl/>
          <w:lang w:val="en-US"/>
        </w:rPr>
        <w:t xml:space="preserve">ضعف </w:t>
      </w:r>
      <w:r w:rsidRPr="00E21351">
        <w:rPr>
          <w:rFonts w:ascii="Arabic Typesetting" w:hAnsi="Arabic Typesetting" w:cs="Arabic Typesetting"/>
          <w:b w:val="0"/>
          <w:bCs w:val="0"/>
          <w:iCs w:val="0"/>
          <w:caps w:val="0"/>
          <w:szCs w:val="34"/>
          <w:rtl/>
          <w:lang w:val="en-US"/>
        </w:rPr>
        <w:t xml:space="preserve">الشراكات مع المؤسسات الأكاديمية والبحثية </w:t>
      </w:r>
      <w:r>
        <w:rPr>
          <w:rFonts w:ascii="Arabic Typesetting" w:hAnsi="Arabic Typesetting" w:cs="Arabic Typesetting" w:hint="cs"/>
          <w:b w:val="0"/>
          <w:bCs w:val="0"/>
          <w:iCs w:val="0"/>
          <w:caps w:val="0"/>
          <w:szCs w:val="34"/>
          <w:rtl/>
          <w:lang w:val="en-US"/>
        </w:rPr>
        <w:t>أو عدم وجود هذه الشراكات، وعدم كفاية النفاذ إلى</w:t>
      </w:r>
      <w:r w:rsidRPr="00E21351">
        <w:rPr>
          <w:rFonts w:ascii="Arabic Typesetting" w:hAnsi="Arabic Typesetting" w:cs="Arabic Typesetting"/>
          <w:b w:val="0"/>
          <w:bCs w:val="0"/>
          <w:iCs w:val="0"/>
          <w:caps w:val="0"/>
          <w:szCs w:val="34"/>
          <w:rtl/>
          <w:lang w:val="en-US"/>
        </w:rPr>
        <w:t xml:space="preserve"> المعلومات والمعارف والتكنولوجيات المتاحة في قواعد بيانات الملكية الفكرية. </w:t>
      </w:r>
      <w:r>
        <w:rPr>
          <w:rFonts w:ascii="Arabic Typesetting" w:hAnsi="Arabic Typesetting" w:cs="Arabic Typesetting" w:hint="cs"/>
          <w:b w:val="0"/>
          <w:bCs w:val="0"/>
          <w:iCs w:val="0"/>
          <w:caps w:val="0"/>
          <w:szCs w:val="34"/>
          <w:rtl/>
          <w:lang w:val="en-US"/>
        </w:rPr>
        <w:t>وعدم وجود س</w:t>
      </w:r>
      <w:r w:rsidRPr="00E21351">
        <w:rPr>
          <w:rFonts w:ascii="Arabic Typesetting" w:hAnsi="Arabic Typesetting" w:cs="Arabic Typesetting"/>
          <w:b w:val="0"/>
          <w:bCs w:val="0"/>
          <w:iCs w:val="0"/>
          <w:caps w:val="0"/>
          <w:szCs w:val="34"/>
          <w:rtl/>
          <w:lang w:val="en-US"/>
        </w:rPr>
        <w:t>ياسات مؤسسية</w:t>
      </w:r>
      <w:r>
        <w:rPr>
          <w:rFonts w:ascii="Arabic Typesetting" w:hAnsi="Arabic Typesetting" w:cs="Arabic Typesetting" w:hint="cs"/>
          <w:b w:val="0"/>
          <w:bCs w:val="0"/>
          <w:iCs w:val="0"/>
          <w:caps w:val="0"/>
          <w:szCs w:val="34"/>
          <w:rtl/>
          <w:lang w:val="en-US"/>
        </w:rPr>
        <w:t xml:space="preserve"> </w:t>
      </w:r>
      <w:r w:rsidRPr="00E21351">
        <w:rPr>
          <w:rFonts w:ascii="Arabic Typesetting" w:hAnsi="Arabic Typesetting" w:cs="Arabic Typesetting"/>
          <w:b w:val="0"/>
          <w:bCs w:val="0"/>
          <w:iCs w:val="0"/>
          <w:caps w:val="0"/>
          <w:szCs w:val="34"/>
          <w:rtl/>
          <w:lang w:val="en-US"/>
        </w:rPr>
        <w:t xml:space="preserve">فعالة </w:t>
      </w:r>
      <w:r>
        <w:rPr>
          <w:rFonts w:ascii="Arabic Typesetting" w:hAnsi="Arabic Typesetting" w:cs="Arabic Typesetting" w:hint="cs"/>
          <w:b w:val="0"/>
          <w:bCs w:val="0"/>
          <w:iCs w:val="0"/>
          <w:caps w:val="0"/>
          <w:szCs w:val="34"/>
          <w:rtl/>
          <w:lang w:val="en-US"/>
        </w:rPr>
        <w:t>و</w:t>
      </w:r>
      <w:r w:rsidRPr="00E21351">
        <w:rPr>
          <w:rFonts w:ascii="Arabic Typesetting" w:hAnsi="Arabic Typesetting" w:cs="Arabic Typesetting"/>
          <w:b w:val="0"/>
          <w:bCs w:val="0"/>
          <w:iCs w:val="0"/>
          <w:caps w:val="0"/>
          <w:szCs w:val="34"/>
          <w:rtl/>
          <w:lang w:val="en-US"/>
        </w:rPr>
        <w:t xml:space="preserve">حوافز وتمويل للشركات الصغيرة والمتوسطة </w:t>
      </w:r>
      <w:r>
        <w:rPr>
          <w:rFonts w:ascii="Arabic Typesetting" w:hAnsi="Arabic Typesetting" w:cs="Arabic Typesetting" w:hint="cs"/>
          <w:b w:val="0"/>
          <w:bCs w:val="0"/>
          <w:iCs w:val="0"/>
          <w:caps w:val="0"/>
          <w:szCs w:val="34"/>
          <w:rtl/>
          <w:lang w:val="en-US"/>
        </w:rPr>
        <w:t xml:space="preserve">في مجال الملكية الفكرية. </w:t>
      </w:r>
      <w:r w:rsidRPr="00E21351">
        <w:rPr>
          <w:rFonts w:ascii="Arabic Typesetting" w:hAnsi="Arabic Typesetting" w:cs="Arabic Typesetting"/>
          <w:b w:val="0"/>
          <w:bCs w:val="0"/>
          <w:iCs w:val="0"/>
          <w:caps w:val="0"/>
          <w:szCs w:val="34"/>
          <w:rtl/>
          <w:lang w:val="en-US"/>
        </w:rPr>
        <w:t xml:space="preserve">وعدم وجود مؤسسات </w:t>
      </w:r>
      <w:r>
        <w:rPr>
          <w:rFonts w:ascii="Arabic Typesetting" w:hAnsi="Arabic Typesetting" w:cs="Arabic Typesetting" w:hint="cs"/>
          <w:b w:val="0"/>
          <w:bCs w:val="0"/>
          <w:iCs w:val="0"/>
          <w:caps w:val="0"/>
          <w:szCs w:val="34"/>
          <w:rtl/>
          <w:lang w:val="en-US"/>
        </w:rPr>
        <w:t>نشيطة ومتحمسة تدعم الشركات ال</w:t>
      </w:r>
      <w:r w:rsidRPr="00E21351">
        <w:rPr>
          <w:rFonts w:ascii="Arabic Typesetting" w:hAnsi="Arabic Typesetting" w:cs="Arabic Typesetting"/>
          <w:b w:val="0"/>
          <w:bCs w:val="0"/>
          <w:iCs w:val="0"/>
          <w:caps w:val="0"/>
          <w:szCs w:val="34"/>
          <w:rtl/>
          <w:lang w:val="en-US"/>
        </w:rPr>
        <w:t xml:space="preserve">صغيرة والمتوسطة، في العديد من البلدان، </w:t>
      </w:r>
      <w:r>
        <w:rPr>
          <w:rFonts w:ascii="Arabic Typesetting" w:hAnsi="Arabic Typesetting" w:cs="Arabic Typesetting" w:hint="cs"/>
          <w:b w:val="0"/>
          <w:bCs w:val="0"/>
          <w:iCs w:val="0"/>
          <w:caps w:val="0"/>
          <w:szCs w:val="34"/>
          <w:rtl/>
          <w:lang w:val="en-US"/>
        </w:rPr>
        <w:t xml:space="preserve">يطرح </w:t>
      </w:r>
      <w:r w:rsidRPr="00E21351">
        <w:rPr>
          <w:rFonts w:ascii="Arabic Typesetting" w:hAnsi="Arabic Typesetting" w:cs="Arabic Typesetting"/>
          <w:b w:val="0"/>
          <w:bCs w:val="0"/>
          <w:iCs w:val="0"/>
          <w:caps w:val="0"/>
          <w:szCs w:val="34"/>
          <w:rtl/>
          <w:lang w:val="en-US"/>
        </w:rPr>
        <w:t xml:space="preserve">تحديات إضافية في تعزيز </w:t>
      </w:r>
      <w:r>
        <w:rPr>
          <w:rFonts w:ascii="Arabic Typesetting" w:hAnsi="Arabic Typesetting" w:cs="Arabic Typesetting" w:hint="cs"/>
          <w:b w:val="0"/>
          <w:bCs w:val="0"/>
          <w:iCs w:val="0"/>
          <w:caps w:val="0"/>
          <w:szCs w:val="34"/>
          <w:rtl/>
          <w:lang w:val="en-US"/>
        </w:rPr>
        <w:t>ال</w:t>
      </w:r>
      <w:r w:rsidRPr="00E21351">
        <w:rPr>
          <w:rFonts w:ascii="Arabic Typesetting" w:hAnsi="Arabic Typesetting" w:cs="Arabic Typesetting"/>
          <w:b w:val="0"/>
          <w:bCs w:val="0"/>
          <w:iCs w:val="0"/>
          <w:caps w:val="0"/>
          <w:szCs w:val="34"/>
          <w:rtl/>
          <w:lang w:val="en-US"/>
        </w:rPr>
        <w:t>استخدام</w:t>
      </w:r>
      <w:r>
        <w:rPr>
          <w:rFonts w:ascii="Arabic Typesetting" w:hAnsi="Arabic Typesetting" w:cs="Arabic Typesetting" w:hint="cs"/>
          <w:b w:val="0"/>
          <w:bCs w:val="0"/>
          <w:iCs w:val="0"/>
          <w:caps w:val="0"/>
          <w:szCs w:val="34"/>
          <w:rtl/>
          <w:lang w:val="en-US"/>
        </w:rPr>
        <w:t xml:space="preserve"> ال</w:t>
      </w:r>
      <w:r w:rsidRPr="00E21351">
        <w:rPr>
          <w:rFonts w:ascii="Arabic Typesetting" w:hAnsi="Arabic Typesetting" w:cs="Arabic Typesetting"/>
          <w:b w:val="0"/>
          <w:bCs w:val="0"/>
          <w:iCs w:val="0"/>
          <w:caps w:val="0"/>
          <w:szCs w:val="34"/>
          <w:rtl/>
          <w:lang w:val="en-US"/>
        </w:rPr>
        <w:t xml:space="preserve">أفضل لنظام </w:t>
      </w:r>
      <w:r>
        <w:rPr>
          <w:rFonts w:ascii="Arabic Typesetting" w:hAnsi="Arabic Typesetting" w:cs="Arabic Typesetting" w:hint="cs"/>
          <w:b w:val="0"/>
          <w:bCs w:val="0"/>
          <w:iCs w:val="0"/>
          <w:caps w:val="0"/>
          <w:szCs w:val="34"/>
          <w:rtl/>
          <w:lang w:val="en-US"/>
        </w:rPr>
        <w:t>الملكية الفكرية</w:t>
      </w:r>
      <w:r w:rsidRPr="00E21351">
        <w:rPr>
          <w:rFonts w:ascii="Arabic Typesetting" w:hAnsi="Arabic Typesetting" w:cs="Arabic Typesetting"/>
          <w:b w:val="0"/>
          <w:bCs w:val="0"/>
          <w:iCs w:val="0"/>
          <w:caps w:val="0"/>
          <w:szCs w:val="34"/>
          <w:rtl/>
          <w:lang w:val="en-US"/>
        </w:rPr>
        <w:t xml:space="preserve"> من ق</w:t>
      </w:r>
      <w:r>
        <w:rPr>
          <w:rFonts w:ascii="Arabic Typesetting" w:hAnsi="Arabic Typesetting" w:cs="Arabic Typesetting" w:hint="cs"/>
          <w:b w:val="0"/>
          <w:bCs w:val="0"/>
          <w:iCs w:val="0"/>
          <w:caps w:val="0"/>
          <w:szCs w:val="34"/>
          <w:rtl/>
          <w:lang w:val="en-US"/>
        </w:rPr>
        <w:t>ِ</w:t>
      </w:r>
      <w:r w:rsidRPr="00E21351">
        <w:rPr>
          <w:rFonts w:ascii="Arabic Typesetting" w:hAnsi="Arabic Typesetting" w:cs="Arabic Typesetting"/>
          <w:b w:val="0"/>
          <w:bCs w:val="0"/>
          <w:iCs w:val="0"/>
          <w:caps w:val="0"/>
          <w:szCs w:val="34"/>
          <w:rtl/>
          <w:lang w:val="en-US"/>
        </w:rPr>
        <w:t xml:space="preserve">بل الشركات الصغيرة والمتوسطة والجامعات ومؤسسات </w:t>
      </w:r>
      <w:r>
        <w:rPr>
          <w:rFonts w:ascii="Arabic Typesetting" w:hAnsi="Arabic Typesetting" w:cs="Arabic Typesetting" w:hint="cs"/>
          <w:b w:val="0"/>
          <w:bCs w:val="0"/>
          <w:iCs w:val="0"/>
          <w:caps w:val="0"/>
          <w:szCs w:val="34"/>
          <w:rtl/>
          <w:lang w:val="en-US"/>
        </w:rPr>
        <w:t>البحوث العامة</w:t>
      </w:r>
      <w:r w:rsidRPr="00E21351">
        <w:rPr>
          <w:rFonts w:ascii="Arabic Typesetting" w:hAnsi="Arabic Typesetting" w:cs="Arabic Typesetting"/>
          <w:b w:val="0"/>
          <w:bCs w:val="0"/>
          <w:iCs w:val="0"/>
          <w:caps w:val="0"/>
          <w:szCs w:val="34"/>
          <w:rtl/>
          <w:lang w:val="en-US"/>
        </w:rPr>
        <w:t>.</w:t>
      </w:r>
    </w:p>
    <w:p w:rsidR="00386BD0" w:rsidRDefault="00386BD0" w:rsidP="0031375C">
      <w:pPr>
        <w:pStyle w:val="StyleHeading214ptAuto"/>
        <w:tabs>
          <w:tab w:val="clear" w:pos="567"/>
        </w:tabs>
        <w:adjustRightInd w:val="0"/>
        <w:snapToGrid w:val="0"/>
        <w:spacing w:after="120" w:line="340" w:lineRule="exact"/>
        <w:ind w:left="0" w:firstLine="0"/>
        <w:jc w:val="left"/>
        <w:rPr>
          <w:rFonts w:ascii="Arabic Typesetting" w:hAnsi="Arabic Typesetting" w:cs="Arabic Typesetting"/>
          <w:b w:val="0"/>
          <w:bCs w:val="0"/>
          <w:iCs w:val="0"/>
          <w:caps w:val="0"/>
          <w:szCs w:val="34"/>
          <w:lang w:val="en-US"/>
        </w:rPr>
      </w:pPr>
    </w:p>
    <w:p w:rsidR="00386BD0" w:rsidRPr="008954A8" w:rsidRDefault="00386BD0" w:rsidP="0031375C">
      <w:pPr>
        <w:pStyle w:val="BodyTextIndent"/>
        <w:keepNext/>
        <w:bidi/>
        <w:adjustRightInd w:val="0"/>
        <w:snapToGrid w:val="0"/>
        <w:spacing w:after="240" w:line="360" w:lineRule="exact"/>
        <w:ind w:left="0"/>
        <w:jc w:val="both"/>
        <w:rPr>
          <w:rFonts w:ascii="Arabic Typesetting" w:hAnsi="Arabic Typesetting" w:cs="Arabic Typesetting"/>
          <w:sz w:val="38"/>
          <w:szCs w:val="38"/>
          <w:rtl/>
        </w:rPr>
      </w:pPr>
      <w:r w:rsidRPr="008954A8">
        <w:rPr>
          <w:rFonts w:ascii="Arabic Typesetting" w:hAnsi="Arabic Typesetting" w:cs="Arabic Typesetting"/>
          <w:sz w:val="38"/>
          <w:szCs w:val="38"/>
          <w:rtl/>
        </w:rPr>
        <w:t>استراتيجيات التنفيذ</w:t>
      </w:r>
    </w:p>
    <w:p w:rsidR="00386BD0" w:rsidRPr="00702982"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bookmarkStart w:id="58" w:name="_Toc364355377"/>
      <w:r w:rsidRPr="00702982">
        <w:rPr>
          <w:rFonts w:ascii="Arabic Typesetting" w:hAnsi="Arabic Typesetting" w:cs="Arabic Typesetting"/>
          <w:b w:val="0"/>
          <w:bCs w:val="0"/>
          <w:iCs w:val="0"/>
          <w:caps w:val="0"/>
          <w:szCs w:val="34"/>
          <w:rtl/>
          <w:lang w:val="en-US"/>
        </w:rPr>
        <w:t>سي</w:t>
      </w:r>
      <w:r w:rsidRPr="00702982">
        <w:rPr>
          <w:rFonts w:ascii="Arabic Typesetting" w:hAnsi="Arabic Typesetting" w:cs="Arabic Typesetting" w:hint="cs"/>
          <w:b w:val="0"/>
          <w:bCs w:val="0"/>
          <w:iCs w:val="0"/>
          <w:caps w:val="0"/>
          <w:szCs w:val="34"/>
          <w:rtl/>
          <w:lang w:val="en-US"/>
        </w:rPr>
        <w:t xml:space="preserve">واصل </w:t>
      </w:r>
      <w:r w:rsidRPr="00702982">
        <w:rPr>
          <w:rFonts w:ascii="Arabic Typesetting" w:hAnsi="Arabic Typesetting" w:cs="Arabic Typesetting"/>
          <w:b w:val="0"/>
          <w:bCs w:val="0"/>
          <w:iCs w:val="0"/>
          <w:caps w:val="0"/>
          <w:szCs w:val="34"/>
          <w:rtl/>
          <w:lang w:val="en-US"/>
        </w:rPr>
        <w:t xml:space="preserve">البرنامج </w:t>
      </w:r>
      <w:r w:rsidRPr="00702982">
        <w:rPr>
          <w:rFonts w:ascii="Arabic Typesetting" w:hAnsi="Arabic Typesetting" w:cs="Arabic Typesetting" w:hint="cs"/>
          <w:b w:val="0"/>
          <w:bCs w:val="0"/>
          <w:iCs w:val="0"/>
          <w:caps w:val="0"/>
          <w:szCs w:val="34"/>
          <w:rtl/>
          <w:lang w:val="en-US"/>
        </w:rPr>
        <w:t>الإسهام</w:t>
      </w:r>
      <w:r w:rsidRPr="00702982">
        <w:rPr>
          <w:rFonts w:ascii="Arabic Typesetting" w:hAnsi="Arabic Typesetting" w:cs="Arabic Typesetting"/>
          <w:b w:val="0"/>
          <w:bCs w:val="0"/>
          <w:iCs w:val="0"/>
          <w:caps w:val="0"/>
          <w:szCs w:val="34"/>
          <w:rtl/>
          <w:lang w:val="en-US"/>
        </w:rPr>
        <w:t xml:space="preserve"> في ضمان </w:t>
      </w:r>
      <w:r w:rsidRPr="00702982">
        <w:rPr>
          <w:rFonts w:ascii="Arabic Typesetting" w:hAnsi="Arabic Typesetting" w:cs="Arabic Typesetting" w:hint="cs"/>
          <w:b w:val="0"/>
          <w:bCs w:val="0"/>
          <w:iCs w:val="0"/>
          <w:caps w:val="0"/>
          <w:szCs w:val="34"/>
          <w:rtl/>
          <w:lang w:val="en-US"/>
        </w:rPr>
        <w:t xml:space="preserve">أن </w:t>
      </w:r>
      <w:r w:rsidRPr="00702982">
        <w:rPr>
          <w:rFonts w:ascii="Arabic Typesetting" w:hAnsi="Arabic Typesetting" w:cs="Arabic Typesetting"/>
          <w:b w:val="0"/>
          <w:bCs w:val="0"/>
          <w:iCs w:val="0"/>
          <w:caps w:val="0"/>
          <w:szCs w:val="34"/>
          <w:rtl/>
          <w:lang w:val="en-US"/>
        </w:rPr>
        <w:t>استراتيجيات الملكية الفكرية الوطنية تت</w:t>
      </w:r>
      <w:r w:rsidRPr="00702982">
        <w:rPr>
          <w:rFonts w:ascii="Arabic Typesetting" w:hAnsi="Arabic Typesetting" w:cs="Arabic Typesetting" w:hint="cs"/>
          <w:b w:val="0"/>
          <w:bCs w:val="0"/>
          <w:iCs w:val="0"/>
          <w:caps w:val="0"/>
          <w:szCs w:val="34"/>
          <w:rtl/>
          <w:lang w:val="en-US"/>
        </w:rPr>
        <w:t>ناول</w:t>
      </w:r>
      <w:r w:rsidRPr="00702982">
        <w:rPr>
          <w:rFonts w:ascii="Arabic Typesetting" w:hAnsi="Arabic Typesetting" w:cs="Arabic Typesetting"/>
          <w:b w:val="0"/>
          <w:bCs w:val="0"/>
          <w:iCs w:val="0"/>
          <w:caps w:val="0"/>
          <w:szCs w:val="34"/>
          <w:rtl/>
          <w:lang w:val="en-US"/>
        </w:rPr>
        <w:t xml:space="preserve"> </w:t>
      </w:r>
      <w:r w:rsidRPr="00702982">
        <w:rPr>
          <w:rFonts w:ascii="Arabic Typesetting" w:hAnsi="Arabic Typesetting" w:cs="Arabic Typesetting" w:hint="cs"/>
          <w:b w:val="0"/>
          <w:bCs w:val="0"/>
          <w:iCs w:val="0"/>
          <w:caps w:val="0"/>
          <w:szCs w:val="34"/>
          <w:rtl/>
          <w:lang w:val="en-US"/>
        </w:rPr>
        <w:t>التشجيع على ا</w:t>
      </w:r>
      <w:r w:rsidRPr="00702982">
        <w:rPr>
          <w:rFonts w:ascii="Arabic Typesetting" w:hAnsi="Arabic Typesetting" w:cs="Arabic Typesetting"/>
          <w:b w:val="0"/>
          <w:bCs w:val="0"/>
          <w:iCs w:val="0"/>
          <w:caps w:val="0"/>
          <w:szCs w:val="34"/>
          <w:rtl/>
          <w:lang w:val="en-US"/>
        </w:rPr>
        <w:t>لإبداع</w:t>
      </w:r>
      <w:r w:rsidRPr="00702982">
        <w:rPr>
          <w:rFonts w:ascii="Arabic Typesetting" w:hAnsi="Arabic Typesetting" w:cs="Arabic Typesetting" w:hint="cs"/>
          <w:b w:val="0"/>
          <w:bCs w:val="0"/>
          <w:iCs w:val="0"/>
          <w:caps w:val="0"/>
          <w:szCs w:val="34"/>
          <w:rtl/>
          <w:lang w:val="en-US"/>
        </w:rPr>
        <w:t>، بما في ذلك</w:t>
      </w:r>
      <w:r w:rsidRPr="00702982">
        <w:rPr>
          <w:rFonts w:ascii="Arabic Typesetting" w:hAnsi="Arabic Typesetting" w:cs="Arabic Typesetting"/>
          <w:b w:val="0"/>
          <w:bCs w:val="0"/>
          <w:iCs w:val="0"/>
          <w:caps w:val="0"/>
          <w:szCs w:val="34"/>
          <w:rtl/>
          <w:lang w:val="en-US"/>
        </w:rPr>
        <w:t xml:space="preserve"> الابتكار </w:t>
      </w:r>
      <w:r w:rsidRPr="00702982">
        <w:rPr>
          <w:rFonts w:ascii="Arabic Typesetting" w:hAnsi="Arabic Typesetting" w:cs="Arabic Typesetting" w:hint="cs"/>
          <w:b w:val="0"/>
          <w:bCs w:val="0"/>
          <w:iCs w:val="0"/>
          <w:caps w:val="0"/>
          <w:szCs w:val="34"/>
          <w:rtl/>
          <w:lang w:val="en-US"/>
        </w:rPr>
        <w:t xml:space="preserve">بناءً </w:t>
      </w:r>
      <w:r w:rsidRPr="00702982">
        <w:rPr>
          <w:rFonts w:ascii="Arabic Typesetting" w:hAnsi="Arabic Typesetting" w:cs="Arabic Typesetting"/>
          <w:b w:val="0"/>
          <w:bCs w:val="0"/>
          <w:iCs w:val="0"/>
          <w:caps w:val="0"/>
          <w:szCs w:val="34"/>
          <w:rtl/>
          <w:lang w:val="en-US"/>
        </w:rPr>
        <w:t>على تقييم شامل لأهداف التنمية</w:t>
      </w:r>
      <w:r w:rsidRPr="00702982">
        <w:rPr>
          <w:rFonts w:ascii="Arabic Typesetting" w:hAnsi="Arabic Typesetting" w:cs="Arabic Typesetting" w:hint="cs"/>
          <w:b w:val="0"/>
          <w:bCs w:val="0"/>
          <w:iCs w:val="0"/>
          <w:caps w:val="0"/>
          <w:szCs w:val="34"/>
          <w:rtl/>
          <w:lang w:val="en-US"/>
        </w:rPr>
        <w:t>،</w:t>
      </w:r>
      <w:r w:rsidRPr="00702982">
        <w:rPr>
          <w:rFonts w:ascii="Arabic Typesetting" w:hAnsi="Arabic Typesetting" w:cs="Arabic Typesetting"/>
          <w:b w:val="0"/>
          <w:bCs w:val="0"/>
          <w:iCs w:val="0"/>
          <w:caps w:val="0"/>
          <w:szCs w:val="34"/>
          <w:rtl/>
          <w:lang w:val="en-US"/>
        </w:rPr>
        <w:t xml:space="preserve"> وفهم </w:t>
      </w:r>
      <w:r w:rsidRPr="00702982">
        <w:rPr>
          <w:rFonts w:ascii="Arabic Typesetting" w:hAnsi="Arabic Typesetting" w:cs="Arabic Typesetting" w:hint="cs"/>
          <w:b w:val="0"/>
          <w:bCs w:val="0"/>
          <w:iCs w:val="0"/>
          <w:caps w:val="0"/>
          <w:szCs w:val="34"/>
          <w:rtl/>
          <w:lang w:val="en-US"/>
        </w:rPr>
        <w:t>لمواطن ا</w:t>
      </w:r>
      <w:r w:rsidRPr="00702982">
        <w:rPr>
          <w:rFonts w:ascii="Arabic Typesetting" w:hAnsi="Arabic Typesetting" w:cs="Arabic Typesetting"/>
          <w:b w:val="0"/>
          <w:bCs w:val="0"/>
          <w:iCs w:val="0"/>
          <w:caps w:val="0"/>
          <w:szCs w:val="34"/>
          <w:rtl/>
          <w:lang w:val="en-US"/>
        </w:rPr>
        <w:t xml:space="preserve">لقوة والضعف والفرص والتحديات التي تواجه </w:t>
      </w:r>
      <w:r w:rsidRPr="00702982">
        <w:rPr>
          <w:rFonts w:ascii="Arabic Typesetting" w:hAnsi="Arabic Typesetting" w:cs="Arabic Typesetting" w:hint="cs"/>
          <w:b w:val="0"/>
          <w:bCs w:val="0"/>
          <w:iCs w:val="0"/>
          <w:caps w:val="0"/>
          <w:szCs w:val="34"/>
          <w:rtl/>
          <w:lang w:val="en-US"/>
        </w:rPr>
        <w:t xml:space="preserve">فرادى </w:t>
      </w:r>
      <w:r w:rsidRPr="00702982">
        <w:rPr>
          <w:rFonts w:ascii="Arabic Typesetting" w:hAnsi="Arabic Typesetting" w:cs="Arabic Typesetting"/>
          <w:b w:val="0"/>
          <w:bCs w:val="0"/>
          <w:iCs w:val="0"/>
          <w:caps w:val="0"/>
          <w:szCs w:val="34"/>
          <w:rtl/>
          <w:lang w:val="en-US"/>
        </w:rPr>
        <w:t>البلدان.</w:t>
      </w:r>
    </w:p>
    <w:p w:rsidR="00386BD0" w:rsidRPr="00702982"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r w:rsidRPr="00702982">
        <w:rPr>
          <w:rFonts w:ascii="Arabic Typesetting" w:hAnsi="Arabic Typesetting" w:cs="Arabic Typesetting"/>
          <w:b w:val="0"/>
          <w:bCs w:val="0"/>
          <w:iCs w:val="0"/>
          <w:caps w:val="0"/>
          <w:szCs w:val="34"/>
          <w:rtl/>
          <w:lang w:val="en-US"/>
        </w:rPr>
        <w:t xml:space="preserve">ومن أجل التصدي </w:t>
      </w:r>
      <w:r w:rsidRPr="00702982">
        <w:rPr>
          <w:rFonts w:ascii="Arabic Typesetting" w:hAnsi="Arabic Typesetting" w:cs="Arabic Typesetting" w:hint="cs"/>
          <w:b w:val="0"/>
          <w:bCs w:val="0"/>
          <w:iCs w:val="0"/>
          <w:caps w:val="0"/>
          <w:szCs w:val="34"/>
          <w:rtl/>
          <w:lang w:val="en-US"/>
        </w:rPr>
        <w:t>ل</w:t>
      </w:r>
      <w:r w:rsidRPr="00702982">
        <w:rPr>
          <w:rFonts w:ascii="Arabic Typesetting" w:hAnsi="Arabic Typesetting" w:cs="Arabic Typesetting"/>
          <w:b w:val="0"/>
          <w:bCs w:val="0"/>
          <w:iCs w:val="0"/>
          <w:caps w:val="0"/>
          <w:szCs w:val="34"/>
          <w:rtl/>
          <w:lang w:val="en-US"/>
        </w:rPr>
        <w:t xml:space="preserve">لتحدي الهائل المتمثل في </w:t>
      </w:r>
      <w:r>
        <w:rPr>
          <w:rFonts w:ascii="Arabic Typesetting" w:hAnsi="Arabic Typesetting" w:cs="Arabic Typesetting" w:hint="cs"/>
          <w:b w:val="0"/>
          <w:bCs w:val="0"/>
          <w:iCs w:val="0"/>
          <w:caps w:val="0"/>
          <w:szCs w:val="34"/>
          <w:rtl/>
          <w:lang w:val="en-US"/>
        </w:rPr>
        <w:t>إذكاء</w:t>
      </w:r>
      <w:r w:rsidRPr="00702982">
        <w:rPr>
          <w:rFonts w:ascii="Arabic Typesetting" w:hAnsi="Arabic Typesetting" w:cs="Arabic Typesetting"/>
          <w:b w:val="0"/>
          <w:bCs w:val="0"/>
          <w:iCs w:val="0"/>
          <w:caps w:val="0"/>
          <w:szCs w:val="34"/>
          <w:rtl/>
          <w:lang w:val="en-US"/>
        </w:rPr>
        <w:t xml:space="preserve"> الوعي </w:t>
      </w:r>
      <w:r w:rsidRPr="00702982">
        <w:rPr>
          <w:rFonts w:ascii="Arabic Typesetting" w:hAnsi="Arabic Typesetting" w:cs="Arabic Typesetting" w:hint="cs"/>
          <w:b w:val="0"/>
          <w:bCs w:val="0"/>
          <w:iCs w:val="0"/>
          <w:caps w:val="0"/>
          <w:szCs w:val="34"/>
          <w:rtl/>
          <w:lang w:val="en-US"/>
        </w:rPr>
        <w:t>ب</w:t>
      </w:r>
      <w:r w:rsidRPr="00702982">
        <w:rPr>
          <w:rFonts w:ascii="Arabic Typesetting" w:hAnsi="Arabic Typesetting" w:cs="Arabic Typesetting"/>
          <w:b w:val="0"/>
          <w:bCs w:val="0"/>
          <w:iCs w:val="0"/>
          <w:caps w:val="0"/>
          <w:szCs w:val="34"/>
          <w:rtl/>
          <w:lang w:val="en-US"/>
        </w:rPr>
        <w:t>نظام الملكية الفكرية واستخدام</w:t>
      </w:r>
      <w:r w:rsidRPr="00702982">
        <w:rPr>
          <w:rFonts w:ascii="Arabic Typesetting" w:hAnsi="Arabic Typesetting" w:cs="Arabic Typesetting" w:hint="cs"/>
          <w:b w:val="0"/>
          <w:bCs w:val="0"/>
          <w:iCs w:val="0"/>
          <w:caps w:val="0"/>
          <w:szCs w:val="34"/>
          <w:rtl/>
          <w:lang w:val="en-US"/>
        </w:rPr>
        <w:t xml:space="preserve"> </w:t>
      </w:r>
      <w:r w:rsidRPr="00702982">
        <w:rPr>
          <w:rFonts w:ascii="Arabic Typesetting" w:hAnsi="Arabic Typesetting" w:cs="Arabic Typesetting"/>
          <w:b w:val="0"/>
          <w:bCs w:val="0"/>
          <w:iCs w:val="0"/>
          <w:caps w:val="0"/>
          <w:szCs w:val="34"/>
          <w:rtl/>
          <w:lang w:val="en-US"/>
        </w:rPr>
        <w:t xml:space="preserve">الشركات الصغيرة والمتوسطة </w:t>
      </w:r>
      <w:r w:rsidRPr="00702982">
        <w:rPr>
          <w:rFonts w:ascii="Arabic Typesetting" w:hAnsi="Arabic Typesetting" w:cs="Arabic Typesetting" w:hint="cs"/>
          <w:b w:val="0"/>
          <w:bCs w:val="0"/>
          <w:iCs w:val="0"/>
          <w:caps w:val="0"/>
          <w:szCs w:val="34"/>
          <w:rtl/>
          <w:lang w:val="en-US"/>
        </w:rPr>
        <w:t>له على نحو</w:t>
      </w:r>
      <w:r w:rsidRPr="00702982">
        <w:rPr>
          <w:rFonts w:ascii="Arabic Typesetting" w:hAnsi="Arabic Typesetting" w:cs="Arabic Typesetting"/>
          <w:b w:val="0"/>
          <w:bCs w:val="0"/>
          <w:iCs w:val="0"/>
          <w:caps w:val="0"/>
          <w:szCs w:val="34"/>
          <w:rtl/>
          <w:lang w:val="en-US"/>
        </w:rPr>
        <w:t xml:space="preserve"> فعال ومستدام، </w:t>
      </w:r>
      <w:r>
        <w:rPr>
          <w:rFonts w:ascii="Arabic Typesetting" w:hAnsi="Arabic Typesetting" w:cs="Arabic Typesetting" w:hint="cs"/>
          <w:b w:val="0"/>
          <w:bCs w:val="0"/>
          <w:iCs w:val="0"/>
          <w:caps w:val="0"/>
          <w:szCs w:val="34"/>
          <w:rtl/>
          <w:lang w:val="en-US"/>
        </w:rPr>
        <w:t>س</w:t>
      </w:r>
      <w:r w:rsidRPr="00702982">
        <w:rPr>
          <w:rFonts w:ascii="Arabic Typesetting" w:hAnsi="Arabic Typesetting" w:cs="Arabic Typesetting" w:hint="cs"/>
          <w:b w:val="0"/>
          <w:bCs w:val="0"/>
          <w:iCs w:val="0"/>
          <w:caps w:val="0"/>
          <w:szCs w:val="34"/>
          <w:rtl/>
          <w:lang w:val="en-US"/>
        </w:rPr>
        <w:t>يتّبع ال</w:t>
      </w:r>
      <w:r w:rsidRPr="00702982">
        <w:rPr>
          <w:rFonts w:ascii="Arabic Typesetting" w:hAnsi="Arabic Typesetting" w:cs="Arabic Typesetting"/>
          <w:b w:val="0"/>
          <w:bCs w:val="0"/>
          <w:iCs w:val="0"/>
          <w:caps w:val="0"/>
          <w:szCs w:val="34"/>
          <w:rtl/>
          <w:lang w:val="en-US"/>
        </w:rPr>
        <w:t>برنامج</w:t>
      </w:r>
      <w:r w:rsidRPr="00702982">
        <w:rPr>
          <w:rFonts w:ascii="Arabic Typesetting" w:hAnsi="Arabic Typesetting" w:cs="Arabic Typesetting" w:hint="cs"/>
          <w:b w:val="0"/>
          <w:bCs w:val="0"/>
          <w:iCs w:val="0"/>
          <w:caps w:val="0"/>
          <w:szCs w:val="34"/>
          <w:rtl/>
          <w:lang w:val="en-US"/>
        </w:rPr>
        <w:t>ُ</w:t>
      </w:r>
      <w:r w:rsidRPr="00702982">
        <w:rPr>
          <w:rFonts w:ascii="Arabic Typesetting" w:hAnsi="Arabic Typesetting" w:cs="Arabic Typesetting"/>
          <w:b w:val="0"/>
          <w:bCs w:val="0"/>
          <w:iCs w:val="0"/>
          <w:caps w:val="0"/>
          <w:szCs w:val="34"/>
          <w:rtl/>
          <w:lang w:val="en-US"/>
        </w:rPr>
        <w:t xml:space="preserve"> نهج</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 xml:space="preserve"> </w:t>
      </w:r>
      <w:r w:rsidRPr="00702982">
        <w:rPr>
          <w:rFonts w:ascii="Arabic Typesetting" w:hAnsi="Arabic Typesetting" w:cs="Arabic Typesetting" w:hint="cs"/>
          <w:b w:val="0"/>
          <w:bCs w:val="0"/>
          <w:iCs w:val="0"/>
          <w:caps w:val="0"/>
          <w:szCs w:val="34"/>
          <w:rtl/>
          <w:lang w:val="en-US"/>
        </w:rPr>
        <w:t xml:space="preserve">مُنسَّقاً قائماً على </w:t>
      </w:r>
      <w:r w:rsidRPr="00702982">
        <w:rPr>
          <w:rFonts w:ascii="Arabic Typesetting" w:hAnsi="Arabic Typesetting" w:cs="Arabic Typesetting"/>
          <w:b w:val="0"/>
          <w:bCs w:val="0"/>
          <w:iCs w:val="0"/>
          <w:caps w:val="0"/>
          <w:szCs w:val="34"/>
          <w:rtl/>
          <w:lang w:val="en-US"/>
        </w:rPr>
        <w:t>المش</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ر</w:t>
      </w:r>
      <w:r w:rsidRPr="00702982">
        <w:rPr>
          <w:rFonts w:ascii="Arabic Typesetting" w:hAnsi="Arabic Typesetting" w:cs="Arabic Typesetting" w:hint="cs"/>
          <w:b w:val="0"/>
          <w:bCs w:val="0"/>
          <w:iCs w:val="0"/>
          <w:caps w:val="0"/>
          <w:szCs w:val="34"/>
          <w:rtl/>
          <w:lang w:val="en-US"/>
        </w:rPr>
        <w:t>ي</w:t>
      </w:r>
      <w:r w:rsidRPr="00702982">
        <w:rPr>
          <w:rFonts w:ascii="Arabic Typesetting" w:hAnsi="Arabic Typesetting" w:cs="Arabic Typesetting"/>
          <w:b w:val="0"/>
          <w:bCs w:val="0"/>
          <w:iCs w:val="0"/>
          <w:caps w:val="0"/>
          <w:szCs w:val="34"/>
          <w:rtl/>
          <w:lang w:val="en-US"/>
        </w:rPr>
        <w:t xml:space="preserve">ع </w:t>
      </w:r>
      <w:r w:rsidRPr="00702982">
        <w:rPr>
          <w:rFonts w:ascii="Arabic Typesetting" w:hAnsi="Arabic Typesetting" w:cs="Arabic Typesetting" w:hint="cs"/>
          <w:b w:val="0"/>
          <w:bCs w:val="0"/>
          <w:iCs w:val="0"/>
          <w:caps w:val="0"/>
          <w:szCs w:val="34"/>
          <w:rtl/>
          <w:lang w:val="en-US"/>
        </w:rPr>
        <w:t xml:space="preserve">يجمع بين </w:t>
      </w:r>
      <w:r w:rsidRPr="00702982">
        <w:rPr>
          <w:rFonts w:ascii="Arabic Typesetting" w:hAnsi="Arabic Typesetting" w:cs="Arabic Typesetting"/>
          <w:b w:val="0"/>
          <w:bCs w:val="0"/>
          <w:iCs w:val="0"/>
          <w:caps w:val="0"/>
          <w:szCs w:val="34"/>
          <w:rtl/>
          <w:lang w:val="en-US"/>
        </w:rPr>
        <w:t>خبرات</w:t>
      </w:r>
      <w:r w:rsidRPr="00702982">
        <w:rPr>
          <w:rFonts w:ascii="Arabic Typesetting" w:hAnsi="Arabic Typesetting" w:cs="Arabic Typesetting" w:hint="cs"/>
          <w:b w:val="0"/>
          <w:bCs w:val="0"/>
          <w:iCs w:val="0"/>
          <w:caps w:val="0"/>
          <w:szCs w:val="34"/>
          <w:rtl/>
          <w:lang w:val="en-US"/>
        </w:rPr>
        <w:t xml:space="preserve"> أصحاب المصالح الداخليين والخارجيين </w:t>
      </w:r>
      <w:r w:rsidRPr="00702982">
        <w:rPr>
          <w:rFonts w:ascii="Arabic Typesetting" w:hAnsi="Arabic Typesetting" w:cs="Arabic Typesetting"/>
          <w:b w:val="0"/>
          <w:bCs w:val="0"/>
          <w:iCs w:val="0"/>
          <w:caps w:val="0"/>
          <w:szCs w:val="34"/>
          <w:rtl/>
          <w:lang w:val="en-US"/>
        </w:rPr>
        <w:t>وتجارب</w:t>
      </w:r>
      <w:r w:rsidRPr="00702982">
        <w:rPr>
          <w:rFonts w:ascii="Arabic Typesetting" w:hAnsi="Arabic Typesetting" w:cs="Arabic Typesetting" w:hint="cs"/>
          <w:b w:val="0"/>
          <w:bCs w:val="0"/>
          <w:iCs w:val="0"/>
          <w:caps w:val="0"/>
          <w:szCs w:val="34"/>
          <w:rtl/>
          <w:lang w:val="en-US"/>
        </w:rPr>
        <w:t>هم</w:t>
      </w:r>
      <w:r w:rsidRPr="00702982">
        <w:rPr>
          <w:rFonts w:ascii="Arabic Typesetting" w:hAnsi="Arabic Typesetting" w:cs="Arabic Typesetting"/>
          <w:b w:val="0"/>
          <w:bCs w:val="0"/>
          <w:iCs w:val="0"/>
          <w:caps w:val="0"/>
          <w:szCs w:val="34"/>
          <w:rtl/>
          <w:lang w:val="en-US"/>
        </w:rPr>
        <w:t xml:space="preserve"> وأفضل ممارسات</w:t>
      </w:r>
      <w:r w:rsidRPr="00702982">
        <w:rPr>
          <w:rFonts w:ascii="Arabic Typesetting" w:hAnsi="Arabic Typesetting" w:cs="Arabic Typesetting" w:hint="cs"/>
          <w:b w:val="0"/>
          <w:bCs w:val="0"/>
          <w:iCs w:val="0"/>
          <w:caps w:val="0"/>
          <w:szCs w:val="34"/>
          <w:rtl/>
          <w:lang w:val="en-US"/>
        </w:rPr>
        <w:t xml:space="preserve">هم </w:t>
      </w:r>
      <w:r w:rsidRPr="00702982">
        <w:rPr>
          <w:rFonts w:ascii="Arabic Typesetting" w:hAnsi="Arabic Typesetting" w:cs="Arabic Typesetting"/>
          <w:b w:val="0"/>
          <w:bCs w:val="0"/>
          <w:iCs w:val="0"/>
          <w:caps w:val="0"/>
          <w:szCs w:val="34"/>
          <w:rtl/>
          <w:lang w:val="en-US"/>
        </w:rPr>
        <w:t xml:space="preserve">على </w:t>
      </w:r>
      <w:r w:rsidRPr="00702982">
        <w:rPr>
          <w:rFonts w:ascii="Arabic Typesetting" w:hAnsi="Arabic Typesetting" w:cs="Arabic Typesetting" w:hint="cs"/>
          <w:b w:val="0"/>
          <w:bCs w:val="0"/>
          <w:iCs w:val="0"/>
          <w:caps w:val="0"/>
          <w:szCs w:val="34"/>
          <w:rtl/>
          <w:lang w:val="en-US"/>
        </w:rPr>
        <w:t>منصة</w:t>
      </w:r>
      <w:r w:rsidRPr="00702982">
        <w:rPr>
          <w:rFonts w:ascii="Arabic Typesetting" w:hAnsi="Arabic Typesetting" w:cs="Arabic Typesetting"/>
          <w:b w:val="0"/>
          <w:bCs w:val="0"/>
          <w:iCs w:val="0"/>
          <w:caps w:val="0"/>
          <w:szCs w:val="34"/>
          <w:rtl/>
          <w:lang w:val="en-US"/>
        </w:rPr>
        <w:t xml:space="preserve"> مشتركة. </w:t>
      </w:r>
      <w:r>
        <w:rPr>
          <w:rFonts w:ascii="Arabic Typesetting" w:hAnsi="Arabic Typesetting" w:cs="Arabic Typesetting" w:hint="cs"/>
          <w:b w:val="0"/>
          <w:bCs w:val="0"/>
          <w:iCs w:val="0"/>
          <w:caps w:val="0"/>
          <w:szCs w:val="34"/>
          <w:rtl/>
          <w:lang w:val="en-US"/>
        </w:rPr>
        <w:t>وس</w:t>
      </w:r>
      <w:r w:rsidRPr="00702982">
        <w:rPr>
          <w:rFonts w:ascii="Arabic Typesetting" w:hAnsi="Arabic Typesetting" w:cs="Arabic Typesetting" w:hint="cs"/>
          <w:b w:val="0"/>
          <w:bCs w:val="0"/>
          <w:iCs w:val="0"/>
          <w:caps w:val="0"/>
          <w:szCs w:val="34"/>
          <w:rtl/>
          <w:lang w:val="en-US"/>
        </w:rPr>
        <w:t>يُ</w:t>
      </w:r>
      <w:r w:rsidRPr="00702982">
        <w:rPr>
          <w:rFonts w:ascii="Arabic Typesetting" w:hAnsi="Arabic Typesetting" w:cs="Arabic Typesetting"/>
          <w:b w:val="0"/>
          <w:bCs w:val="0"/>
          <w:iCs w:val="0"/>
          <w:caps w:val="0"/>
          <w:szCs w:val="34"/>
          <w:rtl/>
          <w:lang w:val="en-US"/>
        </w:rPr>
        <w:t>حص</w:t>
      </w:r>
      <w:r w:rsidRPr="00702982">
        <w:rPr>
          <w:rFonts w:ascii="Arabic Typesetting" w:hAnsi="Arabic Typesetting" w:cs="Arabic Typesetting" w:hint="cs"/>
          <w:b w:val="0"/>
          <w:bCs w:val="0"/>
          <w:iCs w:val="0"/>
          <w:caps w:val="0"/>
          <w:szCs w:val="34"/>
          <w:rtl/>
          <w:lang w:val="en-US"/>
        </w:rPr>
        <w:t>َ</w:t>
      </w:r>
      <w:r w:rsidRPr="00702982">
        <w:rPr>
          <w:rFonts w:ascii="Arabic Typesetting" w:hAnsi="Arabic Typesetting" w:cs="Arabic Typesetting"/>
          <w:b w:val="0"/>
          <w:bCs w:val="0"/>
          <w:iCs w:val="0"/>
          <w:caps w:val="0"/>
          <w:szCs w:val="34"/>
          <w:rtl/>
          <w:lang w:val="en-US"/>
        </w:rPr>
        <w:t>ل عل</w:t>
      </w:r>
      <w:r w:rsidRPr="00702982">
        <w:rPr>
          <w:rFonts w:ascii="Arabic Typesetting" w:hAnsi="Arabic Typesetting" w:cs="Arabic Typesetting" w:hint="cs"/>
          <w:b w:val="0"/>
          <w:bCs w:val="0"/>
          <w:iCs w:val="0"/>
          <w:caps w:val="0"/>
          <w:szCs w:val="34"/>
          <w:rtl/>
          <w:lang w:val="en-US"/>
        </w:rPr>
        <w:t>ى</w:t>
      </w:r>
      <w:r w:rsidRPr="00702982">
        <w:rPr>
          <w:rFonts w:ascii="Arabic Typesetting" w:hAnsi="Arabic Typesetting" w:cs="Arabic Typesetting"/>
          <w:b w:val="0"/>
          <w:bCs w:val="0"/>
          <w:iCs w:val="0"/>
          <w:caps w:val="0"/>
          <w:szCs w:val="34"/>
          <w:rtl/>
          <w:lang w:val="en-US"/>
        </w:rPr>
        <w:t xml:space="preserve"> المدخلات والتوصيات المناسبة من الدراسات الوطنية </w:t>
      </w:r>
      <w:r w:rsidRPr="00702982">
        <w:rPr>
          <w:rFonts w:ascii="Arabic Typesetting" w:hAnsi="Arabic Typesetting" w:cs="Arabic Typesetting" w:hint="cs"/>
          <w:b w:val="0"/>
          <w:bCs w:val="0"/>
          <w:iCs w:val="0"/>
          <w:caps w:val="0"/>
          <w:szCs w:val="34"/>
          <w:rtl/>
          <w:lang w:val="en-US"/>
        </w:rPr>
        <w:t>و</w:t>
      </w:r>
      <w:r w:rsidRPr="00702982">
        <w:rPr>
          <w:rFonts w:ascii="Arabic Typesetting" w:hAnsi="Arabic Typesetting" w:cs="Arabic Typesetting"/>
          <w:b w:val="0"/>
          <w:bCs w:val="0"/>
          <w:iCs w:val="0"/>
          <w:caps w:val="0"/>
          <w:szCs w:val="34"/>
          <w:rtl/>
          <w:lang w:val="en-US"/>
        </w:rPr>
        <w:t xml:space="preserve">الإقليمية </w:t>
      </w:r>
      <w:r w:rsidRPr="00702982">
        <w:rPr>
          <w:rFonts w:ascii="Arabic Typesetting" w:hAnsi="Arabic Typesetting" w:cs="Arabic Typesetting" w:hint="cs"/>
          <w:b w:val="0"/>
          <w:bCs w:val="0"/>
          <w:iCs w:val="0"/>
          <w:caps w:val="0"/>
          <w:szCs w:val="34"/>
          <w:rtl/>
          <w:lang w:val="en-US"/>
        </w:rPr>
        <w:t>الخاصة ب</w:t>
      </w:r>
      <w:r w:rsidRPr="00702982">
        <w:rPr>
          <w:rFonts w:ascii="Arabic Typesetting" w:hAnsi="Arabic Typesetting" w:cs="Arabic Typesetting"/>
          <w:b w:val="0"/>
          <w:bCs w:val="0"/>
          <w:iCs w:val="0"/>
          <w:caps w:val="0"/>
          <w:szCs w:val="34"/>
          <w:rtl/>
          <w:lang w:val="en-US"/>
        </w:rPr>
        <w:t>الملكية الفكرية والمؤسسات الصغيرة والمتوسطة ومن المنتديات والندوات الوطنية والإقليمية والدولية.</w:t>
      </w:r>
      <w:r w:rsidRPr="00702982">
        <w:rPr>
          <w:rFonts w:ascii="Arabic Typesetting" w:hAnsi="Arabic Typesetting" w:cs="Arabic Typesetting" w:hint="cs"/>
          <w:b w:val="0"/>
          <w:bCs w:val="0"/>
          <w:iCs w:val="0"/>
          <w:caps w:val="0"/>
          <w:szCs w:val="34"/>
          <w:rtl/>
          <w:lang w:val="en-US"/>
        </w:rPr>
        <w:t xml:space="preserve"> ويمكن أن تُختبر في بعض البلدان على سبيل التجريب </w:t>
      </w:r>
      <w:r w:rsidRPr="00702982">
        <w:rPr>
          <w:rFonts w:ascii="Arabic Typesetting" w:hAnsi="Arabic Typesetting" w:cs="Arabic Typesetting"/>
          <w:b w:val="0"/>
          <w:bCs w:val="0"/>
          <w:iCs w:val="0"/>
          <w:caps w:val="0"/>
          <w:szCs w:val="34"/>
          <w:rtl/>
          <w:lang w:val="en-US"/>
        </w:rPr>
        <w:t>ن</w:t>
      </w:r>
      <w:r w:rsidRPr="00702982">
        <w:rPr>
          <w:rFonts w:ascii="Arabic Typesetting" w:hAnsi="Arabic Typesetting" w:cs="Arabic Typesetting" w:hint="cs"/>
          <w:b w:val="0"/>
          <w:bCs w:val="0"/>
          <w:iCs w:val="0"/>
          <w:caps w:val="0"/>
          <w:szCs w:val="34"/>
          <w:rtl/>
          <w:lang w:val="en-US"/>
        </w:rPr>
        <w:t>ُ</w:t>
      </w:r>
      <w:r w:rsidRPr="00702982">
        <w:rPr>
          <w:rFonts w:ascii="Arabic Typesetting" w:hAnsi="Arabic Typesetting" w:cs="Arabic Typesetting"/>
          <w:b w:val="0"/>
          <w:bCs w:val="0"/>
          <w:iCs w:val="0"/>
          <w:caps w:val="0"/>
          <w:szCs w:val="34"/>
          <w:rtl/>
          <w:lang w:val="en-US"/>
        </w:rPr>
        <w:t>هج جديدة مثل</w:t>
      </w:r>
      <w:r w:rsidRPr="00702982">
        <w:rPr>
          <w:rFonts w:ascii="Arabic Typesetting" w:hAnsi="Arabic Typesetting" w:cs="Arabic Typesetting" w:hint="cs"/>
          <w:b w:val="0"/>
          <w:bCs w:val="0"/>
          <w:iCs w:val="0"/>
          <w:caps w:val="0"/>
          <w:szCs w:val="34"/>
          <w:rtl/>
          <w:lang w:val="en-US"/>
        </w:rPr>
        <w:t xml:space="preserve"> مشروع سفير/ بطل الملكية الفكرية للشركات الصغيرة والمتوسطة ومشروع تكاتف الشركات الصغيرة والمتوسطة بشأن الملكية الفكرية</w:t>
      </w:r>
      <w:r w:rsidRPr="00702982">
        <w:rPr>
          <w:rFonts w:ascii="Arabic Typesetting" w:hAnsi="Arabic Typesetting" w:cs="Arabic Typesetting"/>
          <w:b w:val="0"/>
          <w:bCs w:val="0"/>
          <w:iCs w:val="0"/>
          <w:caps w:val="0"/>
          <w:szCs w:val="34"/>
          <w:rtl/>
          <w:lang w:val="en-US"/>
        </w:rPr>
        <w:t>.</w:t>
      </w:r>
    </w:p>
    <w:p w:rsidR="00386BD0" w:rsidRPr="00702982"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r>
        <w:rPr>
          <w:rFonts w:ascii="Arabic Typesetting" w:hAnsi="Arabic Typesetting" w:cs="Arabic Typesetting"/>
          <w:b w:val="0"/>
          <w:bCs w:val="0"/>
          <w:iCs w:val="0"/>
          <w:caps w:val="0"/>
          <w:szCs w:val="34"/>
          <w:rtl/>
          <w:lang w:val="en-US"/>
        </w:rPr>
        <w:t>و</w:t>
      </w:r>
      <w:r>
        <w:rPr>
          <w:rFonts w:ascii="Arabic Typesetting" w:hAnsi="Arabic Typesetting" w:cs="Arabic Typesetting" w:hint="cs"/>
          <w:b w:val="0"/>
          <w:bCs w:val="0"/>
          <w:iCs w:val="0"/>
          <w:caps w:val="0"/>
          <w:szCs w:val="34"/>
          <w:rtl/>
          <w:lang w:val="en-US"/>
        </w:rPr>
        <w:t xml:space="preserve">يؤدي </w:t>
      </w:r>
      <w:r w:rsidRPr="00702982">
        <w:rPr>
          <w:rFonts w:ascii="Arabic Typesetting" w:hAnsi="Arabic Typesetting" w:cs="Arabic Typesetting"/>
          <w:b w:val="0"/>
          <w:bCs w:val="0"/>
          <w:iCs w:val="0"/>
          <w:caps w:val="0"/>
          <w:szCs w:val="34"/>
          <w:rtl/>
          <w:lang w:val="en-US"/>
        </w:rPr>
        <w:t>البرنامج</w:t>
      </w:r>
      <w:r w:rsidRPr="00702982">
        <w:rPr>
          <w:rFonts w:ascii="Arabic Typesetting" w:hAnsi="Arabic Typesetting" w:cs="Arabic Typesetting" w:hint="cs"/>
          <w:b w:val="0"/>
          <w:bCs w:val="0"/>
          <w:iCs w:val="0"/>
          <w:caps w:val="0"/>
          <w:szCs w:val="34"/>
          <w:rtl/>
          <w:lang w:val="en-US"/>
        </w:rPr>
        <w:t>ُ</w:t>
      </w:r>
      <w:r>
        <w:rPr>
          <w:rFonts w:ascii="Arabic Typesetting" w:hAnsi="Arabic Typesetting" w:cs="Arabic Typesetting" w:hint="cs"/>
          <w:b w:val="0"/>
          <w:bCs w:val="0"/>
          <w:iCs w:val="0"/>
          <w:caps w:val="0"/>
          <w:szCs w:val="34"/>
          <w:rtl/>
          <w:lang w:val="en-US"/>
        </w:rPr>
        <w:t xml:space="preserve"> دور</w:t>
      </w:r>
      <w:r w:rsidRPr="00702982">
        <w:rPr>
          <w:rFonts w:ascii="Arabic Typesetting" w:hAnsi="Arabic Typesetting" w:cs="Arabic Typesetting"/>
          <w:b w:val="0"/>
          <w:bCs w:val="0"/>
          <w:iCs w:val="0"/>
          <w:caps w:val="0"/>
          <w:szCs w:val="34"/>
          <w:rtl/>
          <w:lang w:val="en-US"/>
        </w:rPr>
        <w:t xml:space="preserve"> </w:t>
      </w:r>
      <w:r w:rsidRPr="002919EF">
        <w:rPr>
          <w:rFonts w:ascii="Arabic Typesetting" w:hAnsi="Arabic Typesetting" w:cs="Arabic Typesetting" w:hint="cs"/>
          <w:b w:val="0"/>
          <w:bCs w:val="0"/>
          <w:iCs w:val="0"/>
          <w:caps w:val="0"/>
          <w:szCs w:val="34"/>
          <w:rtl/>
          <w:lang w:val="en-US"/>
        </w:rPr>
        <w:t>النقطةَ المرجعية المركزية المخصصة داخل الويبو لقضايا الملكية الفكرية المرتبطة بالشركات الصغيرة والمتوسطة</w:t>
      </w:r>
      <w:r w:rsidRPr="00702982">
        <w:rPr>
          <w:rFonts w:ascii="Arabic Typesetting" w:hAnsi="Arabic Typesetting" w:cs="Arabic Typesetting"/>
          <w:b w:val="0"/>
          <w:bCs w:val="0"/>
          <w:iCs w:val="0"/>
          <w:caps w:val="0"/>
          <w:szCs w:val="34"/>
          <w:rtl/>
          <w:lang w:val="en-US"/>
        </w:rPr>
        <w:t xml:space="preserve"> في البلدان النامية والبلدان الأقل نموا</w:t>
      </w:r>
      <w:r w:rsidRPr="00702982">
        <w:rPr>
          <w:rFonts w:ascii="Arabic Typesetting" w:hAnsi="Arabic Typesetting" w:cs="Arabic Typesetting" w:hint="cs"/>
          <w:b w:val="0"/>
          <w:bCs w:val="0"/>
          <w:iCs w:val="0"/>
          <w:caps w:val="0"/>
          <w:szCs w:val="34"/>
          <w:rtl/>
          <w:lang w:val="en-US"/>
        </w:rPr>
        <w:t>ً</w:t>
      </w:r>
      <w:r w:rsidRPr="00702982">
        <w:rPr>
          <w:rFonts w:ascii="Arabic Typesetting" w:hAnsi="Arabic Typesetting" w:cs="Arabic Typesetting"/>
          <w:b w:val="0"/>
          <w:bCs w:val="0"/>
          <w:iCs w:val="0"/>
          <w:caps w:val="0"/>
          <w:szCs w:val="34"/>
          <w:rtl/>
          <w:lang w:val="en-US"/>
        </w:rPr>
        <w:t xml:space="preserve"> و</w:t>
      </w:r>
      <w:r>
        <w:rPr>
          <w:rFonts w:ascii="Arabic Typesetting" w:hAnsi="Arabic Typesetting" w:cs="Arabic Typesetting"/>
          <w:b w:val="0"/>
          <w:bCs w:val="0"/>
          <w:iCs w:val="0"/>
          <w:caps w:val="0"/>
          <w:szCs w:val="34"/>
          <w:rtl/>
          <w:lang w:val="en-US"/>
        </w:rPr>
        <w:t>البلدان ال</w:t>
      </w:r>
      <w:r>
        <w:rPr>
          <w:rFonts w:ascii="Arabic Typesetting" w:hAnsi="Arabic Typesetting" w:cs="Arabic Typesetting" w:hint="cs"/>
          <w:b w:val="0"/>
          <w:bCs w:val="0"/>
          <w:iCs w:val="0"/>
          <w:caps w:val="0"/>
          <w:szCs w:val="34"/>
          <w:rtl/>
          <w:lang w:val="en-US"/>
        </w:rPr>
        <w:t>منتقلة إلى نظام الاقتصاد الحر</w:t>
      </w:r>
      <w:r w:rsidRPr="00702982">
        <w:rPr>
          <w:rFonts w:ascii="Arabic Typesetting" w:hAnsi="Arabic Typesetting" w:cs="Arabic Typesetting"/>
          <w:b w:val="0"/>
          <w:bCs w:val="0"/>
          <w:iCs w:val="0"/>
          <w:caps w:val="0"/>
          <w:szCs w:val="34"/>
          <w:rtl/>
          <w:lang w:val="en-US"/>
        </w:rPr>
        <w:t>، مسترشد</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 xml:space="preserve"> </w:t>
      </w:r>
      <w:r w:rsidRPr="00702982">
        <w:rPr>
          <w:rFonts w:ascii="Arabic Typesetting" w:hAnsi="Arabic Typesetting" w:cs="Arabic Typesetting" w:hint="cs"/>
          <w:b w:val="0"/>
          <w:bCs w:val="0"/>
          <w:iCs w:val="0"/>
          <w:caps w:val="0"/>
          <w:szCs w:val="34"/>
          <w:rtl/>
          <w:lang w:val="en-US"/>
        </w:rPr>
        <w:t>بال</w:t>
      </w:r>
      <w:r w:rsidRPr="00702982">
        <w:rPr>
          <w:rFonts w:ascii="Arabic Typesetting" w:hAnsi="Arabic Typesetting" w:cs="Arabic Typesetting"/>
          <w:b w:val="0"/>
          <w:bCs w:val="0"/>
          <w:iCs w:val="0"/>
          <w:caps w:val="0"/>
          <w:szCs w:val="34"/>
          <w:rtl/>
          <w:lang w:val="en-US"/>
        </w:rPr>
        <w:t xml:space="preserve">مدخلات </w:t>
      </w:r>
      <w:r w:rsidRPr="00702982">
        <w:rPr>
          <w:rFonts w:ascii="Arabic Typesetting" w:hAnsi="Arabic Typesetting" w:cs="Arabic Typesetting" w:hint="cs"/>
          <w:b w:val="0"/>
          <w:bCs w:val="0"/>
          <w:iCs w:val="0"/>
          <w:caps w:val="0"/>
          <w:szCs w:val="34"/>
          <w:rtl/>
          <w:lang w:val="en-US"/>
        </w:rPr>
        <w:t xml:space="preserve">المُقدَّمة </w:t>
      </w:r>
      <w:r w:rsidRPr="00702982">
        <w:rPr>
          <w:rFonts w:ascii="Arabic Typesetting" w:hAnsi="Arabic Typesetting" w:cs="Arabic Typesetting"/>
          <w:b w:val="0"/>
          <w:bCs w:val="0"/>
          <w:iCs w:val="0"/>
          <w:caps w:val="0"/>
          <w:szCs w:val="34"/>
          <w:rtl/>
          <w:lang w:val="en-US"/>
        </w:rPr>
        <w:t>من الدول الأعضاء والتوصيات 1 و4 و11</w:t>
      </w:r>
      <w:r w:rsidRPr="00702982">
        <w:rPr>
          <w:rFonts w:ascii="Arabic Typesetting" w:hAnsi="Arabic Typesetting" w:cs="Arabic Typesetting" w:hint="cs"/>
          <w:b w:val="0"/>
          <w:bCs w:val="0"/>
          <w:iCs w:val="0"/>
          <w:caps w:val="0"/>
          <w:szCs w:val="34"/>
          <w:rtl/>
          <w:lang w:val="en-US"/>
        </w:rPr>
        <w:t xml:space="preserve"> من توصيات جدول أعمال التنمية</w:t>
      </w:r>
      <w:r w:rsidRPr="00702982">
        <w:rPr>
          <w:rFonts w:ascii="Arabic Typesetting" w:hAnsi="Arabic Typesetting" w:cs="Arabic Typesetting"/>
          <w:b w:val="0"/>
          <w:bCs w:val="0"/>
          <w:iCs w:val="0"/>
          <w:caps w:val="0"/>
          <w:szCs w:val="34"/>
          <w:rtl/>
          <w:lang w:val="en-US"/>
        </w:rPr>
        <w:t>.</w:t>
      </w:r>
      <w:r>
        <w:rPr>
          <w:rFonts w:ascii="Arabic Typesetting" w:hAnsi="Arabic Typesetting" w:cs="Arabic Typesetting" w:hint="cs"/>
          <w:b w:val="0"/>
          <w:bCs w:val="0"/>
          <w:iCs w:val="0"/>
          <w:caps w:val="0"/>
          <w:szCs w:val="34"/>
          <w:rtl/>
          <w:lang w:val="en-US"/>
        </w:rPr>
        <w:t xml:space="preserve"> </w:t>
      </w:r>
      <w:r w:rsidRPr="002919EF">
        <w:rPr>
          <w:rFonts w:ascii="Arabic Typesetting" w:hAnsi="Arabic Typesetting" w:cs="Arabic Typesetting" w:hint="cs"/>
          <w:b w:val="0"/>
          <w:bCs w:val="0"/>
          <w:iCs w:val="0"/>
          <w:caps w:val="0"/>
          <w:szCs w:val="34"/>
          <w:rtl/>
          <w:lang w:val="en-US"/>
        </w:rPr>
        <w:t>وس</w:t>
      </w:r>
      <w:r>
        <w:rPr>
          <w:rFonts w:ascii="Arabic Typesetting" w:hAnsi="Arabic Typesetting" w:cs="Arabic Typesetting" w:hint="cs"/>
          <w:b w:val="0"/>
          <w:bCs w:val="0"/>
          <w:iCs w:val="0"/>
          <w:caps w:val="0"/>
          <w:szCs w:val="34"/>
          <w:rtl/>
          <w:lang w:val="en-US"/>
        </w:rPr>
        <w:t xml:space="preserve">يواصل البرنامج ضمان إعداد منصة قوية لما يتعلق </w:t>
      </w:r>
      <w:r w:rsidRPr="002919EF">
        <w:rPr>
          <w:rFonts w:ascii="Arabic Typesetting" w:hAnsi="Arabic Typesetting" w:cs="Arabic Typesetting" w:hint="cs"/>
          <w:b w:val="0"/>
          <w:bCs w:val="0"/>
          <w:iCs w:val="0"/>
          <w:caps w:val="0"/>
          <w:szCs w:val="34"/>
          <w:rtl/>
          <w:lang w:val="en-US"/>
        </w:rPr>
        <w:t xml:space="preserve">بالشركات الصغيرة والمتوسطة </w:t>
      </w:r>
      <w:r>
        <w:rPr>
          <w:rFonts w:ascii="Arabic Typesetting" w:hAnsi="Arabic Typesetting" w:cs="Arabic Typesetting" w:hint="cs"/>
          <w:b w:val="0"/>
          <w:bCs w:val="0"/>
          <w:iCs w:val="0"/>
          <w:caps w:val="0"/>
          <w:szCs w:val="34"/>
          <w:rtl/>
          <w:lang w:val="en-US"/>
        </w:rPr>
        <w:t xml:space="preserve">والجامعات </w:t>
      </w:r>
      <w:r w:rsidRPr="00797DE6">
        <w:rPr>
          <w:rFonts w:ascii="Arabic Typesetting" w:hAnsi="Arabic Typesetting" w:cs="Arabic Typesetting" w:hint="cs"/>
          <w:b w:val="0"/>
          <w:bCs w:val="0"/>
          <w:iCs w:val="0"/>
          <w:caps w:val="0"/>
          <w:szCs w:val="34"/>
          <w:rtl/>
          <w:lang w:val="en-US"/>
        </w:rPr>
        <w:t>ومؤسسات البحث والتطوير من محتوى ودعم في مجال الملكية الفكرية</w:t>
      </w:r>
      <w:r>
        <w:rPr>
          <w:rFonts w:ascii="Arabic Typesetting" w:hAnsi="Arabic Typesetting" w:cs="Arabic Typesetting" w:hint="cs"/>
          <w:b w:val="0"/>
          <w:bCs w:val="0"/>
          <w:iCs w:val="0"/>
          <w:caps w:val="0"/>
          <w:szCs w:val="34"/>
          <w:rtl/>
          <w:lang w:val="en-US"/>
        </w:rPr>
        <w:t xml:space="preserve">، وذلك من أجل </w:t>
      </w:r>
      <w:r w:rsidRPr="002919EF">
        <w:rPr>
          <w:rFonts w:ascii="Arabic Typesetting" w:hAnsi="Arabic Typesetting" w:cs="Arabic Typesetting" w:hint="cs"/>
          <w:b w:val="0"/>
          <w:bCs w:val="0"/>
          <w:iCs w:val="0"/>
          <w:caps w:val="0"/>
          <w:szCs w:val="34"/>
          <w:rtl/>
          <w:lang w:val="en-US"/>
        </w:rPr>
        <w:t>توجيه أنشطة التدريب وتكوين الكفاءات التي</w:t>
      </w:r>
      <w:r>
        <w:rPr>
          <w:rFonts w:ascii="Arabic Typesetting" w:hAnsi="Arabic Typesetting" w:cs="Arabic Typesetting" w:hint="cs"/>
          <w:b w:val="0"/>
          <w:bCs w:val="0"/>
          <w:iCs w:val="0"/>
          <w:caps w:val="0"/>
          <w:szCs w:val="34"/>
          <w:rtl/>
          <w:lang w:val="en-US"/>
        </w:rPr>
        <w:t xml:space="preserve"> يقوم بها البرنامج نفسه والبرنامج 9 (المكاتب الإقليمية) والبرنامج 10 (</w:t>
      </w:r>
      <w:r w:rsidRPr="00FF0207">
        <w:rPr>
          <w:rFonts w:ascii="Arabic Typesetting" w:hAnsi="Arabic Typesetting" w:cs="Arabic Typesetting"/>
          <w:b w:val="0"/>
          <w:bCs w:val="0"/>
          <w:iCs w:val="0"/>
          <w:caps w:val="0"/>
          <w:szCs w:val="34"/>
          <w:rtl/>
          <w:lang w:val="en-US"/>
        </w:rPr>
        <w:t>التعاون مع بعض البلدان في أوروبا وآسيا</w:t>
      </w:r>
      <w:r>
        <w:rPr>
          <w:rFonts w:ascii="Arabic Typesetting" w:hAnsi="Arabic Typesetting" w:cs="Arabic Typesetting" w:hint="cs"/>
          <w:b w:val="0"/>
          <w:bCs w:val="0"/>
          <w:iCs w:val="0"/>
          <w:caps w:val="0"/>
          <w:szCs w:val="34"/>
          <w:rtl/>
          <w:lang w:val="en-US"/>
        </w:rPr>
        <w:t xml:space="preserve">)، بتنسيق وثيق مع أكاديمية الويبو </w:t>
      </w:r>
      <w:r w:rsidRPr="002919EF">
        <w:rPr>
          <w:rFonts w:ascii="Arabic Typesetting" w:hAnsi="Arabic Typesetting" w:cs="Arabic Typesetting" w:hint="cs"/>
          <w:b w:val="0"/>
          <w:bCs w:val="0"/>
          <w:iCs w:val="0"/>
          <w:caps w:val="0"/>
          <w:szCs w:val="34"/>
          <w:rtl/>
          <w:lang w:val="en-US"/>
        </w:rPr>
        <w:t xml:space="preserve">(البرنامج 11). وسينطوي ذلك على استحداث مواد تتناسب مع احتياجات الشركات الصغيرة والمتوسطة المتاحة </w:t>
      </w:r>
      <w:r>
        <w:rPr>
          <w:rFonts w:ascii="Arabic Typesetting" w:hAnsi="Arabic Typesetting" w:cs="Arabic Typesetting" w:hint="cs"/>
          <w:b w:val="0"/>
          <w:bCs w:val="0"/>
          <w:iCs w:val="0"/>
          <w:caps w:val="0"/>
          <w:szCs w:val="34"/>
          <w:rtl/>
          <w:lang w:val="en-US"/>
        </w:rPr>
        <w:t>للتوطين</w:t>
      </w:r>
      <w:r w:rsidRPr="002919EF">
        <w:rPr>
          <w:rFonts w:ascii="Arabic Typesetting" w:hAnsi="Arabic Typesetting" w:cs="Arabic Typesetting" w:hint="cs"/>
          <w:b w:val="0"/>
          <w:bCs w:val="0"/>
          <w:iCs w:val="0"/>
          <w:caps w:val="0"/>
          <w:szCs w:val="34"/>
          <w:rtl/>
          <w:lang w:val="en-US"/>
        </w:rPr>
        <w:t>، وتحديد الممارسات الجيدة (التي ينبغي، في جملة أمور أخرى، إدراجها في قاعدة</w:t>
      </w:r>
      <w:r w:rsidRPr="002919EF">
        <w:rPr>
          <w:rFonts w:ascii="Arabic Typesetting" w:hAnsi="Arabic Typesetting" w:cs="Arabic Typesetting" w:hint="eastAsia"/>
          <w:b w:val="0"/>
          <w:bCs w:val="0"/>
          <w:iCs w:val="0"/>
          <w:caps w:val="0"/>
          <w:szCs w:val="34"/>
          <w:rtl/>
          <w:lang w:val="en-US"/>
        </w:rPr>
        <w:t> </w:t>
      </w:r>
      <w:r w:rsidRPr="002919EF">
        <w:rPr>
          <w:rFonts w:ascii="Arabic Typesetting" w:hAnsi="Arabic Typesetting" w:cs="Arabic Typesetting" w:hint="cs"/>
          <w:b w:val="0"/>
          <w:bCs w:val="0"/>
          <w:iCs w:val="0"/>
          <w:caps w:val="0"/>
          <w:szCs w:val="34"/>
          <w:rtl/>
          <w:lang w:val="en-US"/>
        </w:rPr>
        <w:t>البيانات</w:t>
      </w:r>
      <w:r w:rsidRPr="002919EF">
        <w:rPr>
          <w:rFonts w:ascii="Arabic Typesetting" w:hAnsi="Arabic Typesetting" w:cs="Arabic Typesetting" w:hint="eastAsia"/>
          <w:b w:val="0"/>
          <w:bCs w:val="0"/>
          <w:iCs w:val="0"/>
          <w:caps w:val="0"/>
          <w:szCs w:val="34"/>
          <w:rtl/>
          <w:lang w:val="en-US"/>
        </w:rPr>
        <w:t> </w:t>
      </w:r>
      <w:r w:rsidRPr="00554C42">
        <w:rPr>
          <w:rFonts w:ascii="Arabic Typesetting" w:hAnsi="Arabic Typesetting" w:cs="Arabic Typesetting"/>
          <w:b w:val="0"/>
          <w:bCs w:val="0"/>
          <w:iCs w:val="0"/>
          <w:caps w:val="0"/>
          <w:sz w:val="36"/>
          <w:szCs w:val="36"/>
          <w:lang w:val="en-US"/>
        </w:rPr>
        <w:t>IP Advantage</w:t>
      </w:r>
      <w:r w:rsidRPr="00702982">
        <w:rPr>
          <w:rFonts w:ascii="Arabic Typesetting" w:hAnsi="Arabic Typesetting" w:cs="Arabic Typesetting" w:hint="cs"/>
          <w:b w:val="0"/>
          <w:bCs w:val="0"/>
          <w:iCs w:val="0"/>
          <w:caps w:val="0"/>
          <w:szCs w:val="34"/>
          <w:rtl/>
          <w:lang w:val="en-US"/>
        </w:rPr>
        <w:t>) فيما يتعلق باستخدام نظام الملكية الفكرية لإثبات الأثر الإيجابي على إمكانية جني الفوائد الاقتصادية وعلى العمالة والقدرة التنافسية. كما سيتم استكشاف فرص التعاون مع منظمات دولية وإقليمية أخرى، وكذلك مع جمعيات مهنية، لها برامج مخصّصة لدعم الشركات الصغيرة والمتوسطة ودعم المقاولة، وذلك من أجل تعزيز استحداث المحتويات الوجيهة، وتقديمها ب</w:t>
      </w:r>
      <w:r>
        <w:rPr>
          <w:rFonts w:ascii="Arabic Typesetting" w:hAnsi="Arabic Typesetting" w:cs="Arabic Typesetting" w:hint="cs"/>
          <w:b w:val="0"/>
          <w:bCs w:val="0"/>
          <w:iCs w:val="0"/>
          <w:caps w:val="0"/>
          <w:szCs w:val="34"/>
          <w:rtl/>
          <w:lang w:val="en-US"/>
        </w:rPr>
        <w:t xml:space="preserve">غرض تحقيق </w:t>
      </w:r>
      <w:r w:rsidRPr="00702982">
        <w:rPr>
          <w:rFonts w:ascii="Arabic Typesetting" w:hAnsi="Arabic Typesetting" w:cs="Arabic Typesetting" w:hint="cs"/>
          <w:b w:val="0"/>
          <w:bCs w:val="0"/>
          <w:iCs w:val="0"/>
          <w:caps w:val="0"/>
          <w:szCs w:val="34"/>
          <w:rtl/>
          <w:lang w:val="en-US"/>
        </w:rPr>
        <w:t>نتائج ذات جودة عالية.</w:t>
      </w:r>
      <w:bookmarkEnd w:id="58"/>
      <w:r w:rsidRPr="00702982">
        <w:rPr>
          <w:rFonts w:ascii="Arabic Typesetting" w:hAnsi="Arabic Typesetting" w:cs="Arabic Typesetting" w:hint="cs"/>
          <w:b w:val="0"/>
          <w:bCs w:val="0"/>
          <w:iCs w:val="0"/>
          <w:caps w:val="0"/>
          <w:szCs w:val="34"/>
          <w:rtl/>
          <w:lang w:val="en-US"/>
        </w:rPr>
        <w:t xml:space="preserve"> وستعتمد أنشطة التدريب وتكوين الكفاءات على المواد التي يطوّرها هذا </w:t>
      </w:r>
      <w:r w:rsidRPr="00702982">
        <w:rPr>
          <w:rFonts w:ascii="Arabic Typesetting" w:hAnsi="Arabic Typesetting" w:cs="Arabic Typesetting" w:hint="cs"/>
          <w:b w:val="0"/>
          <w:bCs w:val="0"/>
          <w:iCs w:val="0"/>
          <w:caps w:val="0"/>
          <w:szCs w:val="34"/>
          <w:rtl/>
          <w:lang w:val="en-US"/>
        </w:rPr>
        <w:lastRenderedPageBreak/>
        <w:t>البرنامج.</w:t>
      </w:r>
    </w:p>
    <w:p w:rsidR="00386BD0" w:rsidRPr="00702982"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bookmarkStart w:id="59" w:name="_Toc364355378"/>
      <w:r w:rsidRPr="00702982">
        <w:rPr>
          <w:rFonts w:ascii="Arabic Typesetting" w:hAnsi="Arabic Typesetting" w:cs="Arabic Typesetting" w:hint="cs"/>
          <w:b w:val="0"/>
          <w:bCs w:val="0"/>
          <w:iCs w:val="0"/>
          <w:caps w:val="0"/>
          <w:szCs w:val="34"/>
          <w:rtl/>
          <w:lang w:val="en-US"/>
        </w:rPr>
        <w:t xml:space="preserve">ومن أجل بلوغ أعلى مستوى ممكن من التوعية الموجهة مباشرةً إلى الشركات الصغيرة والمتوسطة والجامعات ومؤسسات البحوث العامة، </w:t>
      </w:r>
      <w:r>
        <w:rPr>
          <w:rFonts w:ascii="Arabic Typesetting" w:hAnsi="Arabic Typesetting" w:cs="Arabic Typesetting" w:hint="cs"/>
          <w:b w:val="0"/>
          <w:bCs w:val="0"/>
          <w:iCs w:val="0"/>
          <w:caps w:val="0"/>
          <w:szCs w:val="34"/>
          <w:rtl/>
          <w:lang w:val="en-US"/>
        </w:rPr>
        <w:t>س</w:t>
      </w:r>
      <w:r w:rsidRPr="00702982">
        <w:rPr>
          <w:rFonts w:ascii="Arabic Typesetting" w:hAnsi="Arabic Typesetting" w:cs="Arabic Typesetting" w:hint="cs"/>
          <w:b w:val="0"/>
          <w:bCs w:val="0"/>
          <w:iCs w:val="0"/>
          <w:caps w:val="0"/>
          <w:szCs w:val="34"/>
          <w:rtl/>
          <w:lang w:val="en-US"/>
        </w:rPr>
        <w:t>يقوم البرنامج ب</w:t>
      </w:r>
      <w:r w:rsidRPr="00702982">
        <w:rPr>
          <w:rFonts w:ascii="Arabic Typesetting" w:hAnsi="Arabic Typesetting" w:cs="Arabic Typesetting"/>
          <w:b w:val="0"/>
          <w:bCs w:val="0"/>
          <w:iCs w:val="0"/>
          <w:caps w:val="0"/>
          <w:szCs w:val="34"/>
          <w:rtl/>
          <w:lang w:val="en-US"/>
        </w:rPr>
        <w:t>تجديد</w:t>
      </w:r>
      <w:r w:rsidRPr="00702982">
        <w:rPr>
          <w:rFonts w:ascii="Arabic Typesetting" w:hAnsi="Arabic Typesetting" w:cs="Arabic Typesetting" w:hint="cs"/>
          <w:b w:val="0"/>
          <w:bCs w:val="0"/>
          <w:iCs w:val="0"/>
          <w:caps w:val="0"/>
          <w:szCs w:val="34"/>
          <w:rtl/>
          <w:lang w:val="en-US"/>
        </w:rPr>
        <w:t xml:space="preserve"> موقع الويبو الإلكتروني الخاص بالشركات الصغيرة والمتوسطة والموقع الإلكتروني الخاص ب</w:t>
      </w:r>
      <w:r w:rsidRPr="00702982">
        <w:rPr>
          <w:rFonts w:ascii="Arabic Typesetting" w:hAnsi="Arabic Typesetting" w:cs="Arabic Typesetting"/>
          <w:b w:val="0"/>
          <w:bCs w:val="0"/>
          <w:iCs w:val="0"/>
          <w:caps w:val="0"/>
          <w:szCs w:val="34"/>
          <w:rtl/>
          <w:lang w:val="en-US"/>
        </w:rPr>
        <w:t>مبادرة جامعة الويبو للاستفادة منه</w:t>
      </w:r>
      <w:r w:rsidRPr="00702982">
        <w:rPr>
          <w:rFonts w:ascii="Arabic Typesetting" w:hAnsi="Arabic Typesetting" w:cs="Arabic Typesetting" w:hint="cs"/>
          <w:b w:val="0"/>
          <w:bCs w:val="0"/>
          <w:iCs w:val="0"/>
          <w:caps w:val="0"/>
          <w:szCs w:val="34"/>
          <w:rtl/>
          <w:lang w:val="en-US"/>
        </w:rPr>
        <w:t>م</w:t>
      </w:r>
      <w:r w:rsidRPr="00702982">
        <w:rPr>
          <w:rFonts w:ascii="Arabic Typesetting" w:hAnsi="Arabic Typesetting" w:cs="Arabic Typesetting"/>
          <w:b w:val="0"/>
          <w:bCs w:val="0"/>
          <w:iCs w:val="0"/>
          <w:caps w:val="0"/>
          <w:szCs w:val="34"/>
          <w:rtl/>
          <w:lang w:val="en-US"/>
        </w:rPr>
        <w:t xml:space="preserve">ا كمنصات إضافية لتبادل المعلومات بشأن إدارة الملكية الفكرية </w:t>
      </w:r>
      <w:r w:rsidRPr="00702982">
        <w:rPr>
          <w:rFonts w:ascii="Arabic Typesetting" w:hAnsi="Arabic Typesetting" w:cs="Arabic Typesetting" w:hint="cs"/>
          <w:b w:val="0"/>
          <w:bCs w:val="0"/>
          <w:iCs w:val="0"/>
          <w:caps w:val="0"/>
          <w:szCs w:val="34"/>
          <w:rtl/>
          <w:lang w:val="en-US"/>
        </w:rPr>
        <w:t>بال</w:t>
      </w:r>
      <w:r w:rsidRPr="00702982">
        <w:rPr>
          <w:rFonts w:ascii="Arabic Typesetting" w:hAnsi="Arabic Typesetting" w:cs="Arabic Typesetting"/>
          <w:b w:val="0"/>
          <w:bCs w:val="0"/>
          <w:iCs w:val="0"/>
          <w:caps w:val="0"/>
          <w:szCs w:val="34"/>
          <w:rtl/>
          <w:lang w:val="en-US"/>
        </w:rPr>
        <w:t>شراكة مع مؤسسات الدعم الوطني لل</w:t>
      </w:r>
      <w:r w:rsidRPr="00702982">
        <w:rPr>
          <w:rFonts w:ascii="Arabic Typesetting" w:hAnsi="Arabic Typesetting" w:cs="Arabic Typesetting" w:hint="cs"/>
          <w:b w:val="0"/>
          <w:bCs w:val="0"/>
          <w:iCs w:val="0"/>
          <w:caps w:val="0"/>
          <w:szCs w:val="34"/>
          <w:rtl/>
          <w:lang w:val="en-US"/>
        </w:rPr>
        <w:t xml:space="preserve">شركات </w:t>
      </w:r>
      <w:r w:rsidRPr="00702982">
        <w:rPr>
          <w:rFonts w:ascii="Arabic Typesetting" w:hAnsi="Arabic Typesetting" w:cs="Arabic Typesetting"/>
          <w:b w:val="0"/>
          <w:bCs w:val="0"/>
          <w:iCs w:val="0"/>
          <w:caps w:val="0"/>
          <w:szCs w:val="34"/>
          <w:rtl/>
          <w:lang w:val="en-US"/>
        </w:rPr>
        <w:t>الصغيرة والمتوسطة</w:t>
      </w:r>
      <w:r w:rsidRPr="00702982">
        <w:rPr>
          <w:rFonts w:ascii="Arabic Typesetting" w:hAnsi="Arabic Typesetting" w:cs="Arabic Typesetting" w:hint="cs"/>
          <w:b w:val="0"/>
          <w:bCs w:val="0"/>
          <w:iCs w:val="0"/>
          <w:caps w:val="0"/>
          <w:szCs w:val="34"/>
          <w:rtl/>
          <w:lang w:val="en-US"/>
        </w:rPr>
        <w:t>،</w:t>
      </w:r>
      <w:r w:rsidRPr="00702982">
        <w:rPr>
          <w:rFonts w:ascii="Arabic Typesetting" w:hAnsi="Arabic Typesetting" w:cs="Arabic Typesetting"/>
          <w:b w:val="0"/>
          <w:bCs w:val="0"/>
          <w:iCs w:val="0"/>
          <w:caps w:val="0"/>
          <w:szCs w:val="34"/>
          <w:rtl/>
          <w:lang w:val="en-US"/>
        </w:rPr>
        <w:t xml:space="preserve"> والجامعات،</w:t>
      </w:r>
      <w:r w:rsidRPr="00702982">
        <w:rPr>
          <w:rFonts w:ascii="Arabic Typesetting" w:hAnsi="Arabic Typesetting" w:cs="Arabic Typesetting" w:hint="cs"/>
          <w:b w:val="0"/>
          <w:bCs w:val="0"/>
          <w:iCs w:val="0"/>
          <w:caps w:val="0"/>
          <w:szCs w:val="34"/>
          <w:rtl/>
          <w:lang w:val="en-US"/>
        </w:rPr>
        <w:t xml:space="preserve"> ومؤسسات البحوث العامة، و</w:t>
      </w:r>
      <w:r w:rsidRPr="00702982">
        <w:rPr>
          <w:rFonts w:ascii="Arabic Typesetting" w:hAnsi="Arabic Typesetting" w:cs="Arabic Typesetting"/>
          <w:b w:val="0"/>
          <w:bCs w:val="0"/>
          <w:iCs w:val="0"/>
          <w:caps w:val="0"/>
          <w:szCs w:val="34"/>
          <w:rtl/>
          <w:lang w:val="en-US"/>
        </w:rPr>
        <w:t xml:space="preserve">مؤسسات دعم </w:t>
      </w:r>
      <w:r w:rsidRPr="00702982">
        <w:rPr>
          <w:rFonts w:ascii="Arabic Typesetting" w:hAnsi="Arabic Typesetting" w:cs="Arabic Typesetting" w:hint="cs"/>
          <w:b w:val="0"/>
          <w:bCs w:val="0"/>
          <w:iCs w:val="0"/>
          <w:caps w:val="0"/>
          <w:szCs w:val="34"/>
          <w:rtl/>
          <w:lang w:val="en-US"/>
        </w:rPr>
        <w:t>المقاولة</w:t>
      </w:r>
      <w:r w:rsidRPr="00702982">
        <w:rPr>
          <w:rFonts w:ascii="Arabic Typesetting" w:hAnsi="Arabic Typesetting" w:cs="Arabic Typesetting"/>
          <w:b w:val="0"/>
          <w:bCs w:val="0"/>
          <w:iCs w:val="0"/>
          <w:caps w:val="0"/>
          <w:szCs w:val="34"/>
          <w:rtl/>
          <w:lang w:val="en-US"/>
        </w:rPr>
        <w:t xml:space="preserve">. وسيستمر </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 xml:space="preserve">لإصدار </w:t>
      </w:r>
      <w:r w:rsidRPr="00702982">
        <w:rPr>
          <w:rFonts w:ascii="Arabic Typesetting" w:hAnsi="Arabic Typesetting" w:cs="Arabic Typesetting" w:hint="cs"/>
          <w:b w:val="0"/>
          <w:bCs w:val="0"/>
          <w:iCs w:val="0"/>
          <w:caps w:val="0"/>
          <w:szCs w:val="34"/>
          <w:rtl/>
          <w:lang w:val="en-US"/>
        </w:rPr>
        <w:t>المنتظم ل</w:t>
      </w:r>
      <w:r w:rsidRPr="00702982">
        <w:rPr>
          <w:rFonts w:ascii="Arabic Typesetting" w:hAnsi="Arabic Typesetting" w:cs="Arabic Typesetting"/>
          <w:b w:val="0"/>
          <w:bCs w:val="0"/>
          <w:iCs w:val="0"/>
          <w:caps w:val="0"/>
          <w:szCs w:val="34"/>
          <w:rtl/>
          <w:lang w:val="en-US"/>
        </w:rPr>
        <w:t xml:space="preserve">نشرة </w:t>
      </w:r>
      <w:r w:rsidRPr="00702982">
        <w:rPr>
          <w:rFonts w:ascii="Arabic Typesetting" w:hAnsi="Arabic Typesetting" w:cs="Arabic Typesetting" w:hint="cs"/>
          <w:b w:val="0"/>
          <w:bCs w:val="0"/>
          <w:iCs w:val="0"/>
          <w:caps w:val="0"/>
          <w:szCs w:val="34"/>
          <w:rtl/>
          <w:lang w:val="en-US"/>
        </w:rPr>
        <w:t>أخبار الشركات</w:t>
      </w:r>
      <w:r w:rsidRPr="00702982">
        <w:rPr>
          <w:rFonts w:ascii="Arabic Typesetting" w:hAnsi="Arabic Typesetting" w:cs="Arabic Typesetting"/>
          <w:b w:val="0"/>
          <w:bCs w:val="0"/>
          <w:iCs w:val="0"/>
          <w:caps w:val="0"/>
          <w:szCs w:val="34"/>
          <w:rtl/>
          <w:lang w:val="en-US"/>
        </w:rPr>
        <w:t xml:space="preserve"> الصغيرة والمتوسطة </w:t>
      </w:r>
      <w:r w:rsidRPr="00702982">
        <w:rPr>
          <w:rFonts w:ascii="Arabic Typesetting" w:hAnsi="Arabic Typesetting" w:cs="Arabic Typesetting" w:hint="cs"/>
          <w:b w:val="0"/>
          <w:bCs w:val="0"/>
          <w:iCs w:val="0"/>
          <w:caps w:val="0"/>
          <w:szCs w:val="34"/>
          <w:rtl/>
          <w:lang w:val="en-US"/>
        </w:rPr>
        <w:t>بكل</w:t>
      </w:r>
      <w:r w:rsidRPr="00702982">
        <w:rPr>
          <w:rFonts w:ascii="Arabic Typesetting" w:hAnsi="Arabic Typesetting" w:cs="Arabic Typesetting"/>
          <w:b w:val="0"/>
          <w:bCs w:val="0"/>
          <w:iCs w:val="0"/>
          <w:caps w:val="0"/>
          <w:szCs w:val="34"/>
          <w:rtl/>
          <w:lang w:val="en-US"/>
        </w:rPr>
        <w:t xml:space="preserve"> لغات الأمم المتحدة.</w:t>
      </w:r>
      <w:bookmarkEnd w:id="59"/>
    </w:p>
    <w:p w:rsidR="00386BD0" w:rsidRDefault="00386BD0" w:rsidP="001A292F">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lang w:val="en-US"/>
        </w:rPr>
      </w:pPr>
      <w:r w:rsidRPr="00702982">
        <w:rPr>
          <w:rFonts w:ascii="Arabic Typesetting" w:hAnsi="Arabic Typesetting" w:cs="Arabic Typesetting"/>
          <w:b w:val="0"/>
          <w:bCs w:val="0"/>
          <w:iCs w:val="0"/>
          <w:caps w:val="0"/>
          <w:szCs w:val="34"/>
          <w:rtl/>
          <w:lang w:val="en-US"/>
        </w:rPr>
        <w:t>وس</w:t>
      </w:r>
      <w:r>
        <w:rPr>
          <w:rFonts w:ascii="Arabic Typesetting" w:hAnsi="Arabic Typesetting" w:cs="Arabic Typesetting" w:hint="cs"/>
          <w:b w:val="0"/>
          <w:bCs w:val="0"/>
          <w:iCs w:val="0"/>
          <w:caps w:val="0"/>
          <w:szCs w:val="34"/>
          <w:rtl/>
          <w:lang w:val="en-US"/>
        </w:rPr>
        <w:t>تُ</w:t>
      </w:r>
      <w:r w:rsidRPr="00702982">
        <w:rPr>
          <w:rFonts w:ascii="Arabic Typesetting" w:hAnsi="Arabic Typesetting" w:cs="Arabic Typesetting" w:hint="cs"/>
          <w:b w:val="0"/>
          <w:bCs w:val="0"/>
          <w:iCs w:val="0"/>
          <w:caps w:val="0"/>
          <w:szCs w:val="34"/>
          <w:rtl/>
          <w:lang w:val="en-US"/>
        </w:rPr>
        <w:t xml:space="preserve">قدَّم </w:t>
      </w:r>
      <w:r>
        <w:rPr>
          <w:rFonts w:ascii="Arabic Typesetting" w:hAnsi="Arabic Typesetting" w:cs="Arabic Typesetting" w:hint="cs"/>
          <w:b w:val="0"/>
          <w:bCs w:val="0"/>
          <w:iCs w:val="0"/>
          <w:caps w:val="0"/>
          <w:szCs w:val="34"/>
          <w:rtl/>
          <w:lang w:val="en-US"/>
        </w:rPr>
        <w:t xml:space="preserve">خدمات </w:t>
      </w:r>
      <w:r w:rsidRPr="00702982">
        <w:rPr>
          <w:rFonts w:ascii="Arabic Typesetting" w:hAnsi="Arabic Typesetting" w:cs="Arabic Typesetting"/>
          <w:b w:val="0"/>
          <w:bCs w:val="0"/>
          <w:iCs w:val="0"/>
          <w:caps w:val="0"/>
          <w:szCs w:val="34"/>
          <w:rtl/>
          <w:lang w:val="en-US"/>
        </w:rPr>
        <w:t xml:space="preserve">دعم المقاولة </w:t>
      </w:r>
      <w:r w:rsidRPr="00702982">
        <w:rPr>
          <w:rFonts w:ascii="Arabic Typesetting" w:hAnsi="Arabic Typesetting" w:cs="Arabic Typesetting" w:hint="cs"/>
          <w:b w:val="0"/>
          <w:bCs w:val="0"/>
          <w:iCs w:val="0"/>
          <w:caps w:val="0"/>
          <w:szCs w:val="34"/>
          <w:rtl/>
          <w:lang w:val="en-US"/>
        </w:rPr>
        <w:t>إلى ا</w:t>
      </w:r>
      <w:r w:rsidRPr="00702982">
        <w:rPr>
          <w:rFonts w:ascii="Arabic Typesetting" w:hAnsi="Arabic Typesetting" w:cs="Arabic Typesetting"/>
          <w:b w:val="0"/>
          <w:bCs w:val="0"/>
          <w:iCs w:val="0"/>
          <w:caps w:val="0"/>
          <w:szCs w:val="34"/>
          <w:rtl/>
          <w:lang w:val="en-US"/>
        </w:rPr>
        <w:t xml:space="preserve">لمؤسسات الأكاديمية </w:t>
      </w:r>
      <w:r w:rsidRPr="00702982">
        <w:rPr>
          <w:rFonts w:ascii="Arabic Typesetting" w:hAnsi="Arabic Typesetting" w:cs="Arabic Typesetting" w:hint="cs"/>
          <w:b w:val="0"/>
          <w:bCs w:val="0"/>
          <w:iCs w:val="0"/>
          <w:caps w:val="0"/>
          <w:szCs w:val="34"/>
          <w:rtl/>
          <w:lang w:val="en-US"/>
        </w:rPr>
        <w:t>التابعة ل</w:t>
      </w:r>
      <w:r w:rsidRPr="00702982">
        <w:rPr>
          <w:rFonts w:ascii="Arabic Typesetting" w:hAnsi="Arabic Typesetting" w:cs="Arabic Typesetting"/>
          <w:b w:val="0"/>
          <w:bCs w:val="0"/>
          <w:iCs w:val="0"/>
          <w:caps w:val="0"/>
          <w:szCs w:val="34"/>
          <w:rtl/>
          <w:lang w:val="en-US"/>
        </w:rPr>
        <w:t xml:space="preserve">لدول الأعضاء في الويبو لتطوير بنية تحتية قانونية وتنظيمية ملائمة، </w:t>
      </w:r>
      <w:r w:rsidRPr="00702982">
        <w:rPr>
          <w:rFonts w:ascii="Arabic Typesetting" w:hAnsi="Arabic Typesetting" w:cs="Arabic Typesetting" w:hint="cs"/>
          <w:b w:val="0"/>
          <w:bCs w:val="0"/>
          <w:iCs w:val="0"/>
          <w:caps w:val="0"/>
          <w:szCs w:val="34"/>
          <w:rtl/>
          <w:lang w:val="en-US"/>
        </w:rPr>
        <w:t xml:space="preserve">فضلاً عن موارد بشرية </w:t>
      </w:r>
      <w:r w:rsidRPr="00702982">
        <w:rPr>
          <w:rFonts w:ascii="Arabic Typesetting" w:hAnsi="Arabic Typesetting" w:cs="Arabic Typesetting"/>
          <w:b w:val="0"/>
          <w:bCs w:val="0"/>
          <w:iCs w:val="0"/>
          <w:caps w:val="0"/>
          <w:szCs w:val="34"/>
          <w:rtl/>
          <w:lang w:val="en-US"/>
        </w:rPr>
        <w:t xml:space="preserve">مهنية لتعزيز </w:t>
      </w:r>
      <w:r w:rsidRPr="00702982">
        <w:rPr>
          <w:rFonts w:ascii="Arabic Typesetting" w:hAnsi="Arabic Typesetting" w:cs="Arabic Typesetting" w:hint="cs"/>
          <w:b w:val="0"/>
          <w:bCs w:val="0"/>
          <w:iCs w:val="0"/>
          <w:caps w:val="0"/>
          <w:szCs w:val="34"/>
          <w:rtl/>
          <w:lang w:val="en-US"/>
        </w:rPr>
        <w:t>ال</w:t>
      </w:r>
      <w:r w:rsidRPr="00702982">
        <w:rPr>
          <w:rFonts w:ascii="Arabic Typesetting" w:hAnsi="Arabic Typesetting" w:cs="Arabic Typesetting"/>
          <w:b w:val="0"/>
          <w:bCs w:val="0"/>
          <w:iCs w:val="0"/>
          <w:caps w:val="0"/>
          <w:szCs w:val="34"/>
          <w:rtl/>
          <w:lang w:val="en-US"/>
        </w:rPr>
        <w:t xml:space="preserve">إدارة الاستراتيجية </w:t>
      </w:r>
      <w:r w:rsidRPr="00702982">
        <w:rPr>
          <w:rFonts w:ascii="Arabic Typesetting" w:hAnsi="Arabic Typesetting" w:cs="Arabic Typesetting" w:hint="cs"/>
          <w:b w:val="0"/>
          <w:bCs w:val="0"/>
          <w:iCs w:val="0"/>
          <w:caps w:val="0"/>
          <w:szCs w:val="34"/>
          <w:rtl/>
          <w:lang w:val="en-US"/>
        </w:rPr>
        <w:t>ل</w:t>
      </w:r>
      <w:r w:rsidRPr="00702982">
        <w:rPr>
          <w:rFonts w:ascii="Arabic Typesetting" w:hAnsi="Arabic Typesetting" w:cs="Arabic Typesetting"/>
          <w:b w:val="0"/>
          <w:bCs w:val="0"/>
          <w:iCs w:val="0"/>
          <w:caps w:val="0"/>
          <w:szCs w:val="34"/>
          <w:rtl/>
          <w:lang w:val="en-US"/>
        </w:rPr>
        <w:t xml:space="preserve">حقوق الملكية الفكرية </w:t>
      </w:r>
      <w:r w:rsidRPr="00702982">
        <w:rPr>
          <w:rFonts w:ascii="Arabic Typesetting" w:hAnsi="Arabic Typesetting" w:cs="Arabic Typesetting" w:hint="cs"/>
          <w:b w:val="0"/>
          <w:bCs w:val="0"/>
          <w:iCs w:val="0"/>
          <w:caps w:val="0"/>
          <w:szCs w:val="34"/>
          <w:rtl/>
          <w:lang w:val="en-US"/>
        </w:rPr>
        <w:t>ل</w:t>
      </w:r>
      <w:r w:rsidRPr="00702982">
        <w:rPr>
          <w:rFonts w:ascii="Arabic Typesetting" w:hAnsi="Arabic Typesetting" w:cs="Arabic Typesetting"/>
          <w:b w:val="0"/>
          <w:bCs w:val="0"/>
          <w:iCs w:val="0"/>
          <w:caps w:val="0"/>
          <w:szCs w:val="34"/>
          <w:rtl/>
          <w:lang w:val="en-US"/>
        </w:rPr>
        <w:t xml:space="preserve">لمعارف ونتائج البحوث من مرحلة مبكرة </w:t>
      </w:r>
      <w:r w:rsidRPr="00702982">
        <w:rPr>
          <w:rFonts w:ascii="Arabic Typesetting" w:hAnsi="Arabic Typesetting" w:cs="Arabic Typesetting" w:hint="cs"/>
          <w:b w:val="0"/>
          <w:bCs w:val="0"/>
          <w:iCs w:val="0"/>
          <w:caps w:val="0"/>
          <w:szCs w:val="34"/>
          <w:rtl/>
          <w:lang w:val="en-US"/>
        </w:rPr>
        <w:t xml:space="preserve">حتى </w:t>
      </w:r>
      <w:r w:rsidRPr="00702982">
        <w:rPr>
          <w:rFonts w:ascii="Arabic Typesetting" w:hAnsi="Arabic Typesetting" w:cs="Arabic Typesetting"/>
          <w:b w:val="0"/>
          <w:bCs w:val="0"/>
          <w:iCs w:val="0"/>
          <w:caps w:val="0"/>
          <w:szCs w:val="34"/>
          <w:rtl/>
          <w:lang w:val="en-US"/>
        </w:rPr>
        <w:t>أسواق التكنولوجيا</w:t>
      </w:r>
      <w:r>
        <w:rPr>
          <w:rFonts w:ascii="Arabic Typesetting" w:hAnsi="Arabic Typesetting" w:cs="Arabic Typesetting" w:hint="cs"/>
          <w:b w:val="0"/>
          <w:bCs w:val="0"/>
          <w:iCs w:val="0"/>
          <w:caps w:val="0"/>
          <w:szCs w:val="34"/>
          <w:rtl/>
          <w:lang w:val="en-US"/>
        </w:rPr>
        <w:t>، وس</w:t>
      </w:r>
      <w:r w:rsidRPr="00702982">
        <w:rPr>
          <w:rFonts w:ascii="Arabic Typesetting" w:hAnsi="Arabic Typesetting" w:cs="Arabic Typesetting" w:hint="cs"/>
          <w:b w:val="0"/>
          <w:bCs w:val="0"/>
          <w:iCs w:val="0"/>
          <w:caps w:val="0"/>
          <w:szCs w:val="34"/>
          <w:rtl/>
          <w:lang w:val="en-US"/>
        </w:rPr>
        <w:t>يُقدَّم هذا الدعم</w:t>
      </w:r>
      <w:r w:rsidRPr="00702982">
        <w:rPr>
          <w:rFonts w:ascii="Arabic Typesetting" w:hAnsi="Arabic Typesetting" w:cs="Arabic Typesetting"/>
          <w:b w:val="0"/>
          <w:bCs w:val="0"/>
          <w:iCs w:val="0"/>
          <w:caps w:val="0"/>
          <w:szCs w:val="34"/>
          <w:rtl/>
          <w:lang w:val="en-US"/>
        </w:rPr>
        <w:t xml:space="preserve"> من خلال مشاريع</w:t>
      </w:r>
      <w:r w:rsidRPr="00702982">
        <w:rPr>
          <w:rFonts w:ascii="Arabic Typesetting" w:hAnsi="Arabic Typesetting" w:cs="Arabic Typesetting" w:hint="cs"/>
          <w:b w:val="0"/>
          <w:bCs w:val="0"/>
          <w:iCs w:val="0"/>
          <w:caps w:val="0"/>
          <w:szCs w:val="34"/>
          <w:rtl/>
          <w:lang w:val="en-US"/>
        </w:rPr>
        <w:t xml:space="preserve"> مصممة خصيصاً ل</w:t>
      </w:r>
      <w:r w:rsidRPr="00702982">
        <w:rPr>
          <w:rFonts w:ascii="Arabic Typesetting" w:hAnsi="Arabic Typesetting" w:cs="Arabic Typesetting"/>
          <w:b w:val="0"/>
          <w:bCs w:val="0"/>
          <w:iCs w:val="0"/>
          <w:caps w:val="0"/>
          <w:szCs w:val="34"/>
          <w:rtl/>
          <w:lang w:val="en-US"/>
        </w:rPr>
        <w:t xml:space="preserve">تسويق </w:t>
      </w:r>
      <w:r w:rsidRPr="00702982">
        <w:rPr>
          <w:rFonts w:ascii="Arabic Typesetting" w:hAnsi="Arabic Typesetting" w:cs="Arabic Typesetting" w:hint="cs"/>
          <w:b w:val="0"/>
          <w:bCs w:val="0"/>
          <w:iCs w:val="0"/>
          <w:caps w:val="0"/>
          <w:szCs w:val="34"/>
          <w:rtl/>
          <w:lang w:val="en-US"/>
        </w:rPr>
        <w:t>الملكية الفكرية و</w:t>
      </w:r>
      <w:r w:rsidRPr="00702982">
        <w:rPr>
          <w:rFonts w:ascii="Arabic Typesetting" w:hAnsi="Arabic Typesetting" w:cs="Arabic Typesetting"/>
          <w:b w:val="0"/>
          <w:bCs w:val="0"/>
          <w:iCs w:val="0"/>
          <w:caps w:val="0"/>
          <w:szCs w:val="34"/>
          <w:rtl/>
          <w:lang w:val="en-US"/>
        </w:rPr>
        <w:t>برامج إقليمية ووطنية</w:t>
      </w:r>
      <w:r w:rsidRPr="00702982">
        <w:rPr>
          <w:rFonts w:ascii="Arabic Typesetting" w:hAnsi="Arabic Typesetting" w:cs="Arabic Typesetting" w:hint="cs"/>
          <w:b w:val="0"/>
          <w:bCs w:val="0"/>
          <w:iCs w:val="0"/>
          <w:caps w:val="0"/>
          <w:szCs w:val="34"/>
          <w:rtl/>
          <w:lang w:val="en-US"/>
        </w:rPr>
        <w:t xml:space="preserve"> مُعدَّة خصيصاً</w:t>
      </w:r>
      <w:r w:rsidRPr="00702982">
        <w:rPr>
          <w:rFonts w:ascii="Arabic Typesetting" w:hAnsi="Arabic Typesetting" w:cs="Arabic Typesetting"/>
          <w:b w:val="0"/>
          <w:bCs w:val="0"/>
          <w:iCs w:val="0"/>
          <w:caps w:val="0"/>
          <w:szCs w:val="34"/>
          <w:rtl/>
          <w:lang w:val="en-US"/>
        </w:rPr>
        <w:t xml:space="preserve">. </w:t>
      </w:r>
      <w:r w:rsidRPr="00702982">
        <w:rPr>
          <w:rFonts w:ascii="Arabic Typesetting" w:hAnsi="Arabic Typesetting" w:cs="Arabic Typesetting" w:hint="cs"/>
          <w:b w:val="0"/>
          <w:bCs w:val="0"/>
          <w:iCs w:val="0"/>
          <w:caps w:val="0"/>
          <w:szCs w:val="34"/>
          <w:rtl/>
          <w:lang w:val="en-US"/>
        </w:rPr>
        <w:t>و</w:t>
      </w:r>
      <w:r w:rsidRPr="00702982">
        <w:rPr>
          <w:rFonts w:ascii="Arabic Typesetting" w:hAnsi="Arabic Typesetting" w:cs="Arabic Typesetting"/>
          <w:b w:val="0"/>
          <w:bCs w:val="0"/>
          <w:iCs w:val="0"/>
          <w:caps w:val="0"/>
          <w:szCs w:val="34"/>
          <w:rtl/>
          <w:lang w:val="en-US"/>
        </w:rPr>
        <w:t xml:space="preserve">كما هو الحال في </w:t>
      </w:r>
      <w:r>
        <w:rPr>
          <w:rFonts w:ascii="Arabic Typesetting" w:hAnsi="Arabic Typesetting" w:cs="Arabic Typesetting" w:hint="cs"/>
          <w:b w:val="0"/>
          <w:bCs w:val="0"/>
          <w:iCs w:val="0"/>
          <w:caps w:val="0"/>
          <w:szCs w:val="34"/>
          <w:rtl/>
          <w:lang w:val="en-US"/>
        </w:rPr>
        <w:t>الثنائية السابقة، س</w:t>
      </w:r>
      <w:r w:rsidRPr="00702982">
        <w:rPr>
          <w:rFonts w:ascii="Arabic Typesetting" w:hAnsi="Arabic Typesetting" w:cs="Arabic Typesetting" w:hint="cs"/>
          <w:b w:val="0"/>
          <w:bCs w:val="0"/>
          <w:iCs w:val="0"/>
          <w:caps w:val="0"/>
          <w:szCs w:val="34"/>
          <w:rtl/>
          <w:lang w:val="en-US"/>
        </w:rPr>
        <w:t xml:space="preserve">تُقدَّم </w:t>
      </w:r>
      <w:r w:rsidRPr="00702982">
        <w:rPr>
          <w:rFonts w:ascii="Arabic Typesetting" w:hAnsi="Arabic Typesetting" w:cs="Arabic Typesetting"/>
          <w:b w:val="0"/>
          <w:bCs w:val="0"/>
          <w:iCs w:val="0"/>
          <w:caps w:val="0"/>
          <w:szCs w:val="34"/>
          <w:rtl/>
          <w:lang w:val="en-US"/>
        </w:rPr>
        <w:t xml:space="preserve">المساعدة </w:t>
      </w:r>
      <w:r w:rsidRPr="00702982">
        <w:rPr>
          <w:rFonts w:ascii="Arabic Typesetting" w:hAnsi="Arabic Typesetting" w:cs="Arabic Typesetting" w:hint="cs"/>
          <w:b w:val="0"/>
          <w:bCs w:val="0"/>
          <w:iCs w:val="0"/>
          <w:caps w:val="0"/>
          <w:szCs w:val="34"/>
          <w:rtl/>
          <w:lang w:val="en-US"/>
        </w:rPr>
        <w:t>إلى ا</w:t>
      </w:r>
      <w:r w:rsidRPr="00702982">
        <w:rPr>
          <w:rFonts w:ascii="Arabic Typesetting" w:hAnsi="Arabic Typesetting" w:cs="Arabic Typesetting"/>
          <w:b w:val="0"/>
          <w:bCs w:val="0"/>
          <w:iCs w:val="0"/>
          <w:caps w:val="0"/>
          <w:szCs w:val="34"/>
          <w:rtl/>
          <w:lang w:val="en-US"/>
        </w:rPr>
        <w:t xml:space="preserve">لجامعات ومؤسسات </w:t>
      </w:r>
      <w:r w:rsidRPr="00702982">
        <w:rPr>
          <w:rFonts w:ascii="Arabic Typesetting" w:hAnsi="Arabic Typesetting" w:cs="Arabic Typesetting" w:hint="cs"/>
          <w:b w:val="0"/>
          <w:bCs w:val="0"/>
          <w:iCs w:val="0"/>
          <w:caps w:val="0"/>
          <w:szCs w:val="34"/>
          <w:rtl/>
          <w:lang w:val="en-US"/>
        </w:rPr>
        <w:t>البحث والتطوير</w:t>
      </w:r>
      <w:r w:rsidRPr="00702982">
        <w:rPr>
          <w:rFonts w:ascii="Arabic Typesetting" w:hAnsi="Arabic Typesetting" w:cs="Arabic Typesetting"/>
          <w:b w:val="0"/>
          <w:bCs w:val="0"/>
          <w:iCs w:val="0"/>
          <w:caps w:val="0"/>
          <w:szCs w:val="34"/>
          <w:rtl/>
          <w:lang w:val="en-US"/>
        </w:rPr>
        <w:t xml:space="preserve"> في الدول الأعضاء في الويبو من أجل </w:t>
      </w:r>
      <w:r w:rsidRPr="00702982">
        <w:rPr>
          <w:rFonts w:ascii="Arabic Typesetting" w:hAnsi="Arabic Typesetting" w:cs="Arabic Typesetting" w:hint="cs"/>
          <w:b w:val="0"/>
          <w:bCs w:val="0"/>
          <w:iCs w:val="0"/>
          <w:caps w:val="0"/>
          <w:szCs w:val="34"/>
          <w:rtl/>
          <w:lang w:val="en-US"/>
        </w:rPr>
        <w:t xml:space="preserve">وضع </w:t>
      </w:r>
      <w:r w:rsidRPr="00702982">
        <w:rPr>
          <w:rFonts w:ascii="Arabic Typesetting" w:hAnsi="Arabic Typesetting" w:cs="Arabic Typesetting"/>
          <w:b w:val="0"/>
          <w:bCs w:val="0"/>
          <w:iCs w:val="0"/>
          <w:caps w:val="0"/>
          <w:szCs w:val="34"/>
          <w:rtl/>
          <w:lang w:val="en-US"/>
        </w:rPr>
        <w:t>سياسات</w:t>
      </w:r>
      <w:r w:rsidRPr="00702982">
        <w:rPr>
          <w:rFonts w:ascii="Arabic Typesetting" w:hAnsi="Arabic Typesetting" w:cs="Arabic Typesetting" w:hint="cs"/>
          <w:b w:val="0"/>
          <w:bCs w:val="0"/>
          <w:iCs w:val="0"/>
          <w:caps w:val="0"/>
          <w:szCs w:val="34"/>
          <w:rtl/>
          <w:lang w:val="en-US"/>
        </w:rPr>
        <w:t xml:space="preserve"> الملكية الفكرية</w:t>
      </w:r>
      <w:r w:rsidRPr="00702982">
        <w:rPr>
          <w:rFonts w:ascii="Arabic Typesetting" w:hAnsi="Arabic Typesetting" w:cs="Arabic Typesetting"/>
          <w:b w:val="0"/>
          <w:bCs w:val="0"/>
          <w:iCs w:val="0"/>
          <w:caps w:val="0"/>
          <w:szCs w:val="34"/>
          <w:rtl/>
          <w:lang w:val="en-US"/>
        </w:rPr>
        <w:t xml:space="preserve"> المؤسسية </w:t>
      </w:r>
      <w:r w:rsidR="001A292F">
        <w:rPr>
          <w:rFonts w:ascii="Arabic Typesetting" w:hAnsi="Arabic Typesetting" w:cs="Arabic Typesetting" w:hint="cs"/>
          <w:b w:val="0"/>
          <w:bCs w:val="0"/>
          <w:iCs w:val="0"/>
          <w:caps w:val="0"/>
          <w:szCs w:val="34"/>
          <w:rtl/>
          <w:lang w:val="en-US"/>
        </w:rPr>
        <w:t>الخاصة بها</w:t>
      </w:r>
      <w:r w:rsidRPr="00702982">
        <w:rPr>
          <w:rFonts w:ascii="Arabic Typesetting" w:hAnsi="Arabic Typesetting" w:cs="Arabic Typesetting"/>
          <w:b w:val="0"/>
          <w:bCs w:val="0"/>
          <w:iCs w:val="0"/>
          <w:caps w:val="0"/>
          <w:szCs w:val="34"/>
          <w:rtl/>
          <w:lang w:val="en-US"/>
        </w:rPr>
        <w:t>، وكذلك لتطوير قدراتها و</w:t>
      </w:r>
      <w:r w:rsidRPr="00702982">
        <w:rPr>
          <w:rFonts w:ascii="Arabic Typesetting" w:hAnsi="Arabic Typesetting" w:cs="Arabic Typesetting" w:hint="cs"/>
          <w:b w:val="0"/>
          <w:bCs w:val="0"/>
          <w:iCs w:val="0"/>
          <w:caps w:val="0"/>
          <w:szCs w:val="34"/>
          <w:rtl/>
          <w:lang w:val="en-US"/>
        </w:rPr>
        <w:t xml:space="preserve">مواردها البشرية </w:t>
      </w:r>
      <w:r w:rsidRPr="00702982">
        <w:rPr>
          <w:rFonts w:ascii="Arabic Typesetting" w:hAnsi="Arabic Typesetting" w:cs="Arabic Typesetting"/>
          <w:b w:val="0"/>
          <w:bCs w:val="0"/>
          <w:iCs w:val="0"/>
          <w:caps w:val="0"/>
          <w:szCs w:val="34"/>
          <w:rtl/>
          <w:lang w:val="en-US"/>
        </w:rPr>
        <w:t>لحماية وتسويق المع</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 xml:space="preserve">رف ونتائج البحوث من خلال </w:t>
      </w:r>
      <w:r w:rsidRPr="00702982">
        <w:rPr>
          <w:rFonts w:ascii="Arabic Typesetting" w:hAnsi="Arabic Typesetting" w:cs="Arabic Typesetting" w:hint="cs"/>
          <w:b w:val="0"/>
          <w:bCs w:val="0"/>
          <w:iCs w:val="0"/>
          <w:caps w:val="0"/>
          <w:szCs w:val="34"/>
          <w:rtl/>
          <w:lang w:val="en-US"/>
        </w:rPr>
        <w:t>مسارات</w:t>
      </w:r>
      <w:r w:rsidRPr="00702982">
        <w:rPr>
          <w:rFonts w:ascii="Arabic Typesetting" w:hAnsi="Arabic Typesetting" w:cs="Arabic Typesetting"/>
          <w:b w:val="0"/>
          <w:bCs w:val="0"/>
          <w:iCs w:val="0"/>
          <w:caps w:val="0"/>
          <w:szCs w:val="34"/>
          <w:rtl/>
          <w:lang w:val="en-US"/>
        </w:rPr>
        <w:t xml:space="preserve"> مثل حماية الملكية الفكرية، </w:t>
      </w:r>
      <w:r w:rsidRPr="00702982">
        <w:rPr>
          <w:rFonts w:ascii="Arabic Typesetting" w:hAnsi="Arabic Typesetting" w:cs="Arabic Typesetting" w:hint="cs"/>
          <w:b w:val="0"/>
          <w:bCs w:val="0"/>
          <w:iCs w:val="0"/>
          <w:caps w:val="0"/>
          <w:szCs w:val="34"/>
          <w:rtl/>
          <w:lang w:val="en-US"/>
        </w:rPr>
        <w:t>و</w:t>
      </w:r>
      <w:r w:rsidRPr="00702982">
        <w:rPr>
          <w:rFonts w:ascii="Arabic Typesetting" w:hAnsi="Arabic Typesetting" w:cs="Arabic Typesetting"/>
          <w:b w:val="0"/>
          <w:bCs w:val="0"/>
          <w:iCs w:val="0"/>
          <w:caps w:val="0"/>
          <w:szCs w:val="34"/>
          <w:rtl/>
          <w:lang w:val="en-US"/>
        </w:rPr>
        <w:t xml:space="preserve">تقييم </w:t>
      </w:r>
      <w:r w:rsidRPr="00702982">
        <w:rPr>
          <w:rFonts w:ascii="Arabic Typesetting" w:hAnsi="Arabic Typesetting" w:cs="Arabic Typesetting" w:hint="cs"/>
          <w:b w:val="0"/>
          <w:bCs w:val="0"/>
          <w:iCs w:val="0"/>
          <w:caps w:val="0"/>
          <w:szCs w:val="34"/>
          <w:rtl/>
          <w:lang w:val="en-US"/>
        </w:rPr>
        <w:t>الملكية الفكرية،</w:t>
      </w:r>
      <w:r w:rsidRPr="00702982">
        <w:rPr>
          <w:rFonts w:ascii="Arabic Typesetting" w:hAnsi="Arabic Typesetting" w:cs="Arabic Typesetting"/>
          <w:b w:val="0"/>
          <w:bCs w:val="0"/>
          <w:iCs w:val="0"/>
          <w:caps w:val="0"/>
          <w:szCs w:val="34"/>
          <w:rtl/>
          <w:lang w:val="en-US"/>
        </w:rPr>
        <w:t xml:space="preserve"> وتسويق </w:t>
      </w:r>
      <w:r w:rsidRPr="00702982">
        <w:rPr>
          <w:rFonts w:ascii="Arabic Typesetting" w:hAnsi="Arabic Typesetting" w:cs="Arabic Typesetting" w:hint="cs"/>
          <w:b w:val="0"/>
          <w:bCs w:val="0"/>
          <w:iCs w:val="0"/>
          <w:caps w:val="0"/>
          <w:szCs w:val="34"/>
          <w:rtl/>
          <w:lang w:val="en-US"/>
        </w:rPr>
        <w:t>الملكية الفكرية</w:t>
      </w:r>
      <w:r w:rsidRPr="00702982">
        <w:rPr>
          <w:rFonts w:ascii="Arabic Typesetting" w:hAnsi="Arabic Typesetting" w:cs="Arabic Typesetting"/>
          <w:b w:val="0"/>
          <w:bCs w:val="0"/>
          <w:iCs w:val="0"/>
          <w:caps w:val="0"/>
          <w:szCs w:val="34"/>
          <w:rtl/>
          <w:lang w:val="en-US"/>
        </w:rPr>
        <w:t>، و</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 xml:space="preserve">لترخيص، </w:t>
      </w:r>
      <w:r w:rsidRPr="00702982">
        <w:rPr>
          <w:rFonts w:ascii="Arabic Typesetting" w:hAnsi="Arabic Typesetting" w:cs="Arabic Typesetting" w:hint="cs"/>
          <w:b w:val="0"/>
          <w:bCs w:val="0"/>
          <w:iCs w:val="0"/>
          <w:caps w:val="0"/>
          <w:szCs w:val="34"/>
          <w:rtl/>
          <w:lang w:val="en-US"/>
        </w:rPr>
        <w:t xml:space="preserve">وإقامة </w:t>
      </w:r>
      <w:r>
        <w:rPr>
          <w:rFonts w:ascii="Arabic Typesetting" w:hAnsi="Arabic Typesetting" w:cs="Arabic Typesetting" w:hint="cs"/>
          <w:b w:val="0"/>
          <w:bCs w:val="0"/>
          <w:iCs w:val="0"/>
          <w:caps w:val="0"/>
          <w:szCs w:val="34"/>
          <w:rtl/>
          <w:lang w:val="en-US"/>
        </w:rPr>
        <w:t>الشركات</w:t>
      </w:r>
      <w:r w:rsidRPr="00702982">
        <w:rPr>
          <w:rFonts w:ascii="Arabic Typesetting" w:hAnsi="Arabic Typesetting" w:cs="Arabic Typesetting"/>
          <w:b w:val="0"/>
          <w:bCs w:val="0"/>
          <w:iCs w:val="0"/>
          <w:caps w:val="0"/>
          <w:szCs w:val="34"/>
          <w:rtl/>
          <w:lang w:val="en-US"/>
        </w:rPr>
        <w:t xml:space="preserve"> </w:t>
      </w:r>
      <w:r w:rsidRPr="00702982">
        <w:rPr>
          <w:rFonts w:ascii="Arabic Typesetting" w:hAnsi="Arabic Typesetting" w:cs="Arabic Typesetting" w:hint="cs"/>
          <w:b w:val="0"/>
          <w:bCs w:val="0"/>
          <w:iCs w:val="0"/>
          <w:caps w:val="0"/>
          <w:szCs w:val="34"/>
          <w:rtl/>
          <w:lang w:val="en-US"/>
        </w:rPr>
        <w:t>ال</w:t>
      </w:r>
      <w:r w:rsidRPr="00702982">
        <w:rPr>
          <w:rFonts w:ascii="Arabic Typesetting" w:hAnsi="Arabic Typesetting" w:cs="Arabic Typesetting"/>
          <w:b w:val="0"/>
          <w:bCs w:val="0"/>
          <w:iCs w:val="0"/>
          <w:caps w:val="0"/>
          <w:szCs w:val="34"/>
          <w:rtl/>
          <w:lang w:val="en-US"/>
        </w:rPr>
        <w:t>ناشئة</w:t>
      </w:r>
      <w:r w:rsidRPr="00702982">
        <w:rPr>
          <w:rFonts w:ascii="Arabic Typesetting" w:hAnsi="Arabic Typesetting" w:cs="Arabic Typesetting" w:hint="cs"/>
          <w:b w:val="0"/>
          <w:bCs w:val="0"/>
          <w:iCs w:val="0"/>
          <w:caps w:val="0"/>
          <w:szCs w:val="34"/>
          <w:rtl/>
          <w:lang w:val="en-US"/>
        </w:rPr>
        <w:t>،</w:t>
      </w:r>
      <w:r w:rsidRPr="00702982">
        <w:rPr>
          <w:rFonts w:ascii="Arabic Typesetting" w:hAnsi="Arabic Typesetting" w:cs="Arabic Typesetting"/>
          <w:b w:val="0"/>
          <w:bCs w:val="0"/>
          <w:iCs w:val="0"/>
          <w:caps w:val="0"/>
          <w:szCs w:val="34"/>
          <w:rtl/>
          <w:lang w:val="en-US"/>
        </w:rPr>
        <w:t xml:space="preserve"> </w:t>
      </w:r>
      <w:r w:rsidRPr="00702982">
        <w:rPr>
          <w:rFonts w:ascii="Arabic Typesetting" w:hAnsi="Arabic Typesetting" w:cs="Arabic Typesetting" w:hint="cs"/>
          <w:b w:val="0"/>
          <w:bCs w:val="0"/>
          <w:iCs w:val="0"/>
          <w:caps w:val="0"/>
          <w:szCs w:val="34"/>
          <w:rtl/>
          <w:lang w:val="en-US"/>
        </w:rPr>
        <w:t>إ</w:t>
      </w:r>
      <w:r w:rsidRPr="00702982">
        <w:rPr>
          <w:rFonts w:ascii="Arabic Typesetting" w:hAnsi="Arabic Typesetting" w:cs="Arabic Typesetting"/>
          <w:b w:val="0"/>
          <w:bCs w:val="0"/>
          <w:iCs w:val="0"/>
          <w:caps w:val="0"/>
          <w:szCs w:val="34"/>
          <w:rtl/>
          <w:lang w:val="en-US"/>
        </w:rPr>
        <w:t>لخ</w:t>
      </w:r>
      <w:r w:rsidRPr="00702982">
        <w:rPr>
          <w:rFonts w:ascii="Arabic Typesetting" w:hAnsi="Arabic Typesetting" w:cs="Arabic Typesetting" w:hint="cs"/>
          <w:b w:val="0"/>
          <w:bCs w:val="0"/>
          <w:iCs w:val="0"/>
          <w:caps w:val="0"/>
          <w:szCs w:val="34"/>
          <w:rtl/>
          <w:lang w:val="en-US"/>
        </w:rPr>
        <w:t>.</w:t>
      </w:r>
    </w:p>
    <w:p w:rsidR="00AD22BC" w:rsidRPr="00AD22BC" w:rsidRDefault="00AD22BC" w:rsidP="00AD22BC">
      <w:pPr>
        <w:pStyle w:val="StyleHeading214ptAuto"/>
        <w:numPr>
          <w:ilvl w:val="0"/>
          <w:numId w:val="24"/>
        </w:numPr>
        <w:adjustRightInd w:val="0"/>
        <w:snapToGrid w:val="0"/>
        <w:spacing w:after="120" w:line="340" w:lineRule="exact"/>
        <w:jc w:val="left"/>
        <w:outlineLvl w:val="9"/>
        <w:rPr>
          <w:rFonts w:ascii="Arabic Typesetting" w:hAnsi="Arabic Typesetting" w:cs="Arabic Typesetting"/>
          <w:b w:val="0"/>
          <w:bCs w:val="0"/>
          <w:iCs w:val="0"/>
          <w:caps w:val="0"/>
          <w:sz w:val="36"/>
          <w:szCs w:val="36"/>
          <w:lang w:val="en-US"/>
        </w:rPr>
      </w:pPr>
      <w:r>
        <w:rPr>
          <w:rFonts w:ascii="Arabic Typesetting" w:hAnsi="Arabic Typesetting" w:cs="Arabic Typesetting" w:hint="cs"/>
          <w:b w:val="0"/>
          <w:bCs w:val="0"/>
          <w:iCs w:val="0"/>
          <w:caps w:val="0"/>
          <w:szCs w:val="34"/>
          <w:rtl/>
          <w:lang w:val="en-US"/>
        </w:rPr>
        <w:t xml:space="preserve">وعملا بالتوصية 26 من توصيات جدول </w:t>
      </w:r>
      <w:r w:rsidRPr="00AD22BC">
        <w:rPr>
          <w:rFonts w:ascii="Arabic Typesetting" w:hAnsi="Arabic Typesetting" w:cs="Arabic Typesetting" w:hint="cs"/>
          <w:b w:val="0"/>
          <w:bCs w:val="0"/>
          <w:iCs w:val="0"/>
          <w:caps w:val="0"/>
          <w:sz w:val="36"/>
          <w:szCs w:val="36"/>
          <w:rtl/>
          <w:lang w:val="en-US"/>
        </w:rPr>
        <w:t>أعمال التنمية ستقوم الويبو، في إطار هذا البرنامج والبرنامج</w:t>
      </w:r>
      <w:r>
        <w:rPr>
          <w:rFonts w:ascii="Arabic Typesetting" w:hAnsi="Arabic Typesetting" w:cs="Arabic Typesetting" w:hint="cs"/>
          <w:b w:val="0"/>
          <w:bCs w:val="0"/>
          <w:iCs w:val="0"/>
          <w:caps w:val="0"/>
          <w:sz w:val="36"/>
          <w:szCs w:val="36"/>
          <w:rtl/>
          <w:lang w:val="en-US"/>
        </w:rPr>
        <w:t>ين 9 و10، بتدعيم</w:t>
      </w:r>
      <w:r w:rsidRPr="00AD22BC">
        <w:rPr>
          <w:rFonts w:ascii="Arabic Typesetting" w:hAnsi="Arabic Typesetting" w:cs="Arabic Typesetting" w:hint="cs"/>
          <w:b w:val="0"/>
          <w:bCs w:val="0"/>
          <w:iCs w:val="0"/>
          <w:caps w:val="0"/>
          <w:sz w:val="36"/>
          <w:szCs w:val="36"/>
          <w:rtl/>
          <w:lang w:val="en-US"/>
        </w:rPr>
        <w:t xml:space="preserve"> نطاق أنشطتها الرامية إلى المساعدة على إنشاء مكاتب نقل التكنولوجيا (</w:t>
      </w:r>
      <w:r w:rsidRPr="00AD22BC">
        <w:rPr>
          <w:rFonts w:ascii="Arabic Typesetting" w:hAnsi="Arabic Typesetting" w:cs="Arabic Typesetting"/>
          <w:b w:val="0"/>
          <w:bCs w:val="0"/>
          <w:iCs w:val="0"/>
          <w:caps w:val="0"/>
          <w:sz w:val="36"/>
          <w:szCs w:val="36"/>
          <w:lang w:val="en-US"/>
        </w:rPr>
        <w:t>TTOs</w:t>
      </w:r>
      <w:r w:rsidRPr="00AD22BC">
        <w:rPr>
          <w:rFonts w:ascii="Arabic Typesetting" w:hAnsi="Arabic Typesetting" w:cs="Arabic Typesetting" w:hint="cs"/>
          <w:b w:val="0"/>
          <w:bCs w:val="0"/>
          <w:iCs w:val="0"/>
          <w:caps w:val="0"/>
          <w:sz w:val="36"/>
          <w:szCs w:val="36"/>
          <w:rtl/>
          <w:lang w:val="en-US"/>
        </w:rPr>
        <w:t>)</w:t>
      </w:r>
      <w:r>
        <w:rPr>
          <w:rFonts w:ascii="Arabic Typesetting" w:hAnsi="Arabic Typesetting" w:cs="Arabic Typesetting" w:hint="cs"/>
          <w:b w:val="0"/>
          <w:bCs w:val="0"/>
          <w:iCs w:val="0"/>
          <w:caps w:val="0"/>
          <w:sz w:val="36"/>
          <w:szCs w:val="36"/>
          <w:rtl/>
          <w:lang w:val="en-US"/>
        </w:rPr>
        <w:t xml:space="preserve"> وزيادة نفاذ مؤسسات الملكية الفكرية والجمهور إلى معلومات الملكية الفكرية واستخدامهم لها بغرض تعزيز الابتكار والإبداع.</w:t>
      </w:r>
    </w:p>
    <w:p w:rsidR="00386BD0" w:rsidRPr="00702982"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Cs w:val="34"/>
          <w:rtl/>
          <w:lang w:val="en-US"/>
        </w:rPr>
      </w:pPr>
      <w:r w:rsidRPr="00702982">
        <w:rPr>
          <w:rFonts w:ascii="Arabic Typesetting" w:hAnsi="Arabic Typesetting" w:cs="Arabic Typesetting"/>
          <w:b w:val="0"/>
          <w:bCs w:val="0"/>
          <w:iCs w:val="0"/>
          <w:caps w:val="0"/>
          <w:szCs w:val="34"/>
          <w:rtl/>
          <w:lang w:val="en-US"/>
        </w:rPr>
        <w:t>وسي</w:t>
      </w:r>
      <w:r>
        <w:rPr>
          <w:rFonts w:ascii="Arabic Typesetting" w:hAnsi="Arabic Typesetting" w:cs="Arabic Typesetting" w:hint="cs"/>
          <w:b w:val="0"/>
          <w:bCs w:val="0"/>
          <w:iCs w:val="0"/>
          <w:caps w:val="0"/>
          <w:szCs w:val="34"/>
          <w:rtl/>
          <w:lang w:val="en-US"/>
        </w:rPr>
        <w:t xml:space="preserve">تواصل </w:t>
      </w:r>
      <w:r w:rsidRPr="00702982">
        <w:rPr>
          <w:rFonts w:ascii="Arabic Typesetting" w:hAnsi="Arabic Typesetting" w:cs="Arabic Typesetting"/>
          <w:b w:val="0"/>
          <w:bCs w:val="0"/>
          <w:iCs w:val="0"/>
          <w:caps w:val="0"/>
          <w:szCs w:val="34"/>
          <w:rtl/>
          <w:lang w:val="en-US"/>
        </w:rPr>
        <w:t xml:space="preserve">تطوير </w:t>
      </w:r>
      <w:r w:rsidRPr="00702982">
        <w:rPr>
          <w:rFonts w:ascii="Arabic Typesetting" w:hAnsi="Arabic Typesetting" w:cs="Arabic Typesetting" w:hint="cs"/>
          <w:b w:val="0"/>
          <w:bCs w:val="0"/>
          <w:iCs w:val="0"/>
          <w:caps w:val="0"/>
          <w:szCs w:val="34"/>
          <w:rtl/>
          <w:lang w:val="en-US"/>
        </w:rPr>
        <w:t>أدوات و</w:t>
      </w:r>
      <w:r w:rsidRPr="00702982">
        <w:rPr>
          <w:rFonts w:ascii="Arabic Typesetting" w:hAnsi="Arabic Typesetting" w:cs="Arabic Typesetting"/>
          <w:b w:val="0"/>
          <w:bCs w:val="0"/>
          <w:iCs w:val="0"/>
          <w:caps w:val="0"/>
          <w:szCs w:val="34"/>
          <w:rtl/>
          <w:lang w:val="en-US"/>
        </w:rPr>
        <w:t>خبرات واسع</w:t>
      </w:r>
      <w:r w:rsidRPr="00702982">
        <w:rPr>
          <w:rFonts w:ascii="Arabic Typesetting" w:hAnsi="Arabic Typesetting" w:cs="Arabic Typesetting" w:hint="cs"/>
          <w:b w:val="0"/>
          <w:bCs w:val="0"/>
          <w:iCs w:val="0"/>
          <w:caps w:val="0"/>
          <w:szCs w:val="34"/>
          <w:rtl/>
          <w:lang w:val="en-US"/>
        </w:rPr>
        <w:t>ة</w:t>
      </w:r>
      <w:r w:rsidRPr="00702982">
        <w:rPr>
          <w:rFonts w:ascii="Arabic Typesetting" w:hAnsi="Arabic Typesetting" w:cs="Arabic Typesetting"/>
          <w:b w:val="0"/>
          <w:bCs w:val="0"/>
          <w:iCs w:val="0"/>
          <w:caps w:val="0"/>
          <w:szCs w:val="34"/>
          <w:rtl/>
          <w:lang w:val="en-US"/>
        </w:rPr>
        <w:t xml:space="preserve"> النطاق </w:t>
      </w:r>
      <w:r w:rsidRPr="00702982">
        <w:rPr>
          <w:rFonts w:ascii="Arabic Typesetting" w:hAnsi="Arabic Typesetting" w:cs="Arabic Typesetting" w:hint="cs"/>
          <w:b w:val="0"/>
          <w:bCs w:val="0"/>
          <w:iCs w:val="0"/>
          <w:caps w:val="0"/>
          <w:szCs w:val="34"/>
          <w:rtl/>
          <w:lang w:val="en-US"/>
        </w:rPr>
        <w:t xml:space="preserve">من أجل </w:t>
      </w:r>
      <w:r w:rsidRPr="00702982">
        <w:rPr>
          <w:rFonts w:ascii="Arabic Typesetting" w:hAnsi="Arabic Typesetting" w:cs="Arabic Typesetting"/>
          <w:b w:val="0"/>
          <w:bCs w:val="0"/>
          <w:iCs w:val="0"/>
          <w:caps w:val="0"/>
          <w:szCs w:val="34"/>
          <w:rtl/>
          <w:lang w:val="en-US"/>
        </w:rPr>
        <w:t xml:space="preserve">قاعدة البحث (الجامعات ومؤسسات </w:t>
      </w:r>
      <w:r w:rsidRPr="00702982">
        <w:rPr>
          <w:rFonts w:ascii="Arabic Typesetting" w:hAnsi="Arabic Typesetting" w:cs="Arabic Typesetting" w:hint="cs"/>
          <w:b w:val="0"/>
          <w:bCs w:val="0"/>
          <w:iCs w:val="0"/>
          <w:caps w:val="0"/>
          <w:szCs w:val="34"/>
          <w:rtl/>
          <w:lang w:val="en-US"/>
        </w:rPr>
        <w:t>البحوث العامة</w:t>
      </w:r>
      <w:r w:rsidRPr="00702982">
        <w:rPr>
          <w:rFonts w:ascii="Arabic Typesetting" w:hAnsi="Arabic Typesetting" w:cs="Arabic Typesetting"/>
          <w:b w:val="0"/>
          <w:bCs w:val="0"/>
          <w:iCs w:val="0"/>
          <w:caps w:val="0"/>
          <w:szCs w:val="34"/>
          <w:rtl/>
          <w:lang w:val="en-US"/>
        </w:rPr>
        <w:t>). وستحصل قاعدة البحث على المساعدة في تنفيذ نماذج مخصّصة</w:t>
      </w:r>
      <w:r w:rsidRPr="00702982">
        <w:rPr>
          <w:rFonts w:ascii="Arabic Typesetting" w:hAnsi="Arabic Typesetting" w:cs="Arabic Typesetting" w:hint="cs"/>
          <w:b w:val="0"/>
          <w:bCs w:val="0"/>
          <w:iCs w:val="0"/>
          <w:caps w:val="0"/>
          <w:szCs w:val="34"/>
          <w:rtl/>
          <w:lang w:val="en-US"/>
        </w:rPr>
        <w:t xml:space="preserve"> </w:t>
      </w:r>
      <w:r w:rsidRPr="00702982">
        <w:rPr>
          <w:rFonts w:ascii="Arabic Typesetting" w:hAnsi="Arabic Typesetting" w:cs="Arabic Typesetting"/>
          <w:b w:val="0"/>
          <w:bCs w:val="0"/>
          <w:iCs w:val="0"/>
          <w:caps w:val="0"/>
          <w:szCs w:val="34"/>
          <w:rtl/>
          <w:lang w:val="en-US"/>
        </w:rPr>
        <w:t xml:space="preserve">لبنى </w:t>
      </w:r>
      <w:r w:rsidRPr="00702982">
        <w:rPr>
          <w:rFonts w:ascii="Arabic Typesetting" w:hAnsi="Arabic Typesetting" w:cs="Arabic Typesetting" w:hint="cs"/>
          <w:b w:val="0"/>
          <w:bCs w:val="0"/>
          <w:iCs w:val="0"/>
          <w:caps w:val="0"/>
          <w:szCs w:val="34"/>
          <w:rtl/>
          <w:lang w:val="en-US"/>
        </w:rPr>
        <w:t xml:space="preserve">التطوير الاستراتيجي للملكية الفكرية وحمايتها وتسويقها، وفي </w:t>
      </w:r>
      <w:r w:rsidRPr="00702982">
        <w:rPr>
          <w:rFonts w:ascii="Arabic Typesetting" w:hAnsi="Arabic Typesetting" w:cs="Arabic Typesetting"/>
          <w:b w:val="0"/>
          <w:bCs w:val="0"/>
          <w:iCs w:val="0"/>
          <w:caps w:val="0"/>
          <w:szCs w:val="34"/>
          <w:rtl/>
          <w:lang w:val="en-US"/>
        </w:rPr>
        <w:t>ت</w:t>
      </w:r>
      <w:r w:rsidRPr="00702982">
        <w:rPr>
          <w:rFonts w:ascii="Arabic Typesetting" w:hAnsi="Arabic Typesetting" w:cs="Arabic Typesetting" w:hint="cs"/>
          <w:b w:val="0"/>
          <w:bCs w:val="0"/>
          <w:iCs w:val="0"/>
          <w:caps w:val="0"/>
          <w:szCs w:val="34"/>
          <w:rtl/>
          <w:lang w:val="en-US"/>
        </w:rPr>
        <w:t xml:space="preserve">نمية الموارد البشرية </w:t>
      </w:r>
      <w:r w:rsidRPr="00702982">
        <w:rPr>
          <w:rFonts w:ascii="Arabic Typesetting" w:hAnsi="Arabic Typesetting" w:cs="Arabic Typesetting"/>
          <w:b w:val="0"/>
          <w:bCs w:val="0"/>
          <w:iCs w:val="0"/>
          <w:caps w:val="0"/>
          <w:szCs w:val="34"/>
          <w:rtl/>
          <w:lang w:val="en-US"/>
        </w:rPr>
        <w:t>الم</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 xml:space="preserve">هرة </w:t>
      </w:r>
      <w:r w:rsidRPr="00702982">
        <w:rPr>
          <w:rFonts w:ascii="Arabic Typesetting" w:hAnsi="Arabic Typesetting" w:cs="Arabic Typesetting" w:hint="cs"/>
          <w:b w:val="0"/>
          <w:bCs w:val="0"/>
          <w:iCs w:val="0"/>
          <w:caps w:val="0"/>
          <w:szCs w:val="34"/>
          <w:rtl/>
          <w:lang w:val="en-US"/>
        </w:rPr>
        <w:t>ال</w:t>
      </w:r>
      <w:r w:rsidRPr="00702982">
        <w:rPr>
          <w:rFonts w:ascii="Arabic Typesetting" w:hAnsi="Arabic Typesetting" w:cs="Arabic Typesetting"/>
          <w:b w:val="0"/>
          <w:bCs w:val="0"/>
          <w:iCs w:val="0"/>
          <w:caps w:val="0"/>
          <w:szCs w:val="34"/>
          <w:rtl/>
          <w:lang w:val="en-US"/>
        </w:rPr>
        <w:t xml:space="preserve">قادرة على </w:t>
      </w:r>
      <w:r w:rsidRPr="00702982">
        <w:rPr>
          <w:rFonts w:ascii="Arabic Typesetting" w:hAnsi="Arabic Typesetting" w:cs="Arabic Typesetting" w:hint="cs"/>
          <w:b w:val="0"/>
          <w:bCs w:val="0"/>
          <w:iCs w:val="0"/>
          <w:caps w:val="0"/>
          <w:szCs w:val="34"/>
          <w:rtl/>
          <w:lang w:val="en-US"/>
        </w:rPr>
        <w:t>ال</w:t>
      </w:r>
      <w:r w:rsidRPr="00702982">
        <w:rPr>
          <w:rFonts w:ascii="Arabic Typesetting" w:hAnsi="Arabic Typesetting" w:cs="Arabic Typesetting"/>
          <w:b w:val="0"/>
          <w:bCs w:val="0"/>
          <w:iCs w:val="0"/>
          <w:caps w:val="0"/>
          <w:szCs w:val="34"/>
          <w:rtl/>
          <w:lang w:val="en-US"/>
        </w:rPr>
        <w:t xml:space="preserve">تسويق </w:t>
      </w:r>
      <w:r w:rsidRPr="00702982">
        <w:rPr>
          <w:rFonts w:ascii="Arabic Typesetting" w:hAnsi="Arabic Typesetting" w:cs="Arabic Typesetting" w:hint="cs"/>
          <w:b w:val="0"/>
          <w:bCs w:val="0"/>
          <w:iCs w:val="0"/>
          <w:caps w:val="0"/>
          <w:szCs w:val="34"/>
          <w:rtl/>
          <w:lang w:val="en-US"/>
        </w:rPr>
        <w:t>ال</w:t>
      </w:r>
      <w:r w:rsidRPr="00702982">
        <w:rPr>
          <w:rFonts w:ascii="Arabic Typesetting" w:hAnsi="Arabic Typesetting" w:cs="Arabic Typesetting"/>
          <w:b w:val="0"/>
          <w:bCs w:val="0"/>
          <w:iCs w:val="0"/>
          <w:caps w:val="0"/>
          <w:szCs w:val="34"/>
          <w:rtl/>
          <w:lang w:val="en-US"/>
        </w:rPr>
        <w:t xml:space="preserve">استراتيجي </w:t>
      </w:r>
      <w:r w:rsidRPr="00702982">
        <w:rPr>
          <w:rFonts w:ascii="Arabic Typesetting" w:hAnsi="Arabic Typesetting" w:cs="Arabic Typesetting" w:hint="cs"/>
          <w:b w:val="0"/>
          <w:bCs w:val="0"/>
          <w:iCs w:val="0"/>
          <w:caps w:val="0"/>
          <w:szCs w:val="34"/>
          <w:rtl/>
          <w:lang w:val="en-US"/>
        </w:rPr>
        <w:t>للملكية الفكرية من أجل تحقيق</w:t>
      </w:r>
      <w:r w:rsidRPr="00702982">
        <w:rPr>
          <w:rFonts w:ascii="Arabic Typesetting" w:hAnsi="Arabic Typesetting" w:cs="Arabic Typesetting"/>
          <w:b w:val="0"/>
          <w:bCs w:val="0"/>
          <w:iCs w:val="0"/>
          <w:caps w:val="0"/>
          <w:szCs w:val="34"/>
          <w:rtl/>
          <w:lang w:val="en-US"/>
        </w:rPr>
        <w:t xml:space="preserve"> </w:t>
      </w:r>
      <w:r w:rsidRPr="00702982">
        <w:rPr>
          <w:rFonts w:ascii="Arabic Typesetting" w:hAnsi="Arabic Typesetting" w:cs="Arabic Typesetting" w:hint="cs"/>
          <w:b w:val="0"/>
          <w:bCs w:val="0"/>
          <w:iCs w:val="0"/>
          <w:caps w:val="0"/>
          <w:szCs w:val="34"/>
          <w:rtl/>
          <w:lang w:val="en-US"/>
        </w:rPr>
        <w:t>ا</w:t>
      </w:r>
      <w:r w:rsidRPr="00702982">
        <w:rPr>
          <w:rFonts w:ascii="Arabic Typesetting" w:hAnsi="Arabic Typesetting" w:cs="Arabic Typesetting"/>
          <w:b w:val="0"/>
          <w:bCs w:val="0"/>
          <w:iCs w:val="0"/>
          <w:caps w:val="0"/>
          <w:szCs w:val="34"/>
          <w:rtl/>
          <w:lang w:val="en-US"/>
        </w:rPr>
        <w:t>لنمو الاقتصادي.</w:t>
      </w:r>
    </w:p>
    <w:p w:rsidR="00386BD0"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 w:val="30"/>
          <w:szCs w:val="34"/>
          <w:lang w:val="en-US"/>
        </w:rPr>
      </w:pPr>
      <w:bookmarkStart w:id="60" w:name="_Toc364355379"/>
      <w:r>
        <w:rPr>
          <w:rFonts w:ascii="Arabic Typesetting" w:hAnsi="Arabic Typesetting" w:cs="Arabic Typesetting" w:hint="cs"/>
          <w:b w:val="0"/>
          <w:bCs w:val="0"/>
          <w:iCs w:val="0"/>
          <w:caps w:val="0"/>
          <w:szCs w:val="34"/>
          <w:rtl/>
          <w:lang w:val="en-US"/>
        </w:rPr>
        <w:t>وس</w:t>
      </w:r>
      <w:r w:rsidRPr="00702982">
        <w:rPr>
          <w:rFonts w:ascii="Arabic Typesetting" w:hAnsi="Arabic Typesetting" w:cs="Arabic Typesetting" w:hint="cs"/>
          <w:b w:val="0"/>
          <w:bCs w:val="0"/>
          <w:iCs w:val="0"/>
          <w:caps w:val="0"/>
          <w:szCs w:val="34"/>
          <w:rtl/>
          <w:lang w:val="en-US"/>
        </w:rPr>
        <w:t xml:space="preserve">يُولى </w:t>
      </w:r>
      <w:r>
        <w:rPr>
          <w:rFonts w:ascii="Arabic Typesetting" w:hAnsi="Arabic Typesetting" w:cs="Arabic Typesetting" w:hint="cs"/>
          <w:b w:val="0"/>
          <w:bCs w:val="0"/>
          <w:iCs w:val="0"/>
          <w:caps w:val="0"/>
          <w:szCs w:val="34"/>
          <w:rtl/>
          <w:lang w:val="en-US"/>
        </w:rPr>
        <w:t>اهتمام خاص في الثنائية 2016/17 ل</w:t>
      </w:r>
      <w:r>
        <w:rPr>
          <w:rFonts w:ascii="Arabic Typesetting" w:hAnsi="Arabic Typesetting" w:cs="Arabic Typesetting"/>
          <w:b w:val="0"/>
          <w:bCs w:val="0"/>
          <w:iCs w:val="0"/>
          <w:caps w:val="0"/>
          <w:szCs w:val="34"/>
          <w:rtl/>
          <w:lang w:val="en-US"/>
        </w:rPr>
        <w:t xml:space="preserve">تصميم عمل البرنامج 30 </w:t>
      </w:r>
      <w:r>
        <w:rPr>
          <w:rFonts w:ascii="Arabic Typesetting" w:hAnsi="Arabic Typesetting" w:cs="Arabic Typesetting" w:hint="cs"/>
          <w:b w:val="0"/>
          <w:bCs w:val="0"/>
          <w:iCs w:val="0"/>
          <w:caps w:val="0"/>
          <w:szCs w:val="34"/>
          <w:rtl/>
          <w:lang w:val="en-US"/>
        </w:rPr>
        <w:t>بغرض إحداث</w:t>
      </w:r>
      <w:r w:rsidRPr="00702982">
        <w:rPr>
          <w:rFonts w:ascii="Arabic Typesetting" w:hAnsi="Arabic Typesetting" w:cs="Arabic Typesetting"/>
          <w:b w:val="0"/>
          <w:bCs w:val="0"/>
          <w:iCs w:val="0"/>
          <w:caps w:val="0"/>
          <w:szCs w:val="34"/>
          <w:rtl/>
          <w:lang w:val="en-US"/>
        </w:rPr>
        <w:t xml:space="preserve"> </w:t>
      </w:r>
      <w:r>
        <w:rPr>
          <w:rFonts w:ascii="Arabic Typesetting" w:hAnsi="Arabic Typesetting" w:cs="Arabic Typesetting" w:hint="cs"/>
          <w:b w:val="0"/>
          <w:bCs w:val="0"/>
          <w:iCs w:val="0"/>
          <w:caps w:val="0"/>
          <w:szCs w:val="34"/>
          <w:rtl/>
          <w:lang w:val="en-US"/>
        </w:rPr>
        <w:t>ال</w:t>
      </w:r>
      <w:r>
        <w:rPr>
          <w:rFonts w:ascii="Arabic Typesetting" w:hAnsi="Arabic Typesetting" w:cs="Arabic Typesetting"/>
          <w:b w:val="0"/>
          <w:bCs w:val="0"/>
          <w:iCs w:val="0"/>
          <w:caps w:val="0"/>
          <w:szCs w:val="34"/>
          <w:rtl/>
          <w:lang w:val="en-US"/>
        </w:rPr>
        <w:t>أثر</w:t>
      </w:r>
      <w:r>
        <w:rPr>
          <w:rFonts w:ascii="Arabic Typesetting" w:hAnsi="Arabic Typesetting" w:cs="Arabic Typesetting" w:hint="cs"/>
          <w:b w:val="0"/>
          <w:bCs w:val="0"/>
          <w:iCs w:val="0"/>
          <w:caps w:val="0"/>
          <w:szCs w:val="34"/>
          <w:rtl/>
          <w:lang w:val="en-US"/>
        </w:rPr>
        <w:t xml:space="preserve"> المستهدف، </w:t>
      </w:r>
      <w:r w:rsidRPr="00702982">
        <w:rPr>
          <w:rFonts w:ascii="Arabic Typesetting" w:hAnsi="Arabic Typesetting" w:cs="Arabic Typesetting"/>
          <w:b w:val="0"/>
          <w:bCs w:val="0"/>
          <w:iCs w:val="0"/>
          <w:caps w:val="0"/>
          <w:szCs w:val="34"/>
          <w:rtl/>
          <w:lang w:val="en-US"/>
        </w:rPr>
        <w:t>و</w:t>
      </w:r>
      <w:r>
        <w:rPr>
          <w:rFonts w:ascii="Arabic Typesetting" w:hAnsi="Arabic Typesetting" w:cs="Arabic Typesetting" w:hint="cs"/>
          <w:b w:val="0"/>
          <w:bCs w:val="0"/>
          <w:iCs w:val="0"/>
          <w:caps w:val="0"/>
          <w:szCs w:val="34"/>
          <w:rtl/>
          <w:lang w:val="en-US"/>
        </w:rPr>
        <w:t>ل</w:t>
      </w:r>
      <w:r w:rsidRPr="00702982">
        <w:rPr>
          <w:rFonts w:ascii="Arabic Typesetting" w:hAnsi="Arabic Typesetting" w:cs="Arabic Typesetting"/>
          <w:b w:val="0"/>
          <w:bCs w:val="0"/>
          <w:iCs w:val="0"/>
          <w:caps w:val="0"/>
          <w:szCs w:val="34"/>
          <w:rtl/>
          <w:lang w:val="en-US"/>
        </w:rPr>
        <w:t xml:space="preserve">رصد وتقييم عمل الويبو المتعلق بالشركات الصغيرة والمتوسطة والجامعات ومؤسسات </w:t>
      </w:r>
      <w:r w:rsidRPr="00702982">
        <w:rPr>
          <w:rFonts w:ascii="Arabic Typesetting" w:hAnsi="Arabic Typesetting" w:cs="Arabic Typesetting" w:hint="cs"/>
          <w:b w:val="0"/>
          <w:bCs w:val="0"/>
          <w:iCs w:val="0"/>
          <w:caps w:val="0"/>
          <w:szCs w:val="34"/>
          <w:rtl/>
          <w:lang w:val="en-US"/>
        </w:rPr>
        <w:t>البحوث العامة</w:t>
      </w:r>
      <w:r w:rsidRPr="00702982">
        <w:rPr>
          <w:rFonts w:ascii="Arabic Typesetting" w:hAnsi="Arabic Typesetting" w:cs="Arabic Typesetting"/>
          <w:b w:val="0"/>
          <w:bCs w:val="0"/>
          <w:iCs w:val="0"/>
          <w:caps w:val="0"/>
          <w:szCs w:val="34"/>
          <w:rtl/>
          <w:lang w:val="en-US"/>
        </w:rPr>
        <w:t xml:space="preserve">، وذلك </w:t>
      </w:r>
      <w:r w:rsidRPr="00702982">
        <w:rPr>
          <w:rFonts w:ascii="Arabic Typesetting" w:hAnsi="Arabic Typesetting" w:cs="Arabic Typesetting" w:hint="cs"/>
          <w:b w:val="0"/>
          <w:bCs w:val="0"/>
          <w:iCs w:val="0"/>
          <w:caps w:val="0"/>
          <w:szCs w:val="34"/>
          <w:rtl/>
          <w:lang w:val="en-US"/>
        </w:rPr>
        <w:t>بما يتماشى مع</w:t>
      </w:r>
      <w:r w:rsidRPr="00702982">
        <w:rPr>
          <w:rFonts w:ascii="Arabic Typesetting" w:hAnsi="Arabic Typesetting" w:cs="Arabic Typesetting"/>
          <w:b w:val="0"/>
          <w:bCs w:val="0"/>
          <w:iCs w:val="0"/>
          <w:caps w:val="0"/>
          <w:szCs w:val="34"/>
          <w:rtl/>
          <w:lang w:val="en-US"/>
        </w:rPr>
        <w:t xml:space="preserve"> إطار الويبو للإدارة القائمة على النتائ</w:t>
      </w:r>
      <w:r w:rsidRPr="00D72E6D">
        <w:rPr>
          <w:rFonts w:ascii="Arabic Typesetting" w:hAnsi="Arabic Typesetting" w:cs="Arabic Typesetting"/>
          <w:b w:val="0"/>
          <w:bCs w:val="0"/>
          <w:iCs w:val="0"/>
          <w:caps w:val="0"/>
          <w:sz w:val="30"/>
          <w:szCs w:val="34"/>
          <w:rtl/>
          <w:lang w:val="en-US"/>
        </w:rPr>
        <w:t>ج.</w:t>
      </w:r>
    </w:p>
    <w:p w:rsidR="00386BD0" w:rsidRDefault="00386BD0" w:rsidP="00DA5475">
      <w:pPr>
        <w:pStyle w:val="StyleHeading214ptAuto"/>
        <w:numPr>
          <w:ilvl w:val="0"/>
          <w:numId w:val="24"/>
        </w:numPr>
        <w:adjustRightInd w:val="0"/>
        <w:snapToGrid w:val="0"/>
        <w:spacing w:after="120" w:line="340" w:lineRule="exact"/>
        <w:ind w:left="0"/>
        <w:jc w:val="left"/>
        <w:outlineLvl w:val="9"/>
        <w:rPr>
          <w:rFonts w:ascii="Arabic Typesetting" w:hAnsi="Arabic Typesetting" w:cs="Arabic Typesetting"/>
          <w:b w:val="0"/>
          <w:bCs w:val="0"/>
          <w:iCs w:val="0"/>
          <w:caps w:val="0"/>
          <w:sz w:val="30"/>
          <w:szCs w:val="34"/>
          <w:lang w:val="en-US"/>
        </w:rPr>
      </w:pPr>
      <w:r>
        <w:rPr>
          <w:rFonts w:ascii="Arabic Typesetting" w:hAnsi="Arabic Typesetting" w:cs="Arabic Typesetting" w:hint="cs"/>
          <w:b w:val="0"/>
          <w:bCs w:val="0"/>
          <w:iCs w:val="0"/>
          <w:caps w:val="0"/>
          <w:sz w:val="30"/>
          <w:szCs w:val="34"/>
          <w:rtl/>
          <w:lang w:val="en-US"/>
        </w:rPr>
        <w:t>ويتعاون البرنامج 30 في الأساس مع برامج أخرى على النحو المبيّن أدناه:</w:t>
      </w:r>
    </w:p>
    <w:p w:rsidR="00386BD0" w:rsidRDefault="00386BD0" w:rsidP="00BD6C0F">
      <w:pPr>
        <w:pStyle w:val="StyleHeading214ptAuto"/>
        <w:tabs>
          <w:tab w:val="clear" w:pos="567"/>
        </w:tabs>
        <w:adjustRightInd w:val="0"/>
        <w:snapToGrid w:val="0"/>
        <w:spacing w:after="120" w:line="240" w:lineRule="auto"/>
        <w:ind w:left="0" w:firstLine="0"/>
        <w:jc w:val="left"/>
        <w:outlineLvl w:val="9"/>
        <w:rPr>
          <w:rFonts w:ascii="Arabic Typesetting" w:hAnsi="Arabic Typesetting" w:cs="Arabic Typesetting"/>
          <w:b w:val="0"/>
          <w:bCs w:val="0"/>
          <w:iCs w:val="0"/>
          <w:caps w:val="0"/>
          <w:sz w:val="30"/>
          <w:szCs w:val="34"/>
          <w:rtl/>
          <w:lang w:val="en-US"/>
        </w:rPr>
      </w:pPr>
      <w:bookmarkStart w:id="61" w:name="_Toc420595513"/>
      <w:r w:rsidRPr="00702982">
        <w:rPr>
          <w:rFonts w:ascii="Arabic Typesetting" w:hAnsi="Arabic Typesetting" w:cs="Arabic Typesetting"/>
          <w:b w:val="0"/>
          <w:bCs w:val="0"/>
          <w:iCs w:val="0"/>
          <w:caps w:val="0"/>
          <w:noProof/>
          <w:szCs w:val="34"/>
          <w:lang w:val="en-US" w:bidi="ar-SA"/>
        </w:rPr>
        <w:drawing>
          <wp:anchor distT="0" distB="0" distL="114300" distR="114300" simplePos="0" relativeHeight="251668480" behindDoc="0" locked="0" layoutInCell="1" allowOverlap="1" wp14:anchorId="1BF5925E" wp14:editId="36FCE9A7">
            <wp:simplePos x="0" y="0"/>
            <wp:positionH relativeFrom="column">
              <wp:posOffset>605790</wp:posOffset>
            </wp:positionH>
            <wp:positionV relativeFrom="paragraph">
              <wp:posOffset>50800</wp:posOffset>
            </wp:positionV>
            <wp:extent cx="5486400" cy="1657350"/>
            <wp:effectExtent l="0" t="19050" r="0" b="0"/>
            <wp:wrapTopAndBottom/>
            <wp:docPr id="253" name="Diagram 2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anchor>
        </w:drawing>
      </w:r>
      <w:bookmarkEnd w:id="61"/>
    </w:p>
    <w:p w:rsidR="00386BD0" w:rsidRDefault="00386BD0">
      <w:pPr>
        <w:bidi w:val="0"/>
        <w:rPr>
          <w:rFonts w:ascii="Arabic Typesetting" w:hAnsi="Arabic Typesetting" w:cs="Arabic Typesetting"/>
          <w:sz w:val="30"/>
          <w:szCs w:val="34"/>
          <w:rtl/>
        </w:rPr>
      </w:pPr>
      <w:r>
        <w:rPr>
          <w:rFonts w:ascii="Arabic Typesetting" w:hAnsi="Arabic Typesetting" w:cs="Arabic Typesetting"/>
          <w:b/>
          <w:bCs/>
          <w:iCs/>
          <w:caps/>
          <w:sz w:val="30"/>
          <w:szCs w:val="34"/>
          <w:rtl/>
        </w:rPr>
        <w:br w:type="page"/>
      </w:r>
    </w:p>
    <w:bookmarkEnd w:id="60"/>
    <w:p w:rsidR="00386BD0" w:rsidRPr="002115E3" w:rsidRDefault="00386BD0" w:rsidP="0031375C">
      <w:pPr>
        <w:pStyle w:val="BodyTextIndent"/>
        <w:keepNext/>
        <w:bidi/>
        <w:adjustRightInd w:val="0"/>
        <w:snapToGrid w:val="0"/>
        <w:spacing w:after="240" w:line="360" w:lineRule="exact"/>
        <w:ind w:left="0"/>
        <w:jc w:val="both"/>
        <w:rPr>
          <w:rFonts w:ascii="Arabic Typesetting" w:hAnsi="Arabic Typesetting" w:cs="Arabic Typesetting"/>
          <w:sz w:val="38"/>
          <w:szCs w:val="38"/>
          <w:rtl/>
        </w:rPr>
      </w:pPr>
      <w:r w:rsidRPr="002115E3">
        <w:rPr>
          <w:rFonts w:ascii="Arabic Typesetting" w:hAnsi="Arabic Typesetting" w:cs="Arabic Typesetting"/>
          <w:sz w:val="38"/>
          <w:szCs w:val="38"/>
          <w:rtl/>
        </w:rPr>
        <w:lastRenderedPageBreak/>
        <w:t>المخاطر الرئيسية واستراتيجيات التخفيف</w:t>
      </w:r>
      <w:r w:rsidRPr="002115E3">
        <w:rPr>
          <w:rFonts w:ascii="Arabic Typesetting" w:hAnsi="Arabic Typesetting" w:cs="Arabic Typesetting" w:hint="cs"/>
          <w:sz w:val="38"/>
          <w:szCs w:val="38"/>
          <w:rtl/>
        </w:rPr>
        <w:t xml:space="preserve"> منها</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90"/>
        <w:gridCol w:w="4589"/>
      </w:tblGrid>
      <w:tr w:rsidR="00386BD0" w:rsidRPr="008954A8" w:rsidTr="0031375C">
        <w:trPr>
          <w:trHeight w:val="488"/>
        </w:trPr>
        <w:tc>
          <w:tcPr>
            <w:tcW w:w="4590" w:type="dxa"/>
            <w:tcBorders>
              <w:top w:val="single" w:sz="4" w:space="0" w:color="auto"/>
              <w:bottom w:val="single" w:sz="4" w:space="0" w:color="auto"/>
            </w:tcBorders>
            <w:shd w:val="clear" w:color="auto" w:fill="C6D9F1"/>
            <w:tcMar>
              <w:top w:w="113" w:type="dxa"/>
              <w:bottom w:w="113" w:type="dxa"/>
            </w:tcMar>
            <w:vAlign w:val="center"/>
          </w:tcPr>
          <w:p w:rsidR="00386BD0" w:rsidRPr="008954A8" w:rsidRDefault="00386BD0" w:rsidP="0031375C">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tl/>
              </w:rPr>
            </w:pPr>
            <w:r>
              <w:rPr>
                <w:rFonts w:ascii="Arabic Typesetting" w:hAnsi="Arabic Typesetting" w:cs="Arabic Typesetting"/>
                <w:bCs/>
                <w:i/>
                <w:sz w:val="30"/>
                <w:szCs w:val="30"/>
                <w:rtl/>
              </w:rPr>
              <w:t>المخاطر</w:t>
            </w:r>
          </w:p>
        </w:tc>
        <w:tc>
          <w:tcPr>
            <w:tcW w:w="4589" w:type="dxa"/>
            <w:tcBorders>
              <w:top w:val="single" w:sz="4" w:space="0" w:color="auto"/>
              <w:bottom w:val="single" w:sz="4" w:space="0" w:color="auto"/>
            </w:tcBorders>
            <w:shd w:val="clear" w:color="auto" w:fill="C6D9F1"/>
            <w:tcMar>
              <w:top w:w="113" w:type="dxa"/>
              <w:bottom w:w="113" w:type="dxa"/>
            </w:tcMar>
            <w:vAlign w:val="center"/>
          </w:tcPr>
          <w:p w:rsidR="00386BD0" w:rsidRPr="008954A8" w:rsidRDefault="00386BD0" w:rsidP="0031375C">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Pr>
            </w:pPr>
            <w:r>
              <w:rPr>
                <w:rFonts w:ascii="Arabic Typesetting" w:hAnsi="Arabic Typesetting" w:cs="Arabic Typesetting"/>
                <w:bCs/>
                <w:i/>
                <w:sz w:val="30"/>
                <w:szCs w:val="30"/>
                <w:rtl/>
              </w:rPr>
              <w:t>التخفيف منها</w:t>
            </w:r>
          </w:p>
        </w:tc>
      </w:tr>
      <w:tr w:rsidR="00386BD0" w:rsidRPr="008954A8" w:rsidTr="0031375C">
        <w:trPr>
          <w:trHeight w:val="1197"/>
        </w:trPr>
        <w:tc>
          <w:tcPr>
            <w:tcW w:w="4590" w:type="dxa"/>
            <w:tcBorders>
              <w:top w:val="nil"/>
            </w:tcBorders>
            <w:shd w:val="clear" w:color="auto" w:fill="auto"/>
            <w:tcMar>
              <w:top w:w="113" w:type="dxa"/>
              <w:bottom w:w="113" w:type="dxa"/>
            </w:tcMar>
          </w:tcPr>
          <w:p w:rsidR="00386BD0" w:rsidRPr="008954A8" w:rsidRDefault="00386BD0" w:rsidP="0031375C">
            <w:pPr>
              <w:tabs>
                <w:tab w:val="left" w:pos="1170"/>
              </w:tabs>
              <w:adjustRightInd w:val="0"/>
              <w:snapToGrid w:val="0"/>
              <w:spacing w:before="60" w:after="60" w:line="300" w:lineRule="exact"/>
              <w:rPr>
                <w:rFonts w:ascii="Arabic Typesetting" w:hAnsi="Arabic Typesetting" w:cs="Arabic Typesetting"/>
                <w:sz w:val="30"/>
                <w:szCs w:val="30"/>
                <w:rtl/>
              </w:rPr>
            </w:pPr>
            <w:r w:rsidRPr="004A68B0">
              <w:rPr>
                <w:rFonts w:ascii="Arabic Typesetting" w:hAnsi="Arabic Typesetting" w:cs="Arabic Typesetting"/>
                <w:sz w:val="30"/>
                <w:szCs w:val="30"/>
                <w:rtl/>
              </w:rPr>
              <w:t xml:space="preserve">قد تؤدي التغيرات الاقتصادية أو السياسية </w:t>
            </w:r>
            <w:r>
              <w:rPr>
                <w:rFonts w:ascii="Arabic Typesetting" w:hAnsi="Arabic Typesetting" w:cs="Arabic Typesetting" w:hint="cs"/>
                <w:sz w:val="30"/>
                <w:szCs w:val="30"/>
                <w:rtl/>
              </w:rPr>
              <w:t xml:space="preserve">إلى </w:t>
            </w:r>
            <w:r w:rsidRPr="004A68B0">
              <w:rPr>
                <w:rFonts w:ascii="Arabic Typesetting" w:hAnsi="Arabic Typesetting" w:cs="Arabic Typesetting"/>
                <w:sz w:val="30"/>
                <w:szCs w:val="30"/>
                <w:rtl/>
              </w:rPr>
              <w:t xml:space="preserve">إعادة ترتيب أولويات </w:t>
            </w:r>
            <w:r>
              <w:rPr>
                <w:rFonts w:ascii="Arabic Typesetting" w:hAnsi="Arabic Typesetting" w:cs="Arabic Typesetting" w:hint="cs"/>
                <w:sz w:val="30"/>
                <w:szCs w:val="30"/>
                <w:rtl/>
              </w:rPr>
              <w:t>ا</w:t>
            </w:r>
            <w:r w:rsidRPr="004A68B0">
              <w:rPr>
                <w:rFonts w:ascii="Arabic Typesetting" w:hAnsi="Arabic Typesetting" w:cs="Arabic Typesetting"/>
                <w:sz w:val="30"/>
                <w:szCs w:val="30"/>
                <w:rtl/>
              </w:rPr>
              <w:t xml:space="preserve">لتركيز على </w:t>
            </w:r>
            <w:r w:rsidRPr="005C2929">
              <w:rPr>
                <w:rFonts w:ascii="Arabic Typesetting" w:hAnsi="Arabic Typesetting" w:cs="Arabic Typesetting"/>
                <w:sz w:val="30"/>
                <w:szCs w:val="30"/>
                <w:rtl/>
              </w:rPr>
              <w:t>وضع استراتيجيات وطنية في مجالي الابتكار والملكية الفكرية.</w:t>
            </w:r>
          </w:p>
        </w:tc>
        <w:tc>
          <w:tcPr>
            <w:tcW w:w="4589" w:type="dxa"/>
            <w:tcBorders>
              <w:top w:val="nil"/>
            </w:tcBorders>
            <w:shd w:val="clear" w:color="auto" w:fill="auto"/>
            <w:tcMar>
              <w:top w:w="113" w:type="dxa"/>
              <w:bottom w:w="113" w:type="dxa"/>
            </w:tcMar>
          </w:tcPr>
          <w:p w:rsidR="00386BD0" w:rsidRPr="008954A8" w:rsidRDefault="00386BD0" w:rsidP="0031375C">
            <w:pPr>
              <w:autoSpaceDE w:val="0"/>
              <w:autoSpaceDN w:val="0"/>
              <w:adjustRightInd w:val="0"/>
              <w:snapToGrid w:val="0"/>
              <w:spacing w:before="60" w:after="60" w:line="300" w:lineRule="exact"/>
              <w:rPr>
                <w:rFonts w:ascii="Arabic Typesetting" w:hAnsi="Arabic Typesetting" w:cs="Arabic Typesetting"/>
                <w:sz w:val="30"/>
                <w:szCs w:val="30"/>
                <w:rtl/>
              </w:rPr>
            </w:pPr>
            <w:r w:rsidRPr="004A68B0">
              <w:rPr>
                <w:rFonts w:ascii="Arabic Typesetting" w:hAnsi="Arabic Typesetting" w:cs="Arabic Typesetting"/>
                <w:sz w:val="30"/>
                <w:szCs w:val="30"/>
                <w:rtl/>
              </w:rPr>
              <w:t>ال</w:t>
            </w:r>
            <w:r>
              <w:rPr>
                <w:rFonts w:ascii="Arabic Typesetting" w:hAnsi="Arabic Typesetting" w:cs="Arabic Typesetting"/>
                <w:sz w:val="30"/>
                <w:szCs w:val="30"/>
                <w:rtl/>
              </w:rPr>
              <w:t>عمل بشكل وثيق مع المستفيدين وال</w:t>
            </w:r>
            <w:r>
              <w:rPr>
                <w:rFonts w:ascii="Arabic Typesetting" w:hAnsi="Arabic Typesetting" w:cs="Arabic Typesetting" w:hint="cs"/>
                <w:sz w:val="30"/>
                <w:szCs w:val="30"/>
                <w:rtl/>
              </w:rPr>
              <w:t xml:space="preserve">مانحين </w:t>
            </w:r>
            <w:r w:rsidRPr="004A68B0">
              <w:rPr>
                <w:rFonts w:ascii="Arabic Typesetting" w:hAnsi="Arabic Typesetting" w:cs="Arabic Typesetting"/>
                <w:sz w:val="30"/>
                <w:szCs w:val="30"/>
                <w:rtl/>
              </w:rPr>
              <w:t xml:space="preserve">والدول الأعضاء. </w:t>
            </w:r>
            <w:r>
              <w:rPr>
                <w:rFonts w:ascii="Arabic Typesetting" w:hAnsi="Arabic Typesetting" w:cs="Arabic Typesetting" w:hint="cs"/>
                <w:sz w:val="30"/>
                <w:szCs w:val="30"/>
                <w:rtl/>
              </w:rPr>
              <w:t>و</w:t>
            </w:r>
            <w:r>
              <w:rPr>
                <w:rFonts w:ascii="Arabic Typesetting" w:hAnsi="Arabic Typesetting" w:cs="Arabic Typesetting"/>
                <w:sz w:val="30"/>
                <w:szCs w:val="30"/>
                <w:rtl/>
              </w:rPr>
              <w:t>تخطيط جميع ال</w:t>
            </w:r>
            <w:r>
              <w:rPr>
                <w:rFonts w:ascii="Arabic Typesetting" w:hAnsi="Arabic Typesetting" w:cs="Arabic Typesetting" w:hint="cs"/>
                <w:sz w:val="30"/>
                <w:szCs w:val="30"/>
                <w:rtl/>
              </w:rPr>
              <w:t>أمور</w:t>
            </w:r>
            <w:r w:rsidRPr="004A68B0">
              <w:rPr>
                <w:rFonts w:ascii="Arabic Typesetting" w:hAnsi="Arabic Typesetting" w:cs="Arabic Typesetting"/>
                <w:sz w:val="30"/>
                <w:szCs w:val="30"/>
                <w:rtl/>
              </w:rPr>
              <w:t xml:space="preserve"> المتعلقة بالملكية الفكرية </w:t>
            </w:r>
            <w:r>
              <w:rPr>
                <w:rFonts w:ascii="Arabic Typesetting" w:hAnsi="Arabic Typesetting" w:cs="Arabic Typesetting"/>
                <w:sz w:val="30"/>
                <w:szCs w:val="30"/>
                <w:rtl/>
              </w:rPr>
              <w:t>وتنسيق</w:t>
            </w:r>
            <w:r>
              <w:rPr>
                <w:rFonts w:ascii="Arabic Typesetting" w:hAnsi="Arabic Typesetting" w:cs="Arabic Typesetting" w:hint="cs"/>
                <w:sz w:val="30"/>
                <w:szCs w:val="30"/>
                <w:rtl/>
              </w:rPr>
              <w:t xml:space="preserve">ها </w:t>
            </w:r>
            <w:r w:rsidRPr="004A68B0">
              <w:rPr>
                <w:rFonts w:ascii="Arabic Typesetting" w:hAnsi="Arabic Typesetting" w:cs="Arabic Typesetting"/>
                <w:sz w:val="30"/>
                <w:szCs w:val="30"/>
                <w:rtl/>
              </w:rPr>
              <w:t>مع المنظمات</w:t>
            </w:r>
            <w:r>
              <w:rPr>
                <w:rFonts w:ascii="Arabic Typesetting" w:hAnsi="Arabic Typesetting" w:cs="Arabic Typesetting" w:hint="cs"/>
                <w:sz w:val="30"/>
                <w:szCs w:val="30"/>
                <w:rtl/>
              </w:rPr>
              <w:t xml:space="preserve"> الدولية</w:t>
            </w:r>
            <w:r w:rsidRPr="004A68B0">
              <w:rPr>
                <w:rFonts w:ascii="Arabic Typesetting" w:hAnsi="Arabic Typesetting" w:cs="Arabic Typesetting"/>
                <w:sz w:val="30"/>
                <w:szCs w:val="30"/>
                <w:rtl/>
              </w:rPr>
              <w:t xml:space="preserve"> والشركاء الآخرين.</w:t>
            </w:r>
          </w:p>
        </w:tc>
      </w:tr>
    </w:tbl>
    <w:p w:rsidR="00386BD0" w:rsidRPr="00702982" w:rsidRDefault="00386BD0" w:rsidP="0031375C">
      <w:pPr>
        <w:pStyle w:val="BodyTextIndent"/>
        <w:keepNext/>
        <w:bidi/>
        <w:adjustRightInd w:val="0"/>
        <w:snapToGrid w:val="0"/>
        <w:spacing w:after="240" w:line="360" w:lineRule="exact"/>
        <w:ind w:left="0"/>
        <w:jc w:val="both"/>
        <w:rPr>
          <w:rFonts w:ascii="Arabic Typesetting" w:hAnsi="Arabic Typesetting" w:cs="Arabic Typesetting"/>
          <w:sz w:val="38"/>
          <w:szCs w:val="38"/>
          <w:rtl/>
        </w:rPr>
      </w:pPr>
      <w:r w:rsidRPr="00702982">
        <w:rPr>
          <w:rFonts w:ascii="Arabic Typesetting" w:hAnsi="Arabic Typesetting" w:cs="Arabic Typesetting"/>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848"/>
        <w:gridCol w:w="2174"/>
        <w:gridCol w:w="2033"/>
      </w:tblGrid>
      <w:tr w:rsidR="00386BD0" w:rsidRPr="008954A8" w:rsidTr="0031375C">
        <w:trPr>
          <w:cantSplit/>
          <w:trHeight w:val="428"/>
          <w:tblHeader/>
        </w:trPr>
        <w:tc>
          <w:tcPr>
            <w:tcW w:w="1249" w:type="pct"/>
            <w:tcBorders>
              <w:top w:val="single" w:sz="4" w:space="0" w:color="auto"/>
              <w:bottom w:val="single" w:sz="4" w:space="0" w:color="auto"/>
            </w:tcBorders>
            <w:shd w:val="clear" w:color="auto" w:fill="C6D9F1"/>
            <w:vAlign w:val="center"/>
          </w:tcPr>
          <w:p w:rsidR="00386BD0" w:rsidRPr="008954A8" w:rsidRDefault="00386BD0" w:rsidP="0031375C">
            <w:pPr>
              <w:keepNext/>
              <w:adjustRightInd w:val="0"/>
              <w:snapToGrid w:val="0"/>
              <w:spacing w:before="60" w:after="60" w:line="300" w:lineRule="exact"/>
              <w:jc w:val="center"/>
              <w:rPr>
                <w:rFonts w:ascii="Arabic Typesetting" w:hAnsi="Arabic Typesetting" w:cs="Arabic Typesetting"/>
                <w:b/>
                <w:bCs/>
                <w:sz w:val="30"/>
                <w:szCs w:val="30"/>
                <w:rtl/>
              </w:rPr>
            </w:pPr>
            <w:r w:rsidRPr="008954A8">
              <w:rPr>
                <w:rFonts w:ascii="Arabic Typesetting" w:hAnsi="Arabic Typesetting" w:cs="Arabic Typesetting"/>
                <w:b/>
                <w:bCs/>
                <w:sz w:val="30"/>
                <w:szCs w:val="30"/>
                <w:rtl/>
              </w:rPr>
              <w:t>النتائج المرتقبة</w:t>
            </w:r>
          </w:p>
        </w:tc>
        <w:tc>
          <w:tcPr>
            <w:tcW w:w="1514" w:type="pct"/>
            <w:tcBorders>
              <w:top w:val="single" w:sz="4" w:space="0" w:color="auto"/>
              <w:bottom w:val="single" w:sz="4" w:space="0" w:color="auto"/>
            </w:tcBorders>
            <w:shd w:val="clear" w:color="auto" w:fill="C6D9F1"/>
            <w:tcMar>
              <w:top w:w="110" w:type="dxa"/>
            </w:tcMar>
            <w:vAlign w:val="center"/>
          </w:tcPr>
          <w:p w:rsidR="00386BD0" w:rsidRPr="008954A8" w:rsidRDefault="00386BD0" w:rsidP="0031375C">
            <w:pPr>
              <w:keepNext/>
              <w:adjustRightInd w:val="0"/>
              <w:snapToGrid w:val="0"/>
              <w:spacing w:before="60" w:after="60" w:line="300" w:lineRule="exact"/>
              <w:jc w:val="center"/>
              <w:rPr>
                <w:rFonts w:ascii="Arabic Typesetting" w:hAnsi="Arabic Typesetting" w:cs="Arabic Typesetting"/>
                <w:bCs/>
                <w:sz w:val="30"/>
                <w:szCs w:val="30"/>
              </w:rPr>
            </w:pPr>
            <w:r w:rsidRPr="008954A8">
              <w:rPr>
                <w:rFonts w:ascii="Arabic Typesetting" w:hAnsi="Arabic Typesetting" w:cs="Arabic Typesetting"/>
                <w:bCs/>
                <w:sz w:val="30"/>
                <w:szCs w:val="30"/>
                <w:rtl/>
              </w:rPr>
              <w:t>مؤشرات الأداء</w:t>
            </w:r>
          </w:p>
        </w:tc>
        <w:tc>
          <w:tcPr>
            <w:tcW w:w="1156" w:type="pct"/>
            <w:tcBorders>
              <w:top w:val="single" w:sz="4" w:space="0" w:color="auto"/>
              <w:bottom w:val="single" w:sz="4" w:space="0" w:color="auto"/>
            </w:tcBorders>
            <w:shd w:val="clear" w:color="auto" w:fill="C6D9F1"/>
            <w:tcMar>
              <w:top w:w="110" w:type="dxa"/>
            </w:tcMar>
            <w:vAlign w:val="center"/>
          </w:tcPr>
          <w:p w:rsidR="00386BD0" w:rsidRPr="008954A8" w:rsidRDefault="00386BD0" w:rsidP="0031375C">
            <w:pPr>
              <w:keepNext/>
              <w:adjustRightInd w:val="0"/>
              <w:snapToGrid w:val="0"/>
              <w:spacing w:before="60" w:after="60" w:line="300" w:lineRule="exact"/>
              <w:jc w:val="center"/>
              <w:rPr>
                <w:rFonts w:ascii="Arabic Typesetting" w:hAnsi="Arabic Typesetting" w:cs="Arabic Typesetting"/>
                <w:sz w:val="30"/>
                <w:szCs w:val="30"/>
              </w:rPr>
            </w:pPr>
            <w:r w:rsidRPr="008954A8">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tcBorders>
            <w:shd w:val="clear" w:color="auto" w:fill="C6D9F1"/>
            <w:tcMar>
              <w:top w:w="110" w:type="dxa"/>
            </w:tcMar>
            <w:vAlign w:val="center"/>
          </w:tcPr>
          <w:p w:rsidR="00386BD0" w:rsidRPr="008954A8" w:rsidRDefault="00386BD0" w:rsidP="0031375C">
            <w:pPr>
              <w:keepNext/>
              <w:tabs>
                <w:tab w:val="left" w:pos="0"/>
              </w:tabs>
              <w:adjustRightInd w:val="0"/>
              <w:snapToGrid w:val="0"/>
              <w:spacing w:before="60" w:after="60" w:line="300" w:lineRule="exact"/>
              <w:jc w:val="center"/>
              <w:rPr>
                <w:rFonts w:ascii="Arabic Typesetting" w:hAnsi="Arabic Typesetting" w:cs="Arabic Typesetting"/>
                <w:b/>
                <w:bCs/>
                <w:sz w:val="30"/>
                <w:szCs w:val="30"/>
              </w:rPr>
            </w:pPr>
            <w:r w:rsidRPr="008954A8">
              <w:rPr>
                <w:rFonts w:ascii="Arabic Typesetting" w:hAnsi="Arabic Typesetting" w:cs="Arabic Typesetting"/>
                <w:b/>
                <w:bCs/>
                <w:sz w:val="30"/>
                <w:szCs w:val="30"/>
                <w:rtl/>
              </w:rPr>
              <w:t>الأهداف</w:t>
            </w:r>
          </w:p>
        </w:tc>
      </w:tr>
      <w:tr w:rsidR="00386BD0" w:rsidRPr="008954A8" w:rsidTr="0031375C">
        <w:trPr>
          <w:cantSplit/>
          <w:trHeight w:val="204"/>
        </w:trPr>
        <w:tc>
          <w:tcPr>
            <w:tcW w:w="1249" w:type="pct"/>
            <w:tcBorders>
              <w:top w:val="single" w:sz="4" w:space="0" w:color="auto"/>
              <w:left w:val="single" w:sz="4" w:space="0" w:color="auto"/>
              <w:bottom w:val="nil"/>
            </w:tcBorders>
            <w:shd w:val="clear" w:color="auto" w:fill="auto"/>
            <w:tcMar>
              <w:top w:w="113" w:type="dxa"/>
            </w:tcMar>
          </w:tcPr>
          <w:p w:rsidR="00386BD0" w:rsidRPr="008954A8" w:rsidRDefault="009800D4"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386BD0">
              <w:rPr>
                <w:rFonts w:ascii="Arabic Typesetting" w:hAnsi="Arabic Typesetting" w:cs="Arabic Typesetting" w:hint="cs"/>
                <w:sz w:val="30"/>
                <w:szCs w:val="30"/>
                <w:rtl/>
              </w:rPr>
              <w:t xml:space="preserve"> </w:t>
            </w:r>
            <w:r w:rsidR="00386BD0" w:rsidRPr="005C2929">
              <w:rPr>
                <w:rFonts w:ascii="Arabic Typesetting" w:hAnsi="Arabic Typesetting" w:cs="Arabic Typesetting"/>
                <w:sz w:val="30"/>
                <w:szCs w:val="30"/>
                <w:rtl/>
              </w:rPr>
              <w:t>1.3 استراتيجيات وخطط وطنية في مجالي الابتكار والملكية الفكرية تتماشى مع الأهداف الإنمائية الوطنية</w:t>
            </w:r>
          </w:p>
        </w:tc>
        <w:tc>
          <w:tcPr>
            <w:tcW w:w="1514" w:type="pct"/>
            <w:tcBorders>
              <w:top w:val="single" w:sz="4" w:space="0" w:color="auto"/>
              <w:bottom w:val="nil"/>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w:t>
            </w:r>
            <w:r w:rsidRPr="00AB118F">
              <w:rPr>
                <w:rFonts w:ascii="Arabic Typesetting" w:hAnsi="Arabic Typesetting" w:cs="Arabic Typesetting"/>
                <w:sz w:val="30"/>
                <w:szCs w:val="30"/>
                <w:rtl/>
              </w:rPr>
              <w:t xml:space="preserve"> استراتيجيات </w:t>
            </w:r>
            <w:r>
              <w:rPr>
                <w:rFonts w:ascii="Arabic Typesetting" w:hAnsi="Arabic Typesetting" w:cs="Arabic Typesetting" w:hint="cs"/>
                <w:sz w:val="30"/>
                <w:szCs w:val="30"/>
                <w:rtl/>
              </w:rPr>
              <w:t xml:space="preserve">الملكية الفكرية </w:t>
            </w:r>
            <w:r w:rsidRPr="00AB118F">
              <w:rPr>
                <w:rFonts w:ascii="Arabic Typesetting" w:hAnsi="Arabic Typesetting" w:cs="Arabic Typesetting"/>
                <w:sz w:val="30"/>
                <w:szCs w:val="30"/>
                <w:rtl/>
              </w:rPr>
              <w:t xml:space="preserve">الوطنية التي </w:t>
            </w:r>
            <w:r w:rsidRPr="00B607DF">
              <w:rPr>
                <w:rFonts w:ascii="Arabic Typesetting" w:hAnsi="Arabic Typesetting" w:cs="Arabic Typesetting"/>
                <w:sz w:val="30"/>
                <w:szCs w:val="30"/>
                <w:rtl/>
              </w:rPr>
              <w:t>تتناول تعزيز الإبداع</w:t>
            </w:r>
            <w:r w:rsidRPr="00B607DF">
              <w:rPr>
                <w:rFonts w:ascii="Arabic Typesetting" w:hAnsi="Arabic Typesetting" w:cs="Arabic Typesetting" w:hint="cs"/>
                <w:sz w:val="30"/>
                <w:szCs w:val="30"/>
                <w:rtl/>
              </w:rPr>
              <w:t>،</w:t>
            </w:r>
            <w:r w:rsidRPr="00B607DF">
              <w:rPr>
                <w:rFonts w:ascii="Arabic Typesetting" w:hAnsi="Arabic Typesetting" w:cs="Arabic Typesetting"/>
                <w:sz w:val="30"/>
                <w:szCs w:val="30"/>
                <w:rtl/>
              </w:rPr>
              <w:t xml:space="preserve"> </w:t>
            </w:r>
            <w:r w:rsidRPr="00B607DF">
              <w:rPr>
                <w:rFonts w:ascii="Arabic Typesetting" w:hAnsi="Arabic Typesetting" w:cs="Arabic Typesetting" w:hint="cs"/>
                <w:sz w:val="30"/>
                <w:szCs w:val="30"/>
                <w:rtl/>
              </w:rPr>
              <w:t xml:space="preserve">بما في ذلك </w:t>
            </w:r>
            <w:r w:rsidRPr="00B607DF">
              <w:rPr>
                <w:rFonts w:ascii="Arabic Typesetting" w:hAnsi="Arabic Typesetting" w:cs="Arabic Typesetting"/>
                <w:sz w:val="30"/>
                <w:szCs w:val="30"/>
                <w:rtl/>
              </w:rPr>
              <w:t>الابتكار</w:t>
            </w:r>
          </w:p>
        </w:tc>
        <w:tc>
          <w:tcPr>
            <w:tcW w:w="1156" w:type="pct"/>
            <w:tcBorders>
              <w:top w:val="single" w:sz="4" w:space="0" w:color="auto"/>
              <w:bottom w:val="nil"/>
            </w:tcBorders>
            <w:shd w:val="clear" w:color="auto" w:fill="FFFFFF"/>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4 مُستهلة (2014)</w:t>
            </w:r>
          </w:p>
        </w:tc>
        <w:tc>
          <w:tcPr>
            <w:tcW w:w="1081" w:type="pct"/>
            <w:tcBorders>
              <w:top w:val="single" w:sz="4" w:space="0" w:color="auto"/>
              <w:bottom w:val="nil"/>
              <w:right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5 بلدان</w:t>
            </w:r>
          </w:p>
        </w:tc>
      </w:tr>
      <w:tr w:rsidR="00386BD0" w:rsidRPr="008954A8" w:rsidTr="0031375C">
        <w:trPr>
          <w:cantSplit/>
          <w:trHeight w:val="1403"/>
        </w:trPr>
        <w:tc>
          <w:tcPr>
            <w:tcW w:w="1249" w:type="pct"/>
            <w:tcBorders>
              <w:top w:val="nil"/>
              <w:left w:val="single" w:sz="4" w:space="0" w:color="auto"/>
              <w:bottom w:val="nil"/>
            </w:tcBorders>
            <w:shd w:val="clear" w:color="auto" w:fill="auto"/>
            <w:tcMar>
              <w:top w:w="113" w:type="dxa"/>
            </w:tcMar>
          </w:tcPr>
          <w:p w:rsidR="00386BD0" w:rsidRPr="008954A8" w:rsidRDefault="009800D4"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386BD0">
              <w:rPr>
                <w:rFonts w:ascii="Arabic Typesetting" w:hAnsi="Arabic Typesetting" w:cs="Arabic Typesetting" w:hint="cs"/>
                <w:sz w:val="30"/>
                <w:szCs w:val="30"/>
                <w:rtl/>
              </w:rPr>
              <w:t xml:space="preserve"> </w:t>
            </w:r>
            <w:r w:rsidR="00386BD0" w:rsidRPr="00AB118F">
              <w:rPr>
                <w:rFonts w:ascii="Arabic Typesetting" w:hAnsi="Arabic Typesetting" w:cs="Arabic Typesetting"/>
                <w:sz w:val="30"/>
                <w:szCs w:val="30"/>
                <w:rtl/>
              </w:rPr>
              <w:t>2.3 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1514" w:type="pct"/>
            <w:tcBorders>
              <w:top w:val="nil"/>
              <w:bottom w:val="nil"/>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النسبة المئوية </w:t>
            </w:r>
            <w:r w:rsidRPr="00AB118F">
              <w:rPr>
                <w:rFonts w:ascii="Arabic Typesetting" w:hAnsi="Arabic Typesetting" w:cs="Arabic Typesetting"/>
                <w:sz w:val="30"/>
                <w:szCs w:val="30"/>
                <w:rtl/>
              </w:rPr>
              <w:t>للمهنيين المُدرَّبين المتخصصين في مجال الملكية الفكرية</w:t>
            </w:r>
            <w:r>
              <w:rPr>
                <w:rFonts w:ascii="Arabic Typesetting" w:hAnsi="Arabic Typesetting" w:cs="Arabic Typesetting" w:hint="cs"/>
                <w:sz w:val="30"/>
                <w:szCs w:val="30"/>
                <w:rtl/>
              </w:rPr>
              <w:t xml:space="preserve"> </w:t>
            </w:r>
            <w:r w:rsidRPr="008954A8">
              <w:rPr>
                <w:rFonts w:ascii="Arabic Typesetting" w:hAnsi="Arabic Typesetting" w:cs="Arabic Typesetting"/>
                <w:sz w:val="30"/>
                <w:szCs w:val="30"/>
                <w:rtl/>
              </w:rPr>
              <w:t>الذين يستخدمون مهارات محسنة في عملهم</w:t>
            </w:r>
          </w:p>
        </w:tc>
        <w:tc>
          <w:tcPr>
            <w:tcW w:w="1156" w:type="pct"/>
            <w:tcBorders>
              <w:top w:val="nil"/>
              <w:bottom w:val="nil"/>
            </w:tcBorders>
            <w:shd w:val="clear" w:color="auto" w:fill="FFFFFF"/>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أعلى من 60%</w:t>
            </w:r>
          </w:p>
        </w:tc>
        <w:tc>
          <w:tcPr>
            <w:tcW w:w="1081" w:type="pct"/>
            <w:tcBorders>
              <w:top w:val="nil"/>
              <w:bottom w:val="nil"/>
              <w:right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50%</w:t>
            </w:r>
          </w:p>
        </w:tc>
      </w:tr>
      <w:tr w:rsidR="00386BD0" w:rsidRPr="008954A8" w:rsidTr="0031375C">
        <w:trPr>
          <w:cantSplit/>
          <w:trHeight w:val="1403"/>
        </w:trPr>
        <w:tc>
          <w:tcPr>
            <w:tcW w:w="1249" w:type="pct"/>
            <w:tcBorders>
              <w:top w:val="nil"/>
              <w:left w:val="single" w:sz="4" w:space="0" w:color="auto"/>
              <w:bottom w:val="nil"/>
            </w:tcBorders>
            <w:shd w:val="clear" w:color="auto" w:fill="auto"/>
            <w:tcMar>
              <w:top w:w="113" w:type="dxa"/>
            </w:tcMar>
          </w:tcPr>
          <w:p w:rsidR="00386BD0" w:rsidRPr="008954A8" w:rsidRDefault="009800D4" w:rsidP="0031375C">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sz w:val="30"/>
                <w:szCs w:val="30"/>
                <w:rtl/>
              </w:rPr>
              <w:t>ه</w:t>
            </w:r>
            <w:r w:rsidR="00386BD0">
              <w:rPr>
                <w:rFonts w:ascii="Arabic Typesetting" w:hAnsi="Arabic Typesetting" w:cs="Arabic Typesetting" w:hint="cs"/>
                <w:sz w:val="30"/>
                <w:szCs w:val="30"/>
                <w:rtl/>
              </w:rPr>
              <w:t xml:space="preserve"> </w:t>
            </w:r>
            <w:r w:rsidR="00386BD0" w:rsidRPr="000F59C0">
              <w:rPr>
                <w:rFonts w:ascii="Arabic Typesetting" w:hAnsi="Arabic Typesetting" w:cs="Arabic Typesetting"/>
                <w:sz w:val="30"/>
                <w:szCs w:val="30"/>
                <w:rtl/>
              </w:rPr>
              <w:t>6.3 قدرات معزّزة للشركات الصغيرة والمتوسطة من أجل النجاح في تسخير الملكية الفكرية لأغراض دعم الابتكار</w:t>
            </w:r>
          </w:p>
        </w:tc>
        <w:tc>
          <w:tcPr>
            <w:tcW w:w="1514" w:type="pct"/>
            <w:tcBorders>
              <w:top w:val="nil"/>
              <w:bottom w:val="nil"/>
            </w:tcBorders>
            <w:shd w:val="clear" w:color="auto" w:fill="auto"/>
            <w:tcMar>
              <w:top w:w="113" w:type="dxa"/>
            </w:tcMar>
          </w:tcPr>
          <w:p w:rsidR="00386BD0" w:rsidRPr="008954A8" w:rsidRDefault="00C75B5E" w:rsidP="0031375C">
            <w:pPr>
              <w:adjustRightInd w:val="0"/>
              <w:snapToGrid w:val="0"/>
              <w:spacing w:before="60" w:after="60" w:line="300" w:lineRule="exact"/>
              <w:rPr>
                <w:rFonts w:ascii="Arabic Typesetting" w:hAnsi="Arabic Typesetting" w:cs="Arabic Typesetting"/>
                <w:sz w:val="30"/>
                <w:szCs w:val="30"/>
              </w:rPr>
            </w:pPr>
            <w:r w:rsidRPr="00B931BB">
              <w:rPr>
                <w:rFonts w:ascii="Arabic Typesetting" w:hAnsi="Arabic Typesetting" w:cs="Arabic Typesetting"/>
                <w:sz w:val="30"/>
                <w:szCs w:val="30"/>
                <w:rtl/>
              </w:rPr>
              <w:t>عدد الاشتراكات في نشرة الأخبار الخاصة بالشركات الصغيرة والمتوسطة</w:t>
            </w:r>
          </w:p>
        </w:tc>
        <w:tc>
          <w:tcPr>
            <w:tcW w:w="1156" w:type="pct"/>
            <w:tcBorders>
              <w:top w:val="nil"/>
              <w:bottom w:val="nil"/>
            </w:tcBorders>
            <w:shd w:val="clear" w:color="auto" w:fill="FFFFFF"/>
            <w:tcMar>
              <w:top w:w="113" w:type="dxa"/>
            </w:tcMar>
          </w:tcPr>
          <w:p w:rsidR="00386BD0" w:rsidRPr="008954A8" w:rsidRDefault="00C75B5E" w:rsidP="00C75B5E">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510</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40</w:t>
            </w:r>
          </w:p>
        </w:tc>
        <w:tc>
          <w:tcPr>
            <w:tcW w:w="1081" w:type="pct"/>
            <w:tcBorders>
              <w:top w:val="nil"/>
              <w:bottom w:val="nil"/>
              <w:right w:val="single" w:sz="4" w:space="0" w:color="auto"/>
            </w:tcBorders>
            <w:shd w:val="clear" w:color="auto" w:fill="auto"/>
            <w:tcMar>
              <w:top w:w="113" w:type="dxa"/>
            </w:tcMar>
          </w:tcPr>
          <w:p w:rsidR="00386BD0" w:rsidRPr="008954A8" w:rsidRDefault="00C75B5E" w:rsidP="0031375C">
            <w:pPr>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10%</w:t>
            </w:r>
          </w:p>
        </w:tc>
      </w:tr>
      <w:tr w:rsidR="00C75B5E" w:rsidRPr="008954A8" w:rsidTr="004C5D98">
        <w:trPr>
          <w:cantSplit/>
          <w:trHeight w:val="1403"/>
        </w:trPr>
        <w:tc>
          <w:tcPr>
            <w:tcW w:w="1249" w:type="pct"/>
            <w:tcBorders>
              <w:top w:val="nil"/>
              <w:left w:val="single" w:sz="4" w:space="0" w:color="auto"/>
              <w:bottom w:val="nil"/>
            </w:tcBorders>
            <w:shd w:val="clear" w:color="auto" w:fill="auto"/>
            <w:tcMar>
              <w:top w:w="113" w:type="dxa"/>
            </w:tcMar>
          </w:tcPr>
          <w:p w:rsidR="00C75B5E" w:rsidRDefault="00C75B5E" w:rsidP="0031375C">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tcMar>
          </w:tcPr>
          <w:p w:rsidR="00C75B5E" w:rsidRPr="000F59C0" w:rsidRDefault="00C75B5E" w:rsidP="0031375C">
            <w:pPr>
              <w:adjustRightInd w:val="0"/>
              <w:snapToGrid w:val="0"/>
              <w:spacing w:before="60" w:after="60" w:line="300" w:lineRule="exact"/>
              <w:rPr>
                <w:rFonts w:ascii="Arabic Typesetting" w:hAnsi="Arabic Typesetting" w:cs="Arabic Typesetting"/>
                <w:sz w:val="30"/>
                <w:szCs w:val="30"/>
                <w:rtl/>
              </w:rPr>
            </w:pPr>
            <w:r w:rsidRPr="00B931BB">
              <w:rPr>
                <w:rFonts w:ascii="Arabic Typesetting" w:hAnsi="Arabic Typesetting" w:cs="Arabic Typesetting"/>
                <w:sz w:val="30"/>
                <w:szCs w:val="30"/>
                <w:rtl/>
              </w:rPr>
              <w:t>عدد مرات تحميل المواد والمبادئ التوجيهية الخاصة بالشركات الصغيرة والمتوسطة</w:t>
            </w:r>
          </w:p>
        </w:tc>
        <w:tc>
          <w:tcPr>
            <w:tcW w:w="1156" w:type="pct"/>
            <w:tcBorders>
              <w:top w:val="nil"/>
              <w:bottom w:val="nil"/>
            </w:tcBorders>
            <w:shd w:val="clear" w:color="auto" w:fill="FFFFFF"/>
            <w:tcMar>
              <w:top w:w="113" w:type="dxa"/>
            </w:tcMar>
          </w:tcPr>
          <w:p w:rsidR="00C75B5E" w:rsidRDefault="00C75B5E"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2014:</w:t>
            </w:r>
          </w:p>
          <w:p w:rsidR="00C75B5E" w:rsidRDefault="00C75B5E" w:rsidP="00C75B5E">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 مرات التحميل: 559</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70</w:t>
            </w:r>
          </w:p>
          <w:p w:rsidR="00C75B5E" w:rsidRDefault="00C75B5E" w:rsidP="00C75B5E">
            <w:pPr>
              <w:adjustRightInd w:val="0"/>
              <w:snapToGrid w:val="0"/>
              <w:spacing w:before="60" w:after="60" w:line="300" w:lineRule="exact"/>
              <w:rPr>
                <w:rFonts w:ascii="Arabic Typesetting" w:hAnsi="Arabic Typesetting" w:cs="Arabic Typesetting"/>
                <w:sz w:val="30"/>
                <w:szCs w:val="30"/>
                <w:rtl/>
              </w:rPr>
            </w:pPr>
          </w:p>
          <w:p w:rsidR="00C75B5E" w:rsidRDefault="00C75B5E" w:rsidP="001D0CD1">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مشاهدات الصفحات على الموقع الإلكتروني الخاص بالشركات الصغيرة والمتوسطة</w:t>
            </w:r>
            <w:r w:rsidR="001D0CD1">
              <w:rPr>
                <w:rFonts w:ascii="Arabic Typesetting" w:hAnsi="Arabic Typesetting" w:cs="Arabic Typesetting" w:hint="cs"/>
                <w:sz w:val="30"/>
                <w:szCs w:val="30"/>
                <w:rtl/>
              </w:rPr>
              <w:t>: 150</w:t>
            </w:r>
            <w:r w:rsidR="001D0CD1">
              <w:rPr>
                <w:rFonts w:ascii="Arabic Typesetting" w:hAnsi="Arabic Typesetting" w:cs="Arabic Typesetting" w:hint="eastAsia"/>
                <w:sz w:val="30"/>
                <w:szCs w:val="30"/>
                <w:rtl/>
              </w:rPr>
              <w:t> </w:t>
            </w:r>
            <w:r w:rsidR="001D0CD1">
              <w:rPr>
                <w:rFonts w:ascii="Arabic Typesetting" w:hAnsi="Arabic Typesetting" w:cs="Arabic Typesetting" w:hint="cs"/>
                <w:sz w:val="30"/>
                <w:szCs w:val="30"/>
                <w:rtl/>
              </w:rPr>
              <w:t>821</w:t>
            </w:r>
          </w:p>
        </w:tc>
        <w:tc>
          <w:tcPr>
            <w:tcW w:w="1081" w:type="pct"/>
            <w:tcBorders>
              <w:top w:val="nil"/>
              <w:bottom w:val="nil"/>
              <w:right w:val="single" w:sz="4" w:space="0" w:color="auto"/>
            </w:tcBorders>
            <w:shd w:val="clear" w:color="auto" w:fill="auto"/>
            <w:tcMar>
              <w:top w:w="113" w:type="dxa"/>
            </w:tcMar>
          </w:tcPr>
          <w:p w:rsidR="00C75B5E" w:rsidRDefault="00C75B5E"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10%</w:t>
            </w:r>
          </w:p>
          <w:p w:rsidR="00C75B5E" w:rsidRDefault="00C75B5E" w:rsidP="0031375C">
            <w:pPr>
              <w:adjustRightInd w:val="0"/>
              <w:snapToGrid w:val="0"/>
              <w:spacing w:before="60" w:after="60" w:line="300" w:lineRule="exact"/>
              <w:rPr>
                <w:rFonts w:ascii="Arabic Typesetting" w:hAnsi="Arabic Typesetting" w:cs="Arabic Typesetting"/>
                <w:sz w:val="30"/>
                <w:szCs w:val="30"/>
                <w:rtl/>
              </w:rPr>
            </w:pPr>
          </w:p>
          <w:p w:rsidR="00C75B5E" w:rsidRDefault="00C75B5E" w:rsidP="0031375C">
            <w:pPr>
              <w:adjustRightInd w:val="0"/>
              <w:snapToGrid w:val="0"/>
              <w:spacing w:before="60" w:after="60" w:line="300" w:lineRule="exact"/>
              <w:rPr>
                <w:rFonts w:ascii="Arabic Typesetting" w:hAnsi="Arabic Typesetting" w:cs="Arabic Typesetting"/>
                <w:sz w:val="30"/>
                <w:szCs w:val="30"/>
                <w:rtl/>
              </w:rPr>
            </w:pPr>
          </w:p>
          <w:p w:rsidR="00C75B5E" w:rsidRDefault="00C75B5E"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10%</w:t>
            </w:r>
          </w:p>
        </w:tc>
      </w:tr>
      <w:tr w:rsidR="00C75B5E" w:rsidRPr="008954A8" w:rsidTr="004C5D98">
        <w:trPr>
          <w:cantSplit/>
          <w:trHeight w:val="1403"/>
        </w:trPr>
        <w:tc>
          <w:tcPr>
            <w:tcW w:w="1249" w:type="pct"/>
            <w:tcBorders>
              <w:top w:val="nil"/>
              <w:left w:val="single" w:sz="4" w:space="0" w:color="auto"/>
              <w:bottom w:val="single" w:sz="4" w:space="0" w:color="auto"/>
            </w:tcBorders>
            <w:shd w:val="clear" w:color="auto" w:fill="auto"/>
            <w:tcMar>
              <w:top w:w="113" w:type="dxa"/>
            </w:tcMar>
          </w:tcPr>
          <w:p w:rsidR="00C75B5E" w:rsidRDefault="00C75B5E" w:rsidP="0031375C">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single" w:sz="4" w:space="0" w:color="auto"/>
            </w:tcBorders>
            <w:shd w:val="clear" w:color="auto" w:fill="auto"/>
            <w:tcMar>
              <w:top w:w="113" w:type="dxa"/>
            </w:tcMar>
          </w:tcPr>
          <w:p w:rsidR="00C75B5E" w:rsidRPr="000F59C0" w:rsidRDefault="00C75B5E" w:rsidP="0031375C">
            <w:pPr>
              <w:adjustRightInd w:val="0"/>
              <w:snapToGrid w:val="0"/>
              <w:spacing w:before="60" w:after="60" w:line="300" w:lineRule="exact"/>
              <w:rPr>
                <w:rFonts w:ascii="Arabic Typesetting" w:hAnsi="Arabic Typesetting" w:cs="Arabic Typesetting"/>
                <w:sz w:val="30"/>
                <w:szCs w:val="30"/>
                <w:rtl/>
              </w:rPr>
            </w:pPr>
            <w:r w:rsidRPr="000F59C0">
              <w:rPr>
                <w:rFonts w:ascii="Arabic Typesetting" w:hAnsi="Arabic Typesetting" w:cs="Arabic Typesetting"/>
                <w:sz w:val="30"/>
                <w:szCs w:val="30"/>
                <w:rtl/>
              </w:rPr>
              <w:t>النسبة المئوية للمشاركين في برامج تدريبية تستهدف المؤسسات الداعمة للشركات الصغيرة والمتوسطة ممّن أبدوا رضاهم عن محتوى تلك البرامج وطريقة تنظيمها</w:t>
            </w:r>
          </w:p>
        </w:tc>
        <w:tc>
          <w:tcPr>
            <w:tcW w:w="1156" w:type="pct"/>
            <w:tcBorders>
              <w:top w:val="nil"/>
              <w:bottom w:val="single" w:sz="4" w:space="0" w:color="auto"/>
            </w:tcBorders>
            <w:shd w:val="clear" w:color="auto" w:fill="FFFFFF"/>
            <w:tcMar>
              <w:top w:w="113" w:type="dxa"/>
            </w:tcMar>
          </w:tcPr>
          <w:p w:rsidR="00C75B5E" w:rsidRDefault="00C75B5E"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100%</w:t>
            </w:r>
          </w:p>
        </w:tc>
        <w:tc>
          <w:tcPr>
            <w:tcW w:w="1081" w:type="pct"/>
            <w:tcBorders>
              <w:top w:val="nil"/>
              <w:bottom w:val="single" w:sz="4" w:space="0" w:color="auto"/>
              <w:right w:val="single" w:sz="4" w:space="0" w:color="auto"/>
            </w:tcBorders>
            <w:shd w:val="clear" w:color="auto" w:fill="auto"/>
            <w:tcMar>
              <w:top w:w="113" w:type="dxa"/>
            </w:tcMar>
          </w:tcPr>
          <w:p w:rsidR="00C75B5E" w:rsidRDefault="00C75B5E"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90%</w:t>
            </w:r>
          </w:p>
        </w:tc>
      </w:tr>
      <w:tr w:rsidR="00386BD0" w:rsidRPr="008954A8" w:rsidTr="004C5D98">
        <w:trPr>
          <w:cantSplit/>
          <w:trHeight w:val="1131"/>
        </w:trPr>
        <w:tc>
          <w:tcPr>
            <w:tcW w:w="1249" w:type="pct"/>
            <w:tcBorders>
              <w:top w:val="single" w:sz="4" w:space="0" w:color="auto"/>
              <w:left w:val="single" w:sz="4" w:space="0" w:color="auto"/>
              <w:bottom w:val="nil"/>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single" w:sz="4" w:space="0" w:color="auto"/>
              <w:bottom w:val="nil"/>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Pr>
            </w:pPr>
            <w:r w:rsidRPr="000F59C0">
              <w:rPr>
                <w:rFonts w:ascii="Arabic Typesetting" w:hAnsi="Arabic Typesetting" w:cs="Arabic Typesetting"/>
                <w:sz w:val="30"/>
                <w:szCs w:val="30"/>
                <w:rtl/>
              </w:rPr>
              <w:t>النسبة المئوية للمؤسسات</w:t>
            </w:r>
            <w:r>
              <w:rPr>
                <w:rFonts w:ascii="Arabic Typesetting" w:hAnsi="Arabic Typesetting" w:cs="Arabic Typesetting" w:hint="cs"/>
                <w:sz w:val="30"/>
                <w:szCs w:val="30"/>
                <w:rtl/>
              </w:rPr>
              <w:t xml:space="preserve"> المُدرَّبة</w:t>
            </w:r>
            <w:r w:rsidRPr="000F59C0">
              <w:rPr>
                <w:rFonts w:ascii="Arabic Typesetting" w:hAnsi="Arabic Typesetting" w:cs="Arabic Typesetting"/>
                <w:sz w:val="30"/>
                <w:szCs w:val="30"/>
                <w:rtl/>
              </w:rPr>
              <w:t xml:space="preserve"> الداعمة للشركات الصغيرة والمتوسطة </w:t>
            </w:r>
            <w:r>
              <w:rPr>
                <w:rFonts w:ascii="Arabic Typesetting" w:hAnsi="Arabic Typesetting" w:cs="Arabic Typesetting" w:hint="cs"/>
                <w:sz w:val="30"/>
                <w:szCs w:val="30"/>
                <w:rtl/>
              </w:rPr>
              <w:t xml:space="preserve">والتي </w:t>
            </w:r>
            <w:r w:rsidRPr="000F59C0">
              <w:rPr>
                <w:rFonts w:ascii="Arabic Typesetting" w:hAnsi="Arabic Typesetting" w:cs="Arabic Typesetting"/>
                <w:sz w:val="30"/>
                <w:szCs w:val="30"/>
                <w:rtl/>
              </w:rPr>
              <w:t>ت</w:t>
            </w:r>
            <w:r>
              <w:rPr>
                <w:rFonts w:ascii="Arabic Typesetting" w:hAnsi="Arabic Typesetting" w:cs="Arabic Typesetting" w:hint="cs"/>
                <w:sz w:val="30"/>
                <w:szCs w:val="30"/>
                <w:rtl/>
              </w:rPr>
              <w:t>ُ</w:t>
            </w:r>
            <w:r w:rsidRPr="000F59C0">
              <w:rPr>
                <w:rFonts w:ascii="Arabic Typesetting" w:hAnsi="Arabic Typesetting" w:cs="Arabic Typesetting"/>
                <w:sz w:val="30"/>
                <w:szCs w:val="30"/>
                <w:rtl/>
              </w:rPr>
              <w:t>وفر المعلومات وخدمات الاستشارة في مجال إدارة أصول الملكية الفكرية</w:t>
            </w:r>
          </w:p>
        </w:tc>
        <w:tc>
          <w:tcPr>
            <w:tcW w:w="1156" w:type="pct"/>
            <w:tcBorders>
              <w:top w:val="single" w:sz="4" w:space="0" w:color="auto"/>
              <w:bottom w:val="nil"/>
            </w:tcBorders>
            <w:shd w:val="clear" w:color="auto" w:fill="FFFFFF"/>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100%</w:t>
            </w:r>
          </w:p>
        </w:tc>
        <w:tc>
          <w:tcPr>
            <w:tcW w:w="1081" w:type="pct"/>
            <w:tcBorders>
              <w:top w:val="single" w:sz="4" w:space="0" w:color="auto"/>
              <w:bottom w:val="nil"/>
              <w:right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80%</w:t>
            </w:r>
          </w:p>
        </w:tc>
      </w:tr>
      <w:tr w:rsidR="00060CD1" w:rsidRPr="008954A8" w:rsidTr="004C5D98">
        <w:trPr>
          <w:cantSplit/>
          <w:trHeight w:val="1131"/>
        </w:trPr>
        <w:tc>
          <w:tcPr>
            <w:tcW w:w="1249" w:type="pct"/>
            <w:tcBorders>
              <w:top w:val="nil"/>
              <w:left w:val="single" w:sz="4" w:space="0" w:color="auto"/>
              <w:bottom w:val="nil"/>
            </w:tcBorders>
            <w:shd w:val="clear" w:color="auto" w:fill="auto"/>
            <w:tcMar>
              <w:top w:w="113" w:type="dxa"/>
            </w:tcMar>
          </w:tcPr>
          <w:p w:rsidR="00060CD1" w:rsidRPr="008954A8" w:rsidRDefault="00060CD1" w:rsidP="0031375C">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tcMar>
          </w:tcPr>
          <w:p w:rsidR="00060CD1" w:rsidRPr="000F59C0" w:rsidRDefault="00060CD1" w:rsidP="0031375C">
            <w:pPr>
              <w:adjustRightInd w:val="0"/>
              <w:snapToGrid w:val="0"/>
              <w:spacing w:before="60" w:after="60" w:line="300" w:lineRule="exact"/>
              <w:rPr>
                <w:rFonts w:ascii="Arabic Typesetting" w:hAnsi="Arabic Typesetting" w:cs="Arabic Typesetting"/>
                <w:sz w:val="30"/>
                <w:szCs w:val="30"/>
                <w:rtl/>
              </w:rPr>
            </w:pPr>
            <w:r w:rsidRPr="00CE012E">
              <w:rPr>
                <w:rFonts w:ascii="Arabic Typesetting" w:hAnsi="Arabic Typesetting" w:cs="Arabic Typesetting"/>
                <w:sz w:val="30"/>
                <w:szCs w:val="30"/>
                <w:rtl/>
              </w:rPr>
              <w:t xml:space="preserve">النسبة المئوية للمشاركين في برامج تدريبية تستهدف المؤسسات الداعمة للشركات الصغيرة والمتوسطة </w:t>
            </w:r>
            <w:r>
              <w:rPr>
                <w:rFonts w:ascii="Arabic Typesetting" w:hAnsi="Arabic Typesetting" w:cs="Arabic Typesetting" w:hint="cs"/>
                <w:sz w:val="30"/>
                <w:szCs w:val="30"/>
                <w:rtl/>
              </w:rPr>
              <w:t>ممن يستخدمون معارف معزّزة ومهارات محسّنة في عملهم</w:t>
            </w:r>
          </w:p>
        </w:tc>
        <w:tc>
          <w:tcPr>
            <w:tcW w:w="1156" w:type="pct"/>
            <w:tcBorders>
              <w:top w:val="nil"/>
              <w:bottom w:val="nil"/>
            </w:tcBorders>
            <w:shd w:val="clear" w:color="auto" w:fill="FFFFFF"/>
            <w:tcMar>
              <w:top w:w="113" w:type="dxa"/>
            </w:tcMar>
          </w:tcPr>
          <w:p w:rsidR="00060CD1" w:rsidRDefault="00060CD1"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w:t>
            </w:r>
          </w:p>
        </w:tc>
        <w:tc>
          <w:tcPr>
            <w:tcW w:w="1081" w:type="pct"/>
            <w:tcBorders>
              <w:top w:val="nil"/>
              <w:bottom w:val="nil"/>
              <w:right w:val="single" w:sz="4" w:space="0" w:color="auto"/>
            </w:tcBorders>
            <w:shd w:val="clear" w:color="auto" w:fill="auto"/>
            <w:tcMar>
              <w:top w:w="113" w:type="dxa"/>
            </w:tcMar>
          </w:tcPr>
          <w:p w:rsidR="00060CD1" w:rsidRDefault="00060CD1"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50%</w:t>
            </w:r>
          </w:p>
        </w:tc>
      </w:tr>
      <w:tr w:rsidR="00386BD0" w:rsidRPr="008954A8" w:rsidTr="004C5D98">
        <w:trPr>
          <w:cantSplit/>
          <w:trHeight w:val="1403"/>
        </w:trPr>
        <w:tc>
          <w:tcPr>
            <w:tcW w:w="1249" w:type="pct"/>
            <w:tcBorders>
              <w:top w:val="nil"/>
              <w:left w:val="single" w:sz="4" w:space="0" w:color="auto"/>
              <w:bottom w:val="nil"/>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Pr>
            </w:pPr>
            <w:r w:rsidRPr="00AF4CE8">
              <w:rPr>
                <w:rFonts w:ascii="Arabic Typesetting" w:hAnsi="Arabic Typesetting" w:cs="Arabic Typesetting"/>
                <w:sz w:val="30"/>
                <w:szCs w:val="30"/>
                <w:rtl/>
              </w:rPr>
              <w:t xml:space="preserve">عدد البلدان التي وضعت </w:t>
            </w:r>
            <w:r>
              <w:rPr>
                <w:rFonts w:ascii="Arabic Typesetting" w:hAnsi="Arabic Typesetting" w:cs="Arabic Typesetting" w:hint="cs"/>
                <w:sz w:val="30"/>
                <w:szCs w:val="30"/>
                <w:rtl/>
              </w:rPr>
              <w:t xml:space="preserve">أو حسَّنت </w:t>
            </w:r>
            <w:r w:rsidRPr="00AF4CE8">
              <w:rPr>
                <w:rFonts w:ascii="Arabic Typesetting" w:hAnsi="Arabic Typesetting" w:cs="Arabic Typesetting"/>
                <w:sz w:val="30"/>
                <w:szCs w:val="30"/>
                <w:rtl/>
              </w:rPr>
              <w:t>برامج تدريبية في مجال الملكية الفكرية لفائدة الشركات الصغيرة والمتوسطة</w:t>
            </w:r>
          </w:p>
        </w:tc>
        <w:tc>
          <w:tcPr>
            <w:tcW w:w="1156" w:type="pct"/>
            <w:tcBorders>
              <w:top w:val="nil"/>
              <w:bottom w:val="nil"/>
            </w:tcBorders>
            <w:shd w:val="clear" w:color="auto" w:fill="FFFFFF"/>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13</w:t>
            </w:r>
          </w:p>
        </w:tc>
        <w:tc>
          <w:tcPr>
            <w:tcW w:w="1081" w:type="pct"/>
            <w:tcBorders>
              <w:top w:val="nil"/>
              <w:bottom w:val="nil"/>
              <w:right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10 بلدان إضافية</w:t>
            </w:r>
          </w:p>
        </w:tc>
      </w:tr>
      <w:tr w:rsidR="00386BD0" w:rsidRPr="008954A8" w:rsidTr="004C5D98">
        <w:trPr>
          <w:cantSplit/>
          <w:trHeight w:val="1403"/>
        </w:trPr>
        <w:tc>
          <w:tcPr>
            <w:tcW w:w="1249" w:type="pct"/>
            <w:tcBorders>
              <w:top w:val="nil"/>
              <w:left w:val="single" w:sz="4" w:space="0" w:color="auto"/>
              <w:bottom w:val="nil"/>
            </w:tcBorders>
            <w:shd w:val="clear" w:color="auto" w:fill="auto"/>
            <w:tcMar>
              <w:top w:w="113" w:type="dxa"/>
            </w:tcMar>
          </w:tcPr>
          <w:p w:rsidR="00386BD0" w:rsidRPr="008954A8" w:rsidRDefault="00386BD0" w:rsidP="004C5D98">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tcMar>
          </w:tcPr>
          <w:p w:rsidR="00386BD0" w:rsidRPr="008954A8" w:rsidRDefault="00386BD0" w:rsidP="00735B50">
            <w:pPr>
              <w:keepNext/>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البلدان التي وُضعت أو اعتُمدت فيها سياسات للملكية الفكرية من أجل الشركات الصغيرة والمتوسطة</w:t>
            </w:r>
          </w:p>
        </w:tc>
        <w:tc>
          <w:tcPr>
            <w:tcW w:w="1156" w:type="pct"/>
            <w:tcBorders>
              <w:top w:val="nil"/>
              <w:bottom w:val="nil"/>
            </w:tcBorders>
            <w:shd w:val="clear" w:color="auto" w:fill="FFFFFF"/>
            <w:tcMar>
              <w:top w:w="113" w:type="dxa"/>
            </w:tcMar>
          </w:tcPr>
          <w:p w:rsidR="00386BD0" w:rsidRPr="008954A8" w:rsidRDefault="00386BD0" w:rsidP="00735B50">
            <w:pPr>
              <w:keepNext/>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w:t>
            </w:r>
          </w:p>
        </w:tc>
        <w:tc>
          <w:tcPr>
            <w:tcW w:w="1081" w:type="pct"/>
            <w:tcBorders>
              <w:top w:val="nil"/>
              <w:bottom w:val="nil"/>
              <w:right w:val="single" w:sz="4" w:space="0" w:color="auto"/>
            </w:tcBorders>
            <w:shd w:val="clear" w:color="auto" w:fill="auto"/>
            <w:tcMar>
              <w:top w:w="113" w:type="dxa"/>
            </w:tcMar>
          </w:tcPr>
          <w:p w:rsidR="00386BD0" w:rsidRPr="008954A8" w:rsidRDefault="00386BD0" w:rsidP="00735B50">
            <w:pPr>
              <w:keepNext/>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5 بلدان</w:t>
            </w:r>
          </w:p>
        </w:tc>
      </w:tr>
      <w:tr w:rsidR="00386BD0" w:rsidRPr="008954A8" w:rsidTr="00735B50">
        <w:trPr>
          <w:cantSplit/>
          <w:trHeight w:val="1726"/>
        </w:trPr>
        <w:tc>
          <w:tcPr>
            <w:tcW w:w="1249" w:type="pct"/>
            <w:tcBorders>
              <w:top w:val="nil"/>
              <w:left w:val="single" w:sz="4" w:space="0" w:color="auto"/>
              <w:bottom w:val="nil"/>
            </w:tcBorders>
            <w:shd w:val="clear" w:color="auto" w:fill="auto"/>
            <w:tcMar>
              <w:top w:w="113" w:type="dxa"/>
            </w:tcMar>
          </w:tcPr>
          <w:p w:rsidR="00386BD0" w:rsidRPr="008954A8" w:rsidRDefault="009800D4"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386BD0">
              <w:rPr>
                <w:rFonts w:ascii="Arabic Typesetting" w:hAnsi="Arabic Typesetting" w:cs="Arabic Typesetting" w:hint="cs"/>
                <w:sz w:val="30"/>
                <w:szCs w:val="30"/>
                <w:rtl/>
              </w:rPr>
              <w:t xml:space="preserve"> </w:t>
            </w:r>
            <w:r w:rsidR="00386BD0" w:rsidRPr="00AF4CE8">
              <w:rPr>
                <w:rFonts w:ascii="Arabic Typesetting" w:hAnsi="Arabic Typesetting" w:cs="Arabic Typesetting"/>
                <w:sz w:val="30"/>
                <w:szCs w:val="30"/>
                <w:rtl/>
              </w:rPr>
              <w:t>2.4 نفاذ محسّن إلى المعلومات المتعلقة بالملكية الفكرية واستخدامها من قبل مؤسسات الملكية الفكرية والجمهور لتشجيع الابتكار والإبداع</w:t>
            </w:r>
          </w:p>
        </w:tc>
        <w:tc>
          <w:tcPr>
            <w:tcW w:w="1514" w:type="pct"/>
            <w:tcBorders>
              <w:top w:val="nil"/>
              <w:bottom w:val="nil"/>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sidRPr="00CC1FE9">
              <w:rPr>
                <w:rFonts w:ascii="Arabic Typesetting" w:hAnsi="Arabic Typesetting" w:cs="Arabic Typesetting"/>
                <w:sz w:val="30"/>
                <w:szCs w:val="30"/>
                <w:rtl/>
              </w:rPr>
              <w:t xml:space="preserve">عدد </w:t>
            </w:r>
            <w:r>
              <w:rPr>
                <w:rFonts w:ascii="Arabic Typesetting" w:hAnsi="Arabic Typesetting" w:cs="Arabic Typesetting" w:hint="cs"/>
                <w:sz w:val="30"/>
                <w:szCs w:val="30"/>
                <w:rtl/>
              </w:rPr>
              <w:t>مكاتب</w:t>
            </w:r>
            <w:r w:rsidRPr="00CC1FE9">
              <w:rPr>
                <w:rFonts w:ascii="Arabic Typesetting" w:hAnsi="Arabic Typesetting" w:cs="Arabic Typesetting"/>
                <w:sz w:val="30"/>
                <w:szCs w:val="30"/>
                <w:rtl/>
              </w:rPr>
              <w:t xml:space="preserve"> </w:t>
            </w:r>
            <w:r>
              <w:rPr>
                <w:rFonts w:ascii="Arabic Typesetting" w:hAnsi="Arabic Typesetting" w:cs="Arabic Typesetting" w:hint="cs"/>
                <w:sz w:val="30"/>
                <w:szCs w:val="30"/>
                <w:rtl/>
              </w:rPr>
              <w:t>نقل</w:t>
            </w:r>
            <w:r w:rsidRPr="00CC1FE9">
              <w:rPr>
                <w:rFonts w:ascii="Arabic Typesetting" w:hAnsi="Arabic Typesetting" w:cs="Arabic Typesetting"/>
                <w:sz w:val="30"/>
                <w:szCs w:val="30"/>
                <w:rtl/>
              </w:rPr>
              <w:t xml:space="preserve"> التكنولوجيا (</w:t>
            </w:r>
            <w:r w:rsidRPr="002A1FD6">
              <w:rPr>
                <w:rFonts w:ascii="Arabic Typesetting" w:hAnsi="Arabic Typesetting" w:cs="Arabic Typesetting"/>
                <w:sz w:val="30"/>
                <w:szCs w:val="30"/>
              </w:rPr>
              <w:t>TTOs</w:t>
            </w:r>
            <w:r w:rsidRPr="00CC1FE9">
              <w:rPr>
                <w:rFonts w:ascii="Arabic Typesetting" w:hAnsi="Arabic Typesetting" w:cs="Arabic Typesetting"/>
                <w:sz w:val="30"/>
                <w:szCs w:val="30"/>
                <w:rtl/>
              </w:rPr>
              <w:t>) التي تم تأسيسها أو تعزيزها في الجامعات أو مؤسسات البحث والتطوير في إطار برنامج مبادرة جامعة الويبو</w:t>
            </w:r>
          </w:p>
        </w:tc>
        <w:tc>
          <w:tcPr>
            <w:tcW w:w="1156" w:type="pct"/>
            <w:tcBorders>
              <w:top w:val="nil"/>
              <w:bottom w:val="nil"/>
            </w:tcBorders>
            <w:shd w:val="clear" w:color="auto" w:fill="FFFFFF"/>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w:t>
            </w:r>
            <w:r w:rsidRPr="008954A8">
              <w:rPr>
                <w:rFonts w:ascii="Arabic Typesetting" w:hAnsi="Arabic Typesetting" w:cs="Arabic Typesetting" w:hint="cs"/>
                <w:sz w:val="30"/>
                <w:szCs w:val="30"/>
                <w:rtl/>
              </w:rPr>
              <w:t>حد</w:t>
            </w:r>
            <w:r>
              <w:rPr>
                <w:rFonts w:ascii="Arabic Typesetting" w:hAnsi="Arabic Typesetting" w:cs="Arabic Typesetting" w:hint="cs"/>
                <w:sz w:val="30"/>
                <w:szCs w:val="30"/>
                <w:rtl/>
              </w:rPr>
              <w:t>َّ</w:t>
            </w:r>
            <w:r w:rsidRPr="008954A8">
              <w:rPr>
                <w:rFonts w:ascii="Arabic Typesetting" w:hAnsi="Arabic Typesetting" w:cs="Arabic Typesetting" w:hint="cs"/>
                <w:sz w:val="30"/>
                <w:szCs w:val="30"/>
                <w:rtl/>
              </w:rPr>
              <w:t>د لاحقا</w:t>
            </w:r>
            <w:r>
              <w:rPr>
                <w:rFonts w:ascii="Arabic Typesetting" w:hAnsi="Arabic Typesetting" w:cs="Arabic Typesetting" w:hint="cs"/>
                <w:sz w:val="30"/>
                <w:szCs w:val="30"/>
                <w:rtl/>
              </w:rPr>
              <w:t>ً</w:t>
            </w:r>
          </w:p>
        </w:tc>
        <w:tc>
          <w:tcPr>
            <w:tcW w:w="1081" w:type="pct"/>
            <w:tcBorders>
              <w:top w:val="nil"/>
              <w:bottom w:val="nil"/>
              <w:right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b/>
                <w:sz w:val="30"/>
                <w:szCs w:val="30"/>
                <w:rtl/>
              </w:rPr>
              <w:t>6 مكاتب لنقل التكنولوجيا</w:t>
            </w:r>
          </w:p>
        </w:tc>
      </w:tr>
      <w:tr w:rsidR="00386BD0" w:rsidRPr="008954A8" w:rsidTr="00735B50">
        <w:trPr>
          <w:cantSplit/>
          <w:trHeight w:val="879"/>
        </w:trPr>
        <w:tc>
          <w:tcPr>
            <w:tcW w:w="1249" w:type="pct"/>
            <w:tcBorders>
              <w:top w:val="nil"/>
              <w:left w:val="single" w:sz="4" w:space="0" w:color="auto"/>
              <w:bottom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عدد الجامعات و/أو مؤسسات البحث التي وضعت</w:t>
            </w:r>
            <w:r>
              <w:rPr>
                <w:rFonts w:ascii="Arabic Typesetting" w:hAnsi="Arabic Typesetting" w:cs="Arabic Typesetting" w:hint="cs"/>
                <w:sz w:val="30"/>
                <w:szCs w:val="30"/>
                <w:rtl/>
              </w:rPr>
              <w:t xml:space="preserve"> و/أو حسَّنت</w:t>
            </w:r>
            <w:r w:rsidRPr="008954A8">
              <w:rPr>
                <w:rFonts w:ascii="Arabic Typesetting" w:hAnsi="Arabic Typesetting" w:cs="Arabic Typesetting" w:hint="cs"/>
                <w:sz w:val="30"/>
                <w:szCs w:val="30"/>
                <w:rtl/>
              </w:rPr>
              <w:t xml:space="preserve"> سياسات</w:t>
            </w:r>
            <w:r>
              <w:rPr>
                <w:rFonts w:ascii="Arabic Typesetting" w:hAnsi="Arabic Typesetting" w:cs="Arabic Typesetting" w:hint="cs"/>
                <w:sz w:val="30"/>
                <w:szCs w:val="30"/>
                <w:rtl/>
              </w:rPr>
              <w:t>ها الخاصة با</w:t>
            </w:r>
            <w:r w:rsidRPr="008954A8">
              <w:rPr>
                <w:rFonts w:ascii="Arabic Typesetting" w:hAnsi="Arabic Typesetting" w:cs="Arabic Typesetting" w:hint="cs"/>
                <w:sz w:val="30"/>
                <w:szCs w:val="30"/>
                <w:rtl/>
              </w:rPr>
              <w:t>لملكية الفكرية</w:t>
            </w:r>
          </w:p>
        </w:tc>
        <w:tc>
          <w:tcPr>
            <w:tcW w:w="1156" w:type="pct"/>
            <w:tcBorders>
              <w:top w:val="nil"/>
              <w:bottom w:val="single" w:sz="4" w:space="0" w:color="auto"/>
            </w:tcBorders>
            <w:shd w:val="clear" w:color="auto" w:fill="FFFFFF"/>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150 جامعة في البلدان المنتقلة إلى نظام الاقتصاد الحر</w:t>
            </w:r>
            <w:r w:rsidR="009E2A16">
              <w:rPr>
                <w:rFonts w:ascii="Arabic Typesetting" w:hAnsi="Arabic Typesetting" w:cs="Arabic Typesetting" w:hint="cs"/>
                <w:sz w:val="30"/>
                <w:szCs w:val="30"/>
                <w:rtl/>
              </w:rPr>
              <w:t xml:space="preserve"> (2014)</w:t>
            </w:r>
          </w:p>
        </w:tc>
        <w:tc>
          <w:tcPr>
            <w:tcW w:w="1081" w:type="pct"/>
            <w:tcBorders>
              <w:top w:val="nil"/>
              <w:bottom w:val="single" w:sz="4" w:space="0" w:color="auto"/>
              <w:right w:val="single" w:sz="4" w:space="0" w:color="auto"/>
            </w:tcBorders>
            <w:shd w:val="clear" w:color="auto" w:fill="auto"/>
            <w:tcMar>
              <w:top w:w="113" w:type="dxa"/>
            </w:tcMar>
          </w:tcPr>
          <w:p w:rsidR="00386BD0" w:rsidRPr="008954A8" w:rsidRDefault="00386BD0" w:rsidP="0031375C">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10</w:t>
            </w:r>
            <w:r w:rsidRPr="008954A8">
              <w:rPr>
                <w:rFonts w:ascii="Arabic Typesetting" w:hAnsi="Arabic Typesetting" w:cs="Arabic Typesetting" w:hint="cs"/>
                <w:sz w:val="30"/>
                <w:szCs w:val="30"/>
                <w:rtl/>
              </w:rPr>
              <w:t xml:space="preserve"> جامع</w:t>
            </w:r>
            <w:r>
              <w:rPr>
                <w:rFonts w:ascii="Arabic Typesetting" w:hAnsi="Arabic Typesetting" w:cs="Arabic Typesetting" w:hint="cs"/>
                <w:sz w:val="30"/>
                <w:szCs w:val="30"/>
                <w:rtl/>
              </w:rPr>
              <w:t>ات</w:t>
            </w:r>
            <w:r w:rsidRPr="008954A8">
              <w:rPr>
                <w:rFonts w:ascii="Arabic Typesetting" w:hAnsi="Arabic Typesetting" w:cs="Arabic Typesetting" w:hint="cs"/>
                <w:sz w:val="30"/>
                <w:szCs w:val="30"/>
                <w:rtl/>
              </w:rPr>
              <w:t xml:space="preserve"> إضافية</w:t>
            </w:r>
          </w:p>
        </w:tc>
      </w:tr>
    </w:tbl>
    <w:p w:rsidR="00386BD0" w:rsidRPr="008954A8" w:rsidRDefault="00386BD0" w:rsidP="0031375C">
      <w:pPr>
        <w:keepNext/>
        <w:adjustRightInd w:val="0"/>
        <w:snapToGrid w:val="0"/>
        <w:spacing w:before="240" w:after="240" w:line="360" w:lineRule="exact"/>
        <w:rPr>
          <w:rFonts w:ascii="Arabic Typesetting" w:hAnsi="Arabic Typesetting" w:cs="Arabic Typesetting"/>
          <w:sz w:val="38"/>
          <w:szCs w:val="38"/>
          <w:rtl/>
        </w:rPr>
      </w:pPr>
      <w:r w:rsidRPr="008954A8">
        <w:rPr>
          <w:rFonts w:ascii="Arabic Typesetting" w:hAnsi="Arabic Typesetting" w:cs="Arabic Typesetting"/>
          <w:sz w:val="38"/>
          <w:szCs w:val="38"/>
          <w:rtl/>
        </w:rPr>
        <w:t xml:space="preserve">الموارد المخصصة للبرنامج </w:t>
      </w:r>
      <w:r w:rsidRPr="008954A8">
        <w:rPr>
          <w:rFonts w:ascii="Arabic Typesetting" w:hAnsi="Arabic Typesetting" w:cs="Arabic Typesetting" w:hint="cs"/>
          <w:sz w:val="38"/>
          <w:szCs w:val="38"/>
          <w:rtl/>
        </w:rPr>
        <w:t>30</w:t>
      </w:r>
    </w:p>
    <w:p w:rsidR="00386BD0" w:rsidRDefault="00386BD0" w:rsidP="00DA5475">
      <w:pPr>
        <w:pStyle w:val="StyleHeading214ptAuto"/>
        <w:numPr>
          <w:ilvl w:val="0"/>
          <w:numId w:val="24"/>
        </w:numPr>
        <w:adjustRightInd w:val="0"/>
        <w:snapToGrid w:val="0"/>
        <w:spacing w:after="240" w:line="360" w:lineRule="exact"/>
        <w:jc w:val="left"/>
        <w:outlineLvl w:val="9"/>
        <w:rPr>
          <w:rFonts w:ascii="Arabic Typesetting" w:hAnsi="Arabic Typesetting" w:cs="Arabic Typesetting"/>
          <w:b w:val="0"/>
          <w:bCs w:val="0"/>
          <w:iCs w:val="0"/>
          <w:caps w:val="0"/>
          <w:szCs w:val="34"/>
          <w:lang w:val="en-US" w:bidi="ar-SA"/>
        </w:rPr>
      </w:pPr>
      <w:r>
        <w:rPr>
          <w:rFonts w:ascii="Arabic Typesetting" w:hAnsi="Arabic Typesetting" w:cs="Arabic Typesetting" w:hint="cs"/>
          <w:b w:val="0"/>
          <w:bCs w:val="0"/>
          <w:iCs w:val="0"/>
          <w:caps w:val="0"/>
          <w:szCs w:val="34"/>
          <w:rtl/>
          <w:lang w:val="en-US" w:bidi="ar-SA"/>
        </w:rPr>
        <w:t>يُلاحظ</w:t>
      </w:r>
      <w:r w:rsidRPr="00F46703">
        <w:rPr>
          <w:rFonts w:ascii="Arabic Typesetting" w:hAnsi="Arabic Typesetting" w:cs="Arabic Typesetting"/>
          <w:b w:val="0"/>
          <w:bCs w:val="0"/>
          <w:iCs w:val="0"/>
          <w:caps w:val="0"/>
          <w:szCs w:val="34"/>
          <w:rtl/>
          <w:lang w:val="en-US" w:bidi="ar-SA"/>
        </w:rPr>
        <w:t xml:space="preserve"> وجود زيادة في إجمالي </w:t>
      </w:r>
      <w:r>
        <w:rPr>
          <w:rFonts w:ascii="Arabic Typesetting" w:hAnsi="Arabic Typesetting" w:cs="Arabic Typesetting" w:hint="cs"/>
          <w:b w:val="0"/>
          <w:bCs w:val="0"/>
          <w:iCs w:val="0"/>
          <w:caps w:val="0"/>
          <w:szCs w:val="34"/>
          <w:rtl/>
          <w:lang w:val="en-US" w:bidi="ar-SA"/>
        </w:rPr>
        <w:t>ال</w:t>
      </w:r>
      <w:r w:rsidRPr="00F46703">
        <w:rPr>
          <w:rFonts w:ascii="Arabic Typesetting" w:hAnsi="Arabic Typesetting" w:cs="Arabic Typesetting"/>
          <w:b w:val="0"/>
          <w:bCs w:val="0"/>
          <w:iCs w:val="0"/>
          <w:caps w:val="0"/>
          <w:szCs w:val="34"/>
          <w:rtl/>
          <w:lang w:val="en-US" w:bidi="ar-SA"/>
        </w:rPr>
        <w:t xml:space="preserve">موارد </w:t>
      </w:r>
      <w:r>
        <w:rPr>
          <w:rFonts w:ascii="Arabic Typesetting" w:hAnsi="Arabic Typesetting" w:cs="Arabic Typesetting" w:hint="cs"/>
          <w:b w:val="0"/>
          <w:bCs w:val="0"/>
          <w:iCs w:val="0"/>
          <w:caps w:val="0"/>
          <w:szCs w:val="34"/>
          <w:rtl/>
          <w:lang w:val="en-US" w:bidi="ar-SA"/>
        </w:rPr>
        <w:t>المخصصة ل</w:t>
      </w:r>
      <w:r w:rsidRPr="00F46703">
        <w:rPr>
          <w:rFonts w:ascii="Arabic Typesetting" w:hAnsi="Arabic Typesetting" w:cs="Arabic Typesetting"/>
          <w:b w:val="0"/>
          <w:bCs w:val="0"/>
          <w:iCs w:val="0"/>
          <w:caps w:val="0"/>
          <w:szCs w:val="34"/>
          <w:rtl/>
          <w:lang w:val="en-US" w:bidi="ar-SA"/>
        </w:rPr>
        <w:t>لبرنام</w:t>
      </w:r>
      <w:r>
        <w:rPr>
          <w:rFonts w:ascii="Arabic Typesetting" w:hAnsi="Arabic Typesetting" w:cs="Arabic Typesetting"/>
          <w:b w:val="0"/>
          <w:bCs w:val="0"/>
          <w:iCs w:val="0"/>
          <w:caps w:val="0"/>
          <w:szCs w:val="34"/>
          <w:rtl/>
          <w:lang w:val="en-US" w:bidi="ar-SA"/>
        </w:rPr>
        <w:t>ج 30 في الثنائية 2016/17 مقارنة</w:t>
      </w:r>
      <w:r w:rsidRPr="00F46703">
        <w:rPr>
          <w:rFonts w:ascii="Arabic Typesetting" w:hAnsi="Arabic Typesetting" w:cs="Arabic Typesetting"/>
          <w:b w:val="0"/>
          <w:bCs w:val="0"/>
          <w:iCs w:val="0"/>
          <w:caps w:val="0"/>
          <w:szCs w:val="34"/>
          <w:rtl/>
          <w:lang w:val="en-US" w:bidi="ar-SA"/>
        </w:rPr>
        <w:t xml:space="preserve"> بميزانية 2014/15 بعد التحويلات. و</w:t>
      </w:r>
      <w:r>
        <w:rPr>
          <w:rFonts w:ascii="Arabic Typesetting" w:hAnsi="Arabic Typesetting" w:cs="Arabic Typesetting" w:hint="cs"/>
          <w:b w:val="0"/>
          <w:bCs w:val="0"/>
          <w:iCs w:val="0"/>
          <w:caps w:val="0"/>
          <w:szCs w:val="34"/>
          <w:rtl/>
          <w:lang w:val="en-US" w:bidi="ar-SA"/>
        </w:rPr>
        <w:t>يعكس ذلك</w:t>
      </w:r>
      <w:r w:rsidRPr="00F46703">
        <w:rPr>
          <w:rFonts w:ascii="Arabic Typesetting" w:hAnsi="Arabic Typesetting" w:cs="Arabic Typesetting"/>
          <w:b w:val="0"/>
          <w:bCs w:val="0"/>
          <w:iCs w:val="0"/>
          <w:caps w:val="0"/>
          <w:szCs w:val="34"/>
          <w:rtl/>
          <w:lang w:val="en-US" w:bidi="ar-SA"/>
        </w:rPr>
        <w:t xml:space="preserve"> </w:t>
      </w:r>
      <w:r>
        <w:rPr>
          <w:rFonts w:ascii="Arabic Typesetting" w:hAnsi="Arabic Typesetting" w:cs="Arabic Typesetting" w:hint="cs"/>
          <w:b w:val="0"/>
          <w:bCs w:val="0"/>
          <w:iCs w:val="0"/>
          <w:caps w:val="0"/>
          <w:szCs w:val="34"/>
          <w:rtl/>
          <w:lang w:val="en-US" w:bidi="ar-SA"/>
        </w:rPr>
        <w:t>إعادة توزيع</w:t>
      </w:r>
      <w:r w:rsidRPr="00F46703">
        <w:rPr>
          <w:rFonts w:ascii="Arabic Typesetting" w:hAnsi="Arabic Typesetting" w:cs="Arabic Typesetting"/>
          <w:b w:val="0"/>
          <w:bCs w:val="0"/>
          <w:iCs w:val="0"/>
          <w:caps w:val="0"/>
          <w:szCs w:val="34"/>
          <w:rtl/>
          <w:lang w:val="en-US" w:bidi="ar-SA"/>
        </w:rPr>
        <w:t xml:space="preserve"> موارد الموظفين </w:t>
      </w:r>
      <w:r>
        <w:rPr>
          <w:rFonts w:ascii="Arabic Typesetting" w:hAnsi="Arabic Typesetting" w:cs="Arabic Typesetting" w:hint="cs"/>
          <w:b w:val="0"/>
          <w:bCs w:val="0"/>
          <w:iCs w:val="0"/>
          <w:caps w:val="0"/>
          <w:szCs w:val="34"/>
          <w:rtl/>
          <w:lang w:val="en-US" w:bidi="ar-SA"/>
        </w:rPr>
        <w:t>على</w:t>
      </w:r>
      <w:r w:rsidRPr="00F46703">
        <w:rPr>
          <w:rFonts w:ascii="Arabic Typesetting" w:hAnsi="Arabic Typesetting" w:cs="Arabic Typesetting"/>
          <w:b w:val="0"/>
          <w:bCs w:val="0"/>
          <w:iCs w:val="0"/>
          <w:caps w:val="0"/>
          <w:szCs w:val="34"/>
          <w:rtl/>
          <w:lang w:val="en-US" w:bidi="ar-SA"/>
        </w:rPr>
        <w:t xml:space="preserve"> البرنامج في </w:t>
      </w:r>
      <w:r>
        <w:rPr>
          <w:rFonts w:ascii="Arabic Typesetting" w:hAnsi="Arabic Typesetting" w:cs="Arabic Typesetting" w:hint="cs"/>
          <w:b w:val="0"/>
          <w:bCs w:val="0"/>
          <w:iCs w:val="0"/>
          <w:caps w:val="0"/>
          <w:szCs w:val="34"/>
          <w:rtl/>
          <w:lang w:val="en-US" w:bidi="ar-SA"/>
        </w:rPr>
        <w:t xml:space="preserve">الثنائية </w:t>
      </w:r>
      <w:r w:rsidRPr="00F46703">
        <w:rPr>
          <w:rFonts w:ascii="Arabic Typesetting" w:hAnsi="Arabic Typesetting" w:cs="Arabic Typesetting"/>
          <w:b w:val="0"/>
          <w:bCs w:val="0"/>
          <w:iCs w:val="0"/>
          <w:caps w:val="0"/>
          <w:szCs w:val="34"/>
          <w:rtl/>
          <w:lang w:val="en-US" w:bidi="ar-SA"/>
        </w:rPr>
        <w:t>2014/15 لتعزيز</w:t>
      </w:r>
      <w:r>
        <w:rPr>
          <w:rFonts w:ascii="Arabic Typesetting" w:hAnsi="Arabic Typesetting" w:cs="Arabic Typesetting" w:hint="cs"/>
          <w:b w:val="0"/>
          <w:bCs w:val="0"/>
          <w:iCs w:val="0"/>
          <w:caps w:val="0"/>
          <w:szCs w:val="34"/>
          <w:rtl/>
          <w:lang w:val="en-US" w:bidi="ar-SA"/>
        </w:rPr>
        <w:t xml:space="preserve"> عدة أمور منها</w:t>
      </w:r>
      <w:r w:rsidRPr="00F46703">
        <w:rPr>
          <w:rFonts w:ascii="Arabic Typesetting" w:hAnsi="Arabic Typesetting" w:cs="Arabic Typesetting"/>
          <w:b w:val="0"/>
          <w:bCs w:val="0"/>
          <w:iCs w:val="0"/>
          <w:caps w:val="0"/>
          <w:szCs w:val="34"/>
          <w:rtl/>
          <w:lang w:val="en-US" w:bidi="ar-SA"/>
        </w:rPr>
        <w:t xml:space="preserve">، </w:t>
      </w:r>
      <w:r>
        <w:rPr>
          <w:rFonts w:ascii="Arabic Typesetting" w:hAnsi="Arabic Typesetting" w:cs="Arabic Typesetting" w:hint="cs"/>
          <w:b w:val="0"/>
          <w:bCs w:val="0"/>
          <w:iCs w:val="0"/>
          <w:caps w:val="0"/>
          <w:szCs w:val="34"/>
          <w:rtl/>
          <w:lang w:val="en-US" w:bidi="ar-SA"/>
        </w:rPr>
        <w:t>على وجه الخصوص</w:t>
      </w:r>
      <w:r w:rsidRPr="00F46703">
        <w:rPr>
          <w:rFonts w:ascii="Arabic Typesetting" w:hAnsi="Arabic Typesetting" w:cs="Arabic Typesetting"/>
          <w:b w:val="0"/>
          <w:bCs w:val="0"/>
          <w:iCs w:val="0"/>
          <w:caps w:val="0"/>
          <w:szCs w:val="34"/>
          <w:rtl/>
          <w:lang w:val="en-US" w:bidi="ar-SA"/>
        </w:rPr>
        <w:t xml:space="preserve">، العمل </w:t>
      </w:r>
      <w:r>
        <w:rPr>
          <w:rFonts w:ascii="Arabic Typesetting" w:hAnsi="Arabic Typesetting" w:cs="Arabic Typesetting" w:hint="cs"/>
          <w:b w:val="0"/>
          <w:bCs w:val="0"/>
          <w:iCs w:val="0"/>
          <w:caps w:val="0"/>
          <w:szCs w:val="34"/>
          <w:rtl/>
          <w:lang w:val="en-US" w:bidi="ar-SA"/>
        </w:rPr>
        <w:t>الخاص</w:t>
      </w:r>
      <w:r w:rsidRPr="00F46703">
        <w:rPr>
          <w:rFonts w:ascii="Arabic Typesetting" w:hAnsi="Arabic Typesetting" w:cs="Arabic Typesetting"/>
          <w:b w:val="0"/>
          <w:bCs w:val="0"/>
          <w:iCs w:val="0"/>
          <w:caps w:val="0"/>
          <w:szCs w:val="34"/>
          <w:rtl/>
          <w:lang w:val="en-US" w:bidi="ar-SA"/>
        </w:rPr>
        <w:t xml:space="preserve"> </w:t>
      </w:r>
      <w:r>
        <w:rPr>
          <w:rFonts w:ascii="Arabic Typesetting" w:hAnsi="Arabic Typesetting" w:cs="Arabic Typesetting" w:hint="cs"/>
          <w:b w:val="0"/>
          <w:bCs w:val="0"/>
          <w:iCs w:val="0"/>
          <w:caps w:val="0"/>
          <w:szCs w:val="34"/>
          <w:rtl/>
          <w:lang w:val="en-US" w:bidi="ar-SA"/>
        </w:rPr>
        <w:t>ب</w:t>
      </w:r>
      <w:r w:rsidRPr="00F46703">
        <w:rPr>
          <w:rFonts w:ascii="Arabic Typesetting" w:hAnsi="Arabic Typesetting" w:cs="Arabic Typesetting"/>
          <w:b w:val="0"/>
          <w:bCs w:val="0"/>
          <w:iCs w:val="0"/>
          <w:caps w:val="0"/>
          <w:szCs w:val="34"/>
          <w:rtl/>
          <w:lang w:val="en-US" w:bidi="ar-SA"/>
        </w:rPr>
        <w:t>استراتيجيات الملكية الفكرية الوطنية و</w:t>
      </w:r>
      <w:r>
        <w:rPr>
          <w:rFonts w:ascii="Arabic Typesetting" w:hAnsi="Arabic Typesetting" w:cs="Arabic Typesetting" w:hint="cs"/>
          <w:b w:val="0"/>
          <w:bCs w:val="0"/>
          <w:iCs w:val="0"/>
          <w:caps w:val="0"/>
          <w:szCs w:val="34"/>
          <w:rtl/>
          <w:lang w:val="en-US" w:bidi="ar-SA"/>
        </w:rPr>
        <w:t xml:space="preserve">تكوين كفاءات الشركات الصغيرة والمتوسطة </w:t>
      </w:r>
      <w:r w:rsidRPr="00F46703">
        <w:rPr>
          <w:rFonts w:ascii="Arabic Typesetting" w:hAnsi="Arabic Typesetting" w:cs="Arabic Typesetting"/>
          <w:b w:val="0"/>
          <w:bCs w:val="0"/>
          <w:iCs w:val="0"/>
          <w:caps w:val="0"/>
          <w:szCs w:val="34"/>
          <w:rtl/>
          <w:lang w:val="en-US" w:bidi="ar-SA"/>
        </w:rPr>
        <w:t>على النحو الم</w:t>
      </w:r>
      <w:r>
        <w:rPr>
          <w:rFonts w:ascii="Arabic Typesetting" w:hAnsi="Arabic Typesetting" w:cs="Arabic Typesetting" w:hint="cs"/>
          <w:b w:val="0"/>
          <w:bCs w:val="0"/>
          <w:iCs w:val="0"/>
          <w:caps w:val="0"/>
          <w:szCs w:val="34"/>
          <w:rtl/>
          <w:lang w:val="en-US" w:bidi="ar-SA"/>
        </w:rPr>
        <w:t>ُ</w:t>
      </w:r>
      <w:r w:rsidRPr="00F46703">
        <w:rPr>
          <w:rFonts w:ascii="Arabic Typesetting" w:hAnsi="Arabic Typesetting" w:cs="Arabic Typesetting"/>
          <w:b w:val="0"/>
          <w:bCs w:val="0"/>
          <w:iCs w:val="0"/>
          <w:caps w:val="0"/>
          <w:szCs w:val="34"/>
          <w:rtl/>
          <w:lang w:val="en-US" w:bidi="ar-SA"/>
        </w:rPr>
        <w:t>بي</w:t>
      </w:r>
      <w:r>
        <w:rPr>
          <w:rFonts w:ascii="Arabic Typesetting" w:hAnsi="Arabic Typesetting" w:cs="Arabic Typesetting" w:hint="cs"/>
          <w:b w:val="0"/>
          <w:bCs w:val="0"/>
          <w:iCs w:val="0"/>
          <w:caps w:val="0"/>
          <w:szCs w:val="34"/>
          <w:rtl/>
          <w:lang w:val="en-US" w:bidi="ar-SA"/>
        </w:rPr>
        <w:t>َّ</w:t>
      </w:r>
      <w:r w:rsidRPr="00F46703">
        <w:rPr>
          <w:rFonts w:ascii="Arabic Typesetting" w:hAnsi="Arabic Typesetting" w:cs="Arabic Typesetting"/>
          <w:b w:val="0"/>
          <w:bCs w:val="0"/>
          <w:iCs w:val="0"/>
          <w:caps w:val="0"/>
          <w:szCs w:val="34"/>
          <w:rtl/>
          <w:lang w:val="en-US" w:bidi="ar-SA"/>
        </w:rPr>
        <w:t xml:space="preserve">ن في </w:t>
      </w:r>
      <w:r>
        <w:rPr>
          <w:rFonts w:ascii="Arabic Typesetting" w:hAnsi="Arabic Typesetting" w:cs="Arabic Typesetting" w:hint="cs"/>
          <w:b w:val="0"/>
          <w:bCs w:val="0"/>
          <w:iCs w:val="0"/>
          <w:caps w:val="0"/>
          <w:szCs w:val="34"/>
          <w:rtl/>
          <w:lang w:val="en-US" w:bidi="ar-SA"/>
        </w:rPr>
        <w:t xml:space="preserve">النتيجتين المرتقبتين </w:t>
      </w:r>
      <w:r w:rsidR="009800D4">
        <w:rPr>
          <w:rFonts w:ascii="Arabic Typesetting" w:hAnsi="Arabic Typesetting" w:cs="Arabic Typesetting"/>
          <w:b w:val="0"/>
          <w:bCs w:val="0"/>
          <w:iCs w:val="0"/>
          <w:caps w:val="0"/>
          <w:szCs w:val="34"/>
          <w:rtl/>
          <w:lang w:val="en-US" w:bidi="ar-SA"/>
        </w:rPr>
        <w:t>ه</w:t>
      </w:r>
      <w:r w:rsidR="009800D4">
        <w:rPr>
          <w:rFonts w:ascii="Arabic Typesetting" w:hAnsi="Arabic Typesetting" w:cs="Arabic Typesetting" w:hint="cs"/>
          <w:b w:val="0"/>
          <w:bCs w:val="0"/>
          <w:iCs w:val="0"/>
          <w:caps w:val="0"/>
          <w:szCs w:val="34"/>
          <w:rtl/>
          <w:lang w:val="en-US" w:bidi="ar-SA"/>
        </w:rPr>
        <w:t xml:space="preserve"> </w:t>
      </w:r>
      <w:r w:rsidRPr="003A2410">
        <w:rPr>
          <w:rFonts w:ascii="Arabic Typesetting" w:hAnsi="Arabic Typesetting" w:cs="Arabic Typesetting"/>
          <w:b w:val="0"/>
          <w:bCs w:val="0"/>
          <w:iCs w:val="0"/>
          <w:caps w:val="0"/>
          <w:szCs w:val="34"/>
          <w:rtl/>
          <w:lang w:val="en-US" w:bidi="ar-SA"/>
        </w:rPr>
        <w:t>1.3</w:t>
      </w:r>
      <w:r>
        <w:rPr>
          <w:rFonts w:ascii="Arabic Typesetting" w:hAnsi="Arabic Typesetting" w:cs="Arabic Typesetting" w:hint="cs"/>
          <w:b w:val="0"/>
          <w:bCs w:val="0"/>
          <w:iCs w:val="0"/>
          <w:caps w:val="0"/>
          <w:szCs w:val="34"/>
          <w:rtl/>
          <w:lang w:val="en-US" w:bidi="ar-SA"/>
        </w:rPr>
        <w:t xml:space="preserve"> </w:t>
      </w:r>
      <w:r w:rsidRPr="00F46703">
        <w:rPr>
          <w:rFonts w:ascii="Arabic Typesetting" w:hAnsi="Arabic Typesetting" w:cs="Arabic Typesetting"/>
          <w:b w:val="0"/>
          <w:bCs w:val="0"/>
          <w:iCs w:val="0"/>
          <w:caps w:val="0"/>
          <w:szCs w:val="34"/>
          <w:rtl/>
          <w:lang w:val="en-US" w:bidi="ar-SA"/>
        </w:rPr>
        <w:t>و</w:t>
      </w:r>
      <w:r w:rsidR="009800D4">
        <w:rPr>
          <w:rFonts w:ascii="Arabic Typesetting" w:hAnsi="Arabic Typesetting" w:cs="Arabic Typesetting"/>
          <w:b w:val="0"/>
          <w:bCs w:val="0"/>
          <w:iCs w:val="0"/>
          <w:caps w:val="0"/>
          <w:szCs w:val="34"/>
          <w:rtl/>
          <w:lang w:val="en-US" w:bidi="ar-SA"/>
        </w:rPr>
        <w:t>ه</w:t>
      </w:r>
      <w:r w:rsidR="009800D4">
        <w:rPr>
          <w:rFonts w:ascii="Arabic Typesetting" w:hAnsi="Arabic Typesetting" w:cs="Arabic Typesetting" w:hint="cs"/>
          <w:b w:val="0"/>
          <w:bCs w:val="0"/>
          <w:iCs w:val="0"/>
          <w:caps w:val="0"/>
          <w:szCs w:val="34"/>
          <w:rtl/>
          <w:lang w:val="en-US" w:bidi="ar-SA"/>
        </w:rPr>
        <w:t xml:space="preserve"> </w:t>
      </w:r>
      <w:r w:rsidRPr="003A2410">
        <w:rPr>
          <w:rFonts w:ascii="Arabic Typesetting" w:hAnsi="Arabic Typesetting" w:cs="Arabic Typesetting"/>
          <w:b w:val="0"/>
          <w:bCs w:val="0"/>
          <w:iCs w:val="0"/>
          <w:caps w:val="0"/>
          <w:szCs w:val="34"/>
          <w:rtl/>
          <w:lang w:val="en-US" w:bidi="ar-SA"/>
        </w:rPr>
        <w:t>2.3</w:t>
      </w:r>
      <w:r w:rsidRPr="00F46703">
        <w:rPr>
          <w:rFonts w:ascii="Arabic Typesetting" w:hAnsi="Arabic Typesetting" w:cs="Arabic Typesetting"/>
          <w:b w:val="0"/>
          <w:bCs w:val="0"/>
          <w:iCs w:val="0"/>
          <w:caps w:val="0"/>
          <w:szCs w:val="34"/>
          <w:rtl/>
          <w:lang w:val="en-US" w:bidi="ar-SA"/>
        </w:rPr>
        <w:t>.</w:t>
      </w:r>
    </w:p>
    <w:p w:rsidR="00386BD0" w:rsidRPr="008954A8" w:rsidRDefault="00386BD0" w:rsidP="00DA5475">
      <w:pPr>
        <w:pStyle w:val="StyleHeading214ptAuto"/>
        <w:numPr>
          <w:ilvl w:val="0"/>
          <w:numId w:val="24"/>
        </w:numPr>
        <w:adjustRightInd w:val="0"/>
        <w:snapToGrid w:val="0"/>
        <w:spacing w:after="240" w:line="360" w:lineRule="exact"/>
        <w:jc w:val="left"/>
        <w:outlineLvl w:val="9"/>
        <w:rPr>
          <w:rFonts w:ascii="Arabic Typesetting" w:hAnsi="Arabic Typesetting" w:cs="Arabic Typesetting"/>
          <w:b w:val="0"/>
          <w:bCs w:val="0"/>
          <w:iCs w:val="0"/>
          <w:caps w:val="0"/>
          <w:szCs w:val="34"/>
          <w:lang w:val="en-US" w:bidi="ar-SA"/>
        </w:rPr>
      </w:pPr>
      <w:r>
        <w:rPr>
          <w:rFonts w:ascii="Arabic Typesetting" w:hAnsi="Arabic Typesetting" w:cs="Arabic Typesetting" w:hint="cs"/>
          <w:b w:val="0"/>
          <w:bCs w:val="0"/>
          <w:iCs w:val="0"/>
          <w:caps w:val="0"/>
          <w:szCs w:val="34"/>
          <w:rtl/>
          <w:lang w:val="en-US" w:bidi="ar-SA"/>
        </w:rPr>
        <w:t>ويعكس الانخفاض المُسجل في موارد الموظفين في ميزانية 2014/15 بعد التحويلات مقارنة بالميزانية المعتمدة 2014/15 ما</w:t>
      </w:r>
      <w:r>
        <w:rPr>
          <w:rFonts w:ascii="Arabic Typesetting" w:hAnsi="Arabic Typesetting" w:cs="Arabic Typesetting" w:hint="eastAsia"/>
          <w:b w:val="0"/>
          <w:bCs w:val="0"/>
          <w:iCs w:val="0"/>
          <w:caps w:val="0"/>
          <w:szCs w:val="34"/>
          <w:rtl/>
          <w:lang w:val="en-US" w:bidi="ar-SA"/>
        </w:rPr>
        <w:t> </w:t>
      </w:r>
      <w:r>
        <w:rPr>
          <w:rFonts w:ascii="Arabic Typesetting" w:hAnsi="Arabic Typesetting" w:cs="Arabic Typesetting" w:hint="cs"/>
          <w:b w:val="0"/>
          <w:bCs w:val="0"/>
          <w:iCs w:val="0"/>
          <w:caps w:val="0"/>
          <w:szCs w:val="34"/>
          <w:rtl/>
          <w:lang w:val="en-US" w:bidi="ar-SA"/>
        </w:rPr>
        <w:t>يلي: "1" نقل مسؤوليات تنفيذ مشروعي جدول أعمال التنمية المتعلقين بالنماذج التعاونية المفتوحة ونقل التكنولوجيا إلى البرنامج</w:t>
      </w:r>
      <w:r>
        <w:rPr>
          <w:rFonts w:ascii="Arabic Typesetting" w:hAnsi="Arabic Typesetting" w:cs="Arabic Typesetting" w:hint="eastAsia"/>
          <w:b w:val="0"/>
          <w:bCs w:val="0"/>
          <w:iCs w:val="0"/>
          <w:caps w:val="0"/>
          <w:szCs w:val="34"/>
          <w:rtl/>
          <w:lang w:val="en-US" w:bidi="ar-SA"/>
        </w:rPr>
        <w:t> </w:t>
      </w:r>
      <w:r>
        <w:rPr>
          <w:rFonts w:ascii="Arabic Typesetting" w:hAnsi="Arabic Typesetting" w:cs="Arabic Typesetting" w:hint="cs"/>
          <w:b w:val="0"/>
          <w:bCs w:val="0"/>
          <w:iCs w:val="0"/>
          <w:caps w:val="0"/>
          <w:szCs w:val="34"/>
          <w:rtl/>
          <w:lang w:val="en-US" w:bidi="ar-SA"/>
        </w:rPr>
        <w:t>5 (نظام معاهدة التعاون بشأن البراءات)، "2" والتأخر في تحديد المهارات والكفاءات المناسبة الداعمة لأنشطة البرنامج بغرض تعويض موظف نُقل خارج البرنامج.</w:t>
      </w:r>
    </w:p>
    <w:p w:rsidR="00386BD0" w:rsidRPr="006209F2" w:rsidRDefault="00386BD0" w:rsidP="00DA5475">
      <w:pPr>
        <w:pStyle w:val="ARNormal"/>
        <w:keepNext/>
        <w:spacing w:after="0"/>
        <w:jc w:val="center"/>
        <w:rPr>
          <w:b/>
          <w:bCs/>
          <w:rtl/>
        </w:rPr>
      </w:pPr>
      <w:bookmarkStart w:id="62" w:name="_Toc364355381"/>
      <w:r w:rsidRPr="006209F2">
        <w:rPr>
          <w:rFonts w:hint="cs"/>
          <w:b/>
          <w:bCs/>
          <w:rtl/>
        </w:rPr>
        <w:lastRenderedPageBreak/>
        <w:t>البرنامج 30: الموارد بحسب كل نتيجة</w:t>
      </w:r>
      <w:bookmarkEnd w:id="62"/>
    </w:p>
    <w:p w:rsidR="00386BD0" w:rsidRPr="006209F2" w:rsidRDefault="00386BD0" w:rsidP="0031375C">
      <w:pPr>
        <w:pStyle w:val="ARNormal"/>
        <w:spacing w:after="0"/>
        <w:jc w:val="center"/>
        <w:rPr>
          <w:i/>
          <w:iCs/>
          <w:rtl/>
        </w:rPr>
      </w:pPr>
      <w:bookmarkStart w:id="63" w:name="_Toc364355382"/>
      <w:r w:rsidRPr="006209F2">
        <w:rPr>
          <w:rFonts w:hint="cs"/>
          <w:i/>
          <w:iCs/>
          <w:rtl/>
        </w:rPr>
        <w:t>(بآلاف الفرنكات السويسرية)</w:t>
      </w:r>
      <w:bookmarkEnd w:id="63"/>
    </w:p>
    <w:p w:rsidR="00386BD0" w:rsidRPr="008954A8" w:rsidRDefault="00386BD0" w:rsidP="00DA5475">
      <w:pPr>
        <w:pStyle w:val="StyleHeading214ptAuto"/>
        <w:tabs>
          <w:tab w:val="clear" w:pos="567"/>
        </w:tabs>
        <w:adjustRightInd w:val="0"/>
        <w:snapToGrid w:val="0"/>
        <w:spacing w:line="240" w:lineRule="auto"/>
        <w:ind w:left="0" w:firstLine="0"/>
        <w:outlineLvl w:val="9"/>
        <w:rPr>
          <w:rFonts w:ascii="Arabic Typesetting" w:hAnsi="Arabic Typesetting" w:cs="Arabic Typesetting"/>
          <w:b w:val="0"/>
          <w:bCs w:val="0"/>
          <w:iCs w:val="0"/>
          <w:caps w:val="0"/>
          <w:szCs w:val="34"/>
          <w:rtl/>
          <w:lang w:val="en-US" w:bidi="ar-SA"/>
        </w:rPr>
      </w:pPr>
      <w:r w:rsidRPr="00386BD0">
        <w:rPr>
          <w:noProof/>
          <w:szCs w:val="20"/>
          <w:rtl/>
          <w:lang w:val="en-US" w:bidi="ar-SA"/>
        </w:rPr>
        <w:drawing>
          <wp:inline distT="0" distB="0" distL="0" distR="0" wp14:anchorId="1F9C8CC7" wp14:editId="53D1715A">
            <wp:extent cx="5734050" cy="2952750"/>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34050" cy="2952750"/>
                    </a:xfrm>
                    <a:prstGeom prst="rect">
                      <a:avLst/>
                    </a:prstGeom>
                    <a:noFill/>
                    <a:ln>
                      <a:noFill/>
                    </a:ln>
                  </pic:spPr>
                </pic:pic>
              </a:graphicData>
            </a:graphic>
          </wp:inline>
        </w:drawing>
      </w:r>
    </w:p>
    <w:p w:rsidR="00386BD0" w:rsidRPr="008954A8" w:rsidRDefault="00386BD0" w:rsidP="0031375C">
      <w:pPr>
        <w:pStyle w:val="ARNormal"/>
        <w:spacing w:line="240" w:lineRule="auto"/>
        <w:jc w:val="left"/>
        <w:rPr>
          <w:rtl/>
        </w:rPr>
      </w:pPr>
      <w:r w:rsidRPr="008954A8">
        <w:rPr>
          <w:b/>
          <w:bCs/>
          <w:iCs/>
          <w:caps/>
          <w:rtl/>
        </w:rPr>
        <w:br w:type="page"/>
      </w:r>
    </w:p>
    <w:p w:rsidR="00386BD0" w:rsidRPr="006209F2" w:rsidRDefault="00386BD0" w:rsidP="0031375C">
      <w:pPr>
        <w:pStyle w:val="ARNormal"/>
        <w:keepNext/>
        <w:spacing w:after="0"/>
        <w:jc w:val="center"/>
        <w:rPr>
          <w:b/>
          <w:bCs/>
          <w:rtl/>
        </w:rPr>
      </w:pPr>
      <w:bookmarkStart w:id="64" w:name="_Toc364355384"/>
      <w:r w:rsidRPr="006209F2">
        <w:rPr>
          <w:rFonts w:hint="cs"/>
          <w:b/>
          <w:bCs/>
          <w:rtl/>
        </w:rPr>
        <w:lastRenderedPageBreak/>
        <w:t>البرنامج 30: الموارد بحسب غرض الإنفاق</w:t>
      </w:r>
      <w:bookmarkEnd w:id="64"/>
    </w:p>
    <w:p w:rsidR="00386BD0" w:rsidRPr="006209F2" w:rsidRDefault="00386BD0" w:rsidP="0031375C">
      <w:pPr>
        <w:autoSpaceDE w:val="0"/>
        <w:autoSpaceDN w:val="0"/>
        <w:adjustRightInd w:val="0"/>
        <w:spacing w:after="120" w:line="340" w:lineRule="exact"/>
        <w:jc w:val="center"/>
        <w:rPr>
          <w:rFonts w:ascii="Arabic Typesetting" w:hAnsi="Arabic Typesetting" w:cs="Arabic Typesetting"/>
          <w:i/>
          <w:iCs/>
          <w:sz w:val="34"/>
          <w:szCs w:val="34"/>
          <w:rtl/>
        </w:rPr>
      </w:pPr>
      <w:bookmarkStart w:id="65" w:name="_Toc364355385"/>
      <w:r w:rsidRPr="006209F2">
        <w:rPr>
          <w:rFonts w:ascii="Arabic Typesetting" w:hAnsi="Arabic Typesetting" w:cs="Arabic Typesetting" w:hint="cs"/>
          <w:i/>
          <w:iCs/>
          <w:sz w:val="34"/>
          <w:szCs w:val="34"/>
          <w:rtl/>
        </w:rPr>
        <w:t>(بآلاف الفرنكات السويسرية)</w:t>
      </w:r>
      <w:bookmarkEnd w:id="65"/>
    </w:p>
    <w:bookmarkEnd w:id="57"/>
    <w:p w:rsidR="00386BD0" w:rsidRPr="008954A8" w:rsidRDefault="00386BD0" w:rsidP="00122DF2">
      <w:pPr>
        <w:pStyle w:val="StyleHeading214ptAuto"/>
        <w:tabs>
          <w:tab w:val="clear" w:pos="567"/>
        </w:tabs>
        <w:adjustRightInd w:val="0"/>
        <w:snapToGrid w:val="0"/>
        <w:spacing w:after="240" w:line="240" w:lineRule="auto"/>
        <w:ind w:left="0" w:firstLine="0"/>
        <w:outlineLvl w:val="9"/>
        <w:rPr>
          <w:rFonts w:ascii="Arabic Typesetting" w:hAnsi="Arabic Typesetting" w:cs="Arabic Typesetting"/>
          <w:b w:val="0"/>
          <w:bCs w:val="0"/>
          <w:iCs w:val="0"/>
          <w:caps w:val="0"/>
          <w:szCs w:val="34"/>
          <w:rtl/>
          <w:lang w:val="en-US" w:bidi="ar-SA"/>
        </w:rPr>
      </w:pPr>
      <w:r w:rsidRPr="00386BD0">
        <w:rPr>
          <w:noProof/>
          <w:szCs w:val="20"/>
          <w:rtl/>
          <w:lang w:val="en-US" w:bidi="ar-SA"/>
        </w:rPr>
        <w:drawing>
          <wp:inline distT="0" distB="0" distL="0" distR="0" wp14:anchorId="24F67957" wp14:editId="1E99CACF">
            <wp:extent cx="5514975" cy="6353175"/>
            <wp:effectExtent l="0" t="0" r="9525" b="9525"/>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5A0EB6" w:rsidRPr="00A67728" w:rsidRDefault="005A0EB6" w:rsidP="002C3C33">
      <w:pPr>
        <w:pStyle w:val="ARNormal"/>
        <w:rPr>
          <w:rtl/>
          <w:lang w:bidi="ar-EG"/>
        </w:rPr>
      </w:pPr>
    </w:p>
    <w:p w:rsidR="00410DF7" w:rsidRDefault="00410DF7" w:rsidP="002C3C33">
      <w:pPr>
        <w:pStyle w:val="ARNormal"/>
        <w:rPr>
          <w:rtl/>
        </w:rPr>
        <w:sectPr w:rsidR="00410DF7" w:rsidSect="00861CFF">
          <w:pgSz w:w="11906" w:h="16838" w:code="9"/>
          <w:pgMar w:top="1134" w:right="1418" w:bottom="1418" w:left="1134" w:header="510" w:footer="1021" w:gutter="0"/>
          <w:cols w:space="720"/>
          <w:bidi/>
          <w:rtlGutter/>
        </w:sectPr>
      </w:pPr>
    </w:p>
    <w:p w:rsidR="00410DF7" w:rsidRPr="008954A8" w:rsidRDefault="00410DF7" w:rsidP="0031375C">
      <w:pPr>
        <w:pStyle w:val="StyleHeading214ptAuto"/>
        <w:adjustRightInd w:val="0"/>
        <w:snapToGrid w:val="0"/>
        <w:spacing w:after="240" w:line="360" w:lineRule="exact"/>
        <w:ind w:left="0" w:firstLine="0"/>
        <w:jc w:val="left"/>
        <w:rPr>
          <w:rFonts w:ascii="Arabic Typesetting" w:hAnsi="Arabic Typesetting" w:cs="Arabic Typesetting"/>
          <w:i/>
          <w:iCs w:val="0"/>
          <w:sz w:val="42"/>
          <w:szCs w:val="42"/>
          <w:rtl/>
        </w:rPr>
      </w:pPr>
      <w:bookmarkStart w:id="66" w:name="_Toc364355387"/>
      <w:bookmarkStart w:id="67" w:name="_Toc420595514"/>
      <w:r w:rsidRPr="008954A8">
        <w:rPr>
          <w:rFonts w:ascii="Arabic Typesetting" w:hAnsi="Arabic Typesetting" w:cs="Arabic Typesetting" w:hint="cs"/>
          <w:i/>
          <w:iCs w:val="0"/>
          <w:sz w:val="42"/>
          <w:szCs w:val="42"/>
          <w:rtl/>
        </w:rPr>
        <w:lastRenderedPageBreak/>
        <w:t>الهدف الاستراتيجي الرابع</w:t>
      </w:r>
      <w:bookmarkStart w:id="68" w:name="_Toc364355388"/>
      <w:bookmarkEnd w:id="66"/>
      <w:r>
        <w:rPr>
          <w:rFonts w:ascii="Arabic Typesetting" w:hAnsi="Arabic Typesetting" w:cs="Arabic Typesetting" w:hint="cs"/>
          <w:i/>
          <w:iCs w:val="0"/>
          <w:sz w:val="42"/>
          <w:szCs w:val="42"/>
          <w:rtl/>
        </w:rPr>
        <w:tab/>
      </w:r>
      <w:r w:rsidRPr="008954A8">
        <w:rPr>
          <w:rFonts w:ascii="Arabic Typesetting" w:hAnsi="Arabic Typesetting" w:cs="Arabic Typesetting" w:hint="cs"/>
          <w:i/>
          <w:iCs w:val="0"/>
          <w:sz w:val="42"/>
          <w:szCs w:val="42"/>
          <w:rtl/>
        </w:rPr>
        <w:t xml:space="preserve">تنسيق </w:t>
      </w:r>
      <w:r w:rsidRPr="008954A8">
        <w:rPr>
          <w:rFonts w:ascii="Arabic Typesetting" w:hAnsi="Arabic Typesetting" w:cs="Arabic Typesetting"/>
          <w:i/>
          <w:iCs w:val="0"/>
          <w:sz w:val="42"/>
          <w:szCs w:val="42"/>
          <w:rtl/>
        </w:rPr>
        <w:t>البنية التحتية العالمية للملكية الفكرية</w:t>
      </w:r>
      <w:r w:rsidRPr="008954A8">
        <w:rPr>
          <w:rFonts w:ascii="Arabic Typesetting" w:hAnsi="Arabic Typesetting" w:cs="Arabic Typesetting" w:hint="cs"/>
          <w:i/>
          <w:iCs w:val="0"/>
          <w:sz w:val="42"/>
          <w:szCs w:val="42"/>
          <w:rtl/>
        </w:rPr>
        <w:t xml:space="preserve"> وتطويرها</w:t>
      </w:r>
      <w:bookmarkEnd w:id="67"/>
      <w:bookmarkEnd w:id="68"/>
    </w:p>
    <w:p w:rsidR="00410DF7" w:rsidRPr="008954A8" w:rsidRDefault="00410DF7" w:rsidP="00862268">
      <w:pPr>
        <w:pStyle w:val="ARNormal"/>
        <w:jc w:val="left"/>
        <w:rPr>
          <w:color w:val="000000"/>
          <w:rtl/>
        </w:rPr>
      </w:pPr>
      <w:r w:rsidRPr="008954A8">
        <w:rPr>
          <w:rFonts w:hint="cs"/>
          <w:rtl/>
        </w:rPr>
        <w:t xml:space="preserve">أتاحت تكنولوجيا </w:t>
      </w:r>
      <w:r w:rsidRPr="008954A8">
        <w:rPr>
          <w:rtl/>
        </w:rPr>
        <w:t>المعلومات والاتصالات (</w:t>
      </w:r>
      <w:r w:rsidRPr="008954A8">
        <w:t>ICT</w:t>
      </w:r>
      <w:r w:rsidRPr="008954A8">
        <w:rPr>
          <w:rtl/>
        </w:rPr>
        <w:t>) فرصاً</w:t>
      </w:r>
      <w:r w:rsidRPr="008954A8">
        <w:rPr>
          <w:color w:val="000000"/>
          <w:rtl/>
        </w:rPr>
        <w:t xml:space="preserve"> لتحقيق كفاءة أكبر في نظام الملكية الفكرية الدولي ونفاذ أكثر فعالية إلى ما</w:t>
      </w:r>
      <w:r w:rsidRPr="008954A8">
        <w:rPr>
          <w:color w:val="000000"/>
        </w:rPr>
        <w:t> </w:t>
      </w:r>
      <w:r w:rsidRPr="008954A8">
        <w:rPr>
          <w:color w:val="000000"/>
          <w:rtl/>
        </w:rPr>
        <w:t xml:space="preserve">ينتجه النظام ومشاركة أكبر من جانب البلدان الأقل نمواً والبلدان النامية والبلدان المنتقلة إلى نظام الاقتصاد الحر. </w:t>
      </w:r>
      <w:r w:rsidRPr="008954A8">
        <w:rPr>
          <w:rFonts w:hint="cs"/>
          <w:color w:val="000000"/>
          <w:rtl/>
        </w:rPr>
        <w:t>و</w:t>
      </w:r>
      <w:r w:rsidRPr="008954A8">
        <w:rPr>
          <w:color w:val="000000"/>
          <w:rtl/>
        </w:rPr>
        <w:t>يرمي هذا الهدف الاستراتيجي إلى تعزيز البنية التحتية للدول الأعضاء، وعلى وجه الخصوص، البلدان الأقل نمواً والبلدان النامية وتلك المنتقلة إلى نظام الاقتصاد الحر وإلى توطيد التعاون الدولي على مستوى البنى التحتية وفي تدفقات البيانات عبر النظام برمته وإلى استحداث قواعد بيانات عالمية للملكية الفكرية ومنصات لبرامج تشغيل طوعية تهدف إلى زيادة التعاون</w:t>
      </w:r>
      <w:r w:rsidRPr="008954A8">
        <w:rPr>
          <w:rFonts w:hint="cs"/>
          <w:color w:val="000000"/>
          <w:rtl/>
        </w:rPr>
        <w:t xml:space="preserve"> التقني.</w:t>
      </w:r>
    </w:p>
    <w:p w:rsidR="00410DF7" w:rsidRPr="008954A8" w:rsidRDefault="00410DF7" w:rsidP="00862268">
      <w:pPr>
        <w:pStyle w:val="ARNormal"/>
        <w:jc w:val="left"/>
        <w:rPr>
          <w:rtl/>
        </w:rPr>
      </w:pPr>
      <w:r w:rsidRPr="008954A8">
        <w:rPr>
          <w:rFonts w:hint="cs"/>
          <w:rtl/>
        </w:rPr>
        <w:t xml:space="preserve">ويسهم </w:t>
      </w:r>
      <w:r w:rsidRPr="008954A8">
        <w:rPr>
          <w:color w:val="000000"/>
          <w:rtl/>
        </w:rPr>
        <w:t>تنسيق البنية التحتية العالمية للملكية الفكرية وتطويرها أيضا في تحقيق الهدف الاستراتيجي الثالث (الانتفاع بالملكية الفكرية لأغراض التنمية) والهدف الاستراتيجي الثاني (تقديم خدمات من الطراز الأول العالمي في مجال الملكية الفكرية) والهدف الاستراتيجي الخامس (مصدر مرجعي عالمي للمعلومات المتعلقة بالملكية الفكرية). ويتضمن ذلك تنفيذ عدد من توصيات جدول أعمال</w:t>
      </w:r>
      <w:r w:rsidRPr="008954A8">
        <w:rPr>
          <w:rFonts w:hint="cs"/>
          <w:rtl/>
        </w:rPr>
        <w:t xml:space="preserve"> التنمية.</w:t>
      </w:r>
    </w:p>
    <w:p w:rsidR="00410DF7" w:rsidRPr="008954A8" w:rsidRDefault="00410DF7" w:rsidP="00862268">
      <w:pPr>
        <w:pStyle w:val="ARNormal"/>
        <w:jc w:val="left"/>
        <w:rPr>
          <w:rtl/>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4253"/>
        <w:gridCol w:w="1843"/>
      </w:tblGrid>
      <w:tr w:rsidR="00410DF7" w:rsidRPr="008954A8" w:rsidTr="0031375C">
        <w:trPr>
          <w:tblHeader/>
        </w:trPr>
        <w:tc>
          <w:tcPr>
            <w:tcW w:w="3260" w:type="dxa"/>
            <w:tcBorders>
              <w:bottom w:val="single" w:sz="4" w:space="0" w:color="auto"/>
              <w:right w:val="nil"/>
            </w:tcBorders>
            <w:shd w:val="clear" w:color="auto" w:fill="C6D9F1"/>
          </w:tcPr>
          <w:p w:rsidR="00410DF7" w:rsidRPr="008954A8" w:rsidRDefault="00410DF7" w:rsidP="00862268">
            <w:pPr>
              <w:pStyle w:val="ARSGTableHeading"/>
              <w:spacing w:line="300" w:lineRule="exact"/>
              <w:rPr>
                <w:rtl/>
                <w:lang w:bidi="ar-SA"/>
              </w:rPr>
            </w:pPr>
            <w:r w:rsidRPr="008954A8">
              <w:rPr>
                <w:rtl/>
                <w:lang w:bidi="ar-SA"/>
              </w:rPr>
              <w:t>النتائج المرتقبة</w:t>
            </w:r>
          </w:p>
        </w:tc>
        <w:tc>
          <w:tcPr>
            <w:tcW w:w="4253" w:type="dxa"/>
            <w:tcBorders>
              <w:left w:val="nil"/>
              <w:bottom w:val="single" w:sz="4" w:space="0" w:color="auto"/>
              <w:right w:val="nil"/>
            </w:tcBorders>
            <w:shd w:val="clear" w:color="auto" w:fill="C6D9F1"/>
          </w:tcPr>
          <w:p w:rsidR="00410DF7" w:rsidRPr="008954A8" w:rsidRDefault="00410DF7" w:rsidP="00862268">
            <w:pPr>
              <w:pStyle w:val="ARSGTableHeading"/>
              <w:spacing w:line="300" w:lineRule="exact"/>
              <w:rPr>
                <w:rtl/>
                <w:lang w:bidi="ar-SA"/>
              </w:rPr>
            </w:pPr>
            <w:r w:rsidRPr="008954A8">
              <w:rPr>
                <w:rtl/>
                <w:lang w:bidi="ar-SA"/>
              </w:rPr>
              <w:t>مؤشرات الأداء</w:t>
            </w:r>
          </w:p>
        </w:tc>
        <w:tc>
          <w:tcPr>
            <w:tcW w:w="1843" w:type="dxa"/>
            <w:tcBorders>
              <w:left w:val="nil"/>
              <w:bottom w:val="single" w:sz="4" w:space="0" w:color="auto"/>
              <w:right w:val="single" w:sz="4" w:space="0" w:color="auto"/>
            </w:tcBorders>
            <w:shd w:val="clear" w:color="auto" w:fill="C6D9F1"/>
          </w:tcPr>
          <w:p w:rsidR="00410DF7" w:rsidRPr="008954A8" w:rsidRDefault="00410DF7" w:rsidP="00862268">
            <w:pPr>
              <w:pStyle w:val="ARSGTableHeading"/>
              <w:spacing w:line="300" w:lineRule="exact"/>
              <w:rPr>
                <w:rtl/>
                <w:lang w:bidi="ar-SA"/>
              </w:rPr>
            </w:pPr>
            <w:r w:rsidRPr="008954A8">
              <w:rPr>
                <w:rtl/>
                <w:lang w:bidi="ar-SA"/>
              </w:rPr>
              <w:t>البرامج المسؤولة</w:t>
            </w:r>
          </w:p>
        </w:tc>
      </w:tr>
      <w:tr w:rsidR="00410DF7" w:rsidRPr="008954A8" w:rsidTr="0041632B">
        <w:tc>
          <w:tcPr>
            <w:tcW w:w="3260" w:type="dxa"/>
            <w:tcBorders>
              <w:bottom w:val="nil"/>
              <w:right w:val="nil"/>
            </w:tcBorders>
            <w:shd w:val="clear" w:color="auto" w:fill="auto"/>
          </w:tcPr>
          <w:p w:rsidR="00410DF7" w:rsidRPr="006D27DF" w:rsidRDefault="00410DF7" w:rsidP="00862268">
            <w:pPr>
              <w:pStyle w:val="ARSGTableText"/>
              <w:spacing w:line="300" w:lineRule="exact"/>
              <w:rPr>
                <w:rtl/>
              </w:rPr>
            </w:pPr>
            <w:r w:rsidRPr="006D27DF">
              <w:rPr>
                <w:rtl/>
              </w:rPr>
              <w:t>ه 1.4 نظام محدّث ومقبول عالميا للتصنيفات الدولية ومعايير الويبو بهدف تيسير النفاذ إلى معلومات الملكية الفكرية واستخدامها ونشرها في صفوف أصحاب المصلحة في أنحاء العالم</w:t>
            </w:r>
          </w:p>
        </w:tc>
        <w:tc>
          <w:tcPr>
            <w:tcW w:w="4253" w:type="dxa"/>
            <w:tcBorders>
              <w:left w:val="nil"/>
              <w:bottom w:val="nil"/>
              <w:right w:val="nil"/>
            </w:tcBorders>
            <w:shd w:val="clear" w:color="auto" w:fill="auto"/>
          </w:tcPr>
          <w:p w:rsidR="00410DF7" w:rsidRPr="006D27DF" w:rsidRDefault="00410DF7" w:rsidP="00862268">
            <w:pPr>
              <w:pStyle w:val="ARSGTableText"/>
              <w:spacing w:line="300" w:lineRule="exact"/>
              <w:rPr>
                <w:rtl/>
                <w:lang w:bidi="ar-SA"/>
              </w:rPr>
            </w:pPr>
            <w:r w:rsidRPr="006D27DF">
              <w:rPr>
                <w:rtl/>
                <w:lang w:bidi="ar-SA"/>
              </w:rPr>
              <w:t>عدد التعديلات وملفات المعلومات التي تم إدراجها في تصنيف نيس</w:t>
            </w:r>
          </w:p>
        </w:tc>
        <w:tc>
          <w:tcPr>
            <w:tcW w:w="1843" w:type="dxa"/>
            <w:tcBorders>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lang w:bidi="ar-SA"/>
              </w:rPr>
            </w:pPr>
            <w:r w:rsidRPr="006D27DF">
              <w:rPr>
                <w:rtl/>
                <w:lang w:bidi="ar-SA"/>
              </w:rPr>
              <w:t>البرنامج 12</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pPr>
            <w:r w:rsidRPr="006D27DF">
              <w:rPr>
                <w:rtl/>
                <w:lang w:bidi="ar-SA"/>
              </w:rPr>
              <w:t>عدد التقسيمات الفرعية الجديدة التي أُدخلت في التصنيف الدولي للبراءات سنويا</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lang w:bidi="ar-SA"/>
              </w:rPr>
            </w:pPr>
            <w:r w:rsidRPr="006D27DF">
              <w:rPr>
                <w:rtl/>
                <w:lang w:bidi="ar-SA"/>
              </w:rPr>
              <w:t>البرنامج 12</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lang w:bidi="ar-SA"/>
              </w:rPr>
            </w:pPr>
            <w:r w:rsidRPr="006D27DF">
              <w:rPr>
                <w:rtl/>
                <w:lang w:bidi="ar-SA"/>
              </w:rPr>
              <w:t>عدد المعايير التي تم تعديلها وعدد المعايير الجديدة التي تم اعتمادها</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lang w:bidi="ar-SA"/>
              </w:rPr>
            </w:pPr>
            <w:r w:rsidRPr="006D27DF">
              <w:rPr>
                <w:rtl/>
                <w:lang w:bidi="ar-SA"/>
              </w:rPr>
              <w:t>البرنامج 12</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w w:val="95"/>
                <w:rtl/>
                <w:lang w:bidi="ar-SA"/>
              </w:rPr>
            </w:pPr>
            <w:r w:rsidRPr="006D27DF">
              <w:rPr>
                <w:w w:val="95"/>
                <w:rtl/>
                <w:lang w:bidi="ar-SA"/>
              </w:rPr>
              <w:t>عدد المستخدمين القادرين على النفاذ إلى منشورات التصنيفات والمعايير الدولية على الإنترنت، ولا سيما من البلدان النامية</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lang w:bidi="ar-SA"/>
              </w:rPr>
            </w:pPr>
            <w:r w:rsidRPr="006D27DF">
              <w:rPr>
                <w:rtl/>
                <w:lang w:bidi="ar-SA"/>
              </w:rPr>
              <w:t>البرنامج 12</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r w:rsidRPr="006D27DF">
              <w:rPr>
                <w:rtl/>
                <w:lang w:bidi="ar-SA"/>
              </w:rPr>
              <w:t>ه 2.4 نفاذ محسّن إلى المعلومات المتعلقة بالملكية الفكرية واستخدامها من قبل مؤسسات الملكية الفكرية والجمهور لتشجيع الابتكار والإبداع</w:t>
            </w: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rPr>
            </w:pPr>
            <w:r w:rsidRPr="006D27DF">
              <w:rPr>
                <w:rtl/>
                <w:lang w:bidi="ar-SA"/>
              </w:rPr>
              <w:t>عدد الأعضاء المؤسسين لاتحاد الكتب المُيسَّرة</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lang w:bidi="ar-SA"/>
              </w:rPr>
            </w:pPr>
            <w:r w:rsidRPr="006D27DF">
              <w:rPr>
                <w:rtl/>
                <w:lang w:bidi="ar-SA"/>
              </w:rPr>
              <w:t>البرنامج 3</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lang w:bidi="ar-SA"/>
              </w:rPr>
            </w:pPr>
            <w:r w:rsidRPr="006D27DF">
              <w:rPr>
                <w:rtl/>
                <w:lang w:bidi="ar-SA"/>
              </w:rPr>
              <w:t>عدد المانحين</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lang w:bidi="ar-SA"/>
              </w:rPr>
            </w:pPr>
            <w:r w:rsidRPr="006D27DF">
              <w:rPr>
                <w:rtl/>
                <w:lang w:bidi="ar-SA"/>
              </w:rPr>
              <w:t>البرنامج 3</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lang w:bidi="ar-SA"/>
              </w:rPr>
            </w:pPr>
            <w:r w:rsidRPr="006D27DF">
              <w:rPr>
                <w:rtl/>
                <w:lang w:bidi="ar-SA"/>
              </w:rPr>
              <w:t>عدد الصكوك القانونية والمبادئ التوجيهية وبيانات المبادئ بخلاف الصكوك الملزمة بمشاركة أصحاب المصالح المعنيين في مجالات مثل معاهدات حق المؤلف الجديدة وحق المؤلف في البيئة الرقمية</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lang w:bidi="ar-SA"/>
              </w:rPr>
            </w:pPr>
            <w:r w:rsidRPr="006D27DF">
              <w:rPr>
                <w:rtl/>
                <w:lang w:bidi="ar-SA"/>
              </w:rPr>
              <w:t>البرنامج 3</w:t>
            </w:r>
          </w:p>
        </w:tc>
      </w:tr>
      <w:tr w:rsidR="00410DF7" w:rsidRPr="008954A8" w:rsidTr="00D65E82">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pPr>
            <w:r w:rsidRPr="006D27DF">
              <w:rPr>
                <w:rtl/>
                <w:lang w:bidi="ar-SA"/>
              </w:rPr>
              <w:t>النسبة المئوية لتقييم المشاركين الإيجابي لجدوى الاجتماعات وحلقات العمل الخاصة بتكوين كفاءات حق المؤلف والحقوق المجاورة</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3</w:t>
            </w:r>
          </w:p>
        </w:tc>
      </w:tr>
      <w:tr w:rsidR="00410DF7" w:rsidRPr="008954A8" w:rsidTr="00D65E82">
        <w:tc>
          <w:tcPr>
            <w:tcW w:w="3260" w:type="dxa"/>
            <w:tcBorders>
              <w:top w:val="nil"/>
              <w:bottom w:val="single" w:sz="4" w:space="0" w:color="auto"/>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single" w:sz="4" w:space="0" w:color="auto"/>
              <w:right w:val="nil"/>
            </w:tcBorders>
            <w:shd w:val="clear" w:color="auto" w:fill="auto"/>
          </w:tcPr>
          <w:p w:rsidR="00410DF7" w:rsidRPr="006D27DF" w:rsidRDefault="00410DF7" w:rsidP="00862268">
            <w:pPr>
              <w:pStyle w:val="ARSGTableText"/>
              <w:spacing w:line="300" w:lineRule="exact"/>
              <w:rPr>
                <w:rtl/>
                <w:lang w:bidi="ar-SA"/>
              </w:rPr>
            </w:pPr>
            <w:r w:rsidRPr="006D27DF">
              <w:rPr>
                <w:rtl/>
                <w:lang w:bidi="ar-SA"/>
              </w:rPr>
              <w:t>عدد شبكات مراكز دعم التكنولوجيا والابتكار الوطنية المستدامة</w:t>
            </w:r>
            <w:r w:rsidR="009C53DB" w:rsidRPr="009C53DB">
              <w:rPr>
                <w:rStyle w:val="FootnoteReference"/>
                <w:rFonts w:cs="Arabic Typesetting"/>
                <w:rtl/>
                <w:lang w:bidi="ar-SA"/>
              </w:rPr>
              <w:footnoteReference w:id="20"/>
            </w:r>
            <w:r w:rsidR="009C53DB">
              <w:rPr>
                <w:rFonts w:hint="cs"/>
                <w:rtl/>
                <w:lang w:bidi="ar-SA"/>
              </w:rPr>
              <w:t xml:space="preserve"> </w:t>
            </w:r>
            <w:r w:rsidRPr="006D27DF">
              <w:rPr>
                <w:rtl/>
                <w:lang w:bidi="ar-SA"/>
              </w:rPr>
              <w:t>(العدد التراكمي)</w:t>
            </w:r>
          </w:p>
        </w:tc>
        <w:tc>
          <w:tcPr>
            <w:tcW w:w="1843" w:type="dxa"/>
            <w:tcBorders>
              <w:top w:val="nil"/>
              <w:left w:val="nil"/>
              <w:bottom w:val="single" w:sz="4" w:space="0" w:color="auto"/>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 xml:space="preserve">البرنامج </w:t>
            </w:r>
            <w:r w:rsidRPr="006D27DF">
              <w:rPr>
                <w:rFonts w:hint="cs"/>
                <w:rtl/>
              </w:rPr>
              <w:t>9</w:t>
            </w:r>
          </w:p>
          <w:p w:rsidR="00410DF7" w:rsidRPr="006D27DF" w:rsidRDefault="00410DF7" w:rsidP="0031375C">
            <w:pPr>
              <w:pStyle w:val="ARSGTableText"/>
              <w:spacing w:line="300" w:lineRule="exact"/>
              <w:jc w:val="center"/>
              <w:rPr>
                <w:rtl/>
              </w:rPr>
            </w:pPr>
            <w:r w:rsidRPr="006D27DF">
              <w:rPr>
                <w:rFonts w:hint="cs"/>
                <w:rtl/>
              </w:rPr>
              <w:t>البرنامج 14</w:t>
            </w:r>
          </w:p>
          <w:p w:rsidR="00410DF7" w:rsidRPr="006D27DF" w:rsidRDefault="00410DF7" w:rsidP="0031375C">
            <w:pPr>
              <w:pStyle w:val="ARSGTableText"/>
              <w:spacing w:line="300" w:lineRule="exact"/>
              <w:jc w:val="center"/>
              <w:rPr>
                <w:rtl/>
              </w:rPr>
            </w:pPr>
            <w:r w:rsidRPr="006D27DF">
              <w:rPr>
                <w:rFonts w:hint="cs"/>
                <w:rtl/>
              </w:rPr>
              <w:t>البرنامج 20</w:t>
            </w:r>
          </w:p>
        </w:tc>
      </w:tr>
      <w:tr w:rsidR="00410DF7" w:rsidRPr="008954A8" w:rsidTr="00D65E82">
        <w:tc>
          <w:tcPr>
            <w:tcW w:w="3260" w:type="dxa"/>
            <w:tcBorders>
              <w:top w:val="single" w:sz="4" w:space="0" w:color="auto"/>
              <w:bottom w:val="nil"/>
              <w:right w:val="nil"/>
            </w:tcBorders>
            <w:shd w:val="clear" w:color="auto" w:fill="auto"/>
          </w:tcPr>
          <w:p w:rsidR="00410DF7" w:rsidRPr="006D27DF" w:rsidRDefault="00410DF7" w:rsidP="0041632B">
            <w:pPr>
              <w:pStyle w:val="ARSGTableText"/>
              <w:keepNext/>
              <w:spacing w:line="300" w:lineRule="exact"/>
              <w:rPr>
                <w:rtl/>
                <w:lang w:bidi="ar-SA"/>
              </w:rPr>
            </w:pPr>
          </w:p>
        </w:tc>
        <w:tc>
          <w:tcPr>
            <w:tcW w:w="4253" w:type="dxa"/>
            <w:tcBorders>
              <w:top w:val="single" w:sz="4" w:space="0" w:color="auto"/>
              <w:left w:val="nil"/>
              <w:bottom w:val="nil"/>
              <w:right w:val="nil"/>
            </w:tcBorders>
            <w:shd w:val="clear" w:color="auto" w:fill="auto"/>
          </w:tcPr>
          <w:p w:rsidR="00410DF7" w:rsidRPr="006D27DF" w:rsidRDefault="00410DF7" w:rsidP="0041632B">
            <w:pPr>
              <w:pStyle w:val="ARSGTableText"/>
              <w:keepNext/>
              <w:spacing w:line="300" w:lineRule="exact"/>
              <w:rPr>
                <w:rtl/>
              </w:rPr>
            </w:pPr>
            <w:r w:rsidRPr="006D27DF">
              <w:rPr>
                <w:rStyle w:val="hps"/>
                <w:rFonts w:cs="Arabic Typesetting"/>
                <w:color w:val="333333"/>
                <w:rtl/>
              </w:rPr>
              <w:t>عدد المنظمات والمجتمعات والأفراد الذين طبقوا التكنولوجيا الملائمة واستخدموها كحل للتحديات الإنمائية المحددة في البلدان الأقل نموا</w:t>
            </w:r>
          </w:p>
        </w:tc>
        <w:tc>
          <w:tcPr>
            <w:tcW w:w="1843" w:type="dxa"/>
            <w:tcBorders>
              <w:top w:val="single" w:sz="4" w:space="0" w:color="auto"/>
              <w:left w:val="nil"/>
              <w:bottom w:val="nil"/>
              <w:right w:val="single" w:sz="4" w:space="0" w:color="auto"/>
            </w:tcBorders>
            <w:shd w:val="clear" w:color="auto" w:fill="auto"/>
          </w:tcPr>
          <w:p w:rsidR="00410DF7" w:rsidRPr="006D27DF" w:rsidRDefault="00410DF7" w:rsidP="0031375C">
            <w:pPr>
              <w:pStyle w:val="ARSGTableText"/>
              <w:keepNext/>
              <w:spacing w:line="300" w:lineRule="exact"/>
              <w:jc w:val="center"/>
              <w:rPr>
                <w:rtl/>
              </w:rPr>
            </w:pPr>
            <w:r w:rsidRPr="006D27DF">
              <w:rPr>
                <w:rtl/>
              </w:rPr>
              <w:t xml:space="preserve">البرنامج </w:t>
            </w:r>
            <w:r w:rsidRPr="006D27DF">
              <w:rPr>
                <w:rFonts w:hint="cs"/>
                <w:rtl/>
              </w:rPr>
              <w:t>9</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Style w:val="hps"/>
                <w:rFonts w:cs="Arabic Typesetting"/>
                <w:color w:val="333333"/>
                <w:rtl/>
              </w:rPr>
              <w:t>استخدام التكنولوجيا الملائمة في سبيل التنمية من خلال البحوث في البراءات وتقاريرها والتقارير عن واقع التكنولوجيا والخطط المؤسسية (عدد الخبراء ومجموعات الخبراء الوطنيين في البلدان الأقل نموا)</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البرنامج 9</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Style w:val="hps"/>
                <w:rFonts w:cs="Arabic Typesetting"/>
                <w:color w:val="333333"/>
                <w:rtl/>
              </w:rPr>
              <w:t>التكنولوجيا الملائمة المحددة والمسوقة في البلدان الأقل نموا</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البرنامج 9</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Style w:val="hps"/>
                <w:rFonts w:cs="Arabic Typesetting"/>
                <w:color w:val="333333"/>
                <w:rtl/>
              </w:rPr>
              <w:t>المشروعات المكررة في مناطق أخرى في البلدان الأقل نموا</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9</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Style w:val="hps"/>
                <w:rFonts w:cs="Arabic Typesetting"/>
                <w:color w:val="333333"/>
                <w:rtl/>
              </w:rPr>
              <w:t>مواصلة برامج تكوين الكفاءات التكنولوجية الوطنية بشأن التكنولوجيا الملائمة وتوسيع نطاقها في البلدان الأقل نموا</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Fonts w:hint="cs"/>
                <w:rtl/>
              </w:rPr>
              <w:t>البرنامج 9</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Style w:val="hps"/>
                <w:rFonts w:cs="Arabic Typesetting"/>
                <w:color w:val="333333"/>
                <w:rtl/>
              </w:rPr>
              <w:t>استخدام التكنولوجيا الملائمة في سبيل التنمية الاقتصادية المشمولة في السياسات والاستراتيجيات الوطنية للابتكار والملكية الفكرية في البلدان الأقل نموا</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 xml:space="preserve">البرنامج </w:t>
            </w:r>
            <w:r w:rsidRPr="006D27DF">
              <w:rPr>
                <w:rFonts w:hint="cs"/>
                <w:rtl/>
              </w:rPr>
              <w:t>9</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Style w:val="hps"/>
                <w:rFonts w:cs="Arabic Typesetting"/>
                <w:color w:val="333333"/>
                <w:rtl/>
              </w:rPr>
              <w:t>عدد المستخدمين المختلفين لكل فترة ربع سنوية على صعيد كافة أنظمة قواعد البيانات العالمية</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13</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Style w:val="hps"/>
                <w:rFonts w:cs="Arabic Typesetting"/>
                <w:color w:val="333333"/>
                <w:rtl/>
              </w:rPr>
              <w:t>عدد اللغات المتاح بها البحث عبر لغات مختلفة</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13</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Pr>
            </w:pPr>
            <w:r w:rsidRPr="006D27DF">
              <w:rPr>
                <w:rStyle w:val="hps"/>
                <w:rFonts w:cs="Arabic Typesetting"/>
                <w:color w:val="333333"/>
                <w:rtl/>
              </w:rPr>
              <w:t>عدد أزواج اللغات المتاحة لترجمة الأوصاف والمطالبات</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 xml:space="preserve">البرنامج </w:t>
            </w:r>
            <w:r w:rsidRPr="006D27DF">
              <w:t>13</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Style w:val="hps"/>
                <w:rFonts w:cs="Arabic Typesetting"/>
                <w:color w:val="333333"/>
                <w:rtl/>
              </w:rPr>
            </w:pPr>
            <w:r w:rsidRPr="006D27DF">
              <w:rPr>
                <w:rtl/>
                <w:lang w:bidi="ar-SA"/>
              </w:rPr>
              <w:t>عدد السجلات المدرجة في ركن البراءات</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 xml:space="preserve">البرنامج </w:t>
            </w:r>
            <w:r w:rsidRPr="006D27DF">
              <w:t>13</w:t>
            </w:r>
          </w:p>
        </w:tc>
      </w:tr>
      <w:tr w:rsidR="00DC08DA" w:rsidRPr="008954A8" w:rsidTr="0041632B">
        <w:tc>
          <w:tcPr>
            <w:tcW w:w="3260" w:type="dxa"/>
            <w:tcBorders>
              <w:top w:val="nil"/>
              <w:bottom w:val="nil"/>
              <w:right w:val="nil"/>
            </w:tcBorders>
            <w:shd w:val="clear" w:color="auto" w:fill="auto"/>
          </w:tcPr>
          <w:p w:rsidR="00DC08DA" w:rsidRPr="006D27DF" w:rsidRDefault="00DC08DA"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DC08DA" w:rsidRPr="006D27DF" w:rsidRDefault="00C3069D" w:rsidP="00385398">
            <w:pPr>
              <w:pStyle w:val="ARSGTableText"/>
              <w:spacing w:line="300" w:lineRule="exact"/>
              <w:rPr>
                <w:rtl/>
                <w:lang w:bidi="ar-SA"/>
              </w:rPr>
            </w:pPr>
            <w:r>
              <w:rPr>
                <w:rFonts w:hint="cs"/>
                <w:rtl/>
                <w:lang w:bidi="ar-SA"/>
              </w:rPr>
              <w:t xml:space="preserve">توقيت تحميل البيانات (معدل </w:t>
            </w:r>
            <w:r w:rsidR="00385398">
              <w:rPr>
                <w:rFonts w:hint="cs"/>
                <w:rtl/>
                <w:lang w:bidi="ar-SA"/>
              </w:rPr>
              <w:t>ال</w:t>
            </w:r>
            <w:r>
              <w:rPr>
                <w:rFonts w:hint="cs"/>
                <w:rtl/>
                <w:lang w:bidi="ar-SA"/>
              </w:rPr>
              <w:t>فترة المحسوبة بالأيام بين تاريخ نشر السجلات في سجلها الرسمي وتوافرها في قواعد البيانات العالمية لأغراض إتاحة مجموعة فرعية من المجموعات الوطنية)</w:t>
            </w:r>
          </w:p>
        </w:tc>
        <w:tc>
          <w:tcPr>
            <w:tcW w:w="1843" w:type="dxa"/>
            <w:tcBorders>
              <w:top w:val="nil"/>
              <w:left w:val="nil"/>
              <w:bottom w:val="nil"/>
              <w:right w:val="single" w:sz="4" w:space="0" w:color="auto"/>
            </w:tcBorders>
            <w:shd w:val="clear" w:color="auto" w:fill="auto"/>
          </w:tcPr>
          <w:p w:rsidR="00DC08DA" w:rsidRPr="006D27DF" w:rsidRDefault="00787D96" w:rsidP="0031375C">
            <w:pPr>
              <w:pStyle w:val="ARSGTableText"/>
              <w:spacing w:line="300" w:lineRule="exact"/>
              <w:jc w:val="center"/>
              <w:rPr>
                <w:rtl/>
              </w:rPr>
            </w:pPr>
            <w:r w:rsidRPr="006D27DF">
              <w:rPr>
                <w:rtl/>
              </w:rPr>
              <w:t xml:space="preserve">البرنامج </w:t>
            </w:r>
            <w:r w:rsidRPr="006D27DF">
              <w:t>13</w:t>
            </w:r>
          </w:p>
        </w:tc>
      </w:tr>
      <w:tr w:rsidR="00410DF7" w:rsidRPr="008954A8"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pPr>
            <w:r w:rsidRPr="006D27DF">
              <w:rPr>
                <w:rtl/>
                <w:lang w:bidi="ar-SA"/>
              </w:rPr>
              <w:t>متوسط عدد المستخدمين الذين حصلوا على خدمات مراكز دعم التكنولوجيا والابتكار سنويا</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14</w:t>
            </w:r>
          </w:p>
        </w:tc>
      </w:tr>
      <w:tr w:rsidR="00410DF7" w:rsidRPr="008954A8" w:rsidTr="0041632B">
        <w:tc>
          <w:tcPr>
            <w:tcW w:w="3260" w:type="dxa"/>
            <w:tcBorders>
              <w:top w:val="nil"/>
              <w:bottom w:val="nil"/>
              <w:right w:val="nil"/>
            </w:tcBorders>
            <w:shd w:val="clear" w:color="auto" w:fill="auto"/>
          </w:tcPr>
          <w:p w:rsidR="00410DF7" w:rsidRPr="008954A8"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84716C" w:rsidRDefault="00410DF7" w:rsidP="00862268">
            <w:pPr>
              <w:pStyle w:val="ARSGTableText"/>
              <w:spacing w:line="300" w:lineRule="exact"/>
              <w:rPr>
                <w:highlight w:val="yellow"/>
                <w:rtl/>
              </w:rPr>
            </w:pPr>
            <w:r w:rsidRPr="002F1531">
              <w:rPr>
                <w:rtl/>
                <w:lang w:bidi="ar-SA"/>
              </w:rPr>
              <w:t>عدد الدول الأعضاء في المناطق المعنية التي تتعاون مع قواعد البيانات العالمية</w:t>
            </w:r>
          </w:p>
        </w:tc>
        <w:tc>
          <w:tcPr>
            <w:tcW w:w="1843" w:type="dxa"/>
            <w:tcBorders>
              <w:top w:val="nil"/>
              <w:left w:val="nil"/>
              <w:bottom w:val="nil"/>
              <w:right w:val="single" w:sz="4" w:space="0" w:color="auto"/>
            </w:tcBorders>
            <w:shd w:val="clear" w:color="auto" w:fill="auto"/>
          </w:tcPr>
          <w:p w:rsidR="00410DF7" w:rsidRPr="002F1531" w:rsidRDefault="00410DF7" w:rsidP="0031375C">
            <w:pPr>
              <w:pStyle w:val="ARSGTableText"/>
              <w:spacing w:line="300" w:lineRule="exact"/>
              <w:jc w:val="center"/>
              <w:rPr>
                <w:rtl/>
              </w:rPr>
            </w:pPr>
            <w:r w:rsidRPr="002F1531">
              <w:rPr>
                <w:rtl/>
              </w:rPr>
              <w:t xml:space="preserve">البرنامج </w:t>
            </w:r>
            <w:r w:rsidRPr="002F1531">
              <w:t>14</w:t>
            </w:r>
          </w:p>
        </w:tc>
      </w:tr>
      <w:tr w:rsidR="00410DF7" w:rsidRPr="008954A8" w:rsidTr="004E7690">
        <w:tc>
          <w:tcPr>
            <w:tcW w:w="3260" w:type="dxa"/>
            <w:tcBorders>
              <w:top w:val="nil"/>
              <w:bottom w:val="nil"/>
              <w:right w:val="nil"/>
            </w:tcBorders>
            <w:shd w:val="clear" w:color="auto" w:fill="auto"/>
          </w:tcPr>
          <w:p w:rsidR="00410DF7" w:rsidRPr="008954A8"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84716C" w:rsidRDefault="00410DF7" w:rsidP="00862268">
            <w:pPr>
              <w:pStyle w:val="ARSGTableText"/>
              <w:spacing w:line="300" w:lineRule="exact"/>
              <w:rPr>
                <w:highlight w:val="yellow"/>
                <w:rtl/>
                <w:lang w:bidi="ar-SA"/>
              </w:rPr>
            </w:pPr>
            <w:r w:rsidRPr="002F1531">
              <w:rPr>
                <w:rtl/>
                <w:lang w:bidi="ar-SA"/>
              </w:rPr>
              <w:t xml:space="preserve">عدد المسجلين الذين يستخدمون فعلا برنامجي </w:t>
            </w:r>
            <w:r w:rsidRPr="002F1531">
              <w:rPr>
                <w:lang w:bidi="ar-SA"/>
              </w:rPr>
              <w:t>ARDI</w:t>
            </w:r>
            <w:r w:rsidRPr="002F1531">
              <w:rPr>
                <w:rtl/>
                <w:lang w:bidi="ar-SA"/>
              </w:rPr>
              <w:t xml:space="preserve"> و</w:t>
            </w:r>
            <w:r w:rsidRPr="002F1531">
              <w:rPr>
                <w:lang w:bidi="ar-SA"/>
              </w:rPr>
              <w:t>ASPI</w:t>
            </w:r>
          </w:p>
        </w:tc>
        <w:tc>
          <w:tcPr>
            <w:tcW w:w="1843" w:type="dxa"/>
            <w:tcBorders>
              <w:top w:val="nil"/>
              <w:left w:val="nil"/>
              <w:bottom w:val="nil"/>
              <w:right w:val="single" w:sz="4" w:space="0" w:color="auto"/>
            </w:tcBorders>
            <w:shd w:val="clear" w:color="auto" w:fill="auto"/>
          </w:tcPr>
          <w:p w:rsidR="00410DF7" w:rsidRPr="002F1531" w:rsidRDefault="00410DF7" w:rsidP="00862268">
            <w:pPr>
              <w:pStyle w:val="ARSGTableText"/>
              <w:spacing w:line="300" w:lineRule="exact"/>
              <w:jc w:val="center"/>
              <w:rPr>
                <w:rtl/>
              </w:rPr>
            </w:pPr>
            <w:r w:rsidRPr="002F1531">
              <w:rPr>
                <w:rtl/>
              </w:rPr>
              <w:t xml:space="preserve">البرنامج </w:t>
            </w:r>
            <w:r w:rsidRPr="002F1531">
              <w:t>14</w:t>
            </w:r>
          </w:p>
        </w:tc>
      </w:tr>
      <w:tr w:rsidR="00410DF7" w:rsidRPr="008954A8" w:rsidTr="004E7690">
        <w:tc>
          <w:tcPr>
            <w:tcW w:w="3260" w:type="dxa"/>
            <w:tcBorders>
              <w:top w:val="nil"/>
              <w:bottom w:val="nil"/>
              <w:right w:val="nil"/>
            </w:tcBorders>
            <w:shd w:val="clear" w:color="auto" w:fill="auto"/>
          </w:tcPr>
          <w:p w:rsidR="00410DF7" w:rsidRPr="008954A8"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84716C" w:rsidRDefault="00410DF7" w:rsidP="00862268">
            <w:pPr>
              <w:pStyle w:val="ARSGTableText"/>
              <w:spacing w:line="300" w:lineRule="exact"/>
              <w:rPr>
                <w:highlight w:val="yellow"/>
                <w:rtl/>
                <w:lang w:bidi="ar-SA"/>
              </w:rPr>
            </w:pPr>
            <w:r w:rsidRPr="002F1531">
              <w:rPr>
                <w:rtl/>
                <w:lang w:bidi="ar-SA"/>
              </w:rPr>
              <w:t xml:space="preserve">عدد الطلبات المقدمة إلى مراكز دعم التكنولوجيا والابتكار في إطار مشروع </w:t>
            </w:r>
            <w:r w:rsidRPr="002F1531">
              <w:rPr>
                <w:lang w:bidi="ar-SA"/>
              </w:rPr>
              <w:t>TISC Clinic</w:t>
            </w:r>
          </w:p>
        </w:tc>
        <w:tc>
          <w:tcPr>
            <w:tcW w:w="1843" w:type="dxa"/>
            <w:tcBorders>
              <w:top w:val="nil"/>
              <w:left w:val="nil"/>
              <w:bottom w:val="nil"/>
              <w:right w:val="single" w:sz="4" w:space="0" w:color="auto"/>
            </w:tcBorders>
            <w:shd w:val="clear" w:color="auto" w:fill="auto"/>
          </w:tcPr>
          <w:p w:rsidR="00410DF7" w:rsidRPr="002F1531" w:rsidRDefault="00410DF7" w:rsidP="00862268">
            <w:pPr>
              <w:pStyle w:val="ARSGTableText"/>
              <w:spacing w:line="300" w:lineRule="exact"/>
              <w:jc w:val="center"/>
              <w:rPr>
                <w:rtl/>
              </w:rPr>
            </w:pPr>
            <w:r w:rsidRPr="002F1531">
              <w:rPr>
                <w:rtl/>
              </w:rPr>
              <w:t xml:space="preserve">البرنامج </w:t>
            </w:r>
            <w:r w:rsidRPr="002F1531">
              <w:t>14</w:t>
            </w:r>
          </w:p>
        </w:tc>
      </w:tr>
      <w:tr w:rsidR="00410DF7" w:rsidRPr="008954A8" w:rsidTr="004E7690">
        <w:tc>
          <w:tcPr>
            <w:tcW w:w="3260" w:type="dxa"/>
            <w:tcBorders>
              <w:top w:val="nil"/>
              <w:bottom w:val="nil"/>
              <w:right w:val="nil"/>
            </w:tcBorders>
            <w:shd w:val="clear" w:color="auto" w:fill="auto"/>
          </w:tcPr>
          <w:p w:rsidR="00410DF7" w:rsidRPr="008954A8"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84716C" w:rsidRDefault="00410DF7" w:rsidP="00862268">
            <w:pPr>
              <w:pStyle w:val="ARSGTableText"/>
              <w:spacing w:line="300" w:lineRule="exact"/>
              <w:rPr>
                <w:highlight w:val="yellow"/>
                <w:rtl/>
                <w:lang w:bidi="ar-SA"/>
              </w:rPr>
            </w:pPr>
            <w:r w:rsidRPr="002F1531">
              <w:rPr>
                <w:rtl/>
                <w:lang w:bidi="ar-SA"/>
              </w:rPr>
              <w:t>عدد مراكز دعم التكنولوجيا والابتكار التي تقدم خدمات تحليلية في مجال البراءات</w:t>
            </w:r>
          </w:p>
        </w:tc>
        <w:tc>
          <w:tcPr>
            <w:tcW w:w="1843" w:type="dxa"/>
            <w:tcBorders>
              <w:top w:val="nil"/>
              <w:left w:val="nil"/>
              <w:bottom w:val="nil"/>
              <w:right w:val="single" w:sz="4" w:space="0" w:color="auto"/>
            </w:tcBorders>
            <w:shd w:val="clear" w:color="auto" w:fill="auto"/>
          </w:tcPr>
          <w:p w:rsidR="00410DF7" w:rsidRPr="002F1531" w:rsidRDefault="00410DF7" w:rsidP="00862268">
            <w:pPr>
              <w:pStyle w:val="ARSGTableText"/>
              <w:spacing w:line="300" w:lineRule="exact"/>
              <w:jc w:val="center"/>
              <w:rPr>
                <w:rtl/>
              </w:rPr>
            </w:pPr>
            <w:r w:rsidRPr="002F1531">
              <w:rPr>
                <w:rtl/>
              </w:rPr>
              <w:t xml:space="preserve">البرنامج </w:t>
            </w:r>
            <w:r w:rsidRPr="002F1531">
              <w:t>14</w:t>
            </w:r>
          </w:p>
        </w:tc>
      </w:tr>
      <w:tr w:rsidR="00410DF7" w:rsidRPr="006D27DF" w:rsidTr="004C5D98">
        <w:tc>
          <w:tcPr>
            <w:tcW w:w="3260" w:type="dxa"/>
            <w:tcBorders>
              <w:top w:val="nil"/>
              <w:bottom w:val="nil"/>
              <w:right w:val="nil"/>
            </w:tcBorders>
            <w:shd w:val="clear" w:color="auto" w:fill="auto"/>
          </w:tcPr>
          <w:p w:rsidR="00410DF7" w:rsidRPr="008954A8" w:rsidRDefault="00410DF7"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rPr>
            </w:pPr>
            <w:r w:rsidRPr="006D27DF">
              <w:rPr>
                <w:rtl/>
                <w:lang w:bidi="ar-SA"/>
              </w:rPr>
              <w:t>عدد مستخدمي قواعد بيانات الويبو العالمية: ركن البراءات (</w:t>
            </w:r>
            <w:r w:rsidRPr="006D27DF">
              <w:rPr>
                <w:lang w:bidi="ar-SA"/>
              </w:rPr>
              <w:t>PATENTSCOPE</w:t>
            </w:r>
            <w:r w:rsidRPr="006D27DF">
              <w:rPr>
                <w:rtl/>
                <w:lang w:bidi="ar-SA"/>
              </w:rPr>
              <w:t>)، وقاعدة البيانات العالمية لأدوات التوسيم، وقاعدة البيانات الخاصة بالتصاميم</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20</w:t>
            </w:r>
          </w:p>
        </w:tc>
      </w:tr>
      <w:tr w:rsidR="00410DF7" w:rsidRPr="006D27DF" w:rsidTr="004C5D98">
        <w:tc>
          <w:tcPr>
            <w:tcW w:w="3260" w:type="dxa"/>
            <w:tcBorders>
              <w:top w:val="nil"/>
              <w:bottom w:val="single" w:sz="4" w:space="0" w:color="auto"/>
              <w:right w:val="nil"/>
            </w:tcBorders>
            <w:shd w:val="clear" w:color="auto" w:fill="auto"/>
          </w:tcPr>
          <w:p w:rsidR="00410DF7" w:rsidRPr="006D27DF" w:rsidRDefault="00410DF7" w:rsidP="00862268">
            <w:pPr>
              <w:pStyle w:val="ARSGTableText"/>
              <w:spacing w:line="300" w:lineRule="exact"/>
              <w:rPr>
                <w:rtl/>
              </w:rPr>
            </w:pPr>
          </w:p>
        </w:tc>
        <w:tc>
          <w:tcPr>
            <w:tcW w:w="4253" w:type="dxa"/>
            <w:tcBorders>
              <w:top w:val="nil"/>
              <w:left w:val="nil"/>
              <w:bottom w:val="single" w:sz="4" w:space="0" w:color="auto"/>
              <w:right w:val="nil"/>
            </w:tcBorders>
            <w:shd w:val="clear" w:color="auto" w:fill="auto"/>
          </w:tcPr>
          <w:p w:rsidR="00410DF7" w:rsidRPr="006D27DF" w:rsidRDefault="00410DF7" w:rsidP="004E7690">
            <w:pPr>
              <w:pStyle w:val="ARSGTableText"/>
              <w:spacing w:line="300" w:lineRule="exact"/>
              <w:rPr>
                <w:lang w:bidi="ar-SA"/>
              </w:rPr>
            </w:pPr>
            <w:r w:rsidRPr="006D27DF">
              <w:rPr>
                <w:rtl/>
                <w:lang w:bidi="ar-SA"/>
              </w:rPr>
              <w:t xml:space="preserve">زيادة عدد مستخدمي قاعدة بيانات </w:t>
            </w:r>
            <w:r w:rsidRPr="006D27DF">
              <w:rPr>
                <w:lang w:bidi="ar-SA"/>
              </w:rPr>
              <w:t>WIPO Lex</w:t>
            </w:r>
            <w:r w:rsidRPr="006D27DF">
              <w:rPr>
                <w:rtl/>
                <w:lang w:bidi="ar-SA"/>
              </w:rPr>
              <w:t xml:space="preserve"> </w:t>
            </w:r>
          </w:p>
        </w:tc>
        <w:tc>
          <w:tcPr>
            <w:tcW w:w="1843" w:type="dxa"/>
            <w:tcBorders>
              <w:top w:val="nil"/>
              <w:left w:val="nil"/>
              <w:bottom w:val="single" w:sz="4" w:space="0" w:color="auto"/>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21</w:t>
            </w:r>
          </w:p>
        </w:tc>
      </w:tr>
      <w:tr w:rsidR="00410DF7" w:rsidRPr="006D27DF" w:rsidTr="004C5D98">
        <w:tc>
          <w:tcPr>
            <w:tcW w:w="3260" w:type="dxa"/>
            <w:tcBorders>
              <w:top w:val="single" w:sz="4" w:space="0" w:color="auto"/>
              <w:bottom w:val="nil"/>
              <w:right w:val="nil"/>
            </w:tcBorders>
            <w:shd w:val="clear" w:color="auto" w:fill="auto"/>
          </w:tcPr>
          <w:p w:rsidR="00410DF7" w:rsidRPr="006D27DF" w:rsidRDefault="00410DF7" w:rsidP="004C5D98">
            <w:pPr>
              <w:pStyle w:val="ARSGTableText"/>
              <w:keepNext/>
              <w:spacing w:line="300" w:lineRule="exact"/>
              <w:rPr>
                <w:rtl/>
              </w:rPr>
            </w:pPr>
          </w:p>
        </w:tc>
        <w:tc>
          <w:tcPr>
            <w:tcW w:w="4253" w:type="dxa"/>
            <w:tcBorders>
              <w:top w:val="single" w:sz="4" w:space="0" w:color="auto"/>
              <w:left w:val="nil"/>
              <w:bottom w:val="nil"/>
              <w:right w:val="nil"/>
            </w:tcBorders>
            <w:shd w:val="clear" w:color="auto" w:fill="auto"/>
          </w:tcPr>
          <w:p w:rsidR="00410DF7" w:rsidRPr="006D27DF" w:rsidRDefault="00410DF7" w:rsidP="004C5D98">
            <w:pPr>
              <w:pStyle w:val="ARSGTableText"/>
              <w:keepNext/>
              <w:spacing w:line="300" w:lineRule="exact"/>
              <w:rPr>
                <w:rtl/>
              </w:rPr>
            </w:pPr>
            <w:r w:rsidRPr="006D27DF">
              <w:rPr>
                <w:rtl/>
              </w:rPr>
              <w:t>عدد مكاتب نقل التكنولوجيا (</w:t>
            </w:r>
            <w:r w:rsidRPr="006D27DF">
              <w:t>TTOs</w:t>
            </w:r>
            <w:r w:rsidRPr="006D27DF">
              <w:rPr>
                <w:rtl/>
              </w:rPr>
              <w:t>) التي تم تأسيسها أو تعزيزها في الجامعات أو مؤسسات البحث والتطوير في إطار برنامج مبادرة جامعة الويبو</w:t>
            </w:r>
          </w:p>
        </w:tc>
        <w:tc>
          <w:tcPr>
            <w:tcW w:w="1843" w:type="dxa"/>
            <w:tcBorders>
              <w:top w:val="single" w:sz="4" w:space="0" w:color="auto"/>
              <w:left w:val="nil"/>
              <w:bottom w:val="nil"/>
              <w:right w:val="single" w:sz="4" w:space="0" w:color="auto"/>
            </w:tcBorders>
            <w:shd w:val="clear" w:color="auto" w:fill="auto"/>
          </w:tcPr>
          <w:p w:rsidR="00410DF7" w:rsidRPr="006D27DF" w:rsidRDefault="00410DF7" w:rsidP="004C5D98">
            <w:pPr>
              <w:pStyle w:val="ARSGTableText"/>
              <w:keepNext/>
              <w:spacing w:line="300" w:lineRule="exact"/>
              <w:jc w:val="center"/>
              <w:rPr>
                <w:rtl/>
              </w:rPr>
            </w:pPr>
            <w:r w:rsidRPr="006D27DF">
              <w:rPr>
                <w:rFonts w:hint="cs"/>
                <w:rtl/>
              </w:rPr>
              <w:t>البرنامج 30</w:t>
            </w:r>
          </w:p>
        </w:tc>
      </w:tr>
      <w:tr w:rsidR="00410DF7" w:rsidRPr="006D27DF" w:rsidTr="004C5D98">
        <w:tc>
          <w:tcPr>
            <w:tcW w:w="3260" w:type="dxa"/>
            <w:tcBorders>
              <w:top w:val="nil"/>
              <w:left w:val="single" w:sz="4" w:space="0" w:color="auto"/>
              <w:bottom w:val="nil"/>
              <w:right w:val="nil"/>
            </w:tcBorders>
            <w:shd w:val="clear" w:color="auto" w:fill="auto"/>
          </w:tcPr>
          <w:p w:rsidR="00410DF7" w:rsidRPr="006D27DF" w:rsidRDefault="00410DF7" w:rsidP="00D65E82">
            <w:pPr>
              <w:pStyle w:val="ARSGTableText"/>
              <w:keepNext/>
              <w:spacing w:line="300" w:lineRule="exact"/>
              <w:rPr>
                <w:rtl/>
              </w:rPr>
            </w:pPr>
          </w:p>
        </w:tc>
        <w:tc>
          <w:tcPr>
            <w:tcW w:w="4253" w:type="dxa"/>
            <w:tcBorders>
              <w:top w:val="nil"/>
              <w:left w:val="nil"/>
              <w:bottom w:val="nil"/>
              <w:right w:val="nil"/>
            </w:tcBorders>
            <w:shd w:val="clear" w:color="auto" w:fill="auto"/>
          </w:tcPr>
          <w:p w:rsidR="00410DF7" w:rsidRPr="006D27DF" w:rsidRDefault="00410DF7" w:rsidP="00D65E82">
            <w:pPr>
              <w:pStyle w:val="ARSGTableText"/>
              <w:keepNext/>
              <w:spacing w:line="300" w:lineRule="exact"/>
              <w:rPr>
                <w:rtl/>
              </w:rPr>
            </w:pPr>
            <w:r w:rsidRPr="006D27DF">
              <w:rPr>
                <w:rtl/>
              </w:rPr>
              <w:t>عدد الجامعات و/أو مؤسسات البحث التي وضعت و/أو حسَّنت سياساتها الخاصة بالملكية الفكرية</w:t>
            </w:r>
          </w:p>
        </w:tc>
        <w:tc>
          <w:tcPr>
            <w:tcW w:w="1843" w:type="dxa"/>
            <w:tcBorders>
              <w:top w:val="nil"/>
              <w:left w:val="nil"/>
              <w:bottom w:val="nil"/>
              <w:right w:val="single" w:sz="4" w:space="0" w:color="auto"/>
            </w:tcBorders>
            <w:shd w:val="clear" w:color="auto" w:fill="auto"/>
          </w:tcPr>
          <w:p w:rsidR="00410DF7" w:rsidRPr="006D27DF" w:rsidRDefault="00410DF7" w:rsidP="00D65E82">
            <w:pPr>
              <w:pStyle w:val="ARSGTableText"/>
              <w:keepNext/>
              <w:spacing w:line="300" w:lineRule="exact"/>
              <w:jc w:val="center"/>
              <w:rPr>
                <w:rtl/>
              </w:rPr>
            </w:pPr>
            <w:r w:rsidRPr="006D27DF">
              <w:rPr>
                <w:rFonts w:hint="cs"/>
                <w:rtl/>
              </w:rPr>
              <w:t>البرنامج 30</w:t>
            </w:r>
          </w:p>
        </w:tc>
      </w:tr>
      <w:tr w:rsidR="00410DF7" w:rsidRPr="006D27DF" w:rsidTr="0088489C">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rPr>
            </w:pPr>
            <w:r w:rsidRPr="006D27DF">
              <w:rPr>
                <w:rtl/>
              </w:rPr>
              <w:t xml:space="preserve">ه 3.4 </w:t>
            </w:r>
            <w:r w:rsidRPr="006D27DF">
              <w:rPr>
                <w:w w:val="96"/>
                <w:rtl/>
              </w:rPr>
              <w:t>تغطية جغرافية واسعة لقواعد بيانات الويبو العالمية بشأن الملكية الفكرية من حيث المحتوى والاستخدام</w:t>
            </w:r>
          </w:p>
        </w:tc>
        <w:tc>
          <w:tcPr>
            <w:tcW w:w="4253" w:type="dxa"/>
            <w:tcBorders>
              <w:top w:val="nil"/>
              <w:left w:val="nil"/>
              <w:bottom w:val="nil"/>
              <w:right w:val="nil"/>
            </w:tcBorders>
            <w:shd w:val="clear" w:color="auto" w:fill="auto"/>
          </w:tcPr>
          <w:p w:rsidR="00410DF7" w:rsidRPr="006D27DF" w:rsidRDefault="00725C70" w:rsidP="00725C70">
            <w:pPr>
              <w:pStyle w:val="ARSGTableText"/>
              <w:spacing w:line="300" w:lineRule="exact"/>
            </w:pPr>
            <w:r>
              <w:rPr>
                <w:rtl/>
              </w:rPr>
              <w:t>عدد السجلات المدرجة في ق</w:t>
            </w:r>
            <w:r w:rsidR="00410DF7" w:rsidRPr="006D27DF">
              <w:rPr>
                <w:rtl/>
              </w:rPr>
              <w:t>اعد</w:t>
            </w:r>
            <w:r>
              <w:rPr>
                <w:rFonts w:hint="cs"/>
                <w:rtl/>
              </w:rPr>
              <w:t>ة</w:t>
            </w:r>
            <w:r>
              <w:rPr>
                <w:rtl/>
              </w:rPr>
              <w:t xml:space="preserve"> البيانات العالمية ل</w:t>
            </w:r>
            <w:r>
              <w:rPr>
                <w:rFonts w:hint="cs"/>
                <w:rtl/>
              </w:rPr>
              <w:t>أدوات</w:t>
            </w:r>
            <w:r w:rsidR="00410DF7" w:rsidRPr="006D27DF">
              <w:rPr>
                <w:rtl/>
              </w:rPr>
              <w:t xml:space="preserve"> </w:t>
            </w:r>
            <w:r>
              <w:rPr>
                <w:rFonts w:hint="cs"/>
                <w:rtl/>
              </w:rPr>
              <w:t>التوسيم</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13</w:t>
            </w:r>
          </w:p>
        </w:tc>
      </w:tr>
      <w:tr w:rsidR="00410DF7" w:rsidRPr="006D27DF" w:rsidTr="004E7690">
        <w:tc>
          <w:tcPr>
            <w:tcW w:w="3260" w:type="dxa"/>
            <w:tcBorders>
              <w:top w:val="nil"/>
              <w:bottom w:val="nil"/>
              <w:right w:val="nil"/>
            </w:tcBorders>
            <w:shd w:val="clear" w:color="auto" w:fill="auto"/>
          </w:tcPr>
          <w:p w:rsidR="00410DF7" w:rsidRPr="006D27DF" w:rsidRDefault="00410DF7" w:rsidP="004E7690">
            <w:pPr>
              <w:pStyle w:val="ARSGTableText"/>
              <w:spacing w:line="300" w:lineRule="exact"/>
              <w:rPr>
                <w:rtl/>
              </w:rPr>
            </w:pPr>
          </w:p>
        </w:tc>
        <w:tc>
          <w:tcPr>
            <w:tcW w:w="4253" w:type="dxa"/>
            <w:tcBorders>
              <w:top w:val="nil"/>
              <w:left w:val="nil"/>
              <w:bottom w:val="nil"/>
              <w:right w:val="nil"/>
            </w:tcBorders>
            <w:shd w:val="clear" w:color="auto" w:fill="auto"/>
          </w:tcPr>
          <w:p w:rsidR="00410DF7" w:rsidRPr="006D27DF" w:rsidRDefault="00410DF7" w:rsidP="0041632B">
            <w:pPr>
              <w:pStyle w:val="ARSGTableText"/>
              <w:keepNext/>
              <w:spacing w:line="300" w:lineRule="exact"/>
              <w:rPr>
                <w:rtl/>
              </w:rPr>
            </w:pPr>
            <w:r w:rsidRPr="006D27DF">
              <w:rPr>
                <w:rtl/>
              </w:rPr>
              <w:t>عدد السجلات المدرجة في قواعد البيانات العالمية للتصاميم</w:t>
            </w:r>
          </w:p>
        </w:tc>
        <w:tc>
          <w:tcPr>
            <w:tcW w:w="1843" w:type="dxa"/>
            <w:tcBorders>
              <w:top w:val="nil"/>
              <w:left w:val="nil"/>
              <w:bottom w:val="nil"/>
              <w:right w:val="single" w:sz="4" w:space="0" w:color="auto"/>
            </w:tcBorders>
            <w:shd w:val="clear" w:color="auto" w:fill="auto"/>
          </w:tcPr>
          <w:p w:rsidR="00410DF7" w:rsidRPr="006D27DF" w:rsidRDefault="00410DF7" w:rsidP="0041632B">
            <w:pPr>
              <w:pStyle w:val="ARSGTableText"/>
              <w:keepNext/>
              <w:spacing w:line="300" w:lineRule="exact"/>
              <w:jc w:val="center"/>
              <w:rPr>
                <w:rtl/>
              </w:rPr>
            </w:pPr>
            <w:r w:rsidRPr="006D27DF">
              <w:rPr>
                <w:rtl/>
              </w:rPr>
              <w:t>البرنامج 13</w:t>
            </w:r>
          </w:p>
        </w:tc>
      </w:tr>
      <w:tr w:rsidR="00410DF7" w:rsidRPr="006D27DF" w:rsidTr="004E7690">
        <w:trPr>
          <w:trHeight w:val="537"/>
        </w:trPr>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rPr>
            </w:pPr>
            <w:r w:rsidRPr="006D27DF">
              <w:rPr>
                <w:rtl/>
              </w:rPr>
              <w:t>عدد المجموعات الوطنية في ركن البراءات</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13</w:t>
            </w:r>
          </w:p>
        </w:tc>
      </w:tr>
      <w:tr w:rsidR="00410DF7" w:rsidRPr="006D27DF" w:rsidTr="004E7690">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rPr>
            </w:pPr>
            <w:r w:rsidRPr="006D27DF">
              <w:rPr>
                <w:rtl/>
              </w:rPr>
              <w:t xml:space="preserve">عدد المجموعات الوطنية في </w:t>
            </w:r>
            <w:r w:rsidR="00725C70">
              <w:rPr>
                <w:rtl/>
              </w:rPr>
              <w:t>ق</w:t>
            </w:r>
            <w:r w:rsidR="00725C70" w:rsidRPr="006D27DF">
              <w:rPr>
                <w:rtl/>
              </w:rPr>
              <w:t>اعد</w:t>
            </w:r>
            <w:r w:rsidR="00725C70">
              <w:rPr>
                <w:rFonts w:hint="cs"/>
                <w:rtl/>
              </w:rPr>
              <w:t>ة</w:t>
            </w:r>
            <w:r w:rsidR="00725C70">
              <w:rPr>
                <w:rtl/>
              </w:rPr>
              <w:t xml:space="preserve"> البيانات العالمية ل</w:t>
            </w:r>
            <w:r w:rsidR="00725C70">
              <w:rPr>
                <w:rFonts w:hint="cs"/>
                <w:rtl/>
              </w:rPr>
              <w:t>أدوات</w:t>
            </w:r>
            <w:r w:rsidR="00725C70" w:rsidRPr="006D27DF">
              <w:rPr>
                <w:rtl/>
              </w:rPr>
              <w:t xml:space="preserve"> </w:t>
            </w:r>
            <w:r w:rsidR="00725C70">
              <w:rPr>
                <w:rFonts w:hint="cs"/>
                <w:rtl/>
              </w:rPr>
              <w:t>التوسيم</w:t>
            </w:r>
          </w:p>
        </w:tc>
        <w:tc>
          <w:tcPr>
            <w:tcW w:w="1843" w:type="dxa"/>
            <w:tcBorders>
              <w:top w:val="nil"/>
              <w:left w:val="nil"/>
              <w:bottom w:val="nil"/>
              <w:right w:val="single" w:sz="4" w:space="0" w:color="auto"/>
            </w:tcBorders>
            <w:shd w:val="clear" w:color="auto" w:fill="auto"/>
          </w:tcPr>
          <w:p w:rsidR="00410DF7" w:rsidRPr="006D27DF" w:rsidRDefault="00410DF7" w:rsidP="00862268">
            <w:pPr>
              <w:pStyle w:val="ARSGTableText"/>
              <w:spacing w:line="300" w:lineRule="exact"/>
              <w:jc w:val="center"/>
              <w:rPr>
                <w:rtl/>
              </w:rPr>
            </w:pPr>
            <w:r w:rsidRPr="006D27DF">
              <w:rPr>
                <w:rtl/>
              </w:rPr>
              <w:t>البرنامج 13</w:t>
            </w:r>
          </w:p>
        </w:tc>
      </w:tr>
      <w:tr w:rsidR="00410DF7" w:rsidRPr="006D27DF" w:rsidTr="0041632B">
        <w:tc>
          <w:tcPr>
            <w:tcW w:w="3260" w:type="dxa"/>
            <w:tcBorders>
              <w:top w:val="nil"/>
              <w:bottom w:val="nil"/>
              <w:right w:val="nil"/>
            </w:tcBorders>
            <w:shd w:val="clear" w:color="auto" w:fill="auto"/>
          </w:tcPr>
          <w:p w:rsidR="00410DF7" w:rsidRPr="006D27DF" w:rsidRDefault="00410DF7" w:rsidP="00202DEA">
            <w:pPr>
              <w:pStyle w:val="ARSGTableText"/>
              <w:spacing w:line="300" w:lineRule="exact"/>
              <w:rPr>
                <w:rtl/>
              </w:rPr>
            </w:pPr>
            <w:r w:rsidRPr="006D27DF">
              <w:rPr>
                <w:rtl/>
              </w:rPr>
              <w:t>ه 4.4 بنية تحتية تقنية ومعرفية معزّزة لمكاتب الملكية الفكرية وسائر مؤسسات الملكية الفكرية بما يؤدي إلى خدمات أفضل (بتكلفة أقل وسرعة أعلى وجودة أحسن) لأصحاب المصلحة الذين يتعاملون معها ونتائج أحسن لإدارة الملكية الفكرية</w:t>
            </w: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rPr>
            </w:pPr>
            <w:r w:rsidRPr="006D27DF">
              <w:rPr>
                <w:rtl/>
              </w:rPr>
              <w:t>عدد المكاتب التي تستخدم منصات الويبو للبنية التحتية</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pPr>
            <w:r w:rsidRPr="006D27DF">
              <w:rPr>
                <w:rtl/>
              </w:rPr>
              <w:t xml:space="preserve">البرنامج </w:t>
            </w:r>
            <w:r w:rsidRPr="006D27DF">
              <w:t>15</w:t>
            </w:r>
          </w:p>
          <w:p w:rsidR="00410DF7" w:rsidRPr="006D27DF" w:rsidRDefault="00410DF7" w:rsidP="0031375C">
            <w:pPr>
              <w:pStyle w:val="ARSGTableText"/>
              <w:spacing w:line="300" w:lineRule="exact"/>
              <w:jc w:val="center"/>
              <w:rPr>
                <w:rtl/>
                <w:lang w:bidi="ar-SA"/>
              </w:rPr>
            </w:pPr>
            <w:r w:rsidRPr="006D27DF">
              <w:rPr>
                <w:rFonts w:hint="cs"/>
                <w:rtl/>
                <w:lang w:bidi="ar-SA"/>
              </w:rPr>
              <w:t>البرنامج 20</w:t>
            </w:r>
          </w:p>
        </w:tc>
      </w:tr>
      <w:tr w:rsidR="00410DF7" w:rsidRPr="006D27DF" w:rsidTr="0041632B">
        <w:tc>
          <w:tcPr>
            <w:tcW w:w="3260" w:type="dxa"/>
            <w:tcBorders>
              <w:top w:val="nil"/>
              <w:bottom w:val="nil"/>
              <w:right w:val="nil"/>
            </w:tcBorders>
            <w:shd w:val="clear" w:color="auto" w:fill="auto"/>
          </w:tcPr>
          <w:p w:rsidR="00410DF7" w:rsidRPr="006D27DF" w:rsidRDefault="00410DF7" w:rsidP="00862268">
            <w:pPr>
              <w:pStyle w:val="ARSGTableText"/>
              <w:spacing w:line="300" w:lineRule="exact"/>
              <w:rPr>
                <w:rtl/>
              </w:rPr>
            </w:pPr>
          </w:p>
        </w:tc>
        <w:tc>
          <w:tcPr>
            <w:tcW w:w="4253" w:type="dxa"/>
            <w:tcBorders>
              <w:top w:val="nil"/>
              <w:left w:val="nil"/>
              <w:bottom w:val="nil"/>
              <w:right w:val="nil"/>
            </w:tcBorders>
            <w:shd w:val="clear" w:color="auto" w:fill="auto"/>
          </w:tcPr>
          <w:p w:rsidR="00410DF7" w:rsidRPr="006D27DF" w:rsidRDefault="00410DF7" w:rsidP="00862268">
            <w:pPr>
              <w:pStyle w:val="ARSGTableText"/>
              <w:spacing w:line="300" w:lineRule="exact"/>
              <w:rPr>
                <w:rtl/>
              </w:rPr>
            </w:pPr>
            <w:r w:rsidRPr="006D27DF">
              <w:rPr>
                <w:rtl/>
              </w:rPr>
              <w:t>متوسط مستوى الخدمة التي تقدمها المكاتب التي تحصل على مساعدات (من 1 إلى 5)</w:t>
            </w:r>
          </w:p>
        </w:tc>
        <w:tc>
          <w:tcPr>
            <w:tcW w:w="1843" w:type="dxa"/>
            <w:tcBorders>
              <w:top w:val="nil"/>
              <w:left w:val="nil"/>
              <w:bottom w:val="nil"/>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 xml:space="preserve">البرنامج </w:t>
            </w:r>
            <w:r w:rsidRPr="006D27DF">
              <w:rPr>
                <w:rFonts w:hint="cs"/>
                <w:rtl/>
              </w:rPr>
              <w:t>9</w:t>
            </w:r>
          </w:p>
          <w:p w:rsidR="00410DF7" w:rsidRPr="006D27DF" w:rsidRDefault="00410DF7" w:rsidP="0031375C">
            <w:pPr>
              <w:pStyle w:val="ARSGTableText"/>
              <w:spacing w:line="300" w:lineRule="exact"/>
              <w:jc w:val="center"/>
              <w:rPr>
                <w:rtl/>
              </w:rPr>
            </w:pPr>
            <w:r w:rsidRPr="006D27DF">
              <w:rPr>
                <w:rFonts w:hint="cs"/>
                <w:rtl/>
              </w:rPr>
              <w:t>البرنامج 15</w:t>
            </w:r>
          </w:p>
        </w:tc>
      </w:tr>
      <w:tr w:rsidR="00410DF7" w:rsidRPr="008954A8" w:rsidTr="0041632B">
        <w:tc>
          <w:tcPr>
            <w:tcW w:w="3260" w:type="dxa"/>
            <w:tcBorders>
              <w:top w:val="nil"/>
              <w:bottom w:val="single" w:sz="4" w:space="0" w:color="auto"/>
              <w:right w:val="nil"/>
            </w:tcBorders>
            <w:shd w:val="clear" w:color="auto" w:fill="auto"/>
          </w:tcPr>
          <w:p w:rsidR="00410DF7" w:rsidRPr="006D27DF" w:rsidRDefault="00410DF7" w:rsidP="00862268">
            <w:pPr>
              <w:pStyle w:val="ARSGTableText"/>
              <w:spacing w:line="300" w:lineRule="exact"/>
              <w:rPr>
                <w:rtl/>
              </w:rPr>
            </w:pPr>
          </w:p>
        </w:tc>
        <w:tc>
          <w:tcPr>
            <w:tcW w:w="4253" w:type="dxa"/>
            <w:tcBorders>
              <w:top w:val="nil"/>
              <w:left w:val="nil"/>
              <w:bottom w:val="single" w:sz="4" w:space="0" w:color="auto"/>
              <w:right w:val="nil"/>
            </w:tcBorders>
            <w:shd w:val="clear" w:color="auto" w:fill="auto"/>
          </w:tcPr>
          <w:p w:rsidR="00410DF7" w:rsidRPr="006D27DF" w:rsidRDefault="00410DF7" w:rsidP="0031375C">
            <w:pPr>
              <w:pStyle w:val="ARSGTableText"/>
              <w:spacing w:line="300" w:lineRule="exact"/>
              <w:rPr>
                <w:rtl/>
              </w:rPr>
            </w:pPr>
            <w:r w:rsidRPr="006D27DF">
              <w:rPr>
                <w:rtl/>
              </w:rPr>
              <w:t>عدد منظمات الإدارة الجماعية في البلدان النامية والبلدان الأقل نمواً المشاركة في الشبكات الإقليمية والعالمية التي تقوم الويبو بتسهيل عملها</w:t>
            </w:r>
          </w:p>
        </w:tc>
        <w:tc>
          <w:tcPr>
            <w:tcW w:w="1843" w:type="dxa"/>
            <w:tcBorders>
              <w:top w:val="nil"/>
              <w:left w:val="nil"/>
              <w:bottom w:val="single" w:sz="4" w:space="0" w:color="auto"/>
              <w:right w:val="single" w:sz="4" w:space="0" w:color="auto"/>
            </w:tcBorders>
            <w:shd w:val="clear" w:color="auto" w:fill="auto"/>
          </w:tcPr>
          <w:p w:rsidR="00410DF7" w:rsidRPr="006D27DF" w:rsidRDefault="00410DF7" w:rsidP="0031375C">
            <w:pPr>
              <w:pStyle w:val="ARSGTableText"/>
              <w:spacing w:line="300" w:lineRule="exact"/>
              <w:jc w:val="center"/>
              <w:rPr>
                <w:rtl/>
              </w:rPr>
            </w:pPr>
            <w:r w:rsidRPr="006D27DF">
              <w:rPr>
                <w:rtl/>
              </w:rPr>
              <w:t>البرنامج 15</w:t>
            </w:r>
          </w:p>
        </w:tc>
      </w:tr>
    </w:tbl>
    <w:p w:rsidR="00410DF7" w:rsidRPr="008954A8" w:rsidRDefault="00410DF7" w:rsidP="0031375C">
      <w:pPr>
        <w:rPr>
          <w:rFonts w:ascii="Arabic Typesetting" w:hAnsi="Arabic Typesetting" w:cs="Arabic Typesetting"/>
          <w:sz w:val="34"/>
          <w:szCs w:val="34"/>
          <w:rtl/>
          <w:lang w:bidi="ar-SA"/>
        </w:rPr>
      </w:pPr>
    </w:p>
    <w:p w:rsidR="00410DF7" w:rsidRDefault="00410DF7">
      <w:pPr>
        <w:bidi w:val="0"/>
        <w:rPr>
          <w:rFonts w:ascii="Arabic Typesetting" w:hAnsi="Arabic Typesetting" w:cs="Arabic Typesetting"/>
          <w:sz w:val="34"/>
          <w:szCs w:val="34"/>
          <w:rtl/>
          <w:lang w:val="fr-CH" w:bidi="ar-SA"/>
        </w:rPr>
      </w:pPr>
      <w:r>
        <w:rPr>
          <w:rtl/>
        </w:rPr>
        <w:br w:type="page"/>
      </w:r>
    </w:p>
    <w:p w:rsidR="00410DF7" w:rsidRPr="008954A8" w:rsidRDefault="00410DF7" w:rsidP="0031375C">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69" w:name="_Toc364355389"/>
      <w:bookmarkStart w:id="70" w:name="_Toc420595515"/>
      <w:r w:rsidRPr="008954A8">
        <w:rPr>
          <w:rFonts w:ascii="Arabic Typesetting" w:hAnsi="Arabic Typesetting" w:cs="Arabic Typesetting" w:hint="cs"/>
          <w:bCs/>
          <w:iCs w:val="0"/>
          <w:noProof/>
          <w:sz w:val="42"/>
          <w:szCs w:val="42"/>
          <w:rtl/>
        </w:rPr>
        <w:lastRenderedPageBreak/>
        <w:t xml:space="preserve">البرنامج </w:t>
      </w:r>
      <w:r w:rsidRPr="008954A8">
        <w:rPr>
          <w:rFonts w:ascii="Arabic Typesetting" w:hAnsi="Arabic Typesetting" w:cs="Arabic Typesetting"/>
          <w:bCs/>
          <w:iCs w:val="0"/>
          <w:noProof/>
          <w:sz w:val="42"/>
          <w:szCs w:val="42"/>
        </w:rPr>
        <w:t>12</w:t>
      </w:r>
      <w:r w:rsidRPr="008954A8">
        <w:rPr>
          <w:rFonts w:ascii="Arabic Typesetting" w:hAnsi="Arabic Typesetting" w:cs="Arabic Typesetting" w:hint="cs"/>
          <w:bCs/>
          <w:iCs w:val="0"/>
          <w:noProof/>
          <w:sz w:val="42"/>
          <w:szCs w:val="42"/>
          <w:rtl/>
        </w:rPr>
        <w:tab/>
        <w:t xml:space="preserve">التصنيفات </w:t>
      </w:r>
      <w:r>
        <w:rPr>
          <w:rFonts w:ascii="Arabic Typesetting" w:hAnsi="Arabic Typesetting" w:cs="Arabic Typesetting" w:hint="cs"/>
          <w:bCs/>
          <w:iCs w:val="0"/>
          <w:noProof/>
          <w:sz w:val="42"/>
          <w:szCs w:val="42"/>
          <w:rtl/>
        </w:rPr>
        <w:t xml:space="preserve">والمعايير </w:t>
      </w:r>
      <w:r w:rsidRPr="008954A8">
        <w:rPr>
          <w:rFonts w:ascii="Arabic Typesetting" w:hAnsi="Arabic Typesetting" w:cs="Arabic Typesetting"/>
          <w:bCs/>
          <w:iCs w:val="0"/>
          <w:noProof/>
          <w:sz w:val="42"/>
          <w:szCs w:val="42"/>
          <w:rtl/>
        </w:rPr>
        <w:t>الدولية</w:t>
      </w:r>
      <w:bookmarkEnd w:id="69"/>
      <w:bookmarkEnd w:id="70"/>
    </w:p>
    <w:p w:rsidR="00410DF7" w:rsidRPr="008954A8"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954A8">
        <w:rPr>
          <w:rFonts w:ascii="Arabic Typesetting" w:hAnsi="Arabic Typesetting" w:cs="Arabic Typesetting" w:hint="cs"/>
          <w:noProof/>
          <w:sz w:val="38"/>
          <w:szCs w:val="38"/>
          <w:rtl/>
        </w:rPr>
        <w:t>سياق التخطيط</w:t>
      </w:r>
    </w:p>
    <w:p w:rsidR="00410DF7" w:rsidRPr="008954A8" w:rsidRDefault="00410DF7" w:rsidP="00861CFF">
      <w:pPr>
        <w:pStyle w:val="ARNormal"/>
        <w:numPr>
          <w:ilvl w:val="0"/>
          <w:numId w:val="25"/>
        </w:numPr>
        <w:ind w:left="0" w:firstLine="0"/>
        <w:rPr>
          <w:rtl/>
        </w:rPr>
      </w:pPr>
      <w:r w:rsidRPr="008954A8">
        <w:rPr>
          <w:rFonts w:hint="cs"/>
          <w:rtl/>
        </w:rPr>
        <w:t xml:space="preserve">يتزايد </w:t>
      </w:r>
      <w:r w:rsidRPr="008954A8">
        <w:rPr>
          <w:rtl/>
        </w:rPr>
        <w:t>احتياج البنية التحتية العالمية ل</w:t>
      </w:r>
      <w:r>
        <w:rPr>
          <w:rtl/>
        </w:rPr>
        <w:t xml:space="preserve">أنظمة </w:t>
      </w:r>
      <w:r w:rsidRPr="008954A8">
        <w:rPr>
          <w:rtl/>
        </w:rPr>
        <w:t xml:space="preserve">الملكية الفكرية إلى </w:t>
      </w:r>
      <w:r w:rsidRPr="008954A8">
        <w:rPr>
          <w:rFonts w:hint="cs"/>
          <w:rtl/>
        </w:rPr>
        <w:t>أنظمة تشغيل أساسية</w:t>
      </w:r>
      <w:r w:rsidRPr="008954A8">
        <w:rPr>
          <w:rtl/>
        </w:rPr>
        <w:t xml:space="preserve"> وقواعد بيانات مترابطة </w:t>
      </w:r>
      <w:r w:rsidRPr="008954A8">
        <w:rPr>
          <w:rFonts w:hint="cs"/>
          <w:rtl/>
        </w:rPr>
        <w:t xml:space="preserve">ومتوافقة. وتعد </w:t>
      </w:r>
      <w:r w:rsidRPr="008954A8">
        <w:rPr>
          <w:rtl/>
        </w:rPr>
        <w:t>التصنيفات والمعايير الدولية أدوات ووسائل هامة للغاية تُستخدم للربط بين مختلف مكاتب الملكية الفكرية التي تستخدم أنظمة ولغات مختلفة وللسماح بتدفق البيانات</w:t>
      </w:r>
      <w:r>
        <w:rPr>
          <w:rFonts w:hint="cs"/>
          <w:rtl/>
        </w:rPr>
        <w:t xml:space="preserve"> فيما بين المكاتب وعلى منصات </w:t>
      </w:r>
      <w:r w:rsidRPr="008954A8">
        <w:rPr>
          <w:rtl/>
        </w:rPr>
        <w:t>وقواعد بيانات مشتركة.</w:t>
      </w:r>
      <w:r>
        <w:rPr>
          <w:rFonts w:hint="cs"/>
          <w:rtl/>
        </w:rPr>
        <w:t xml:space="preserve"> </w:t>
      </w:r>
      <w:r w:rsidRPr="008954A8">
        <w:rPr>
          <w:rtl/>
        </w:rPr>
        <w:t>وبالنظر إلى التطور المستمر الذي تشهده التكنولوجيات والحلول التجارية والاتفاقيات التعاونية لمكاتب الملكية الفكرية، تحتاج أيضا التصنيفات الدولية ومعايير</w:t>
      </w:r>
      <w:r>
        <w:rPr>
          <w:rFonts w:hint="cs"/>
          <w:rtl/>
        </w:rPr>
        <w:t xml:space="preserve"> </w:t>
      </w:r>
      <w:proofErr w:type="spellStart"/>
      <w:r>
        <w:rPr>
          <w:rFonts w:hint="cs"/>
          <w:rtl/>
        </w:rPr>
        <w:t>الوييو</w:t>
      </w:r>
      <w:proofErr w:type="spellEnd"/>
      <w:r w:rsidRPr="008954A8">
        <w:rPr>
          <w:rtl/>
        </w:rPr>
        <w:t xml:space="preserve"> إلى التحديث</w:t>
      </w:r>
      <w:r>
        <w:rPr>
          <w:rFonts w:hint="cs"/>
          <w:rtl/>
        </w:rPr>
        <w:t xml:space="preserve"> والصقل</w:t>
      </w:r>
      <w:r w:rsidRPr="008954A8">
        <w:rPr>
          <w:rFonts w:hint="cs"/>
          <w:rtl/>
        </w:rPr>
        <w:t xml:space="preserve"> بفاعلية.</w:t>
      </w:r>
    </w:p>
    <w:p w:rsidR="00410DF7" w:rsidRPr="008954A8" w:rsidRDefault="00410DF7" w:rsidP="00861CFF">
      <w:pPr>
        <w:pStyle w:val="ARNormal"/>
        <w:numPr>
          <w:ilvl w:val="0"/>
          <w:numId w:val="25"/>
        </w:numPr>
        <w:ind w:left="0" w:firstLine="0"/>
        <w:rPr>
          <w:rtl/>
        </w:rPr>
      </w:pPr>
      <w:r>
        <w:rPr>
          <w:rFonts w:hint="cs"/>
          <w:rtl/>
        </w:rPr>
        <w:t>و</w:t>
      </w:r>
      <w:r w:rsidRPr="008954A8">
        <w:rPr>
          <w:rFonts w:hint="cs"/>
          <w:rtl/>
        </w:rPr>
        <w:t xml:space="preserve">إزاء </w:t>
      </w:r>
      <w:r w:rsidRPr="008954A8">
        <w:rPr>
          <w:rtl/>
        </w:rPr>
        <w:t xml:space="preserve">هذه المعطيات، تهدف الويبو إلى تزويد الدول الأعضاء بأحدث </w:t>
      </w:r>
      <w:r>
        <w:rPr>
          <w:rtl/>
        </w:rPr>
        <w:t xml:space="preserve">أنظمة </w:t>
      </w:r>
      <w:r w:rsidRPr="008954A8">
        <w:rPr>
          <w:rtl/>
        </w:rPr>
        <w:t>التصنيفات الدولية والمعايير التي تحظى بالقبول على الصعيد العالمي بهدف تيسير نفاذ مختلف أصحاب المصالح في جميع أنحاء العالم إلى المعلومات المتعلقة بالملكية الفكرية واستخدامها</w:t>
      </w:r>
      <w:r w:rsidRPr="008954A8">
        <w:rPr>
          <w:rFonts w:hint="eastAsia"/>
        </w:rPr>
        <w:t> </w:t>
      </w:r>
      <w:r w:rsidRPr="008954A8">
        <w:rPr>
          <w:rFonts w:hint="cs"/>
          <w:rtl/>
        </w:rPr>
        <w:t>ونشرها. وهناك، في هذا الصدد، علاقة بين أنشطة هذا البرنامج وتوصيتي جدول أعمال التنمية 30 و31.</w:t>
      </w:r>
    </w:p>
    <w:p w:rsidR="00410DF7" w:rsidRPr="008954A8" w:rsidRDefault="00410DF7" w:rsidP="0031375C">
      <w:pPr>
        <w:pStyle w:val="ARNormal"/>
        <w:tabs>
          <w:tab w:val="right" w:pos="714"/>
        </w:tabs>
        <w:rPr>
          <w:rtl/>
        </w:rPr>
      </w:pPr>
    </w:p>
    <w:p w:rsidR="00410DF7" w:rsidRPr="00231510"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231510">
        <w:rPr>
          <w:rFonts w:ascii="Arabic Typesetting" w:hAnsi="Arabic Typesetting" w:cs="Arabic Typesetting" w:hint="cs"/>
          <w:noProof/>
          <w:sz w:val="38"/>
          <w:szCs w:val="38"/>
          <w:rtl/>
        </w:rPr>
        <w:t>استراتيجيات التنفيذ</w:t>
      </w:r>
    </w:p>
    <w:p w:rsidR="00410DF7" w:rsidRPr="008954A8" w:rsidRDefault="00410DF7" w:rsidP="00861CFF">
      <w:pPr>
        <w:pStyle w:val="ARNormal"/>
        <w:numPr>
          <w:ilvl w:val="0"/>
          <w:numId w:val="25"/>
        </w:numPr>
        <w:ind w:left="0" w:firstLine="0"/>
        <w:rPr>
          <w:rtl/>
        </w:rPr>
      </w:pPr>
      <w:r w:rsidRPr="008954A8">
        <w:rPr>
          <w:rFonts w:hint="cs"/>
          <w:rtl/>
        </w:rPr>
        <w:t xml:space="preserve">تهتم </w:t>
      </w:r>
      <w:r w:rsidRPr="008954A8">
        <w:rPr>
          <w:rtl/>
        </w:rPr>
        <w:t xml:space="preserve">استراتيجيات العمل خلال </w:t>
      </w:r>
      <w:r w:rsidRPr="008954A8">
        <w:rPr>
          <w:rFonts w:hint="cs"/>
          <w:rtl/>
        </w:rPr>
        <w:t>الثنائية</w:t>
      </w:r>
      <w:r w:rsidRPr="008954A8">
        <w:rPr>
          <w:rtl/>
        </w:rPr>
        <w:t xml:space="preserve"> </w:t>
      </w:r>
      <w:r>
        <w:rPr>
          <w:rFonts w:hint="cs"/>
          <w:rtl/>
        </w:rPr>
        <w:t>2016</w:t>
      </w:r>
      <w:r w:rsidRPr="008954A8">
        <w:rPr>
          <w:rtl/>
        </w:rPr>
        <w:t>/</w:t>
      </w:r>
      <w:r>
        <w:rPr>
          <w:rFonts w:hint="cs"/>
          <w:rtl/>
        </w:rPr>
        <w:t>17</w:t>
      </w:r>
      <w:r w:rsidRPr="008954A8">
        <w:rPr>
          <w:rtl/>
        </w:rPr>
        <w:t xml:space="preserve"> بالتركيز على المضي قدما في تحسين التصنيفات والمعايير الدولية وتطويرها من خلال الاستخدام المكثف للمنتديات</w:t>
      </w:r>
      <w:r>
        <w:rPr>
          <w:rFonts w:hint="cs"/>
          <w:rtl/>
        </w:rPr>
        <w:t xml:space="preserve"> والمؤتمرات </w:t>
      </w:r>
      <w:r w:rsidRPr="008954A8">
        <w:rPr>
          <w:rtl/>
        </w:rPr>
        <w:t>الإلكترونية</w:t>
      </w:r>
      <w:r>
        <w:rPr>
          <w:rFonts w:hint="cs"/>
          <w:rtl/>
        </w:rPr>
        <w:t xml:space="preserve"> </w:t>
      </w:r>
      <w:r w:rsidRPr="008954A8">
        <w:rPr>
          <w:rtl/>
        </w:rPr>
        <w:t xml:space="preserve">والاجتماعات الفعلية للجان المعنية. </w:t>
      </w:r>
      <w:r>
        <w:rPr>
          <w:rFonts w:hint="cs"/>
          <w:rtl/>
        </w:rPr>
        <w:t xml:space="preserve">وستتخذ التدابير لإذكاء الوعي بالتصنيفات والمعايير في أوساط كافة مجموعات المستخدمين وفي هذا الصدد، </w:t>
      </w:r>
      <w:r w:rsidRPr="008954A8">
        <w:rPr>
          <w:rtl/>
        </w:rPr>
        <w:t>سَتُتَاح دورات تدريبية قائمة على الطلب حول استخدام التصنيفات والمعايير، ولا سيما في البلدان النامية</w:t>
      </w:r>
      <w:r w:rsidRPr="008954A8">
        <w:rPr>
          <w:rFonts w:hint="cs"/>
          <w:rtl/>
        </w:rPr>
        <w:t>.</w:t>
      </w:r>
    </w:p>
    <w:p w:rsidR="00410DF7" w:rsidRPr="008954A8" w:rsidRDefault="00410DF7" w:rsidP="0031375C">
      <w:pPr>
        <w:pStyle w:val="ARNormal"/>
        <w:tabs>
          <w:tab w:val="right" w:pos="714"/>
        </w:tabs>
        <w:rPr>
          <w:sz w:val="38"/>
          <w:szCs w:val="38"/>
          <w:rtl/>
        </w:rPr>
      </w:pPr>
    </w:p>
    <w:p w:rsidR="00410DF7" w:rsidRPr="008954A8" w:rsidRDefault="00410DF7" w:rsidP="0031375C">
      <w:pPr>
        <w:pStyle w:val="ARNormal"/>
        <w:keepNext/>
        <w:rPr>
          <w:color w:val="000000"/>
          <w:u w:val="single"/>
          <w:rtl/>
        </w:rPr>
      </w:pPr>
      <w:r w:rsidRPr="008954A8">
        <w:rPr>
          <w:rFonts w:hint="cs"/>
          <w:color w:val="000000"/>
          <w:u w:val="single"/>
          <w:rtl/>
        </w:rPr>
        <w:t>التصنيف الدولي للبراءات (</w:t>
      </w:r>
      <w:r w:rsidRPr="008954A8">
        <w:rPr>
          <w:color w:val="000000"/>
          <w:u w:val="single"/>
        </w:rPr>
        <w:t>IPC</w:t>
      </w:r>
      <w:r w:rsidRPr="008954A8">
        <w:rPr>
          <w:rFonts w:hint="cs"/>
          <w:color w:val="000000"/>
          <w:u w:val="single"/>
          <w:rtl/>
        </w:rPr>
        <w:t>)</w:t>
      </w:r>
    </w:p>
    <w:p w:rsidR="00410DF7" w:rsidRPr="008954A8" w:rsidRDefault="00410DF7" w:rsidP="00861CFF">
      <w:pPr>
        <w:pStyle w:val="ARNormal"/>
        <w:numPr>
          <w:ilvl w:val="0"/>
          <w:numId w:val="25"/>
        </w:numPr>
        <w:ind w:left="0" w:firstLine="0"/>
        <w:rPr>
          <w:rtl/>
        </w:rPr>
      </w:pPr>
      <w:r w:rsidRPr="008954A8">
        <w:rPr>
          <w:rFonts w:hint="cs"/>
          <w:rtl/>
        </w:rPr>
        <w:t xml:space="preserve">من </w:t>
      </w:r>
      <w:r w:rsidRPr="008954A8">
        <w:rPr>
          <w:rtl/>
        </w:rPr>
        <w:t xml:space="preserve">المخطط الاستمرار في تحسين التصنيف الدولي للبراءات في إطار خارطة طريق </w:t>
      </w:r>
      <w:r w:rsidRPr="008954A8">
        <w:rPr>
          <w:rFonts w:hint="cs"/>
          <w:rtl/>
        </w:rPr>
        <w:t xml:space="preserve">تستهدف </w:t>
      </w:r>
      <w:r w:rsidRPr="008954A8">
        <w:rPr>
          <w:rtl/>
        </w:rPr>
        <w:t xml:space="preserve">تعديل التصنيف الدولي للبراءات والتي تم اعتمادها من قبل لجنة خبراء التصنيف الدولي للبراءات في عام 2013. </w:t>
      </w:r>
      <w:r w:rsidRPr="008954A8">
        <w:rPr>
          <w:rFonts w:hint="cs"/>
          <w:rtl/>
        </w:rPr>
        <w:t>و</w:t>
      </w:r>
      <w:r w:rsidRPr="008954A8">
        <w:rPr>
          <w:rtl/>
        </w:rPr>
        <w:t xml:space="preserve">تهدف خارطة الطريق هذه إلى تطوير التصنيف الدولي للبراءات في تلك المجالات التقنية حيث يشهد الإيداع كمية كبيرة من طلبات </w:t>
      </w:r>
      <w:r>
        <w:rPr>
          <w:rtl/>
        </w:rPr>
        <w:t>البراءات</w:t>
      </w:r>
      <w:r w:rsidRPr="008954A8">
        <w:rPr>
          <w:rtl/>
        </w:rPr>
        <w:t xml:space="preserve"> في البلدان الناشئة ويتميز بمعدل نمو متزايد. وسوف تعمل الويبو عن كثب، تحت رعاية لجنة الخبراء، على تيسير ومراقبة تنفيذ </w:t>
      </w:r>
      <w:r>
        <w:rPr>
          <w:rFonts w:hint="cs"/>
          <w:rtl/>
        </w:rPr>
        <w:t>خارطة الطريق</w:t>
      </w:r>
      <w:r w:rsidRPr="008954A8">
        <w:rPr>
          <w:rtl/>
        </w:rPr>
        <w:t xml:space="preserve"> وستقوم بتدريب موظفي مكاتب الملكية الفكرية للسماح بمشاركة أوسع في عملية </w:t>
      </w:r>
      <w:r>
        <w:rPr>
          <w:rFonts w:hint="cs"/>
          <w:rtl/>
        </w:rPr>
        <w:t>مراجعة التصنيف الدولي للبراءات</w:t>
      </w:r>
      <w:r>
        <w:rPr>
          <w:rtl/>
        </w:rPr>
        <w:t>.</w:t>
      </w:r>
      <w:r>
        <w:rPr>
          <w:rFonts w:hint="cs"/>
          <w:rtl/>
        </w:rPr>
        <w:t xml:space="preserve"> وسيعزَّز التعاون الدولي بشأن إعادة تصنيف وثائق البراءات، وفقا لآخر مراجعة للتصنيف الدولي للبراءات، وسيُدار كليا من قبل الويبو. وستواصل هذه الأخيرة الترويج لاستخدام أوسع لنظام التصنيف الدولي للبراءات وتيسيره عبر تقديم المساعدة عند تنفيذ الترجمات الوطنية للتصنيف الدولي للبراءات. </w:t>
      </w:r>
    </w:p>
    <w:p w:rsidR="00410DF7" w:rsidRPr="007E28E2" w:rsidRDefault="00410DF7" w:rsidP="0031375C">
      <w:pPr>
        <w:pStyle w:val="ARNormal"/>
        <w:keepNext/>
        <w:rPr>
          <w:color w:val="000000"/>
          <w:u w:val="single"/>
          <w:rtl/>
        </w:rPr>
      </w:pPr>
      <w:r w:rsidRPr="007E28E2">
        <w:rPr>
          <w:rFonts w:hint="cs"/>
          <w:color w:val="000000"/>
          <w:u w:val="single"/>
          <w:rtl/>
        </w:rPr>
        <w:t>تصنيف نيس</w:t>
      </w:r>
      <w:r w:rsidRPr="008954A8">
        <w:rPr>
          <w:color w:val="000000"/>
          <w:u w:val="single"/>
          <w:rtl/>
        </w:rPr>
        <w:t xml:space="preserve"> (قائمة السلع والخدمات من أجل تسجيل العلامات التجارية</w:t>
      </w:r>
      <w:r w:rsidRPr="007E28E2">
        <w:rPr>
          <w:rFonts w:hint="cs"/>
          <w:color w:val="000000"/>
          <w:u w:val="single"/>
          <w:rtl/>
        </w:rPr>
        <w:t>)</w:t>
      </w:r>
    </w:p>
    <w:p w:rsidR="00410DF7" w:rsidRPr="008954A8" w:rsidRDefault="00410DF7" w:rsidP="00861CFF">
      <w:pPr>
        <w:pStyle w:val="ARNormal"/>
        <w:numPr>
          <w:ilvl w:val="0"/>
          <w:numId w:val="25"/>
        </w:numPr>
        <w:ind w:left="0" w:firstLine="0"/>
        <w:rPr>
          <w:color w:val="000000"/>
          <w:rtl/>
        </w:rPr>
      </w:pPr>
      <w:r>
        <w:rPr>
          <w:rFonts w:hint="cs"/>
          <w:color w:val="000000"/>
          <w:rtl/>
        </w:rPr>
        <w:t xml:space="preserve">سيتواصل تحسين تصنيف نيس تحت رعاية </w:t>
      </w:r>
      <w:r w:rsidRPr="007F22AC">
        <w:rPr>
          <w:color w:val="000000"/>
          <w:rtl/>
        </w:rPr>
        <w:t>لجنة الخبراء التابعة لاتحاد نيس</w:t>
      </w:r>
      <w:r w:rsidRPr="008954A8">
        <w:rPr>
          <w:rFonts w:hint="cs"/>
          <w:color w:val="000000"/>
          <w:rtl/>
        </w:rPr>
        <w:t>.</w:t>
      </w:r>
      <w:r>
        <w:rPr>
          <w:rFonts w:hint="cs"/>
          <w:color w:val="000000"/>
          <w:rtl/>
        </w:rPr>
        <w:t xml:space="preserve"> وسينصب التركيز على ضمان مراعاة قائمة السلع والخدمات مراعاة تامة لخصائص الأسواق الناشئة وإدراج البيانات الجديدة المستخدمة على نطاق واسع بسرعة في قائمة السلع والخدمات. وسيتحقق ذلك عبر رصد قواعد بيانات مدريد وقواعد البيانات الوطنية عن قرب، وعبر حذف البيانات القديمة بوضع خطة لإجراء مراجعة محكمة لنظام الإدارة. وسيتم المضي قدما في تطوير منصة متناسقة لسلع وخدمات نيس و</w:t>
      </w:r>
      <w:r w:rsidRPr="00992FCF">
        <w:rPr>
          <w:color w:val="000000"/>
          <w:rtl/>
        </w:rPr>
        <w:t>قاعدة بيانات نظام إدارة السلع والخدمات في نظام مدريد</w:t>
      </w:r>
      <w:r>
        <w:rPr>
          <w:rFonts w:hint="cs"/>
          <w:color w:val="000000"/>
          <w:rtl/>
        </w:rPr>
        <w:t>. وستشارك الويبو بنشاط في مبادرات التعاون الإقليمية والدولية المتعلقة بتصنيف العلامات التجارية من أجل تسهيل العمل في تصنيف نيس بالممارسات المقبولة على نطاق واسع. وسيتواصل وضع مواد سهلة الفهم وتنظيم دورات تدريبية تفاعلية بشأن كيفية التصنيف وستتاح على الإنترنت. وستُشرك مكاتب الملكية الفكرية بشكل أكبر في تلك العمليات.</w:t>
      </w:r>
    </w:p>
    <w:p w:rsidR="00410DF7" w:rsidRPr="008954A8" w:rsidRDefault="00410DF7" w:rsidP="0031375C">
      <w:pPr>
        <w:pStyle w:val="ARNormal"/>
        <w:keepNext/>
        <w:tabs>
          <w:tab w:val="left" w:pos="714"/>
        </w:tabs>
        <w:rPr>
          <w:u w:val="single"/>
          <w:rtl/>
        </w:rPr>
      </w:pPr>
      <w:r w:rsidRPr="008954A8">
        <w:rPr>
          <w:rFonts w:hint="cs"/>
          <w:u w:val="single"/>
          <w:rtl/>
        </w:rPr>
        <w:lastRenderedPageBreak/>
        <w:t xml:space="preserve">تصنيف فيينا </w:t>
      </w:r>
      <w:r w:rsidRPr="008954A8">
        <w:rPr>
          <w:color w:val="000000"/>
          <w:u w:val="single"/>
          <w:rtl/>
        </w:rPr>
        <w:t>(العناصر التصويرية للعلامات التجارية) تصنيف لوكارنو ( التصاميم الصناعية</w:t>
      </w:r>
      <w:r w:rsidRPr="008954A8">
        <w:rPr>
          <w:rFonts w:hint="cs"/>
          <w:color w:val="000000"/>
          <w:u w:val="single"/>
          <w:rtl/>
        </w:rPr>
        <w:t>)</w:t>
      </w:r>
      <w:r w:rsidRPr="008954A8">
        <w:rPr>
          <w:rFonts w:hint="cs"/>
          <w:u w:val="single"/>
          <w:rtl/>
        </w:rPr>
        <w:t xml:space="preserve"> </w:t>
      </w:r>
    </w:p>
    <w:p w:rsidR="00410DF7" w:rsidRPr="008954A8" w:rsidRDefault="00410DF7" w:rsidP="00861CFF">
      <w:pPr>
        <w:pStyle w:val="ARNormal"/>
        <w:numPr>
          <w:ilvl w:val="0"/>
          <w:numId w:val="25"/>
        </w:numPr>
        <w:ind w:left="0" w:firstLine="0"/>
        <w:rPr>
          <w:rtl/>
        </w:rPr>
      </w:pPr>
      <w:r>
        <w:rPr>
          <w:rFonts w:hint="cs"/>
          <w:rtl/>
        </w:rPr>
        <w:t xml:space="preserve">ستُستكمل </w:t>
      </w:r>
      <w:r w:rsidRPr="008954A8">
        <w:rPr>
          <w:color w:val="000000"/>
          <w:rtl/>
        </w:rPr>
        <w:t xml:space="preserve">منصات </w:t>
      </w:r>
      <w:r>
        <w:rPr>
          <w:rFonts w:hint="cs"/>
          <w:color w:val="000000"/>
          <w:rtl/>
        </w:rPr>
        <w:t>ال</w:t>
      </w:r>
      <w:r w:rsidRPr="008954A8">
        <w:rPr>
          <w:color w:val="000000"/>
          <w:rtl/>
        </w:rPr>
        <w:t xml:space="preserve">نشر </w:t>
      </w:r>
      <w:r>
        <w:rPr>
          <w:rFonts w:hint="cs"/>
          <w:color w:val="000000"/>
          <w:rtl/>
        </w:rPr>
        <w:t>ال</w:t>
      </w:r>
      <w:r w:rsidRPr="008954A8">
        <w:rPr>
          <w:color w:val="000000"/>
          <w:rtl/>
        </w:rPr>
        <w:t>جديدة لتصنيف فيينا وتصنيف لوكارنو أسوة بتصنيف نيس.</w:t>
      </w:r>
      <w:r>
        <w:rPr>
          <w:rFonts w:hint="cs"/>
          <w:color w:val="000000"/>
          <w:rtl/>
        </w:rPr>
        <w:t xml:space="preserve"> وستُشرك مكاتب الملكية الفكرية بشكل أكبر في عملية مراجعة تصنيفي فيينا </w:t>
      </w:r>
      <w:proofErr w:type="spellStart"/>
      <w:r>
        <w:rPr>
          <w:rFonts w:hint="cs"/>
          <w:color w:val="000000"/>
          <w:rtl/>
        </w:rPr>
        <w:t>ولوكارنو</w:t>
      </w:r>
      <w:proofErr w:type="spellEnd"/>
      <w:r>
        <w:rPr>
          <w:rFonts w:hint="cs"/>
          <w:color w:val="000000"/>
          <w:rtl/>
        </w:rPr>
        <w:t>. ووفقا لقرار لجنة الخبراء التابعة لاتحاد لوكارنو في خريف 2015، ستُقسّم الأصناف الفرعية في تصنيف لوكارنو إلى مزيد من الأصناف الفرعية من أجل فعالية أكبر عند البحث في قاعدة بيانات التصاميم. وسيتواصل وضع مواد سهلة الفهم وتنظيم دورات تدريبية تفاعلية بشأن كيفية التصنيف وستتاح على الإنترنت.</w:t>
      </w:r>
    </w:p>
    <w:p w:rsidR="00410DF7" w:rsidRPr="00E87013" w:rsidRDefault="00410DF7" w:rsidP="0031375C">
      <w:pPr>
        <w:pStyle w:val="ARNormal"/>
        <w:keepNext/>
        <w:tabs>
          <w:tab w:val="left" w:pos="714"/>
        </w:tabs>
        <w:rPr>
          <w:u w:val="single"/>
          <w:rtl/>
        </w:rPr>
      </w:pPr>
      <w:r w:rsidRPr="00E87013">
        <w:rPr>
          <w:rFonts w:hint="cs"/>
          <w:u w:val="single"/>
          <w:rtl/>
        </w:rPr>
        <w:t>معايير الويبو</w:t>
      </w:r>
    </w:p>
    <w:p w:rsidR="00410DF7" w:rsidRPr="00C614C6" w:rsidRDefault="00410DF7" w:rsidP="00861CFF">
      <w:pPr>
        <w:pStyle w:val="ARNormal"/>
        <w:numPr>
          <w:ilvl w:val="0"/>
          <w:numId w:val="25"/>
        </w:numPr>
        <w:ind w:left="0" w:firstLine="0"/>
        <w:rPr>
          <w:color w:val="000000"/>
          <w:rtl/>
        </w:rPr>
      </w:pPr>
      <w:r>
        <w:rPr>
          <w:rFonts w:hint="cs"/>
          <w:rtl/>
        </w:rPr>
        <w:t xml:space="preserve">تتيح معايير </w:t>
      </w:r>
      <w:r w:rsidRPr="008954A8">
        <w:rPr>
          <w:rFonts w:hint="cs"/>
          <w:rtl/>
        </w:rPr>
        <w:t xml:space="preserve">الويبو </w:t>
      </w:r>
      <w:r w:rsidRPr="008954A8">
        <w:rPr>
          <w:rtl/>
        </w:rPr>
        <w:t>أساسا</w:t>
      </w:r>
      <w:r>
        <w:rPr>
          <w:rFonts w:hint="cs"/>
          <w:rtl/>
        </w:rPr>
        <w:t xml:space="preserve"> لمعالجة</w:t>
      </w:r>
      <w:r w:rsidRPr="008954A8">
        <w:rPr>
          <w:rtl/>
        </w:rPr>
        <w:t xml:space="preserve"> المعلومات والوثائق المتعلقة بالملكية الفكرية </w:t>
      </w:r>
      <w:r>
        <w:rPr>
          <w:rFonts w:hint="cs"/>
          <w:rtl/>
        </w:rPr>
        <w:t>و</w:t>
      </w:r>
      <w:r w:rsidRPr="008954A8">
        <w:rPr>
          <w:rtl/>
        </w:rPr>
        <w:t>نقل</w:t>
      </w:r>
      <w:r>
        <w:rPr>
          <w:rFonts w:hint="cs"/>
          <w:rtl/>
        </w:rPr>
        <w:t>ها</w:t>
      </w:r>
      <w:r w:rsidRPr="008954A8">
        <w:rPr>
          <w:rtl/>
        </w:rPr>
        <w:t xml:space="preserve"> وتبادلها ونشرها وتقاسمها. </w:t>
      </w:r>
      <w:r>
        <w:rPr>
          <w:rFonts w:hint="cs"/>
          <w:rtl/>
        </w:rPr>
        <w:t xml:space="preserve">وعند وضع معايير جديدة أو مراجعة المعايير القائمة، ستنسق الويبو مع مكاتب الملكية الفكرية بشكل أكثر مرونة وفعالية من أجل تلبية احتياجات وطلبات المستخدمين بشكل أفضل. وسيُروج أيضا لزيادة استخدام الوسائل الإلكترونية لمراجعة المعايير واعتمادها. </w:t>
      </w:r>
      <w:r w:rsidRPr="008954A8">
        <w:rPr>
          <w:rFonts w:hint="cs"/>
          <w:rtl/>
        </w:rPr>
        <w:t>و</w:t>
      </w:r>
      <w:r w:rsidRPr="008954A8">
        <w:rPr>
          <w:rtl/>
        </w:rPr>
        <w:t>ستتضمن</w:t>
      </w:r>
      <w:r w:rsidRPr="008954A8">
        <w:rPr>
          <w:rFonts w:hint="cs"/>
          <w:rtl/>
        </w:rPr>
        <w:t xml:space="preserve"> </w:t>
      </w:r>
      <w:r w:rsidRPr="008954A8">
        <w:rPr>
          <w:rtl/>
        </w:rPr>
        <w:t xml:space="preserve">عملية </w:t>
      </w:r>
      <w:r>
        <w:rPr>
          <w:rFonts w:hint="cs"/>
          <w:rtl/>
        </w:rPr>
        <w:t xml:space="preserve">مراجعة </w:t>
      </w:r>
      <w:r w:rsidRPr="008954A8">
        <w:rPr>
          <w:rtl/>
        </w:rPr>
        <w:t>المعايير القائمة تحديثاً ل</w:t>
      </w:r>
      <w:r>
        <w:rPr>
          <w:rFonts w:hint="cs"/>
          <w:rtl/>
        </w:rPr>
        <w:t>ل</w:t>
      </w:r>
      <w:r w:rsidRPr="008954A8">
        <w:rPr>
          <w:rtl/>
        </w:rPr>
        <w:t xml:space="preserve">معايير الخاصة بلغة الترميز الموسعة </w:t>
      </w:r>
      <w:r w:rsidRPr="008954A8">
        <w:t>XML</w:t>
      </w:r>
      <w:r w:rsidRPr="008954A8">
        <w:rPr>
          <w:rtl/>
        </w:rPr>
        <w:t xml:space="preserve"> (للوصول إلى </w:t>
      </w:r>
      <w:r>
        <w:rPr>
          <w:rFonts w:hint="cs"/>
          <w:rtl/>
        </w:rPr>
        <w:t>نسق</w:t>
      </w:r>
      <w:r w:rsidRPr="008954A8">
        <w:rPr>
          <w:rtl/>
        </w:rPr>
        <w:t xml:space="preserve"> أفضل للبيانات الرقمية </w:t>
      </w:r>
      <w:proofErr w:type="spellStart"/>
      <w:r w:rsidRPr="008954A8">
        <w:rPr>
          <w:rtl/>
        </w:rPr>
        <w:t>المهيكلة</w:t>
      </w:r>
      <w:proofErr w:type="spellEnd"/>
      <w:r w:rsidRPr="008954A8">
        <w:rPr>
          <w:rtl/>
        </w:rPr>
        <w:t>)،</w:t>
      </w:r>
      <w:r>
        <w:rPr>
          <w:rFonts w:hint="cs"/>
          <w:rtl/>
        </w:rPr>
        <w:t xml:space="preserve"> وللأدوات المعنية لتسهيل استخدامها،</w:t>
      </w:r>
      <w:r w:rsidRPr="008954A8">
        <w:rPr>
          <w:rtl/>
        </w:rPr>
        <w:t xml:space="preserve"> </w:t>
      </w:r>
      <w:r w:rsidRPr="00C614C6">
        <w:rPr>
          <w:color w:val="000000"/>
          <w:rtl/>
        </w:rPr>
        <w:t>بينما ستتصدى</w:t>
      </w:r>
      <w:r>
        <w:rPr>
          <w:rFonts w:hint="cs"/>
          <w:color w:val="000000"/>
          <w:rtl/>
        </w:rPr>
        <w:t xml:space="preserve"> </w:t>
      </w:r>
      <w:r w:rsidRPr="00C614C6">
        <w:rPr>
          <w:color w:val="000000"/>
          <w:rtl/>
        </w:rPr>
        <w:t xml:space="preserve">عملية وضع </w:t>
      </w:r>
      <w:r>
        <w:rPr>
          <w:rFonts w:hint="cs"/>
          <w:color w:val="000000"/>
          <w:rtl/>
        </w:rPr>
        <w:t>ال</w:t>
      </w:r>
      <w:r w:rsidRPr="00C614C6">
        <w:rPr>
          <w:color w:val="000000"/>
          <w:rtl/>
        </w:rPr>
        <w:t xml:space="preserve">معايير </w:t>
      </w:r>
      <w:r>
        <w:rPr>
          <w:rFonts w:hint="cs"/>
          <w:color w:val="000000"/>
          <w:rtl/>
        </w:rPr>
        <w:t>ال</w:t>
      </w:r>
      <w:r w:rsidRPr="00C614C6">
        <w:rPr>
          <w:color w:val="000000"/>
          <w:rtl/>
        </w:rPr>
        <w:t xml:space="preserve">جديدة </w:t>
      </w:r>
      <w:r>
        <w:rPr>
          <w:rFonts w:hint="cs"/>
          <w:color w:val="000000"/>
          <w:rtl/>
        </w:rPr>
        <w:t>ل</w:t>
      </w:r>
      <w:r w:rsidRPr="00C614C6">
        <w:rPr>
          <w:rFonts w:hint="cs"/>
          <w:color w:val="000000"/>
          <w:rtl/>
        </w:rPr>
        <w:t xml:space="preserve">نشر </w:t>
      </w:r>
      <w:r w:rsidRPr="00C614C6">
        <w:rPr>
          <w:color w:val="000000"/>
          <w:rtl/>
        </w:rPr>
        <w:t xml:space="preserve">وتبادل </w:t>
      </w:r>
      <w:r w:rsidRPr="00C614C6">
        <w:rPr>
          <w:rFonts w:hint="cs"/>
          <w:color w:val="000000"/>
          <w:rtl/>
        </w:rPr>
        <w:t>ال</w:t>
      </w:r>
      <w:r w:rsidRPr="00C614C6">
        <w:rPr>
          <w:color w:val="000000"/>
          <w:rtl/>
        </w:rPr>
        <w:t>معلومات</w:t>
      </w:r>
      <w:r w:rsidRPr="00C614C6">
        <w:rPr>
          <w:rFonts w:hint="cs"/>
          <w:color w:val="000000"/>
          <w:rtl/>
        </w:rPr>
        <w:t xml:space="preserve"> عن </w:t>
      </w:r>
      <w:r w:rsidRPr="00C614C6">
        <w:rPr>
          <w:color w:val="000000"/>
          <w:rtl/>
        </w:rPr>
        <w:t xml:space="preserve">الوضع القانوني </w:t>
      </w:r>
      <w:r w:rsidRPr="00C614C6">
        <w:rPr>
          <w:rFonts w:hint="cs"/>
          <w:color w:val="000000"/>
          <w:rtl/>
        </w:rPr>
        <w:t>ل</w:t>
      </w:r>
      <w:r w:rsidRPr="00C614C6">
        <w:rPr>
          <w:color w:val="000000"/>
          <w:rtl/>
        </w:rPr>
        <w:t>لبراءات</w:t>
      </w:r>
      <w:r w:rsidRPr="00C614C6">
        <w:rPr>
          <w:rFonts w:hint="cs"/>
          <w:color w:val="000000"/>
          <w:rtl/>
        </w:rPr>
        <w:t xml:space="preserve"> </w:t>
      </w:r>
      <w:r w:rsidRPr="00C614C6">
        <w:rPr>
          <w:color w:val="000000"/>
          <w:rtl/>
        </w:rPr>
        <w:t>والبيانات المتعلقة بأن</w:t>
      </w:r>
      <w:r>
        <w:rPr>
          <w:color w:val="000000"/>
          <w:rtl/>
        </w:rPr>
        <w:t>واع جديدة من العلامات التجارية.</w:t>
      </w:r>
      <w:r>
        <w:rPr>
          <w:rFonts w:hint="cs"/>
          <w:color w:val="000000"/>
          <w:rtl/>
        </w:rPr>
        <w:t xml:space="preserve"> وستواصل الويبو تعاونها مع مكاتب الملكية الفكرية بهدف نشر المعلومات المحدثة عن ممارساتها المتعلقة بمعايير الويبو وستساعد تلك المكاتب على تنفيذ المعايير. وستتاح معايير الويبو وما يتعلق بها من دراسات استقصائية بكفاءة أكبر على قواعد بيانات الملكية الفكرية.</w:t>
      </w:r>
    </w:p>
    <w:p w:rsidR="00410DF7" w:rsidRPr="00E87013" w:rsidRDefault="00410DF7" w:rsidP="0031375C">
      <w:pPr>
        <w:pStyle w:val="ARNormal"/>
        <w:keepNext/>
        <w:tabs>
          <w:tab w:val="left" w:pos="714"/>
        </w:tabs>
        <w:rPr>
          <w:u w:val="single"/>
          <w:rtl/>
        </w:rPr>
      </w:pPr>
      <w:r w:rsidRPr="00E87013">
        <w:rPr>
          <w:u w:val="single"/>
          <w:rtl/>
        </w:rPr>
        <w:t>أنظمة تكنولوجيا المعلومات والاتصالات لأغراض التصنيفات والمعايير</w:t>
      </w:r>
      <w:r w:rsidRPr="008954A8">
        <w:rPr>
          <w:rFonts w:hint="cs"/>
          <w:u w:val="single"/>
          <w:rtl/>
        </w:rPr>
        <w:t xml:space="preserve"> الدولية</w:t>
      </w:r>
    </w:p>
    <w:p w:rsidR="00410DF7" w:rsidRPr="00C521A5" w:rsidRDefault="00410DF7" w:rsidP="00861CFF">
      <w:pPr>
        <w:pStyle w:val="ARNormal"/>
        <w:numPr>
          <w:ilvl w:val="0"/>
          <w:numId w:val="25"/>
        </w:numPr>
        <w:ind w:left="0" w:firstLine="0"/>
      </w:pPr>
      <w:r>
        <w:rPr>
          <w:rFonts w:hint="cs"/>
          <w:rtl/>
        </w:rPr>
        <w:t xml:space="preserve">سيتم الانتقال إلى </w:t>
      </w:r>
      <w:r>
        <w:rPr>
          <w:color w:val="000000"/>
          <w:rtl/>
        </w:rPr>
        <w:t>أنظمة</w:t>
      </w:r>
      <w:r>
        <w:rPr>
          <w:rFonts w:hint="cs"/>
          <w:color w:val="000000"/>
          <w:rtl/>
        </w:rPr>
        <w:t xml:space="preserve"> أحسن ل</w:t>
      </w:r>
      <w:r w:rsidRPr="008954A8">
        <w:rPr>
          <w:color w:val="000000"/>
          <w:rtl/>
        </w:rPr>
        <w:t xml:space="preserve">تكنولوجيا المعلومات والاتصالات </w:t>
      </w:r>
      <w:r>
        <w:rPr>
          <w:rFonts w:hint="cs"/>
          <w:color w:val="000000"/>
          <w:rtl/>
        </w:rPr>
        <w:t>الخاصة ب</w:t>
      </w:r>
      <w:r w:rsidRPr="008954A8">
        <w:rPr>
          <w:color w:val="000000"/>
          <w:rtl/>
        </w:rPr>
        <w:t>إدارة التصنيفات والمعايير الدولية</w:t>
      </w:r>
      <w:r>
        <w:rPr>
          <w:rFonts w:hint="cs"/>
          <w:color w:val="000000"/>
          <w:rtl/>
        </w:rPr>
        <w:t xml:space="preserve"> وسيتم توحيد تلك الأنظمة</w:t>
      </w:r>
      <w:r w:rsidRPr="008954A8">
        <w:rPr>
          <w:color w:val="000000"/>
          <w:rtl/>
        </w:rPr>
        <w:t>.</w:t>
      </w:r>
      <w:r>
        <w:rPr>
          <w:rFonts w:hint="cs"/>
          <w:color w:val="000000"/>
          <w:rtl/>
        </w:rPr>
        <w:t xml:space="preserve"> وستوضع أدوات جديدة للرفع من كفاءة التعاون الدولي في مجال إعادة تصنيف وثائق البراءات. وستُطور أنظمة لإدارة مراجعة تصنيفات نيس وفيينا </w:t>
      </w:r>
      <w:proofErr w:type="spellStart"/>
      <w:r>
        <w:rPr>
          <w:rFonts w:hint="cs"/>
          <w:color w:val="000000"/>
          <w:rtl/>
        </w:rPr>
        <w:t>ولوكارنو</w:t>
      </w:r>
      <w:proofErr w:type="spellEnd"/>
      <w:r>
        <w:rPr>
          <w:rFonts w:hint="cs"/>
          <w:color w:val="000000"/>
          <w:rtl/>
        </w:rPr>
        <w:t xml:space="preserve"> من أجل تسهيل مراقبة الويبو لبيانات كل تصنيف، ولإجراء تبادل أكثر كفاءة مع مكاتب الملكية الفكرية أثناء عملية المراجعة وتعزيز الكفاءة من حيث التكلفة والوقت فيما يخص النشر المنتظم للتصنيفات. وستُستعرض منشورات المعايير والدراسات الاستقصائية من أجل تحقيق تكامل أفضل مع قواعد البيانات الخاصة بمعلومات الملكية الكفرية.</w:t>
      </w:r>
    </w:p>
    <w:p w:rsidR="00410DF7" w:rsidRPr="00AE7A2B" w:rsidRDefault="00410DF7" w:rsidP="00861CFF">
      <w:pPr>
        <w:pStyle w:val="ARNormal"/>
        <w:numPr>
          <w:ilvl w:val="0"/>
          <w:numId w:val="25"/>
        </w:numPr>
        <w:ind w:left="0" w:firstLine="0"/>
      </w:pPr>
      <w:r>
        <w:rPr>
          <w:rFonts w:hint="cs"/>
          <w:color w:val="000000"/>
          <w:rtl/>
        </w:rPr>
        <w:t>ويتعاون البرنامج 12 في الأساس مع البرامج الأخرى على النحو المبيّن أدناه:</w:t>
      </w:r>
    </w:p>
    <w:p w:rsidR="00410DF7" w:rsidRPr="008954A8" w:rsidRDefault="00410DF7" w:rsidP="0031375C">
      <w:pPr>
        <w:pStyle w:val="ARNormal"/>
        <w:spacing w:line="240" w:lineRule="auto"/>
        <w:rPr>
          <w:rtl/>
        </w:rPr>
      </w:pPr>
      <w:r w:rsidRPr="000229D9">
        <w:rPr>
          <w:rFonts w:ascii="Arial" w:hAnsi="Arial" w:cs="Arial"/>
          <w:noProof/>
          <w:lang w:val="en-US"/>
        </w:rPr>
        <w:drawing>
          <wp:inline distT="0" distB="0" distL="0" distR="0" wp14:anchorId="0D0636A0" wp14:editId="426A6048">
            <wp:extent cx="5760085" cy="1615408"/>
            <wp:effectExtent l="57150" t="19050" r="31115" b="80645"/>
            <wp:docPr id="962" name="Diagram 96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rsidR="00410DF7" w:rsidRPr="00231510"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231510">
        <w:rPr>
          <w:rFonts w:ascii="Arabic Typesetting" w:hAnsi="Arabic Typesetting" w:cs="Arabic Typesetting"/>
          <w:noProof/>
          <w:sz w:val="38"/>
          <w:szCs w:val="38"/>
          <w:rtl/>
        </w:rPr>
        <w:t xml:space="preserve">المخاطر الرئيسية واستراتيجيات </w:t>
      </w:r>
      <w:r w:rsidRPr="00231510">
        <w:rPr>
          <w:rFonts w:ascii="Arabic Typesetting" w:hAnsi="Arabic Typesetting" w:cs="Arabic Typesetting" w:hint="cs"/>
          <w:noProof/>
          <w:sz w:val="38"/>
          <w:szCs w:val="38"/>
          <w:rtl/>
        </w:rPr>
        <w:t>التخفيف منها</w:t>
      </w:r>
    </w:p>
    <w:tbl>
      <w:tblPr>
        <w:bidiVisual/>
        <w:tblW w:w="0" w:type="auto"/>
        <w:jc w:val="center"/>
        <w:tblInd w:w="-255"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689"/>
        <w:gridCol w:w="4544"/>
      </w:tblGrid>
      <w:tr w:rsidR="00410DF7" w:rsidRPr="008954A8" w:rsidTr="0031375C">
        <w:trPr>
          <w:trHeight w:val="20"/>
          <w:tblHeader/>
          <w:jc w:val="center"/>
        </w:trPr>
        <w:tc>
          <w:tcPr>
            <w:tcW w:w="4689" w:type="dxa"/>
            <w:shd w:val="clear" w:color="auto" w:fill="C6D9F1"/>
          </w:tcPr>
          <w:p w:rsidR="00410DF7" w:rsidRPr="008954A8" w:rsidRDefault="00410DF7" w:rsidP="0031375C">
            <w:pPr>
              <w:pStyle w:val="ARProgramTableHeading"/>
              <w:spacing w:line="300" w:lineRule="exact"/>
              <w:rPr>
                <w:rtl/>
                <w:lang w:bidi="ar-SA"/>
              </w:rPr>
            </w:pPr>
            <w:r>
              <w:rPr>
                <w:rFonts w:hint="cs"/>
                <w:rtl/>
                <w:lang w:bidi="ar-SA"/>
              </w:rPr>
              <w:t>المخاطر</w:t>
            </w:r>
          </w:p>
        </w:tc>
        <w:tc>
          <w:tcPr>
            <w:tcW w:w="4544" w:type="dxa"/>
            <w:shd w:val="clear" w:color="auto" w:fill="C6D9F1"/>
          </w:tcPr>
          <w:p w:rsidR="00410DF7" w:rsidRPr="008954A8" w:rsidRDefault="00410DF7" w:rsidP="0031375C">
            <w:pPr>
              <w:pStyle w:val="ARProgramTableHeading"/>
              <w:spacing w:line="300" w:lineRule="exact"/>
              <w:rPr>
                <w:rtl/>
              </w:rPr>
            </w:pPr>
            <w:r>
              <w:rPr>
                <w:rFonts w:hint="cs"/>
                <w:rtl/>
              </w:rPr>
              <w:t>التخفيف منها</w:t>
            </w:r>
          </w:p>
        </w:tc>
      </w:tr>
      <w:tr w:rsidR="00410DF7" w:rsidRPr="008954A8" w:rsidTr="0031375C">
        <w:trPr>
          <w:trHeight w:val="20"/>
          <w:jc w:val="center"/>
        </w:trPr>
        <w:tc>
          <w:tcPr>
            <w:tcW w:w="4689" w:type="dxa"/>
            <w:shd w:val="clear" w:color="auto" w:fill="auto"/>
          </w:tcPr>
          <w:p w:rsidR="00410DF7" w:rsidRPr="008954A8" w:rsidRDefault="00410DF7" w:rsidP="0031375C">
            <w:pPr>
              <w:pStyle w:val="ARProgramTableText"/>
              <w:spacing w:line="300" w:lineRule="exact"/>
              <w:rPr>
                <w:rtl/>
                <w:lang w:val="fr-CH" w:bidi="ar-SA"/>
              </w:rPr>
            </w:pPr>
            <w:r>
              <w:rPr>
                <w:rFonts w:hint="cs"/>
                <w:color w:val="000000"/>
                <w:rtl/>
              </w:rPr>
              <w:t>اختلاف آراء</w:t>
            </w:r>
            <w:r w:rsidRPr="008954A8">
              <w:rPr>
                <w:color w:val="000000"/>
                <w:rtl/>
              </w:rPr>
              <w:t xml:space="preserve"> مجموعات البلدان </w:t>
            </w:r>
            <w:r>
              <w:rPr>
                <w:rFonts w:hint="cs"/>
                <w:color w:val="000000"/>
                <w:rtl/>
              </w:rPr>
              <w:t>بما ي</w:t>
            </w:r>
            <w:r w:rsidRPr="008954A8">
              <w:rPr>
                <w:rFonts w:hint="cs"/>
                <w:color w:val="000000"/>
                <w:rtl/>
              </w:rPr>
              <w:t xml:space="preserve">ؤدي إلى </w:t>
            </w:r>
            <w:r w:rsidRPr="008954A8">
              <w:rPr>
                <w:color w:val="000000"/>
                <w:rtl/>
              </w:rPr>
              <w:t>الحد من التطور التقني للمعايير</w:t>
            </w:r>
            <w:r w:rsidRPr="008954A8">
              <w:rPr>
                <w:rFonts w:hint="cs"/>
                <w:rtl/>
                <w:lang w:val="fr-CH" w:bidi="ar-SA"/>
              </w:rPr>
              <w:t xml:space="preserve"> والتصنيفات.</w:t>
            </w:r>
          </w:p>
        </w:tc>
        <w:tc>
          <w:tcPr>
            <w:tcW w:w="4544" w:type="dxa"/>
            <w:shd w:val="clear" w:color="auto" w:fill="auto"/>
          </w:tcPr>
          <w:p w:rsidR="00410DF7" w:rsidRDefault="00410DF7" w:rsidP="0031375C">
            <w:pPr>
              <w:pStyle w:val="ARProgramTableText"/>
              <w:spacing w:line="300" w:lineRule="exact"/>
              <w:rPr>
                <w:rtl/>
              </w:rPr>
            </w:pPr>
            <w:r w:rsidRPr="008954A8">
              <w:rPr>
                <w:rFonts w:hint="cs"/>
                <w:rtl/>
                <w:lang w:bidi="ar-SA"/>
              </w:rPr>
              <w:t xml:space="preserve">مناقشة </w:t>
            </w:r>
            <w:r w:rsidRPr="008954A8">
              <w:rPr>
                <w:color w:val="000000"/>
                <w:rtl/>
              </w:rPr>
              <w:t>القضايا</w:t>
            </w:r>
            <w:r>
              <w:rPr>
                <w:rFonts w:hint="cs"/>
                <w:color w:val="000000"/>
                <w:rtl/>
              </w:rPr>
              <w:t xml:space="preserve"> السياسية</w:t>
            </w:r>
            <w:r w:rsidRPr="008954A8">
              <w:rPr>
                <w:color w:val="000000"/>
                <w:rtl/>
              </w:rPr>
              <w:t xml:space="preserve"> </w:t>
            </w:r>
            <w:r w:rsidRPr="008954A8">
              <w:rPr>
                <w:rFonts w:hint="cs"/>
                <w:color w:val="000000"/>
                <w:rtl/>
              </w:rPr>
              <w:t>ومحاولة حلها</w:t>
            </w:r>
            <w:r w:rsidRPr="008954A8">
              <w:rPr>
                <w:color w:val="000000"/>
                <w:rtl/>
              </w:rPr>
              <w:t xml:space="preserve"> خارج اللجان وتعزيز المناقشات التقنية داخل اللجان. </w:t>
            </w:r>
            <w:r w:rsidRPr="008954A8">
              <w:rPr>
                <w:rFonts w:hint="cs"/>
                <w:color w:val="000000"/>
                <w:rtl/>
              </w:rPr>
              <w:t>ومتابعة</w:t>
            </w:r>
            <w:r w:rsidRPr="008954A8">
              <w:rPr>
                <w:color w:val="000000"/>
                <w:rtl/>
              </w:rPr>
              <w:t xml:space="preserve"> تنفيذ </w:t>
            </w:r>
            <w:r w:rsidRPr="008954A8">
              <w:rPr>
                <w:rFonts w:hint="cs"/>
                <w:color w:val="000000"/>
                <w:rtl/>
              </w:rPr>
              <w:t>ال</w:t>
            </w:r>
            <w:r w:rsidRPr="008954A8">
              <w:rPr>
                <w:color w:val="000000"/>
                <w:rtl/>
              </w:rPr>
              <w:t>خطط طويلة</w:t>
            </w:r>
            <w:r w:rsidRPr="008954A8">
              <w:rPr>
                <w:rFonts w:hint="cs"/>
                <w:rtl/>
              </w:rPr>
              <w:t xml:space="preserve"> الأجل.</w:t>
            </w:r>
          </w:p>
          <w:p w:rsidR="00410DF7" w:rsidRPr="008954A8" w:rsidRDefault="00410DF7" w:rsidP="0031375C">
            <w:pPr>
              <w:pStyle w:val="ARProgramTableText"/>
              <w:spacing w:line="300" w:lineRule="exact"/>
              <w:rPr>
                <w:rtl/>
              </w:rPr>
            </w:pPr>
            <w:r>
              <w:rPr>
                <w:rFonts w:hint="cs"/>
                <w:rtl/>
              </w:rPr>
              <w:t>تنظيم بعثات تدريبية في البلدان النامية، ولا سما على المستوى الإقليمي، لإذكاء الوعي بالتصنيفات والمعايير. ومراعاة الاحتياجات الإقليمية عند وضع التصنيفات والمعايير</w:t>
            </w:r>
          </w:p>
        </w:tc>
      </w:tr>
    </w:tbl>
    <w:p w:rsidR="00410DF7" w:rsidRPr="00231510"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231510">
        <w:rPr>
          <w:rFonts w:ascii="Arabic Typesetting" w:hAnsi="Arabic Typesetting" w:cs="Arabic Typesetting" w:hint="cs"/>
          <w:noProof/>
          <w:sz w:val="38"/>
          <w:szCs w:val="38"/>
          <w:rtl/>
        </w:rPr>
        <w:lastRenderedPageBreak/>
        <w:t>إطار النتائج</w:t>
      </w:r>
    </w:p>
    <w:tbl>
      <w:tblPr>
        <w:bidiVisual/>
        <w:tblW w:w="0" w:type="auto"/>
        <w:jc w:val="center"/>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2862"/>
        <w:gridCol w:w="1740"/>
        <w:gridCol w:w="1704"/>
      </w:tblGrid>
      <w:tr w:rsidR="00410DF7" w:rsidRPr="008954A8" w:rsidTr="0031375C">
        <w:trPr>
          <w:tblHeader/>
          <w:jc w:val="center"/>
        </w:trPr>
        <w:tc>
          <w:tcPr>
            <w:tcW w:w="2934" w:type="dxa"/>
            <w:tcBorders>
              <w:bottom w:val="single" w:sz="4" w:space="0" w:color="auto"/>
              <w:right w:val="nil"/>
            </w:tcBorders>
            <w:shd w:val="clear" w:color="auto" w:fill="C6D9F1"/>
          </w:tcPr>
          <w:p w:rsidR="00410DF7" w:rsidRPr="008954A8" w:rsidRDefault="00410DF7" w:rsidP="0031375C">
            <w:pPr>
              <w:pStyle w:val="ARProgramTableHeading"/>
              <w:keepNext/>
              <w:spacing w:line="300" w:lineRule="exact"/>
              <w:rPr>
                <w:rtl/>
                <w:lang w:bidi="ar-SA"/>
              </w:rPr>
            </w:pPr>
            <w:r w:rsidRPr="008954A8">
              <w:rPr>
                <w:rFonts w:hint="cs"/>
                <w:rtl/>
                <w:lang w:bidi="ar-SA"/>
              </w:rPr>
              <w:t>النتائج المرتقبة</w:t>
            </w:r>
          </w:p>
        </w:tc>
        <w:tc>
          <w:tcPr>
            <w:tcW w:w="2862" w:type="dxa"/>
            <w:tcBorders>
              <w:left w:val="nil"/>
              <w:bottom w:val="single" w:sz="4" w:space="0" w:color="auto"/>
              <w:right w:val="nil"/>
            </w:tcBorders>
            <w:shd w:val="clear" w:color="auto" w:fill="C6D9F1"/>
          </w:tcPr>
          <w:p w:rsidR="00410DF7" w:rsidRPr="008954A8" w:rsidRDefault="00410DF7" w:rsidP="0031375C">
            <w:pPr>
              <w:pStyle w:val="ARProgramTableHeading"/>
              <w:keepNext/>
              <w:spacing w:line="300" w:lineRule="exact"/>
              <w:rPr>
                <w:rtl/>
                <w:lang w:bidi="ar-SA"/>
              </w:rPr>
            </w:pPr>
            <w:r w:rsidRPr="008954A8">
              <w:rPr>
                <w:rFonts w:hint="cs"/>
                <w:rtl/>
                <w:lang w:bidi="ar-SA"/>
              </w:rPr>
              <w:t>مؤشرات الأداء</w:t>
            </w:r>
          </w:p>
        </w:tc>
        <w:tc>
          <w:tcPr>
            <w:tcW w:w="1740" w:type="dxa"/>
            <w:tcBorders>
              <w:left w:val="nil"/>
              <w:bottom w:val="single" w:sz="4" w:space="0" w:color="auto"/>
              <w:right w:val="nil"/>
            </w:tcBorders>
            <w:shd w:val="clear" w:color="auto" w:fill="C6D9F1"/>
          </w:tcPr>
          <w:p w:rsidR="00410DF7" w:rsidRPr="008954A8" w:rsidRDefault="00410DF7" w:rsidP="0031375C">
            <w:pPr>
              <w:pStyle w:val="ARProgramTableHeading"/>
              <w:keepNext/>
              <w:spacing w:line="300" w:lineRule="exact"/>
              <w:rPr>
                <w:rtl/>
                <w:lang w:bidi="ar-SA"/>
              </w:rPr>
            </w:pPr>
            <w:r w:rsidRPr="008954A8">
              <w:rPr>
                <w:rFonts w:hint="cs"/>
                <w:rtl/>
                <w:lang w:bidi="ar-SA"/>
              </w:rPr>
              <w:t>أسس المقارنة</w:t>
            </w:r>
          </w:p>
        </w:tc>
        <w:tc>
          <w:tcPr>
            <w:tcW w:w="1704" w:type="dxa"/>
            <w:tcBorders>
              <w:left w:val="nil"/>
              <w:bottom w:val="single" w:sz="4" w:space="0" w:color="auto"/>
            </w:tcBorders>
            <w:shd w:val="clear" w:color="auto" w:fill="C6D9F1"/>
          </w:tcPr>
          <w:p w:rsidR="00410DF7" w:rsidRPr="008954A8" w:rsidRDefault="00410DF7" w:rsidP="0031375C">
            <w:pPr>
              <w:pStyle w:val="ARProgramTableHeading"/>
              <w:keepNext/>
              <w:spacing w:line="300" w:lineRule="exact"/>
              <w:rPr>
                <w:rtl/>
                <w:lang w:bidi="ar-SA"/>
              </w:rPr>
            </w:pPr>
            <w:r w:rsidRPr="008954A8">
              <w:rPr>
                <w:rFonts w:hint="cs"/>
                <w:rtl/>
                <w:lang w:bidi="ar-SA"/>
              </w:rPr>
              <w:t>الأهداف</w:t>
            </w:r>
          </w:p>
        </w:tc>
      </w:tr>
      <w:tr w:rsidR="00410DF7" w:rsidRPr="008954A8" w:rsidTr="0031375C">
        <w:trPr>
          <w:jc w:val="center"/>
        </w:trPr>
        <w:tc>
          <w:tcPr>
            <w:tcW w:w="2934" w:type="dxa"/>
            <w:tcBorders>
              <w:top w:val="single" w:sz="4" w:space="0" w:color="auto"/>
              <w:left w:val="single" w:sz="4" w:space="0" w:color="auto"/>
              <w:bottom w:val="nil"/>
              <w:right w:val="nil"/>
            </w:tcBorders>
            <w:shd w:val="clear" w:color="auto" w:fill="auto"/>
          </w:tcPr>
          <w:p w:rsidR="00410DF7" w:rsidRPr="008954A8" w:rsidRDefault="00410DF7" w:rsidP="0031375C">
            <w:pPr>
              <w:pStyle w:val="ARProgramTableText"/>
              <w:spacing w:line="300" w:lineRule="exact"/>
              <w:rPr>
                <w:rtl/>
              </w:rPr>
            </w:pPr>
            <w:r w:rsidRPr="008954A8">
              <w:rPr>
                <w:rFonts w:hint="cs"/>
                <w:rtl/>
                <w:lang w:bidi="ar-SA"/>
              </w:rPr>
              <w:t xml:space="preserve">ه 1.4 </w:t>
            </w:r>
            <w:r w:rsidRPr="00A57228">
              <w:rPr>
                <w:rtl/>
              </w:rPr>
              <w:t>نظام محدّث ومقبول عالميا للتصنيفات الدولية ومعايير الويبو بهدف تيسير النفاذ إلى معلومات الملكية الفكرية واستخدامها ونشرها في صفوف أصحاب المصلحة في أنحاء العالم</w:t>
            </w:r>
          </w:p>
        </w:tc>
        <w:tc>
          <w:tcPr>
            <w:tcW w:w="2862" w:type="dxa"/>
            <w:tcBorders>
              <w:top w:val="single" w:sz="4" w:space="0" w:color="auto"/>
              <w:left w:val="nil"/>
              <w:bottom w:val="nil"/>
              <w:right w:val="nil"/>
            </w:tcBorders>
            <w:shd w:val="clear" w:color="auto" w:fill="auto"/>
          </w:tcPr>
          <w:p w:rsidR="00410DF7" w:rsidRPr="008954A8" w:rsidRDefault="00410DF7" w:rsidP="0031375C">
            <w:pPr>
              <w:pStyle w:val="ARProgramTableText"/>
              <w:spacing w:line="300" w:lineRule="exact"/>
              <w:rPr>
                <w:rtl/>
              </w:rPr>
            </w:pPr>
            <w:r w:rsidRPr="008954A8">
              <w:rPr>
                <w:rFonts w:hint="cs"/>
                <w:rtl/>
                <w:lang w:bidi="ar-SA"/>
              </w:rPr>
              <w:t xml:space="preserve">عدد </w:t>
            </w:r>
            <w:r w:rsidRPr="008954A8">
              <w:rPr>
                <w:color w:val="000000"/>
                <w:rtl/>
              </w:rPr>
              <w:t>التعديلات و</w:t>
            </w:r>
            <w:r w:rsidRPr="008954A8">
              <w:rPr>
                <w:rFonts w:hint="cs"/>
                <w:color w:val="000000"/>
                <w:rtl/>
              </w:rPr>
              <w:t xml:space="preserve">ملفات </w:t>
            </w:r>
            <w:r w:rsidRPr="008954A8">
              <w:rPr>
                <w:color w:val="000000"/>
                <w:rtl/>
              </w:rPr>
              <w:t xml:space="preserve">المعلومات </w:t>
            </w:r>
            <w:r w:rsidRPr="008954A8">
              <w:rPr>
                <w:rFonts w:hint="cs"/>
                <w:color w:val="000000"/>
                <w:rtl/>
              </w:rPr>
              <w:t xml:space="preserve">التي تم إدراجها في </w:t>
            </w:r>
            <w:r w:rsidRPr="008954A8">
              <w:rPr>
                <w:color w:val="000000"/>
                <w:rtl/>
              </w:rPr>
              <w:t>تصنيف</w:t>
            </w:r>
            <w:r w:rsidRPr="008954A8">
              <w:rPr>
                <w:rFonts w:hint="cs"/>
                <w:rtl/>
              </w:rPr>
              <w:t xml:space="preserve"> نيس</w:t>
            </w:r>
          </w:p>
        </w:tc>
        <w:tc>
          <w:tcPr>
            <w:tcW w:w="1740" w:type="dxa"/>
            <w:tcBorders>
              <w:top w:val="single" w:sz="4" w:space="0" w:color="auto"/>
              <w:left w:val="nil"/>
              <w:bottom w:val="nil"/>
              <w:right w:val="nil"/>
            </w:tcBorders>
            <w:shd w:val="clear" w:color="auto" w:fill="auto"/>
          </w:tcPr>
          <w:p w:rsidR="00410DF7" w:rsidRPr="008954A8" w:rsidRDefault="00410DF7" w:rsidP="0031375C">
            <w:pPr>
              <w:pStyle w:val="ARProgramTableText"/>
              <w:spacing w:line="300" w:lineRule="exact"/>
              <w:rPr>
                <w:rtl/>
              </w:rPr>
            </w:pPr>
            <w:r>
              <w:rPr>
                <w:rFonts w:hint="cs"/>
                <w:rtl/>
              </w:rPr>
              <w:t>570 تعديلا بالإنكليزية والفرنسية، 50 تعديلا جديدا أو ملف معلومات معدلٍ (2014)</w:t>
            </w:r>
          </w:p>
        </w:tc>
        <w:tc>
          <w:tcPr>
            <w:tcW w:w="1704" w:type="dxa"/>
            <w:tcBorders>
              <w:top w:val="single" w:sz="4" w:space="0" w:color="auto"/>
              <w:left w:val="nil"/>
              <w:bottom w:val="nil"/>
              <w:right w:val="single" w:sz="4" w:space="0" w:color="auto"/>
            </w:tcBorders>
            <w:shd w:val="clear" w:color="auto" w:fill="auto"/>
          </w:tcPr>
          <w:p w:rsidR="00410DF7" w:rsidRPr="008954A8" w:rsidRDefault="00410DF7" w:rsidP="0031375C">
            <w:pPr>
              <w:pStyle w:val="ARProgramTableText"/>
              <w:spacing w:line="300" w:lineRule="exact"/>
              <w:rPr>
                <w:rtl/>
                <w:lang w:bidi="ar-SA"/>
              </w:rPr>
            </w:pPr>
            <w:r w:rsidRPr="008954A8">
              <w:rPr>
                <w:rFonts w:hint="cs"/>
                <w:rtl/>
                <w:lang w:bidi="ar-SA"/>
              </w:rPr>
              <w:t>مقارنة الزيادة مع أساس المقارنة</w:t>
            </w:r>
          </w:p>
        </w:tc>
      </w:tr>
      <w:tr w:rsidR="00410DF7" w:rsidRPr="008954A8" w:rsidTr="0031375C">
        <w:trPr>
          <w:jc w:val="center"/>
        </w:trPr>
        <w:tc>
          <w:tcPr>
            <w:tcW w:w="2934" w:type="dxa"/>
            <w:tcBorders>
              <w:top w:val="nil"/>
              <w:left w:val="single" w:sz="4" w:space="0" w:color="auto"/>
              <w:bottom w:val="nil"/>
              <w:right w:val="nil"/>
            </w:tcBorders>
            <w:shd w:val="clear" w:color="auto" w:fill="auto"/>
          </w:tcPr>
          <w:p w:rsidR="00410DF7" w:rsidRPr="008954A8" w:rsidRDefault="00410DF7" w:rsidP="0031375C">
            <w:pPr>
              <w:pStyle w:val="ARProgramTableText"/>
              <w:spacing w:line="300" w:lineRule="exact"/>
              <w:rPr>
                <w:rtl/>
                <w:lang w:bidi="ar-SA"/>
              </w:rPr>
            </w:pPr>
          </w:p>
        </w:tc>
        <w:tc>
          <w:tcPr>
            <w:tcW w:w="2862" w:type="dxa"/>
            <w:tcBorders>
              <w:top w:val="nil"/>
              <w:left w:val="nil"/>
              <w:bottom w:val="nil"/>
              <w:right w:val="nil"/>
            </w:tcBorders>
            <w:shd w:val="clear" w:color="auto" w:fill="auto"/>
          </w:tcPr>
          <w:p w:rsidR="00410DF7" w:rsidRPr="008954A8" w:rsidRDefault="00410DF7" w:rsidP="0031375C">
            <w:pPr>
              <w:pStyle w:val="ARProgramTableText"/>
              <w:spacing w:line="300" w:lineRule="exact"/>
              <w:rPr>
                <w:rtl/>
                <w:lang w:bidi="ar-SA"/>
              </w:rPr>
            </w:pPr>
            <w:r w:rsidRPr="008954A8">
              <w:rPr>
                <w:rFonts w:hint="cs"/>
                <w:rtl/>
                <w:lang w:bidi="ar-SA"/>
              </w:rPr>
              <w:t>عدد التقسيمات الفرعية الجديدة التي أُدخلت في التصنيف الدولي للبراءات سنويا</w:t>
            </w:r>
          </w:p>
        </w:tc>
        <w:tc>
          <w:tcPr>
            <w:tcW w:w="1740" w:type="dxa"/>
            <w:tcBorders>
              <w:top w:val="nil"/>
              <w:left w:val="nil"/>
              <w:bottom w:val="nil"/>
              <w:right w:val="nil"/>
            </w:tcBorders>
            <w:shd w:val="clear" w:color="auto" w:fill="auto"/>
          </w:tcPr>
          <w:p w:rsidR="00410DF7" w:rsidRPr="008954A8" w:rsidRDefault="00410DF7" w:rsidP="0031375C">
            <w:pPr>
              <w:pStyle w:val="ARProgramTableText"/>
              <w:spacing w:line="300" w:lineRule="exact"/>
              <w:rPr>
                <w:rtl/>
                <w:lang w:bidi="ar-SA"/>
              </w:rPr>
            </w:pPr>
            <w:r>
              <w:rPr>
                <w:rFonts w:hint="cs"/>
                <w:rtl/>
                <w:lang w:bidi="ar-SA"/>
              </w:rPr>
              <w:t>337</w:t>
            </w:r>
            <w:r w:rsidRPr="008954A8">
              <w:rPr>
                <w:rFonts w:hint="cs"/>
                <w:rtl/>
                <w:lang w:bidi="ar-SA"/>
              </w:rPr>
              <w:t xml:space="preserve"> مجموعة جديدة (</w:t>
            </w:r>
            <w:r>
              <w:rPr>
                <w:rFonts w:hint="cs"/>
                <w:rtl/>
                <w:lang w:bidi="ar-SA"/>
              </w:rPr>
              <w:t>2014</w:t>
            </w:r>
            <w:r w:rsidRPr="008954A8">
              <w:rPr>
                <w:rFonts w:hint="cs"/>
                <w:rtl/>
                <w:lang w:bidi="ar-SA"/>
              </w:rPr>
              <w:t>)</w:t>
            </w:r>
          </w:p>
        </w:tc>
        <w:tc>
          <w:tcPr>
            <w:tcW w:w="1704" w:type="dxa"/>
            <w:tcBorders>
              <w:top w:val="nil"/>
              <w:left w:val="nil"/>
              <w:bottom w:val="nil"/>
              <w:right w:val="single" w:sz="4" w:space="0" w:color="auto"/>
            </w:tcBorders>
            <w:shd w:val="clear" w:color="auto" w:fill="auto"/>
          </w:tcPr>
          <w:p w:rsidR="00410DF7" w:rsidRPr="008954A8" w:rsidRDefault="00410DF7" w:rsidP="0031375C">
            <w:pPr>
              <w:pStyle w:val="ARProgramTableText"/>
              <w:spacing w:line="300" w:lineRule="exact"/>
              <w:rPr>
                <w:rtl/>
                <w:lang w:bidi="ar-SA"/>
              </w:rPr>
            </w:pPr>
            <w:r w:rsidRPr="008954A8">
              <w:rPr>
                <w:rFonts w:hint="cs"/>
                <w:rtl/>
                <w:lang w:bidi="ar-SA"/>
              </w:rPr>
              <w:t>مقارنة الزيادة مع أساس المقارنة</w:t>
            </w:r>
          </w:p>
        </w:tc>
      </w:tr>
      <w:tr w:rsidR="00410DF7" w:rsidRPr="008954A8" w:rsidTr="0031375C">
        <w:trPr>
          <w:jc w:val="center"/>
        </w:trPr>
        <w:tc>
          <w:tcPr>
            <w:tcW w:w="2934" w:type="dxa"/>
            <w:tcBorders>
              <w:top w:val="nil"/>
              <w:left w:val="single" w:sz="4" w:space="0" w:color="auto"/>
              <w:bottom w:val="nil"/>
              <w:right w:val="nil"/>
            </w:tcBorders>
            <w:shd w:val="clear" w:color="auto" w:fill="auto"/>
          </w:tcPr>
          <w:p w:rsidR="00410DF7" w:rsidRPr="008954A8" w:rsidRDefault="00410DF7" w:rsidP="0031375C">
            <w:pPr>
              <w:pStyle w:val="ARProgramTableText"/>
              <w:spacing w:line="300" w:lineRule="exact"/>
              <w:rPr>
                <w:rtl/>
                <w:lang w:bidi="ar-SA"/>
              </w:rPr>
            </w:pPr>
          </w:p>
        </w:tc>
        <w:tc>
          <w:tcPr>
            <w:tcW w:w="2862" w:type="dxa"/>
            <w:tcBorders>
              <w:top w:val="nil"/>
              <w:left w:val="nil"/>
              <w:bottom w:val="nil"/>
              <w:right w:val="nil"/>
            </w:tcBorders>
            <w:shd w:val="clear" w:color="auto" w:fill="auto"/>
          </w:tcPr>
          <w:p w:rsidR="00410DF7" w:rsidRPr="008954A8" w:rsidRDefault="00410DF7" w:rsidP="0031375C">
            <w:pPr>
              <w:pStyle w:val="ARProgramTableText"/>
              <w:spacing w:line="300" w:lineRule="exact"/>
              <w:rPr>
                <w:rtl/>
                <w:lang w:bidi="ar-SA"/>
              </w:rPr>
            </w:pPr>
            <w:r w:rsidRPr="008954A8">
              <w:rPr>
                <w:rFonts w:hint="cs"/>
                <w:rtl/>
                <w:lang w:bidi="ar-SA"/>
              </w:rPr>
              <w:t>عدد المعايير التي تم تعديلها وعدد المعايير الجديدة التي تم اعتمادها</w:t>
            </w:r>
          </w:p>
        </w:tc>
        <w:tc>
          <w:tcPr>
            <w:tcW w:w="1740" w:type="dxa"/>
            <w:tcBorders>
              <w:top w:val="nil"/>
              <w:left w:val="nil"/>
              <w:bottom w:val="nil"/>
              <w:right w:val="nil"/>
            </w:tcBorders>
            <w:shd w:val="clear" w:color="auto" w:fill="auto"/>
          </w:tcPr>
          <w:p w:rsidR="00410DF7" w:rsidRPr="008954A8" w:rsidRDefault="00410DF7" w:rsidP="0031375C">
            <w:pPr>
              <w:pStyle w:val="ARProgramTableText"/>
              <w:spacing w:line="300" w:lineRule="exact"/>
              <w:rPr>
                <w:rtl/>
                <w:lang w:bidi="ar-SA"/>
              </w:rPr>
            </w:pPr>
            <w:r>
              <w:rPr>
                <w:rFonts w:hint="cs"/>
                <w:rtl/>
                <w:lang w:bidi="ar-SA"/>
              </w:rPr>
              <w:t>معياران جديدان (2014)</w:t>
            </w:r>
          </w:p>
        </w:tc>
        <w:tc>
          <w:tcPr>
            <w:tcW w:w="1704" w:type="dxa"/>
            <w:tcBorders>
              <w:top w:val="nil"/>
              <w:left w:val="nil"/>
              <w:bottom w:val="nil"/>
              <w:right w:val="single" w:sz="4" w:space="0" w:color="auto"/>
            </w:tcBorders>
            <w:shd w:val="clear" w:color="auto" w:fill="auto"/>
          </w:tcPr>
          <w:p w:rsidR="00410DF7" w:rsidRPr="008954A8" w:rsidRDefault="00410DF7" w:rsidP="0031375C">
            <w:pPr>
              <w:pStyle w:val="ARProgramTableText"/>
              <w:spacing w:line="300" w:lineRule="exact"/>
              <w:rPr>
                <w:rtl/>
                <w:lang w:bidi="ar-SA"/>
              </w:rPr>
            </w:pPr>
            <w:r w:rsidRPr="008954A8">
              <w:rPr>
                <w:rFonts w:hint="cs"/>
                <w:rtl/>
                <w:lang w:bidi="ar-SA"/>
              </w:rPr>
              <w:t>مقارنة الزيادة مع أساس المقارنة</w:t>
            </w:r>
          </w:p>
        </w:tc>
      </w:tr>
      <w:tr w:rsidR="00410DF7" w:rsidRPr="008954A8" w:rsidTr="0031375C">
        <w:trPr>
          <w:jc w:val="center"/>
        </w:trPr>
        <w:tc>
          <w:tcPr>
            <w:tcW w:w="2934" w:type="dxa"/>
            <w:tcBorders>
              <w:top w:val="nil"/>
              <w:left w:val="single" w:sz="4" w:space="0" w:color="auto"/>
              <w:bottom w:val="single" w:sz="4" w:space="0" w:color="auto"/>
              <w:right w:val="nil"/>
            </w:tcBorders>
            <w:shd w:val="clear" w:color="auto" w:fill="auto"/>
          </w:tcPr>
          <w:p w:rsidR="00410DF7" w:rsidRPr="008954A8" w:rsidRDefault="00410DF7" w:rsidP="0031375C">
            <w:pPr>
              <w:pStyle w:val="ARProgramTableText"/>
              <w:spacing w:line="300" w:lineRule="exact"/>
              <w:rPr>
                <w:rtl/>
                <w:lang w:bidi="ar-SA"/>
              </w:rPr>
            </w:pPr>
          </w:p>
        </w:tc>
        <w:tc>
          <w:tcPr>
            <w:tcW w:w="2862" w:type="dxa"/>
            <w:tcBorders>
              <w:top w:val="nil"/>
              <w:left w:val="nil"/>
              <w:bottom w:val="single" w:sz="4" w:space="0" w:color="auto"/>
              <w:right w:val="nil"/>
            </w:tcBorders>
            <w:shd w:val="clear" w:color="auto" w:fill="auto"/>
          </w:tcPr>
          <w:p w:rsidR="00410DF7" w:rsidRPr="008954A8" w:rsidRDefault="00410DF7" w:rsidP="0031375C">
            <w:pPr>
              <w:pStyle w:val="ARProgramTableText"/>
              <w:spacing w:line="300" w:lineRule="exact"/>
              <w:rPr>
                <w:rtl/>
                <w:lang w:bidi="ar-SA"/>
              </w:rPr>
            </w:pPr>
            <w:r w:rsidRPr="008954A8">
              <w:rPr>
                <w:rFonts w:hint="cs"/>
                <w:rtl/>
                <w:lang w:bidi="ar-SA"/>
              </w:rPr>
              <w:t xml:space="preserve">عدد المستخدمين القادرين على النفاذ إلى منشورات </w:t>
            </w:r>
            <w:r>
              <w:rPr>
                <w:rFonts w:hint="cs"/>
                <w:rtl/>
                <w:lang w:bidi="ar-SA"/>
              </w:rPr>
              <w:t>ا</w:t>
            </w:r>
            <w:r w:rsidRPr="008954A8">
              <w:rPr>
                <w:rFonts w:hint="cs"/>
                <w:rtl/>
                <w:lang w:bidi="ar-SA"/>
              </w:rPr>
              <w:t xml:space="preserve">لتصنيفات والمعايير الدولية </w:t>
            </w:r>
            <w:r>
              <w:rPr>
                <w:rFonts w:hint="cs"/>
                <w:rtl/>
                <w:lang w:bidi="ar-SA"/>
              </w:rPr>
              <w:t xml:space="preserve">على </w:t>
            </w:r>
            <w:r w:rsidRPr="008954A8">
              <w:rPr>
                <w:rFonts w:hint="cs"/>
                <w:rtl/>
                <w:lang w:bidi="ar-SA"/>
              </w:rPr>
              <w:t>الإنترنت، ولا سيما من البلدان النامية</w:t>
            </w:r>
          </w:p>
        </w:tc>
        <w:tc>
          <w:tcPr>
            <w:tcW w:w="1740" w:type="dxa"/>
            <w:tcBorders>
              <w:top w:val="nil"/>
              <w:left w:val="nil"/>
              <w:bottom w:val="single" w:sz="4" w:space="0" w:color="auto"/>
              <w:right w:val="nil"/>
            </w:tcBorders>
            <w:shd w:val="clear" w:color="auto" w:fill="auto"/>
          </w:tcPr>
          <w:p w:rsidR="00410DF7" w:rsidRDefault="00410DF7" w:rsidP="0031375C">
            <w:pPr>
              <w:pStyle w:val="ARProgramTableText"/>
              <w:spacing w:after="0" w:line="300" w:lineRule="exact"/>
              <w:rPr>
                <w:rtl/>
                <w:lang w:bidi="ar-SA"/>
              </w:rPr>
            </w:pPr>
            <w:r>
              <w:rPr>
                <w:rFonts w:hint="cs"/>
                <w:rtl/>
                <w:lang w:bidi="ar-SA"/>
              </w:rPr>
              <w:t xml:space="preserve">منشور نيس: </w:t>
            </w:r>
            <w:r w:rsidRPr="00A57228">
              <w:rPr>
                <w:lang w:bidi="ar-SA"/>
              </w:rPr>
              <w:t>2,587,788</w:t>
            </w:r>
          </w:p>
          <w:p w:rsidR="00410DF7" w:rsidRDefault="00410DF7" w:rsidP="0031375C">
            <w:pPr>
              <w:pStyle w:val="ARProgramTableText"/>
              <w:spacing w:after="0" w:line="300" w:lineRule="exact"/>
              <w:rPr>
                <w:rtl/>
                <w:lang w:bidi="ar-SA"/>
              </w:rPr>
            </w:pPr>
            <w:r>
              <w:rPr>
                <w:rFonts w:hint="cs"/>
                <w:rtl/>
                <w:lang w:bidi="ar-SA"/>
              </w:rPr>
              <w:t xml:space="preserve">صفحة لوكارنو: </w:t>
            </w:r>
            <w:r w:rsidRPr="00A57228">
              <w:rPr>
                <w:lang w:bidi="ar-SA"/>
              </w:rPr>
              <w:t>44,557</w:t>
            </w:r>
          </w:p>
          <w:p w:rsidR="00410DF7" w:rsidRDefault="00410DF7" w:rsidP="0031375C">
            <w:pPr>
              <w:pStyle w:val="ARProgramTableText"/>
              <w:spacing w:after="0" w:line="300" w:lineRule="exact"/>
              <w:rPr>
                <w:rtl/>
                <w:lang w:bidi="ar-SA"/>
              </w:rPr>
            </w:pPr>
            <w:r>
              <w:rPr>
                <w:rFonts w:hint="cs"/>
                <w:rtl/>
                <w:lang w:bidi="ar-SA"/>
              </w:rPr>
              <w:t xml:space="preserve">صفحة فيينا: </w:t>
            </w:r>
            <w:r w:rsidRPr="00A57228">
              <w:rPr>
                <w:lang w:bidi="ar-SA"/>
              </w:rPr>
              <w:t>29,596</w:t>
            </w:r>
          </w:p>
          <w:p w:rsidR="00410DF7" w:rsidRDefault="00410DF7" w:rsidP="0031375C">
            <w:pPr>
              <w:pStyle w:val="ARProgramTableText"/>
              <w:spacing w:after="0" w:line="300" w:lineRule="exact"/>
              <w:rPr>
                <w:rtl/>
                <w:lang w:bidi="ar-SA"/>
              </w:rPr>
            </w:pPr>
            <w:r>
              <w:rPr>
                <w:rFonts w:hint="cs"/>
                <w:rtl/>
                <w:lang w:bidi="ar-SA"/>
              </w:rPr>
              <w:t xml:space="preserve">منشور التصنيف الدولي للبراءات: </w:t>
            </w:r>
            <w:r w:rsidRPr="00A57228">
              <w:rPr>
                <w:lang w:bidi="ar-SA"/>
              </w:rPr>
              <w:t>1,170,000</w:t>
            </w:r>
          </w:p>
          <w:p w:rsidR="00410DF7" w:rsidRPr="008954A8" w:rsidRDefault="00410DF7" w:rsidP="0031375C">
            <w:pPr>
              <w:pStyle w:val="ARProgramTableText"/>
              <w:spacing w:after="0" w:line="300" w:lineRule="exact"/>
              <w:rPr>
                <w:rtl/>
                <w:lang w:bidi="ar-SA"/>
              </w:rPr>
            </w:pPr>
            <w:r>
              <w:rPr>
                <w:rFonts w:hint="cs"/>
                <w:rtl/>
                <w:lang w:bidi="ar-SA"/>
              </w:rPr>
              <w:t xml:space="preserve">المعايير (الدليل): </w:t>
            </w:r>
            <w:r w:rsidRPr="00A57228">
              <w:rPr>
                <w:lang w:bidi="ar-SA"/>
              </w:rPr>
              <w:t>66,399</w:t>
            </w:r>
          </w:p>
        </w:tc>
        <w:tc>
          <w:tcPr>
            <w:tcW w:w="1704" w:type="dxa"/>
            <w:tcBorders>
              <w:top w:val="nil"/>
              <w:left w:val="nil"/>
              <w:bottom w:val="single" w:sz="4" w:space="0" w:color="auto"/>
              <w:right w:val="single" w:sz="4" w:space="0" w:color="auto"/>
            </w:tcBorders>
            <w:shd w:val="clear" w:color="auto" w:fill="auto"/>
          </w:tcPr>
          <w:p w:rsidR="00410DF7" w:rsidRPr="008954A8" w:rsidRDefault="00410DF7" w:rsidP="0031375C">
            <w:pPr>
              <w:pStyle w:val="ARProgramTableText"/>
              <w:spacing w:line="300" w:lineRule="exact"/>
              <w:rPr>
                <w:rtl/>
                <w:lang w:bidi="ar-SA"/>
              </w:rPr>
            </w:pPr>
            <w:r w:rsidRPr="008954A8">
              <w:rPr>
                <w:rFonts w:hint="cs"/>
                <w:rtl/>
                <w:lang w:bidi="ar-SA"/>
              </w:rPr>
              <w:t>5% زيادة بالمقارنة مع أساس المقارنة</w:t>
            </w:r>
          </w:p>
        </w:tc>
      </w:tr>
    </w:tbl>
    <w:p w:rsidR="00410DF7" w:rsidRDefault="00410DF7" w:rsidP="0031375C">
      <w:pPr>
        <w:pStyle w:val="ARNormal"/>
        <w:tabs>
          <w:tab w:val="left" w:pos="714"/>
        </w:tabs>
        <w:rPr>
          <w:rtl/>
        </w:rPr>
      </w:pPr>
    </w:p>
    <w:p w:rsidR="00410DF7" w:rsidRPr="00231510"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231510">
        <w:rPr>
          <w:rFonts w:ascii="Arabic Typesetting" w:hAnsi="Arabic Typesetting" w:cs="Arabic Typesetting" w:hint="cs"/>
          <w:noProof/>
          <w:sz w:val="38"/>
          <w:szCs w:val="38"/>
          <w:rtl/>
        </w:rPr>
        <w:t>الموارد المخصصة للبرنامج 12</w:t>
      </w:r>
    </w:p>
    <w:p w:rsidR="00410DF7" w:rsidRDefault="00410DF7" w:rsidP="00861CFF">
      <w:pPr>
        <w:numPr>
          <w:ilvl w:val="0"/>
          <w:numId w:val="25"/>
        </w:numPr>
        <w:tabs>
          <w:tab w:val="num" w:pos="683"/>
        </w:tabs>
        <w:adjustRightInd w:val="0"/>
        <w:snapToGrid w:val="0"/>
        <w:spacing w:after="120" w:line="340" w:lineRule="exact"/>
        <w:ind w:left="-6" w:firstLine="0"/>
        <w:rPr>
          <w:rFonts w:ascii="Arabic Typesetting" w:hAnsi="Arabic Typesetting" w:cs="Arabic Typesetting"/>
          <w:szCs w:val="34"/>
        </w:rPr>
      </w:pPr>
      <w:r>
        <w:rPr>
          <w:rFonts w:ascii="Arabic Typesetting" w:hAnsi="Arabic Typesetting" w:cs="Arabic Typesetting" w:hint="cs"/>
          <w:szCs w:val="34"/>
          <w:rtl/>
        </w:rPr>
        <w:t>يُلاحظ انخفاض طفيف في إجمالي الموارد المخصصة للبرنامج 12 في الثنائية 2016/17 مقارنة بميزانية 2014/15 بعد التحويلات. وتظل الموارد خلاف موارد الموظفين في الثنائية 2016/17 في مستوى ميزانية 2014/15 بعد التحويلات. ويُعزى الانخفاض المُسجل في موارد الموظفين إلى نقل وظيفة إلى البرنامج 15 (الحلول التجارية لمكاتب الملكية الفكرية) من أجل تعزيز الدعم المُقدم إلى المكاتب على الصعيد العالمي.</w:t>
      </w:r>
    </w:p>
    <w:p w:rsidR="00410DF7" w:rsidRPr="002A64C9" w:rsidRDefault="00410DF7" w:rsidP="0031375C">
      <w:pPr>
        <w:pStyle w:val="ARNormal"/>
        <w:keepNext/>
        <w:spacing w:after="0"/>
        <w:jc w:val="center"/>
        <w:rPr>
          <w:b/>
          <w:bCs/>
          <w:rtl/>
        </w:rPr>
      </w:pPr>
      <w:r w:rsidRPr="002A64C9">
        <w:rPr>
          <w:b/>
          <w:bCs/>
          <w:rtl/>
        </w:rPr>
        <w:t xml:space="preserve">البرنامج </w:t>
      </w:r>
      <w:r>
        <w:rPr>
          <w:rFonts w:hint="cs"/>
          <w:b/>
          <w:bCs/>
          <w:rtl/>
        </w:rPr>
        <w:t>12</w:t>
      </w:r>
      <w:r w:rsidRPr="002A64C9">
        <w:rPr>
          <w:b/>
          <w:bCs/>
          <w:rtl/>
        </w:rPr>
        <w:t>: الموارد بحسب كل نتيجة</w:t>
      </w:r>
    </w:p>
    <w:p w:rsidR="00410DF7" w:rsidRDefault="00410DF7" w:rsidP="0031375C">
      <w:pPr>
        <w:pStyle w:val="ARNormal"/>
        <w:spacing w:after="0"/>
        <w:ind w:left="720"/>
        <w:jc w:val="center"/>
        <w:rPr>
          <w:i/>
          <w:iCs/>
          <w:rtl/>
        </w:rPr>
      </w:pPr>
      <w:r w:rsidRPr="002A64C9">
        <w:rPr>
          <w:i/>
          <w:iCs/>
          <w:rtl/>
        </w:rPr>
        <w:t>(بآلاف الفرنكات السويسرية)</w:t>
      </w:r>
    </w:p>
    <w:p w:rsidR="00410DF7" w:rsidRDefault="00410DF7" w:rsidP="00410DF7">
      <w:pPr>
        <w:adjustRightInd w:val="0"/>
        <w:snapToGrid w:val="0"/>
        <w:spacing w:after="120"/>
        <w:ind w:left="-6"/>
        <w:jc w:val="center"/>
        <w:rPr>
          <w:rFonts w:ascii="Arabic Typesetting" w:hAnsi="Arabic Typesetting" w:cs="Arabic Typesetting"/>
          <w:szCs w:val="34"/>
          <w:rtl/>
        </w:rPr>
      </w:pPr>
      <w:r w:rsidRPr="00410DF7">
        <w:rPr>
          <w:noProof/>
          <w:szCs w:val="20"/>
          <w:rtl/>
          <w:lang w:bidi="ar-SA"/>
        </w:rPr>
        <w:drawing>
          <wp:inline distT="0" distB="0" distL="0" distR="0" wp14:anchorId="62427D73" wp14:editId="2BD383A4">
            <wp:extent cx="5676900" cy="1314450"/>
            <wp:effectExtent l="0" t="0" r="0"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676900" cy="1314450"/>
                    </a:xfrm>
                    <a:prstGeom prst="rect">
                      <a:avLst/>
                    </a:prstGeom>
                    <a:noFill/>
                    <a:ln>
                      <a:noFill/>
                    </a:ln>
                  </pic:spPr>
                </pic:pic>
              </a:graphicData>
            </a:graphic>
          </wp:inline>
        </w:drawing>
      </w:r>
    </w:p>
    <w:p w:rsidR="00410DF7" w:rsidRDefault="00410DF7">
      <w:pPr>
        <w:bidi w:val="0"/>
        <w:rPr>
          <w:rFonts w:ascii="Arabic Typesetting" w:hAnsi="Arabic Typesetting" w:cs="Arabic Typesetting"/>
          <w:szCs w:val="34"/>
          <w:rtl/>
        </w:rPr>
      </w:pPr>
      <w:r>
        <w:rPr>
          <w:rFonts w:ascii="Arabic Typesetting" w:hAnsi="Arabic Typesetting" w:cs="Arabic Typesetting"/>
          <w:szCs w:val="34"/>
          <w:rtl/>
        </w:rPr>
        <w:br w:type="page"/>
      </w:r>
    </w:p>
    <w:p w:rsidR="00410DF7" w:rsidRPr="008954A8" w:rsidRDefault="00410DF7" w:rsidP="0031375C">
      <w:pPr>
        <w:pStyle w:val="ARNormal"/>
        <w:keepNext/>
        <w:spacing w:after="0"/>
        <w:jc w:val="center"/>
        <w:rPr>
          <w:b/>
          <w:bCs/>
          <w:rtl/>
        </w:rPr>
      </w:pPr>
      <w:r w:rsidRPr="008954A8">
        <w:rPr>
          <w:rFonts w:hint="cs"/>
          <w:b/>
          <w:bCs/>
          <w:rtl/>
        </w:rPr>
        <w:lastRenderedPageBreak/>
        <w:t xml:space="preserve">البرنامج </w:t>
      </w:r>
      <w:r>
        <w:rPr>
          <w:rFonts w:hint="cs"/>
          <w:b/>
          <w:bCs/>
          <w:rtl/>
        </w:rPr>
        <w:t>12</w:t>
      </w:r>
      <w:r w:rsidRPr="008954A8">
        <w:rPr>
          <w:rFonts w:hint="cs"/>
          <w:b/>
          <w:bCs/>
          <w:rtl/>
        </w:rPr>
        <w:t>: الموارد بحسب غرض الإنفاق</w:t>
      </w:r>
    </w:p>
    <w:p w:rsidR="00410DF7" w:rsidRPr="008954A8" w:rsidRDefault="00410DF7" w:rsidP="0031375C">
      <w:pPr>
        <w:pStyle w:val="ARNormal"/>
        <w:spacing w:after="0"/>
        <w:ind w:left="720"/>
        <w:jc w:val="center"/>
        <w:rPr>
          <w:i/>
          <w:iCs/>
        </w:rPr>
      </w:pPr>
      <w:r w:rsidRPr="008954A8">
        <w:rPr>
          <w:rFonts w:hint="cs"/>
          <w:i/>
          <w:iCs/>
          <w:rtl/>
        </w:rPr>
        <w:t>(بآلاف الفرنكات السويسرية)</w:t>
      </w:r>
    </w:p>
    <w:p w:rsidR="00410DF7" w:rsidRPr="00231510" w:rsidRDefault="00410DF7" w:rsidP="00410DF7">
      <w:pPr>
        <w:adjustRightInd w:val="0"/>
        <w:snapToGrid w:val="0"/>
        <w:spacing w:after="120"/>
        <w:ind w:left="-6"/>
        <w:jc w:val="center"/>
        <w:rPr>
          <w:rFonts w:ascii="Arabic Typesetting" w:hAnsi="Arabic Typesetting" w:cs="Arabic Typesetting"/>
          <w:szCs w:val="34"/>
          <w:rtl/>
        </w:rPr>
      </w:pPr>
      <w:r w:rsidRPr="00410DF7">
        <w:rPr>
          <w:noProof/>
          <w:szCs w:val="20"/>
          <w:rtl/>
          <w:lang w:bidi="ar-SA"/>
        </w:rPr>
        <w:drawing>
          <wp:inline distT="0" distB="0" distL="0" distR="0" wp14:anchorId="6C6DE7DE" wp14:editId="4F651FD1">
            <wp:extent cx="5514975" cy="6353175"/>
            <wp:effectExtent l="0" t="0" r="9525" b="9525"/>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lang w:bidi="ar-EG"/>
        </w:rPr>
      </w:pPr>
    </w:p>
    <w:p w:rsidR="00410DF7" w:rsidRDefault="00410DF7">
      <w:pPr>
        <w:bidi w:val="0"/>
        <w:rPr>
          <w:rFonts w:ascii="Arabic Typesetting" w:hAnsi="Arabic Typesetting" w:cs="Arabic Typesetting"/>
          <w:sz w:val="34"/>
          <w:szCs w:val="34"/>
          <w:rtl/>
          <w:lang w:val="fr-CH" w:bidi="ar-SA"/>
        </w:rPr>
      </w:pPr>
      <w:r>
        <w:rPr>
          <w:rtl/>
        </w:rPr>
        <w:br w:type="page"/>
      </w:r>
    </w:p>
    <w:p w:rsidR="00410DF7" w:rsidRPr="00C11219" w:rsidRDefault="00410DF7" w:rsidP="0031375C">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71" w:name="_Toc364355390"/>
      <w:bookmarkStart w:id="72" w:name="_Toc420595516"/>
      <w:r w:rsidRPr="00C11219">
        <w:rPr>
          <w:rFonts w:ascii="Arabic Typesetting" w:hAnsi="Arabic Typesetting" w:cs="Arabic Typesetting"/>
          <w:bCs/>
          <w:iCs w:val="0"/>
          <w:noProof/>
          <w:sz w:val="42"/>
          <w:szCs w:val="42"/>
          <w:rtl/>
        </w:rPr>
        <w:lastRenderedPageBreak/>
        <w:t>البرنامج 13</w:t>
      </w:r>
      <w:r w:rsidRPr="00C11219">
        <w:rPr>
          <w:rFonts w:ascii="Arabic Typesetting" w:hAnsi="Arabic Typesetting" w:cs="Arabic Typesetting"/>
          <w:bCs/>
          <w:iCs w:val="0"/>
          <w:noProof/>
          <w:sz w:val="42"/>
          <w:szCs w:val="42"/>
          <w:rtl/>
        </w:rPr>
        <w:tab/>
        <w:t>قواعد البيانات العالمية</w:t>
      </w:r>
      <w:bookmarkEnd w:id="71"/>
      <w:bookmarkEnd w:id="72"/>
    </w:p>
    <w:p w:rsidR="00410DF7" w:rsidRPr="00C11219"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C11219">
        <w:rPr>
          <w:rFonts w:ascii="Arabic Typesetting" w:hAnsi="Arabic Typesetting" w:cs="Arabic Typesetting"/>
          <w:noProof/>
          <w:sz w:val="38"/>
          <w:szCs w:val="38"/>
          <w:rtl/>
        </w:rPr>
        <w:t>سياق التخطيط</w:t>
      </w:r>
    </w:p>
    <w:p w:rsidR="00410DF7" w:rsidRPr="00C11219" w:rsidRDefault="00410DF7" w:rsidP="00861CFF">
      <w:pPr>
        <w:pStyle w:val="StyleARNumbered11517pt"/>
        <w:numPr>
          <w:ilvl w:val="0"/>
          <w:numId w:val="26"/>
        </w:numPr>
        <w:ind w:left="0" w:firstLine="0"/>
        <w:jc w:val="left"/>
      </w:pPr>
      <w:r w:rsidRPr="00C11219">
        <w:rPr>
          <w:rtl/>
        </w:rPr>
        <w:t>تساهم الويبو في تطوير البنية التحتية العالمية للملكية الفكرية من خلال توفير محتوى معرفي بشأن الملكية الفكرية، كالسلع العامة، وإتاحته من خلال قواعد بيانات عالمية. وتتضمن قواعد بيانات الويبو العالمية (ركن البراءات (</w:t>
      </w:r>
      <w:r w:rsidRPr="00C11219">
        <w:t>PATENTSCOPE</w:t>
      </w:r>
      <w:r w:rsidRPr="00C11219">
        <w:rPr>
          <w:rtl/>
        </w:rPr>
        <w:t>)</w:t>
      </w:r>
      <w:r>
        <w:rPr>
          <w:rFonts w:hint="cs"/>
          <w:rtl/>
          <w:lang w:val="en-US" w:bidi="ar-EG"/>
        </w:rPr>
        <w:t>)</w:t>
      </w:r>
      <w:r w:rsidRPr="00C11219">
        <w:rPr>
          <w:rtl/>
        </w:rPr>
        <w:t xml:space="preserve"> وقاعدة البي</w:t>
      </w:r>
      <w:r w:rsidR="001753F3">
        <w:rPr>
          <w:rtl/>
        </w:rPr>
        <w:t>انات العالمية ل</w:t>
      </w:r>
      <w:r w:rsidR="001753F3">
        <w:rPr>
          <w:rFonts w:hint="cs"/>
          <w:rtl/>
        </w:rPr>
        <w:t xml:space="preserve">أدوات التوسيم </w:t>
      </w:r>
      <w:r w:rsidRPr="00C11219">
        <w:rPr>
          <w:rtl/>
        </w:rPr>
        <w:t>وقاعدة البيانات العالمية للتص</w:t>
      </w:r>
      <w:r w:rsidR="001753F3">
        <w:rPr>
          <w:rFonts w:hint="cs"/>
          <w:rtl/>
        </w:rPr>
        <w:t>ا</w:t>
      </w:r>
      <w:r w:rsidRPr="00C11219">
        <w:rPr>
          <w:rtl/>
        </w:rPr>
        <w:t>ميم) بيانات من مجموعات معاهدة التعاون بشأن البراءات، واتفاقي مدريد ولشبونة والمادة 6(ثالثا) من اتفاقية باريس الخاصة بالشعارات. كما تشمل قواعد البيانات أيضا طلبات إيداع وتسجيل وطنية وإقليمية بمساهمة من مكاتب الملكية الفكرية التي وافقت على التعاون في توسيع نطاق تغطية قاعدة بيانات الويبو. وتقلص قواعد البيانات الفجوة المعرفية عبر تعزيز الاستفادة من معلومات الملكية الفكرية، بما في ذلك في البلدان النامية والبلدان الأقل نمواً، وتوفير البيانات لتعزيز الابتكار.</w:t>
      </w:r>
    </w:p>
    <w:p w:rsidR="00410DF7" w:rsidRPr="00C11219" w:rsidRDefault="00410DF7" w:rsidP="003B1151">
      <w:pPr>
        <w:pStyle w:val="StyleARNumbered11517pt"/>
        <w:numPr>
          <w:ilvl w:val="0"/>
          <w:numId w:val="26"/>
        </w:numPr>
        <w:ind w:left="0" w:firstLine="0"/>
        <w:jc w:val="left"/>
        <w:rPr>
          <w:rtl/>
        </w:rPr>
      </w:pPr>
      <w:r>
        <w:rPr>
          <w:rFonts w:hint="cs"/>
          <w:rtl/>
        </w:rPr>
        <w:t>ويضمن</w:t>
      </w:r>
      <w:r w:rsidRPr="00C11219">
        <w:rPr>
          <w:rtl/>
        </w:rPr>
        <w:t xml:space="preserve"> البرنامج نشر </w:t>
      </w:r>
      <w:r>
        <w:rPr>
          <w:rFonts w:hint="cs"/>
          <w:rtl/>
        </w:rPr>
        <w:t>ال</w:t>
      </w:r>
      <w:r w:rsidRPr="00C11219">
        <w:rPr>
          <w:rtl/>
        </w:rPr>
        <w:t>طلبات</w:t>
      </w:r>
      <w:r>
        <w:rPr>
          <w:rFonts w:hint="cs"/>
          <w:rtl/>
        </w:rPr>
        <w:t xml:space="preserve"> الدولية المودعة بناء على</w:t>
      </w:r>
      <w:r w:rsidRPr="00C11219">
        <w:rPr>
          <w:rtl/>
        </w:rPr>
        <w:t xml:space="preserve"> معاهدة التعاون بشأن البراءات وسيهدف </w:t>
      </w:r>
      <w:r>
        <w:rPr>
          <w:rFonts w:hint="cs"/>
          <w:rtl/>
        </w:rPr>
        <w:t>أيضا إلى ضمان</w:t>
      </w:r>
      <w:r w:rsidRPr="00C11219">
        <w:rPr>
          <w:rtl/>
        </w:rPr>
        <w:t xml:space="preserve"> نشر </w:t>
      </w:r>
      <w:r w:rsidR="00411311">
        <w:rPr>
          <w:rFonts w:hint="cs"/>
          <w:rtl/>
        </w:rPr>
        <w:t>ال</w:t>
      </w:r>
      <w:r w:rsidRPr="00C11219">
        <w:rPr>
          <w:rtl/>
        </w:rPr>
        <w:t xml:space="preserve">طلبات </w:t>
      </w:r>
      <w:r w:rsidR="00411311">
        <w:rPr>
          <w:rFonts w:hint="cs"/>
          <w:rtl/>
        </w:rPr>
        <w:t>المودعة بناء على أنظمة</w:t>
      </w:r>
      <w:r w:rsidRPr="00C11219">
        <w:rPr>
          <w:rtl/>
        </w:rPr>
        <w:t xml:space="preserve"> مدريد ولاهاي</w:t>
      </w:r>
      <w:r w:rsidR="00411311">
        <w:rPr>
          <w:rFonts w:hint="cs"/>
          <w:rtl/>
        </w:rPr>
        <w:t xml:space="preserve"> ولشبونة</w:t>
      </w:r>
      <w:r w:rsidRPr="00C11219">
        <w:rPr>
          <w:rtl/>
        </w:rPr>
        <w:t>. وتدعم قواعد بيانات الويبو العالمية البرامج 5 (نظام معاهدة التعاون بشأن البراءات)، و6 (</w:t>
      </w:r>
      <w:r w:rsidR="003B1151">
        <w:rPr>
          <w:rFonts w:hint="cs"/>
          <w:rtl/>
        </w:rPr>
        <w:t xml:space="preserve">نظام </w:t>
      </w:r>
      <w:r w:rsidRPr="00C11219">
        <w:rPr>
          <w:rtl/>
        </w:rPr>
        <w:t>مدريد) و31 (</w:t>
      </w:r>
      <w:r w:rsidR="003B1151">
        <w:rPr>
          <w:rFonts w:hint="cs"/>
          <w:rtl/>
        </w:rPr>
        <w:t xml:space="preserve">نظام </w:t>
      </w:r>
      <w:r w:rsidRPr="00C11219">
        <w:rPr>
          <w:rtl/>
        </w:rPr>
        <w:t xml:space="preserve">لاهاي) </w:t>
      </w:r>
      <w:r w:rsidR="003B1151">
        <w:rPr>
          <w:rFonts w:hint="cs"/>
          <w:rtl/>
        </w:rPr>
        <w:t xml:space="preserve">و32 (نظام لشبونة) </w:t>
      </w:r>
      <w:r w:rsidRPr="00C11219">
        <w:rPr>
          <w:rtl/>
        </w:rPr>
        <w:t>وتسهم في تنفيذ التوصية 8 من جدول أعمال التنمية.</w:t>
      </w:r>
    </w:p>
    <w:p w:rsidR="00410DF7" w:rsidRPr="00C11219" w:rsidRDefault="00410DF7" w:rsidP="0031375C">
      <w:pPr>
        <w:pStyle w:val="ARNormal"/>
        <w:tabs>
          <w:tab w:val="left" w:pos="714"/>
        </w:tabs>
        <w:ind w:left="-6"/>
        <w:jc w:val="left"/>
        <w:rPr>
          <w:rtl/>
        </w:rPr>
      </w:pPr>
    </w:p>
    <w:p w:rsidR="00410DF7" w:rsidRPr="00DB026B"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DB026B">
        <w:rPr>
          <w:rFonts w:ascii="Arabic Typesetting" w:hAnsi="Arabic Typesetting" w:cs="Arabic Typesetting"/>
          <w:noProof/>
          <w:sz w:val="38"/>
          <w:szCs w:val="38"/>
          <w:rtl/>
        </w:rPr>
        <w:t>استراتيجيات التنفيذ</w:t>
      </w:r>
    </w:p>
    <w:p w:rsidR="00410DF7" w:rsidRPr="00C11219" w:rsidRDefault="00410DF7" w:rsidP="00861CFF">
      <w:pPr>
        <w:pStyle w:val="StyleARNumbered11517pt"/>
        <w:numPr>
          <w:ilvl w:val="0"/>
          <w:numId w:val="26"/>
        </w:numPr>
        <w:ind w:left="0" w:firstLine="0"/>
        <w:jc w:val="left"/>
        <w:rPr>
          <w:rtl/>
        </w:rPr>
      </w:pPr>
      <w:r w:rsidRPr="00C11219">
        <w:rPr>
          <w:rtl/>
        </w:rPr>
        <w:t xml:space="preserve">سوف تستمر الويبو في توسيع قواعد البيانات العالمية من حيث التغطية الجغرافية لمجموعات البيانات الوطنية، وفي تحسين نوعية البيانات وإكمال التحديثات في الوقت المناسب. وسيستمر صقل الأدوات البحثية المتطورة لمساعدة المبتكرين وغيرهم من المستخدمين </w:t>
      </w:r>
      <w:r>
        <w:rPr>
          <w:rFonts w:hint="cs"/>
          <w:rtl/>
        </w:rPr>
        <w:t>على</w:t>
      </w:r>
      <w:r>
        <w:rPr>
          <w:rtl/>
        </w:rPr>
        <w:t xml:space="preserve"> القيام بأنشطة البحث والتحليل </w:t>
      </w:r>
      <w:r>
        <w:rPr>
          <w:rFonts w:hint="cs"/>
          <w:rtl/>
        </w:rPr>
        <w:t xml:space="preserve">في </w:t>
      </w:r>
      <w:r w:rsidRPr="00C11219">
        <w:rPr>
          <w:rtl/>
        </w:rPr>
        <w:t xml:space="preserve">بيانات الملكية الفكرية. وعلى وجه الخصوص، سيتم تطوير البحث عبر لغات متعددة في براءات الاختراع باستخدام أداة استرجاع المعلومات عبر لغات مختلفة </w:t>
      </w:r>
      <w:r>
        <w:t>CLIR</w:t>
      </w:r>
      <w:r>
        <w:rPr>
          <w:lang w:val="en-US"/>
        </w:rPr>
        <w:t>)</w:t>
      </w:r>
      <w:r w:rsidRPr="00C11219">
        <w:rPr>
          <w:rtl/>
        </w:rPr>
        <w:t>) وأداة الترجمة الآلية</w:t>
      </w:r>
      <w:r w:rsidRPr="00C11219">
        <w:t>WIPO Translate</w:t>
      </w:r>
      <w:r w:rsidRPr="00C11219">
        <w:rPr>
          <w:rtl/>
        </w:rPr>
        <w:t xml:space="preserve"> ونظام استرجاع الصور القائم على المحتوى للماركات ذات العلامات المتشابهة. كما سيتم أيضًا التحقق من إمكانية البحث في وحدات العمل المعقدة (مثل الصيغ الكيميائية) في نصوص البراءات المتاحة عبر ركن البراءات (</w:t>
      </w:r>
      <w:r w:rsidRPr="00C11219">
        <w:t>PATENTSCOPE</w:t>
      </w:r>
      <w:r w:rsidRPr="00C11219">
        <w:rPr>
          <w:rtl/>
        </w:rPr>
        <w:t>).</w:t>
      </w:r>
    </w:p>
    <w:p w:rsidR="00410DF7" w:rsidRPr="00C11219" w:rsidRDefault="00410DF7" w:rsidP="00861CFF">
      <w:pPr>
        <w:pStyle w:val="StyleARNumbered11517pt"/>
        <w:numPr>
          <w:ilvl w:val="0"/>
          <w:numId w:val="26"/>
        </w:numPr>
        <w:ind w:left="0" w:firstLine="0"/>
        <w:jc w:val="left"/>
        <w:rPr>
          <w:rtl/>
        </w:rPr>
      </w:pPr>
      <w:r w:rsidRPr="00C11219">
        <w:rPr>
          <w:b/>
          <w:bCs/>
          <w:rtl/>
        </w:rPr>
        <w:t>ركن</w:t>
      </w:r>
      <w:r w:rsidRPr="00C11219">
        <w:rPr>
          <w:rtl/>
        </w:rPr>
        <w:t xml:space="preserve"> </w:t>
      </w:r>
      <w:r w:rsidRPr="00C11219">
        <w:rPr>
          <w:b/>
          <w:bCs/>
          <w:rtl/>
        </w:rPr>
        <w:t>البراءات (</w:t>
      </w:r>
      <w:r w:rsidRPr="00C11219">
        <w:rPr>
          <w:b/>
          <w:bCs/>
        </w:rPr>
        <w:t>PATENTSCOPE</w:t>
      </w:r>
      <w:r w:rsidRPr="00C11219">
        <w:rPr>
          <w:b/>
          <w:bCs/>
          <w:rtl/>
        </w:rPr>
        <w:t>)</w:t>
      </w:r>
      <w:r w:rsidRPr="00C11219">
        <w:rPr>
          <w:rtl/>
        </w:rPr>
        <w:t>: لا يقتصر دور ركن البراءات على كونه قاعدة بيانات خاصة بالبراءات العالمية التي تغطي مجموعات من بيانات البراءات الوطنية والإقليمية فقط، ولكنه أيضا عبارة عن آلية قانونية للوفاء بالتزامات معاهدة التعاون بشأن البراءات، وتحديداً، النشر الدولي لطلبات الإيداع وفقا لمعاهدة التعاون بشأن البراءات. وسيتم تحويل مجموعات البيانات الوطنية إلى نصوص كاملة باستخدام جهاز المسح الضوئي في الويبو للتعرف على الحروف والرموز (</w:t>
      </w:r>
      <w:r w:rsidRPr="00C11219">
        <w:t>OCR</w:t>
      </w:r>
      <w:r w:rsidRPr="00C11219">
        <w:rPr>
          <w:rtl/>
        </w:rPr>
        <w:t xml:space="preserve">). ومن المخطط الاستمرار في توسيع نطاق النظام لتغطية حوالي 50 </w:t>
      </w:r>
      <w:r>
        <w:rPr>
          <w:rtl/>
        </w:rPr>
        <w:t>مجموع</w:t>
      </w:r>
      <w:r>
        <w:rPr>
          <w:rFonts w:hint="cs"/>
          <w:rtl/>
          <w:lang w:bidi="ar-EG"/>
        </w:rPr>
        <w:t>ة</w:t>
      </w:r>
      <w:r w:rsidRPr="00C11219">
        <w:rPr>
          <w:rtl/>
        </w:rPr>
        <w:t xml:space="preserve"> بيانات وطنية وإقليمية و50 مليونًا من الاختراعات قبل نهاية الثنائية. وتشمل التحديات الرئيسية الانتهاء من إجراءات تجهيز حجم كبير من البيانات وتحسين نوعية البيانات الواردة وضمان استيفاء البيانات المنشورة على المعلومات المطلوبة وفي الوقت المناسب والتغلب على الحواجز اللغوية باستخدام أدوات الترجمة المتطورة وتحقيق الحد الأقصى من أعداد المجموعات الوطنية. وستتاح معلومات الملفات للعامة عبر روابط مع نظام النفاذ المركزي إلى البحث والفحص ومع أنظمة الملف العالمي العام الأخرى التابعة لمكاتب الملكية الفكرية. وأخيرًا، ستُجرى دراسة لتقييم جدوى فهرسة المؤلفات العلمية ذات الوصول المفتوح في ركن البراءات لتيسير البحث في حالة التقنية الصناعية السابقة بشأن سندات غير البراءات.</w:t>
      </w:r>
    </w:p>
    <w:p w:rsidR="00410DF7" w:rsidRPr="00C11219" w:rsidRDefault="00410DF7" w:rsidP="00861CFF">
      <w:pPr>
        <w:pStyle w:val="StyleARNumbered11517pt"/>
        <w:numPr>
          <w:ilvl w:val="0"/>
          <w:numId w:val="26"/>
        </w:numPr>
        <w:ind w:left="0" w:firstLine="0"/>
        <w:jc w:val="left"/>
        <w:rPr>
          <w:color w:val="000000"/>
          <w:rtl/>
        </w:rPr>
      </w:pPr>
      <w:r w:rsidRPr="00C11219">
        <w:rPr>
          <w:b/>
          <w:bCs/>
          <w:color w:val="000000"/>
          <w:rtl/>
        </w:rPr>
        <w:t>قاعدة بيانات الويبو العالمية للعلامات التجارية</w:t>
      </w:r>
      <w:r w:rsidRPr="00C11219">
        <w:rPr>
          <w:color w:val="000000"/>
          <w:rtl/>
        </w:rPr>
        <w:t>: من المخطط الاستمرار في تطوير قاعدة بيانات تغطي التسجيلات الدولية وفقا لإطار اتفاقيتي نظامي مدريد ولشبونة، ومجموعات بيانات العلامات التجارية الوطنية والإقليمية، والشعارات المحم</w:t>
      </w:r>
      <w:r>
        <w:rPr>
          <w:color w:val="000000"/>
          <w:rtl/>
        </w:rPr>
        <w:t>ية بموجب اتفاقية باريس المادة 6</w:t>
      </w:r>
      <w:r w:rsidRPr="00C11219">
        <w:rPr>
          <w:color w:val="000000"/>
          <w:rtl/>
        </w:rPr>
        <w:t>(ثالثا) بغرض تغطية حوالي 30 مجموعة من مجموعات البيانات الوطنية خلال الثنائية. وتتمثل التحديات الرئيسية في تحميل المزيد من البيانات في تنسيقات مختلفة والبحث عن سبل لتحسين فعالية نظام البحث عن تشابه الصور الخاصة بالعلامات التجارية.</w:t>
      </w:r>
    </w:p>
    <w:p w:rsidR="00410DF7" w:rsidRPr="00C11219" w:rsidRDefault="00410DF7" w:rsidP="00861CFF">
      <w:pPr>
        <w:pStyle w:val="StyleARNumbered11517pt"/>
        <w:numPr>
          <w:ilvl w:val="0"/>
          <w:numId w:val="26"/>
        </w:numPr>
        <w:ind w:left="0" w:firstLine="0"/>
        <w:jc w:val="left"/>
        <w:rPr>
          <w:color w:val="000000"/>
          <w:rtl/>
        </w:rPr>
      </w:pPr>
      <w:r w:rsidRPr="00C11219">
        <w:rPr>
          <w:b/>
          <w:bCs/>
          <w:color w:val="000000"/>
          <w:rtl/>
        </w:rPr>
        <w:lastRenderedPageBreak/>
        <w:t>قاعدة بيانات الويبو العالمية للتص</w:t>
      </w:r>
      <w:r>
        <w:rPr>
          <w:rFonts w:hint="cs"/>
          <w:b/>
          <w:bCs/>
          <w:color w:val="000000"/>
          <w:rtl/>
        </w:rPr>
        <w:t>ا</w:t>
      </w:r>
      <w:r w:rsidRPr="00C11219">
        <w:rPr>
          <w:b/>
          <w:bCs/>
          <w:color w:val="000000"/>
          <w:rtl/>
        </w:rPr>
        <w:t>ميم</w:t>
      </w:r>
      <w:r w:rsidRPr="00C11219">
        <w:rPr>
          <w:color w:val="000000"/>
          <w:rtl/>
        </w:rPr>
        <w:t>: من المخطط الاستمرار في تطوير قاعدة بيانات تغطي بيانات التسجيلات الدولية طبقاً لاتفاقية لاهاي، ومجموعات البيانات الوطنية والإقليمية بغرض تغطية حوالي 10 مجموعات بيانات وطنية خلال الثنائية. وتتمثل التحديات الرئيسية في تحميل بيانات الصور المتوفرة في تنسيقات بيانات مختلفة وتطبيق نظام بحث فعَّال في الصور المتشابهة الخاصة بالتصاميم المسجلة الثنائية الأبعاد (تصنيف لوكارنو 32).</w:t>
      </w:r>
    </w:p>
    <w:p w:rsidR="00410DF7" w:rsidRDefault="00410DF7" w:rsidP="00861CFF">
      <w:pPr>
        <w:pStyle w:val="StyleARNumbered11517pt"/>
        <w:numPr>
          <w:ilvl w:val="0"/>
          <w:numId w:val="26"/>
        </w:numPr>
        <w:ind w:left="0" w:firstLine="0"/>
        <w:jc w:val="left"/>
        <w:rPr>
          <w:color w:val="000000"/>
        </w:rPr>
      </w:pPr>
      <w:r>
        <w:rPr>
          <w:rFonts w:hint="cs"/>
          <w:color w:val="000000"/>
          <w:rtl/>
        </w:rPr>
        <w:t>يتعاون البرنامج 13 في الأساس مع البرامج الأخرى على النحو المبيّن أدناه:</w:t>
      </w:r>
    </w:p>
    <w:p w:rsidR="00624D1F" w:rsidRDefault="00624D1F" w:rsidP="00624D1F">
      <w:pPr>
        <w:pStyle w:val="StyleARNumbered11517pt"/>
        <w:spacing w:line="240" w:lineRule="auto"/>
        <w:jc w:val="left"/>
        <w:rPr>
          <w:color w:val="000000"/>
        </w:rPr>
      </w:pPr>
      <w:r>
        <w:rPr>
          <w:noProof/>
          <w:lang w:val="en-US"/>
        </w:rPr>
        <w:drawing>
          <wp:inline distT="0" distB="0" distL="0" distR="0" wp14:anchorId="75826B9D" wp14:editId="27676C4F">
            <wp:extent cx="5939790" cy="1690556"/>
            <wp:effectExtent l="0" t="38100" r="0" b="5080"/>
            <wp:docPr id="38"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inline>
        </w:drawing>
      </w:r>
    </w:p>
    <w:p w:rsidR="00410DF7" w:rsidRPr="00C11219" w:rsidRDefault="00410DF7" w:rsidP="0031375C">
      <w:pPr>
        <w:pStyle w:val="ARNormal"/>
        <w:tabs>
          <w:tab w:val="left" w:pos="714"/>
        </w:tabs>
        <w:ind w:left="-6"/>
        <w:jc w:val="left"/>
        <w:rPr>
          <w:color w:val="000000"/>
          <w:rtl/>
        </w:rPr>
      </w:pPr>
    </w:p>
    <w:p w:rsidR="00410DF7" w:rsidRPr="00C11219"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C11219">
        <w:rPr>
          <w:rFonts w:ascii="Arabic Typesetting" w:hAnsi="Arabic Typesetting" w:cs="Arabic Typesetting"/>
          <w:noProof/>
          <w:sz w:val="38"/>
          <w:szCs w:val="38"/>
          <w:rtl/>
        </w:rPr>
        <w:t>المخاطر الرئيسية واستراتيجيات التخفيف منها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679"/>
        <w:gridCol w:w="4554"/>
      </w:tblGrid>
      <w:tr w:rsidR="00410DF7" w:rsidRPr="00C11219" w:rsidTr="0031375C">
        <w:trPr>
          <w:tblHeader/>
          <w:jc w:val="center"/>
        </w:trPr>
        <w:tc>
          <w:tcPr>
            <w:tcW w:w="4679" w:type="dxa"/>
            <w:shd w:val="clear" w:color="auto" w:fill="C6D9F1"/>
          </w:tcPr>
          <w:p w:rsidR="00410DF7" w:rsidRPr="00C11219" w:rsidRDefault="00410DF7" w:rsidP="0031375C">
            <w:pPr>
              <w:pStyle w:val="ARProgramTableHeading"/>
              <w:spacing w:line="300" w:lineRule="exact"/>
              <w:rPr>
                <w:rtl/>
                <w:lang w:bidi="ar-SA"/>
              </w:rPr>
            </w:pPr>
            <w:r w:rsidRPr="00C11219">
              <w:rPr>
                <w:rtl/>
                <w:lang w:bidi="ar-SA"/>
              </w:rPr>
              <w:t>المخاطر</w:t>
            </w:r>
          </w:p>
        </w:tc>
        <w:tc>
          <w:tcPr>
            <w:tcW w:w="4554" w:type="dxa"/>
            <w:shd w:val="clear" w:color="auto" w:fill="C6D9F1"/>
          </w:tcPr>
          <w:p w:rsidR="00410DF7" w:rsidRPr="00C11219" w:rsidRDefault="00410DF7" w:rsidP="0031375C">
            <w:pPr>
              <w:pStyle w:val="ARProgramTableHeading"/>
              <w:spacing w:line="300" w:lineRule="exact"/>
              <w:rPr>
                <w:rtl/>
              </w:rPr>
            </w:pPr>
            <w:r w:rsidRPr="00C11219">
              <w:rPr>
                <w:rtl/>
              </w:rPr>
              <w:t>التخفيف منها</w:t>
            </w:r>
          </w:p>
        </w:tc>
      </w:tr>
      <w:tr w:rsidR="00410DF7" w:rsidRPr="00C11219" w:rsidTr="0031375C">
        <w:trPr>
          <w:jc w:val="center"/>
        </w:trPr>
        <w:tc>
          <w:tcPr>
            <w:tcW w:w="4679" w:type="dxa"/>
            <w:shd w:val="clear" w:color="auto" w:fill="auto"/>
          </w:tcPr>
          <w:p w:rsidR="00410DF7" w:rsidRPr="00C11219" w:rsidRDefault="00410DF7" w:rsidP="0031375C">
            <w:pPr>
              <w:pStyle w:val="ARProgramTableText"/>
              <w:spacing w:line="300" w:lineRule="exact"/>
              <w:rPr>
                <w:rtl/>
                <w:lang w:val="fr-CH" w:bidi="ar-SA"/>
              </w:rPr>
            </w:pPr>
            <w:r w:rsidRPr="00C11219">
              <w:rPr>
                <w:rtl/>
                <w:lang w:val="fr-CH" w:bidi="ar-SA"/>
              </w:rPr>
              <w:t>فقدان النفاذ إلى قواعد البيانات العالمية بسبب انقطاع خدمة الإنترنت المحلية أو بسبب عطل فني في المقر الرئيسي في جنيف.</w:t>
            </w:r>
          </w:p>
        </w:tc>
        <w:tc>
          <w:tcPr>
            <w:tcW w:w="4554" w:type="dxa"/>
            <w:shd w:val="clear" w:color="auto" w:fill="auto"/>
          </w:tcPr>
          <w:p w:rsidR="00410DF7" w:rsidRPr="00C11219" w:rsidRDefault="00410DF7" w:rsidP="0031375C">
            <w:pPr>
              <w:pStyle w:val="ARProgramTableText"/>
              <w:spacing w:line="300" w:lineRule="exact"/>
              <w:rPr>
                <w:rtl/>
                <w:lang w:val="fr-CH" w:bidi="ar-SA"/>
              </w:rPr>
            </w:pPr>
            <w:r w:rsidRPr="00C11219">
              <w:rPr>
                <w:rtl/>
                <w:lang w:val="fr-CH" w:bidi="ar-SA"/>
              </w:rPr>
              <w:t>سيتحقق تكرار الخدمة والتنوع الجغرافي من خلال إنشاء خوادم نائية محملة بنسخ احتياطية تعكس بيانات المواقع الأصلية تمامًا لتوفير خدمة محسنة للمستخدمين والمحافظة على تواصل النفاذ إلى البيانات أثناء انقطاع الخدمة المحلية في جنيف.</w:t>
            </w:r>
          </w:p>
        </w:tc>
      </w:tr>
    </w:tbl>
    <w:p w:rsidR="00410DF7" w:rsidRPr="00C11219" w:rsidRDefault="00410DF7" w:rsidP="0031375C">
      <w:pPr>
        <w:pStyle w:val="ARNormal"/>
        <w:tabs>
          <w:tab w:val="left" w:pos="714"/>
        </w:tabs>
        <w:ind w:left="-6"/>
        <w:jc w:val="left"/>
        <w:rPr>
          <w:color w:val="000000"/>
          <w:rtl/>
        </w:rPr>
      </w:pPr>
    </w:p>
    <w:p w:rsidR="00410DF7" w:rsidRPr="00DB026B"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DB026B">
        <w:rPr>
          <w:rFonts w:ascii="Arabic Typesetting" w:hAnsi="Arabic Typesetting" w:cs="Arabic Typesetting"/>
          <w:noProof/>
          <w:sz w:val="38"/>
          <w:szCs w:val="38"/>
          <w:rtl/>
        </w:rPr>
        <w:t>إطار النتائج</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2519"/>
        <w:gridCol w:w="2087"/>
        <w:gridCol w:w="1945"/>
      </w:tblGrid>
      <w:tr w:rsidR="00410DF7" w:rsidRPr="00C11219" w:rsidTr="0031375C">
        <w:trPr>
          <w:tblHeader/>
          <w:jc w:val="center"/>
        </w:trPr>
        <w:tc>
          <w:tcPr>
            <w:tcW w:w="2530" w:type="dxa"/>
            <w:tcBorders>
              <w:bottom w:val="single" w:sz="4" w:space="0" w:color="auto"/>
              <w:right w:val="nil"/>
            </w:tcBorders>
            <w:shd w:val="clear" w:color="auto" w:fill="C6D9F1"/>
          </w:tcPr>
          <w:p w:rsidR="00410DF7" w:rsidRPr="00C11219" w:rsidRDefault="00410DF7" w:rsidP="0031375C">
            <w:pPr>
              <w:pStyle w:val="ARProgramTableHeading"/>
              <w:spacing w:line="300" w:lineRule="exact"/>
              <w:rPr>
                <w:rtl/>
              </w:rPr>
            </w:pPr>
            <w:r w:rsidRPr="00C11219">
              <w:rPr>
                <w:rtl/>
              </w:rPr>
              <w:t>النتائج المرتقبة</w:t>
            </w:r>
          </w:p>
        </w:tc>
        <w:tc>
          <w:tcPr>
            <w:tcW w:w="2519" w:type="dxa"/>
            <w:tcBorders>
              <w:left w:val="nil"/>
              <w:bottom w:val="single" w:sz="4" w:space="0" w:color="auto"/>
              <w:right w:val="nil"/>
            </w:tcBorders>
            <w:shd w:val="clear" w:color="auto" w:fill="C6D9F1"/>
          </w:tcPr>
          <w:p w:rsidR="00410DF7" w:rsidRPr="00C11219" w:rsidRDefault="00410DF7" w:rsidP="0031375C">
            <w:pPr>
              <w:pStyle w:val="ARProgramTableHeading"/>
              <w:spacing w:line="300" w:lineRule="exact"/>
              <w:rPr>
                <w:rtl/>
                <w:lang w:bidi="ar-SA"/>
              </w:rPr>
            </w:pPr>
            <w:r w:rsidRPr="00C11219">
              <w:rPr>
                <w:rtl/>
                <w:lang w:bidi="ar-SA"/>
              </w:rPr>
              <w:t>مؤشرات الأداء</w:t>
            </w:r>
          </w:p>
        </w:tc>
        <w:tc>
          <w:tcPr>
            <w:tcW w:w="2087" w:type="dxa"/>
            <w:tcBorders>
              <w:left w:val="nil"/>
              <w:bottom w:val="single" w:sz="4" w:space="0" w:color="auto"/>
              <w:right w:val="nil"/>
            </w:tcBorders>
            <w:shd w:val="clear" w:color="auto" w:fill="C6D9F1"/>
          </w:tcPr>
          <w:p w:rsidR="00410DF7" w:rsidRPr="00C11219" w:rsidRDefault="00410DF7" w:rsidP="0031375C">
            <w:pPr>
              <w:pStyle w:val="ARProgramTableHeading"/>
              <w:spacing w:line="300" w:lineRule="exact"/>
              <w:rPr>
                <w:rtl/>
                <w:lang w:bidi="ar-SA"/>
              </w:rPr>
            </w:pPr>
            <w:r w:rsidRPr="00C11219">
              <w:rPr>
                <w:rtl/>
                <w:lang w:bidi="ar-SA"/>
              </w:rPr>
              <w:t>أسس المقارنة</w:t>
            </w:r>
          </w:p>
        </w:tc>
        <w:tc>
          <w:tcPr>
            <w:tcW w:w="1945" w:type="dxa"/>
            <w:tcBorders>
              <w:left w:val="nil"/>
              <w:bottom w:val="single" w:sz="4" w:space="0" w:color="auto"/>
            </w:tcBorders>
            <w:shd w:val="clear" w:color="auto" w:fill="C6D9F1"/>
          </w:tcPr>
          <w:p w:rsidR="00410DF7" w:rsidRPr="00C11219" w:rsidRDefault="00410DF7" w:rsidP="0031375C">
            <w:pPr>
              <w:pStyle w:val="ARProgramTableHeading"/>
              <w:spacing w:line="300" w:lineRule="exact"/>
              <w:rPr>
                <w:rtl/>
                <w:lang w:bidi="ar-SA"/>
              </w:rPr>
            </w:pPr>
            <w:r w:rsidRPr="00C11219">
              <w:rPr>
                <w:rtl/>
                <w:lang w:bidi="ar-SA"/>
              </w:rPr>
              <w:t>الأهداف</w:t>
            </w:r>
          </w:p>
        </w:tc>
      </w:tr>
      <w:tr w:rsidR="00410DF7" w:rsidRPr="00C11219" w:rsidTr="0031375C">
        <w:trPr>
          <w:jc w:val="center"/>
        </w:trPr>
        <w:tc>
          <w:tcPr>
            <w:tcW w:w="2530" w:type="dxa"/>
            <w:tcBorders>
              <w:top w:val="single" w:sz="4" w:space="0" w:color="auto"/>
              <w:left w:val="single" w:sz="4" w:space="0" w:color="auto"/>
              <w:bottom w:val="nil"/>
              <w:right w:val="nil"/>
            </w:tcBorders>
            <w:shd w:val="clear" w:color="auto" w:fill="auto"/>
          </w:tcPr>
          <w:p w:rsidR="00410DF7" w:rsidRPr="00C11219" w:rsidRDefault="00410DF7" w:rsidP="0031375C">
            <w:pPr>
              <w:pStyle w:val="ARProgramTableText"/>
              <w:spacing w:line="300" w:lineRule="exact"/>
              <w:rPr>
                <w:rtl/>
                <w:lang w:bidi="ar-SA"/>
              </w:rPr>
            </w:pPr>
            <w:r w:rsidRPr="00C11219">
              <w:rPr>
                <w:rtl/>
                <w:lang w:bidi="ar-SA"/>
              </w:rPr>
              <w:t>ه 2.4 نفاذ محسّن إلى المعلومات المتعلقة بالملكية الفكرية واستخدامها من قبل مؤسسات الملكية الفكرية والجمهور لتشجيع الابتكار والإبداع</w:t>
            </w:r>
          </w:p>
        </w:tc>
        <w:tc>
          <w:tcPr>
            <w:tcW w:w="2519" w:type="dxa"/>
            <w:tcBorders>
              <w:top w:val="single" w:sz="4" w:space="0" w:color="auto"/>
              <w:left w:val="nil"/>
              <w:bottom w:val="nil"/>
              <w:right w:val="nil"/>
            </w:tcBorders>
            <w:shd w:val="clear" w:color="auto" w:fill="auto"/>
          </w:tcPr>
          <w:p w:rsidR="00410DF7" w:rsidRPr="00C11219" w:rsidRDefault="00410DF7" w:rsidP="0031375C">
            <w:pPr>
              <w:pStyle w:val="ARProgramTableText"/>
              <w:spacing w:line="300" w:lineRule="exact"/>
              <w:rPr>
                <w:rtl/>
                <w:lang w:bidi="ar-SA"/>
              </w:rPr>
            </w:pPr>
            <w:r>
              <w:rPr>
                <w:rFonts w:hint="cs"/>
                <w:rtl/>
                <w:lang w:bidi="ar-SA"/>
              </w:rPr>
              <w:t>عدد</w:t>
            </w:r>
            <w:r w:rsidRPr="00C11219">
              <w:rPr>
                <w:rtl/>
                <w:lang w:bidi="ar-SA"/>
              </w:rPr>
              <w:t xml:space="preserve"> المستخدمين المختلفين لكل فترة ربع سنوية على صعيد كافة أنظمة قواعد البيانات العالمية</w:t>
            </w:r>
          </w:p>
        </w:tc>
        <w:tc>
          <w:tcPr>
            <w:tcW w:w="2087" w:type="dxa"/>
            <w:tcBorders>
              <w:top w:val="single" w:sz="4" w:space="0" w:color="auto"/>
              <w:left w:val="nil"/>
              <w:bottom w:val="nil"/>
              <w:right w:val="nil"/>
            </w:tcBorders>
            <w:shd w:val="clear" w:color="auto" w:fill="auto"/>
          </w:tcPr>
          <w:p w:rsidR="00410DF7" w:rsidRPr="00C11219" w:rsidRDefault="00410DF7" w:rsidP="0031375C">
            <w:pPr>
              <w:pStyle w:val="ARProgramTableText"/>
              <w:spacing w:line="300" w:lineRule="exact"/>
              <w:rPr>
                <w:lang w:bidi="ar-SA"/>
              </w:rPr>
            </w:pPr>
            <w:r w:rsidRPr="00C11219">
              <w:rPr>
                <w:rtl/>
                <w:lang w:bidi="ar-SA"/>
              </w:rPr>
              <w:t xml:space="preserve">الزوار (الربع الرابع لسنة 2014) ركن البراءات </w:t>
            </w:r>
            <w:r>
              <w:rPr>
                <w:rFonts w:hint="cs"/>
                <w:rtl/>
                <w:lang w:bidi="ar-SA"/>
              </w:rPr>
              <w:t>000 592</w:t>
            </w:r>
            <w:r w:rsidRPr="00C11219">
              <w:rPr>
                <w:rtl/>
                <w:lang w:bidi="ar-SA"/>
              </w:rPr>
              <w:t xml:space="preserve">؛ </w:t>
            </w:r>
            <w:r w:rsidR="001753F3">
              <w:rPr>
                <w:rtl/>
                <w:lang w:bidi="ar-SA"/>
              </w:rPr>
              <w:t>قاعدة البيانات العالمية ل</w:t>
            </w:r>
            <w:r w:rsidR="001753F3">
              <w:rPr>
                <w:rFonts w:hint="cs"/>
                <w:rtl/>
                <w:lang w:bidi="ar-SA"/>
              </w:rPr>
              <w:t>أدوات التوسيم</w:t>
            </w:r>
            <w:r w:rsidRPr="00C11219">
              <w:rPr>
                <w:rtl/>
                <w:lang w:bidi="ar-SA"/>
              </w:rPr>
              <w:t xml:space="preserve"> </w:t>
            </w:r>
            <w:r>
              <w:rPr>
                <w:rFonts w:hint="cs"/>
                <w:rtl/>
                <w:lang w:bidi="ar-SA"/>
              </w:rPr>
              <w:t>000 49</w:t>
            </w:r>
            <w:r w:rsidRPr="00C11219">
              <w:rPr>
                <w:rtl/>
                <w:lang w:bidi="ar-SA"/>
              </w:rPr>
              <w:t>؛ قاعدة البيانات العالمية للتصاميم غير متاحة</w:t>
            </w:r>
          </w:p>
          <w:p w:rsidR="00410DF7" w:rsidRPr="00C11219" w:rsidRDefault="00410DF7" w:rsidP="0031375C">
            <w:pPr>
              <w:pStyle w:val="ARProgramTableText"/>
              <w:spacing w:line="300" w:lineRule="exact"/>
              <w:rPr>
                <w:rtl/>
                <w:lang w:bidi="ar-SA"/>
              </w:rPr>
            </w:pPr>
          </w:p>
        </w:tc>
        <w:tc>
          <w:tcPr>
            <w:tcW w:w="1945" w:type="dxa"/>
            <w:tcBorders>
              <w:top w:val="single" w:sz="4" w:space="0" w:color="auto"/>
              <w:left w:val="nil"/>
              <w:bottom w:val="nil"/>
              <w:right w:val="single" w:sz="4" w:space="0" w:color="auto"/>
            </w:tcBorders>
            <w:shd w:val="clear" w:color="auto" w:fill="auto"/>
          </w:tcPr>
          <w:p w:rsidR="00410DF7" w:rsidRPr="00C11219" w:rsidRDefault="00410DF7" w:rsidP="0031375C">
            <w:pPr>
              <w:pStyle w:val="ARProgramTableText"/>
              <w:spacing w:line="300" w:lineRule="exact"/>
              <w:rPr>
                <w:rtl/>
                <w:lang w:bidi="ar-SA"/>
              </w:rPr>
            </w:pPr>
            <w:r w:rsidRPr="00C11219">
              <w:rPr>
                <w:rtl/>
                <w:lang w:bidi="ar-SA"/>
              </w:rPr>
              <w:t xml:space="preserve">ركن البراءات </w:t>
            </w:r>
            <w:r>
              <w:rPr>
                <w:rFonts w:hint="cs"/>
                <w:rtl/>
                <w:lang w:bidi="ar-SA"/>
              </w:rPr>
              <w:t>000 650</w:t>
            </w:r>
            <w:r w:rsidR="001753F3">
              <w:rPr>
                <w:rtl/>
                <w:lang w:bidi="ar-SA"/>
              </w:rPr>
              <w:t>؛ قاعدة البيانات العالمية ل</w:t>
            </w:r>
            <w:r w:rsidR="001753F3">
              <w:rPr>
                <w:rFonts w:hint="cs"/>
                <w:rtl/>
                <w:lang w:bidi="ar-SA"/>
              </w:rPr>
              <w:t>أدوات التوسيم</w:t>
            </w:r>
            <w:r w:rsidRPr="00C11219">
              <w:rPr>
                <w:rtl/>
                <w:lang w:bidi="ar-SA"/>
              </w:rPr>
              <w:t xml:space="preserve"> </w:t>
            </w:r>
            <w:r>
              <w:rPr>
                <w:rFonts w:hint="cs"/>
                <w:rtl/>
                <w:lang w:bidi="ar-SA"/>
              </w:rPr>
              <w:t>000 70</w:t>
            </w:r>
            <w:r w:rsidRPr="00C11219">
              <w:rPr>
                <w:rtl/>
                <w:lang w:bidi="ar-SA"/>
              </w:rPr>
              <w:t xml:space="preserve">؛ قاعدة البيانات العالمية للتصاميم </w:t>
            </w:r>
            <w:r>
              <w:rPr>
                <w:rFonts w:hint="cs"/>
                <w:rtl/>
                <w:lang w:bidi="ar-SA"/>
              </w:rPr>
              <w:t>000 15</w:t>
            </w:r>
          </w:p>
          <w:p w:rsidR="00410DF7" w:rsidRPr="00C11219" w:rsidRDefault="00410DF7" w:rsidP="0031375C">
            <w:pPr>
              <w:pStyle w:val="ARProgramTableText"/>
              <w:spacing w:line="300" w:lineRule="exact"/>
              <w:jc w:val="center"/>
              <w:rPr>
                <w:rtl/>
                <w:lang w:bidi="ar-SA"/>
              </w:rPr>
            </w:pPr>
          </w:p>
        </w:tc>
      </w:tr>
      <w:tr w:rsidR="00410DF7" w:rsidRPr="00C11219" w:rsidTr="0031375C">
        <w:trPr>
          <w:jc w:val="center"/>
        </w:trPr>
        <w:tc>
          <w:tcPr>
            <w:tcW w:w="2530" w:type="dxa"/>
            <w:tcBorders>
              <w:top w:val="nil"/>
              <w:left w:val="single" w:sz="4" w:space="0" w:color="auto"/>
              <w:bottom w:val="nil"/>
              <w:right w:val="nil"/>
            </w:tcBorders>
            <w:shd w:val="clear" w:color="auto" w:fill="auto"/>
          </w:tcPr>
          <w:p w:rsidR="00410DF7" w:rsidRPr="00C11219" w:rsidRDefault="00410DF7" w:rsidP="0031375C">
            <w:pPr>
              <w:pStyle w:val="ARProgramTableText"/>
              <w:spacing w:line="300" w:lineRule="exact"/>
              <w:rPr>
                <w:rtl/>
                <w:lang w:bidi="ar-SA"/>
              </w:rPr>
            </w:pPr>
          </w:p>
        </w:tc>
        <w:tc>
          <w:tcPr>
            <w:tcW w:w="2519" w:type="dxa"/>
            <w:tcBorders>
              <w:top w:val="nil"/>
              <w:left w:val="nil"/>
              <w:bottom w:val="nil"/>
              <w:right w:val="nil"/>
            </w:tcBorders>
            <w:shd w:val="clear" w:color="auto" w:fill="auto"/>
          </w:tcPr>
          <w:p w:rsidR="00410DF7" w:rsidRPr="00C11219" w:rsidRDefault="00410DF7" w:rsidP="0031375C">
            <w:pPr>
              <w:pStyle w:val="ARProgramTableText"/>
              <w:spacing w:line="300" w:lineRule="exact"/>
              <w:rPr>
                <w:lang w:bidi="ar-SA"/>
              </w:rPr>
            </w:pPr>
            <w:r w:rsidRPr="00C11219">
              <w:rPr>
                <w:rtl/>
                <w:lang w:bidi="ar-SA"/>
              </w:rPr>
              <w:t>عدد اللغات المتاح بها البحث عبر لغات مختلفة</w:t>
            </w:r>
          </w:p>
        </w:tc>
        <w:tc>
          <w:tcPr>
            <w:tcW w:w="2087" w:type="dxa"/>
            <w:tcBorders>
              <w:top w:val="nil"/>
              <w:left w:val="nil"/>
              <w:bottom w:val="nil"/>
              <w:right w:val="nil"/>
            </w:tcBorders>
            <w:shd w:val="clear" w:color="auto" w:fill="auto"/>
          </w:tcPr>
          <w:p w:rsidR="00410DF7" w:rsidRPr="00C11219" w:rsidRDefault="00410DF7" w:rsidP="0031375C">
            <w:pPr>
              <w:pStyle w:val="ARProgramTableText"/>
              <w:spacing w:line="300" w:lineRule="exact"/>
              <w:rPr>
                <w:rtl/>
                <w:lang w:bidi="ar-SA"/>
              </w:rPr>
            </w:pPr>
            <w:r w:rsidRPr="00C11219">
              <w:rPr>
                <w:rtl/>
                <w:lang w:bidi="ar-SA"/>
              </w:rPr>
              <w:t>12 (بنهاية 2014)</w:t>
            </w:r>
          </w:p>
        </w:tc>
        <w:tc>
          <w:tcPr>
            <w:tcW w:w="1945" w:type="dxa"/>
            <w:tcBorders>
              <w:top w:val="nil"/>
              <w:left w:val="nil"/>
              <w:bottom w:val="nil"/>
              <w:right w:val="single" w:sz="4" w:space="0" w:color="auto"/>
            </w:tcBorders>
            <w:shd w:val="clear" w:color="auto" w:fill="auto"/>
          </w:tcPr>
          <w:p w:rsidR="00410DF7" w:rsidRPr="00C11219" w:rsidRDefault="00410DF7" w:rsidP="0031375C">
            <w:pPr>
              <w:pStyle w:val="ARProgramTableText"/>
              <w:spacing w:line="300" w:lineRule="exact"/>
              <w:rPr>
                <w:rtl/>
                <w:lang w:bidi="ar-SA"/>
              </w:rPr>
            </w:pPr>
            <w:r w:rsidRPr="00C11219">
              <w:rPr>
                <w:rtl/>
                <w:lang w:bidi="ar-SA"/>
              </w:rPr>
              <w:t>14</w:t>
            </w:r>
          </w:p>
        </w:tc>
      </w:tr>
      <w:tr w:rsidR="00410DF7" w:rsidRPr="00C11219" w:rsidTr="0031375C">
        <w:trPr>
          <w:jc w:val="center"/>
        </w:trPr>
        <w:tc>
          <w:tcPr>
            <w:tcW w:w="2530" w:type="dxa"/>
            <w:tcBorders>
              <w:top w:val="nil"/>
              <w:left w:val="single" w:sz="4" w:space="0" w:color="auto"/>
              <w:bottom w:val="nil"/>
              <w:right w:val="nil"/>
            </w:tcBorders>
            <w:shd w:val="clear" w:color="auto" w:fill="auto"/>
          </w:tcPr>
          <w:p w:rsidR="00410DF7" w:rsidRPr="00C11219" w:rsidRDefault="00410DF7" w:rsidP="0031375C">
            <w:pPr>
              <w:pStyle w:val="ARProgramTableText"/>
              <w:spacing w:line="300" w:lineRule="exact"/>
              <w:rPr>
                <w:rtl/>
                <w:lang w:bidi="ar-SA"/>
              </w:rPr>
            </w:pPr>
          </w:p>
        </w:tc>
        <w:tc>
          <w:tcPr>
            <w:tcW w:w="2519" w:type="dxa"/>
            <w:tcBorders>
              <w:top w:val="nil"/>
              <w:left w:val="nil"/>
              <w:bottom w:val="nil"/>
              <w:right w:val="nil"/>
            </w:tcBorders>
            <w:shd w:val="clear" w:color="auto" w:fill="auto"/>
          </w:tcPr>
          <w:p w:rsidR="00410DF7" w:rsidRPr="00C11219" w:rsidRDefault="00410DF7" w:rsidP="0031375C">
            <w:pPr>
              <w:pStyle w:val="ARProgramTableText"/>
              <w:spacing w:line="300" w:lineRule="exact"/>
              <w:rPr>
                <w:lang w:bidi="ar-SA"/>
              </w:rPr>
            </w:pPr>
            <w:r w:rsidRPr="00C11219">
              <w:rPr>
                <w:rtl/>
                <w:lang w:bidi="ar-SA"/>
              </w:rPr>
              <w:t>عدد أزواج اللغات المتاحة لترجمة الأوصاف والمطالبات</w:t>
            </w:r>
          </w:p>
        </w:tc>
        <w:tc>
          <w:tcPr>
            <w:tcW w:w="2087" w:type="dxa"/>
            <w:tcBorders>
              <w:top w:val="nil"/>
              <w:left w:val="nil"/>
              <w:bottom w:val="nil"/>
              <w:right w:val="nil"/>
            </w:tcBorders>
            <w:shd w:val="clear" w:color="auto" w:fill="auto"/>
          </w:tcPr>
          <w:p w:rsidR="00410DF7" w:rsidRPr="00C11219" w:rsidRDefault="00410DF7" w:rsidP="0031375C">
            <w:pPr>
              <w:pStyle w:val="ARProgramTableText"/>
              <w:spacing w:line="300" w:lineRule="exact"/>
              <w:rPr>
                <w:rtl/>
                <w:lang w:bidi="ar-SA"/>
              </w:rPr>
            </w:pPr>
            <w:r w:rsidRPr="00C11219">
              <w:rPr>
                <w:rtl/>
                <w:lang w:bidi="ar-SA"/>
              </w:rPr>
              <w:t>0 (بنهاية 2014)</w:t>
            </w:r>
          </w:p>
        </w:tc>
        <w:tc>
          <w:tcPr>
            <w:tcW w:w="1945" w:type="dxa"/>
            <w:tcBorders>
              <w:top w:val="nil"/>
              <w:left w:val="nil"/>
              <w:bottom w:val="nil"/>
              <w:right w:val="single" w:sz="4" w:space="0" w:color="auto"/>
            </w:tcBorders>
            <w:shd w:val="clear" w:color="auto" w:fill="auto"/>
          </w:tcPr>
          <w:p w:rsidR="00410DF7" w:rsidRPr="00C11219" w:rsidRDefault="00410DF7" w:rsidP="0031375C">
            <w:pPr>
              <w:pStyle w:val="ARProgramTableText"/>
              <w:spacing w:line="300" w:lineRule="exact"/>
              <w:rPr>
                <w:rtl/>
                <w:lang w:bidi="ar-SA"/>
              </w:rPr>
            </w:pPr>
            <w:r w:rsidRPr="00C11219">
              <w:rPr>
                <w:rtl/>
                <w:lang w:bidi="ar-SA"/>
              </w:rPr>
              <w:t>4</w:t>
            </w:r>
          </w:p>
        </w:tc>
      </w:tr>
      <w:tr w:rsidR="00410DF7" w:rsidRPr="00C11219" w:rsidTr="004C5D98">
        <w:trPr>
          <w:jc w:val="center"/>
        </w:trPr>
        <w:tc>
          <w:tcPr>
            <w:tcW w:w="2530" w:type="dxa"/>
            <w:tcBorders>
              <w:top w:val="nil"/>
              <w:left w:val="single" w:sz="4" w:space="0" w:color="auto"/>
              <w:bottom w:val="single" w:sz="4" w:space="0" w:color="auto"/>
              <w:right w:val="nil"/>
            </w:tcBorders>
            <w:shd w:val="clear" w:color="auto" w:fill="auto"/>
          </w:tcPr>
          <w:p w:rsidR="00410DF7" w:rsidRPr="00C11219" w:rsidRDefault="00410DF7" w:rsidP="0031375C">
            <w:pPr>
              <w:pStyle w:val="ARProgramTableText"/>
              <w:spacing w:line="300" w:lineRule="exact"/>
              <w:rPr>
                <w:rtl/>
                <w:lang w:bidi="ar-SA"/>
              </w:rPr>
            </w:pPr>
          </w:p>
        </w:tc>
        <w:tc>
          <w:tcPr>
            <w:tcW w:w="2519" w:type="dxa"/>
            <w:tcBorders>
              <w:top w:val="nil"/>
              <w:left w:val="nil"/>
              <w:bottom w:val="single" w:sz="4" w:space="0" w:color="auto"/>
              <w:right w:val="nil"/>
            </w:tcBorders>
            <w:shd w:val="clear" w:color="auto" w:fill="auto"/>
          </w:tcPr>
          <w:p w:rsidR="00410DF7" w:rsidRPr="00C11219" w:rsidRDefault="00410DF7" w:rsidP="0031375C">
            <w:pPr>
              <w:pStyle w:val="ARProgramTableText"/>
              <w:spacing w:line="300" w:lineRule="exact"/>
              <w:rPr>
                <w:rtl/>
                <w:lang w:bidi="ar-SA"/>
              </w:rPr>
            </w:pPr>
            <w:r w:rsidRPr="00AE6840">
              <w:rPr>
                <w:rtl/>
                <w:lang w:bidi="ar-SA"/>
              </w:rPr>
              <w:t>عدد السجلات المدرجة في ركن البراءات</w:t>
            </w:r>
          </w:p>
        </w:tc>
        <w:tc>
          <w:tcPr>
            <w:tcW w:w="2087" w:type="dxa"/>
            <w:tcBorders>
              <w:top w:val="nil"/>
              <w:left w:val="nil"/>
              <w:bottom w:val="single" w:sz="4" w:space="0" w:color="auto"/>
              <w:right w:val="nil"/>
            </w:tcBorders>
            <w:shd w:val="clear" w:color="auto" w:fill="auto"/>
          </w:tcPr>
          <w:p w:rsidR="00410DF7" w:rsidRPr="00C11219" w:rsidRDefault="00410DF7" w:rsidP="0031375C">
            <w:pPr>
              <w:pStyle w:val="ARProgramTableText"/>
              <w:spacing w:line="300" w:lineRule="exact"/>
              <w:rPr>
                <w:rtl/>
                <w:lang w:bidi="ar-SA"/>
              </w:rPr>
            </w:pPr>
            <w:r>
              <w:rPr>
                <w:rtl/>
                <w:lang w:bidi="ar-SA"/>
              </w:rPr>
              <w:t>000 000 43 (بنهاية 2014)</w:t>
            </w:r>
          </w:p>
        </w:tc>
        <w:tc>
          <w:tcPr>
            <w:tcW w:w="1945" w:type="dxa"/>
            <w:tcBorders>
              <w:top w:val="nil"/>
              <w:left w:val="nil"/>
              <w:bottom w:val="single" w:sz="4" w:space="0" w:color="auto"/>
              <w:right w:val="single" w:sz="4" w:space="0" w:color="auto"/>
            </w:tcBorders>
            <w:shd w:val="clear" w:color="auto" w:fill="auto"/>
          </w:tcPr>
          <w:p w:rsidR="00410DF7" w:rsidRPr="00C11219" w:rsidRDefault="00410DF7" w:rsidP="0031375C">
            <w:pPr>
              <w:pStyle w:val="ARProgramTableText"/>
              <w:spacing w:line="300" w:lineRule="exact"/>
              <w:rPr>
                <w:rtl/>
                <w:lang w:bidi="ar-SA"/>
              </w:rPr>
            </w:pPr>
            <w:r w:rsidRPr="00AE6840">
              <w:rPr>
                <w:rtl/>
                <w:lang w:bidi="ar-SA"/>
              </w:rPr>
              <w:t>000 000 50</w:t>
            </w:r>
          </w:p>
        </w:tc>
      </w:tr>
      <w:tr w:rsidR="00385398" w:rsidRPr="00C11219" w:rsidTr="004C5D98">
        <w:trPr>
          <w:jc w:val="center"/>
        </w:trPr>
        <w:tc>
          <w:tcPr>
            <w:tcW w:w="2530" w:type="dxa"/>
            <w:tcBorders>
              <w:top w:val="single" w:sz="4" w:space="0" w:color="auto"/>
              <w:left w:val="single" w:sz="4" w:space="0" w:color="auto"/>
              <w:bottom w:val="nil"/>
              <w:right w:val="nil"/>
            </w:tcBorders>
            <w:shd w:val="clear" w:color="auto" w:fill="auto"/>
          </w:tcPr>
          <w:p w:rsidR="00385398" w:rsidRPr="00C11219" w:rsidRDefault="00385398" w:rsidP="004C5D98">
            <w:pPr>
              <w:pStyle w:val="ARProgramTableText"/>
              <w:keepNext/>
              <w:spacing w:line="300" w:lineRule="exact"/>
              <w:rPr>
                <w:rtl/>
                <w:lang w:bidi="ar-SA"/>
              </w:rPr>
            </w:pPr>
          </w:p>
        </w:tc>
        <w:tc>
          <w:tcPr>
            <w:tcW w:w="2519" w:type="dxa"/>
            <w:tcBorders>
              <w:top w:val="single" w:sz="4" w:space="0" w:color="auto"/>
              <w:left w:val="nil"/>
              <w:bottom w:val="nil"/>
              <w:right w:val="nil"/>
            </w:tcBorders>
            <w:shd w:val="clear" w:color="auto" w:fill="auto"/>
          </w:tcPr>
          <w:p w:rsidR="00385398" w:rsidRPr="00AE6840" w:rsidRDefault="00385398" w:rsidP="004C5D98">
            <w:pPr>
              <w:pStyle w:val="ARProgramTableText"/>
              <w:keepNext/>
              <w:spacing w:line="300" w:lineRule="exact"/>
              <w:rPr>
                <w:rtl/>
                <w:lang w:bidi="ar-SA"/>
              </w:rPr>
            </w:pPr>
            <w:r>
              <w:rPr>
                <w:rFonts w:hint="cs"/>
                <w:rtl/>
                <w:lang w:bidi="ar-SA"/>
              </w:rPr>
              <w:t>توقيت تحميل البيانات (معدل الفترة المحسوبة بالأيام بين تاريخ نشر السجلات في سجلها الرسمي وتوافرها في قواعد البيانات العالمية لأغراض إتاحة مجموعة فرعية من المجموعات الوطنية)</w:t>
            </w:r>
          </w:p>
        </w:tc>
        <w:tc>
          <w:tcPr>
            <w:tcW w:w="2087" w:type="dxa"/>
            <w:tcBorders>
              <w:top w:val="single" w:sz="4" w:space="0" w:color="auto"/>
              <w:left w:val="nil"/>
              <w:bottom w:val="nil"/>
              <w:right w:val="nil"/>
            </w:tcBorders>
            <w:shd w:val="clear" w:color="auto" w:fill="auto"/>
          </w:tcPr>
          <w:p w:rsidR="00385398" w:rsidRDefault="00385398" w:rsidP="004C5D98">
            <w:pPr>
              <w:pStyle w:val="ARProgramTableText"/>
              <w:keepNext/>
              <w:spacing w:line="300" w:lineRule="exact"/>
              <w:rPr>
                <w:rtl/>
                <w:lang w:bidi="ar-SA"/>
              </w:rPr>
            </w:pPr>
            <w:r>
              <w:rPr>
                <w:rFonts w:hint="cs"/>
                <w:rtl/>
                <w:lang w:bidi="ar-SA"/>
              </w:rPr>
              <w:t>غير متاحة</w:t>
            </w:r>
          </w:p>
        </w:tc>
        <w:tc>
          <w:tcPr>
            <w:tcW w:w="1945" w:type="dxa"/>
            <w:tcBorders>
              <w:top w:val="single" w:sz="4" w:space="0" w:color="auto"/>
              <w:left w:val="nil"/>
              <w:bottom w:val="nil"/>
              <w:right w:val="single" w:sz="4" w:space="0" w:color="auto"/>
            </w:tcBorders>
            <w:shd w:val="clear" w:color="auto" w:fill="auto"/>
          </w:tcPr>
          <w:p w:rsidR="00385398" w:rsidRPr="00AE6840" w:rsidRDefault="00385398" w:rsidP="004C5D98">
            <w:pPr>
              <w:pStyle w:val="ARProgramTableText"/>
              <w:keepNext/>
              <w:spacing w:line="300" w:lineRule="exact"/>
              <w:rPr>
                <w:rtl/>
                <w:lang w:bidi="ar-SA"/>
              </w:rPr>
            </w:pPr>
            <w:r>
              <w:rPr>
                <w:rFonts w:hint="cs"/>
                <w:rtl/>
                <w:lang w:bidi="ar-SA"/>
              </w:rPr>
              <w:t>45 يوما</w:t>
            </w:r>
          </w:p>
        </w:tc>
      </w:tr>
      <w:tr w:rsidR="00410DF7" w:rsidRPr="00C11219" w:rsidTr="004C5D98">
        <w:trPr>
          <w:jc w:val="center"/>
        </w:trPr>
        <w:tc>
          <w:tcPr>
            <w:tcW w:w="2530" w:type="dxa"/>
            <w:tcBorders>
              <w:top w:val="nil"/>
              <w:left w:val="single" w:sz="4" w:space="0" w:color="auto"/>
              <w:bottom w:val="nil"/>
              <w:right w:val="nil"/>
            </w:tcBorders>
            <w:shd w:val="clear" w:color="auto" w:fill="auto"/>
          </w:tcPr>
          <w:p w:rsidR="00410DF7" w:rsidRPr="00C11219" w:rsidRDefault="00410DF7" w:rsidP="006F48E7">
            <w:pPr>
              <w:pStyle w:val="ARProgramTableText"/>
              <w:spacing w:line="300" w:lineRule="exact"/>
              <w:rPr>
                <w:rtl/>
                <w:lang w:bidi="ar-SA"/>
              </w:rPr>
            </w:pPr>
            <w:r w:rsidRPr="00C11219">
              <w:rPr>
                <w:rtl/>
                <w:lang w:bidi="ar-SA"/>
              </w:rPr>
              <w:t>ه 3.4 تغطية جغرافية واسعة لقواعد بيانات الويبو العالمية بشأن الملكية الفكرية من حيث المحتوى والاستخدام</w:t>
            </w:r>
          </w:p>
        </w:tc>
        <w:tc>
          <w:tcPr>
            <w:tcW w:w="2519" w:type="dxa"/>
            <w:tcBorders>
              <w:top w:val="nil"/>
              <w:left w:val="nil"/>
              <w:bottom w:val="nil"/>
              <w:right w:val="nil"/>
            </w:tcBorders>
            <w:shd w:val="clear" w:color="auto" w:fill="auto"/>
          </w:tcPr>
          <w:p w:rsidR="00410DF7" w:rsidRPr="00C11219" w:rsidRDefault="00410DF7" w:rsidP="0031375C">
            <w:pPr>
              <w:pStyle w:val="ARProgramTableText"/>
              <w:keepNext/>
              <w:spacing w:line="300" w:lineRule="exact"/>
              <w:rPr>
                <w:lang w:bidi="ar-SA"/>
              </w:rPr>
            </w:pPr>
            <w:r w:rsidRPr="00C11219">
              <w:rPr>
                <w:rtl/>
                <w:lang w:bidi="ar-SA"/>
              </w:rPr>
              <w:t xml:space="preserve">عدد السجلات المدرجة في </w:t>
            </w:r>
            <w:r w:rsidR="00725C70">
              <w:rPr>
                <w:rtl/>
              </w:rPr>
              <w:t>ق</w:t>
            </w:r>
            <w:r w:rsidR="00725C70" w:rsidRPr="006D27DF">
              <w:rPr>
                <w:rtl/>
              </w:rPr>
              <w:t>اعد</w:t>
            </w:r>
            <w:r w:rsidR="00725C70">
              <w:rPr>
                <w:rFonts w:hint="cs"/>
                <w:rtl/>
              </w:rPr>
              <w:t>ة</w:t>
            </w:r>
            <w:r w:rsidR="00725C70">
              <w:rPr>
                <w:rtl/>
              </w:rPr>
              <w:t xml:space="preserve"> البيانات العالمية ل</w:t>
            </w:r>
            <w:r w:rsidR="00725C70">
              <w:rPr>
                <w:rFonts w:hint="cs"/>
                <w:rtl/>
              </w:rPr>
              <w:t>أدوات</w:t>
            </w:r>
            <w:r w:rsidR="00725C70" w:rsidRPr="006D27DF">
              <w:rPr>
                <w:rtl/>
              </w:rPr>
              <w:t xml:space="preserve"> </w:t>
            </w:r>
            <w:r w:rsidR="00725C70">
              <w:rPr>
                <w:rFonts w:hint="cs"/>
                <w:rtl/>
              </w:rPr>
              <w:t>التوسيم</w:t>
            </w:r>
          </w:p>
        </w:tc>
        <w:tc>
          <w:tcPr>
            <w:tcW w:w="2087" w:type="dxa"/>
            <w:tcBorders>
              <w:top w:val="nil"/>
              <w:left w:val="nil"/>
              <w:bottom w:val="nil"/>
              <w:right w:val="nil"/>
            </w:tcBorders>
            <w:shd w:val="clear" w:color="auto" w:fill="auto"/>
          </w:tcPr>
          <w:p w:rsidR="00410DF7" w:rsidRPr="00C11219" w:rsidRDefault="00410DF7" w:rsidP="0031375C">
            <w:pPr>
              <w:pStyle w:val="ARProgramTableText"/>
              <w:keepNext/>
              <w:spacing w:line="300" w:lineRule="exact"/>
              <w:rPr>
                <w:lang w:bidi="ar-SA"/>
              </w:rPr>
            </w:pPr>
            <w:r w:rsidRPr="00C11219">
              <w:rPr>
                <w:rtl/>
                <w:lang w:bidi="ar-SA"/>
              </w:rPr>
              <w:t>000 800 15</w:t>
            </w:r>
            <w:r>
              <w:rPr>
                <w:rFonts w:hint="cs"/>
                <w:rtl/>
                <w:lang w:bidi="ar-SA"/>
              </w:rPr>
              <w:t xml:space="preserve"> </w:t>
            </w:r>
            <w:r w:rsidRPr="00C11219">
              <w:rPr>
                <w:rtl/>
                <w:lang w:bidi="ar-SA"/>
              </w:rPr>
              <w:t>(بنهاية 2014)</w:t>
            </w:r>
          </w:p>
        </w:tc>
        <w:tc>
          <w:tcPr>
            <w:tcW w:w="1945" w:type="dxa"/>
            <w:tcBorders>
              <w:top w:val="nil"/>
              <w:left w:val="nil"/>
              <w:bottom w:val="nil"/>
              <w:right w:val="single" w:sz="4" w:space="0" w:color="auto"/>
            </w:tcBorders>
            <w:shd w:val="clear" w:color="auto" w:fill="auto"/>
          </w:tcPr>
          <w:p w:rsidR="00410DF7" w:rsidRPr="00C11219" w:rsidRDefault="00410DF7" w:rsidP="0031375C">
            <w:pPr>
              <w:pStyle w:val="ARProgramTableText"/>
              <w:keepNext/>
              <w:spacing w:line="300" w:lineRule="exact"/>
              <w:rPr>
                <w:rtl/>
                <w:lang w:bidi="ar-SA"/>
              </w:rPr>
            </w:pPr>
            <w:r w:rsidRPr="00C11219">
              <w:rPr>
                <w:rtl/>
                <w:lang w:bidi="ar-SA"/>
              </w:rPr>
              <w:t>000 000 25</w:t>
            </w:r>
          </w:p>
        </w:tc>
      </w:tr>
      <w:tr w:rsidR="00410DF7" w:rsidRPr="00C11219" w:rsidTr="00D65E82">
        <w:trPr>
          <w:jc w:val="center"/>
        </w:trPr>
        <w:tc>
          <w:tcPr>
            <w:tcW w:w="2530" w:type="dxa"/>
            <w:tcBorders>
              <w:top w:val="nil"/>
              <w:left w:val="single" w:sz="4" w:space="0" w:color="auto"/>
              <w:bottom w:val="nil"/>
              <w:right w:val="nil"/>
            </w:tcBorders>
            <w:shd w:val="clear" w:color="auto" w:fill="auto"/>
          </w:tcPr>
          <w:p w:rsidR="00410DF7" w:rsidRPr="00C11219" w:rsidRDefault="00410DF7" w:rsidP="0031375C">
            <w:pPr>
              <w:pStyle w:val="ARProgramTableText"/>
              <w:spacing w:line="300" w:lineRule="exact"/>
              <w:rPr>
                <w:rtl/>
                <w:lang w:bidi="ar-SA"/>
              </w:rPr>
            </w:pPr>
          </w:p>
        </w:tc>
        <w:tc>
          <w:tcPr>
            <w:tcW w:w="2519" w:type="dxa"/>
            <w:tcBorders>
              <w:top w:val="nil"/>
              <w:left w:val="nil"/>
              <w:bottom w:val="nil"/>
              <w:right w:val="nil"/>
            </w:tcBorders>
            <w:shd w:val="clear" w:color="auto" w:fill="auto"/>
          </w:tcPr>
          <w:p w:rsidR="00410DF7" w:rsidRPr="00C11219" w:rsidRDefault="00725C70" w:rsidP="0031375C">
            <w:pPr>
              <w:pStyle w:val="ARProgramTableText"/>
              <w:spacing w:line="300" w:lineRule="exact"/>
              <w:rPr>
                <w:lang w:bidi="ar-SA"/>
              </w:rPr>
            </w:pPr>
            <w:r>
              <w:rPr>
                <w:rtl/>
                <w:lang w:bidi="ar-SA"/>
              </w:rPr>
              <w:t>عدد السجلات المدرجة في ق</w:t>
            </w:r>
            <w:r w:rsidR="00410DF7" w:rsidRPr="00C11219">
              <w:rPr>
                <w:rtl/>
                <w:lang w:bidi="ar-SA"/>
              </w:rPr>
              <w:t>اعد</w:t>
            </w:r>
            <w:r>
              <w:rPr>
                <w:rFonts w:hint="cs"/>
                <w:rtl/>
                <w:lang w:bidi="ar-SA"/>
              </w:rPr>
              <w:t>ة</w:t>
            </w:r>
            <w:r w:rsidR="00410DF7" w:rsidRPr="00C11219">
              <w:rPr>
                <w:rtl/>
                <w:lang w:bidi="ar-SA"/>
              </w:rPr>
              <w:t xml:space="preserve"> البيانات العالمية للتصاميم</w:t>
            </w:r>
          </w:p>
        </w:tc>
        <w:tc>
          <w:tcPr>
            <w:tcW w:w="2087" w:type="dxa"/>
            <w:tcBorders>
              <w:top w:val="nil"/>
              <w:left w:val="nil"/>
              <w:bottom w:val="nil"/>
              <w:right w:val="nil"/>
            </w:tcBorders>
            <w:shd w:val="clear" w:color="auto" w:fill="auto"/>
          </w:tcPr>
          <w:p w:rsidR="00410DF7" w:rsidRPr="00C11219" w:rsidRDefault="00410DF7" w:rsidP="0031375C">
            <w:pPr>
              <w:pStyle w:val="ARProgramTableText"/>
              <w:spacing w:line="300" w:lineRule="exact"/>
              <w:rPr>
                <w:lang w:bidi="ar-SA"/>
              </w:rPr>
            </w:pPr>
            <w:r w:rsidRPr="00C11219">
              <w:rPr>
                <w:rtl/>
                <w:lang w:bidi="ar-SA"/>
              </w:rPr>
              <w:t>غير متاحة</w:t>
            </w:r>
          </w:p>
        </w:tc>
        <w:tc>
          <w:tcPr>
            <w:tcW w:w="1945" w:type="dxa"/>
            <w:tcBorders>
              <w:top w:val="nil"/>
              <w:left w:val="nil"/>
              <w:bottom w:val="nil"/>
              <w:right w:val="single" w:sz="4" w:space="0" w:color="auto"/>
            </w:tcBorders>
            <w:shd w:val="clear" w:color="auto" w:fill="auto"/>
          </w:tcPr>
          <w:p w:rsidR="00410DF7" w:rsidRPr="00C11219" w:rsidRDefault="00410DF7" w:rsidP="0031375C">
            <w:pPr>
              <w:pStyle w:val="ARProgramTableText"/>
              <w:spacing w:line="300" w:lineRule="exact"/>
              <w:rPr>
                <w:lang w:bidi="ar-SA"/>
              </w:rPr>
            </w:pPr>
            <w:r w:rsidRPr="00C11219">
              <w:rPr>
                <w:rtl/>
                <w:lang w:bidi="ar-SA"/>
              </w:rPr>
              <w:t>000 000 1</w:t>
            </w:r>
          </w:p>
        </w:tc>
      </w:tr>
      <w:tr w:rsidR="00410DF7" w:rsidRPr="00C11219" w:rsidTr="00D65E82">
        <w:trPr>
          <w:jc w:val="center"/>
        </w:trPr>
        <w:tc>
          <w:tcPr>
            <w:tcW w:w="2530" w:type="dxa"/>
            <w:tcBorders>
              <w:top w:val="nil"/>
              <w:left w:val="single" w:sz="4" w:space="0" w:color="auto"/>
              <w:bottom w:val="nil"/>
              <w:right w:val="nil"/>
            </w:tcBorders>
            <w:shd w:val="clear" w:color="auto" w:fill="auto"/>
          </w:tcPr>
          <w:p w:rsidR="00410DF7" w:rsidRPr="00C11219" w:rsidRDefault="00410DF7" w:rsidP="0031375C">
            <w:pPr>
              <w:pStyle w:val="ARProgramTableText"/>
              <w:spacing w:line="300" w:lineRule="exact"/>
              <w:rPr>
                <w:rtl/>
                <w:lang w:bidi="ar-SA"/>
              </w:rPr>
            </w:pPr>
          </w:p>
        </w:tc>
        <w:tc>
          <w:tcPr>
            <w:tcW w:w="2519" w:type="dxa"/>
            <w:tcBorders>
              <w:top w:val="nil"/>
              <w:left w:val="nil"/>
              <w:bottom w:val="nil"/>
              <w:right w:val="nil"/>
            </w:tcBorders>
            <w:shd w:val="clear" w:color="auto" w:fill="auto"/>
          </w:tcPr>
          <w:p w:rsidR="00410DF7" w:rsidRPr="00C11219" w:rsidRDefault="00410DF7" w:rsidP="0031375C">
            <w:pPr>
              <w:pStyle w:val="ARProgramTableText"/>
              <w:spacing w:line="300" w:lineRule="exact"/>
              <w:rPr>
                <w:lang w:bidi="ar-SA"/>
              </w:rPr>
            </w:pPr>
            <w:r w:rsidRPr="00C11219">
              <w:rPr>
                <w:rtl/>
                <w:lang w:bidi="ar-SA"/>
              </w:rPr>
              <w:t>عدد المجموعات الوطنية في ركن البراءات</w:t>
            </w:r>
          </w:p>
        </w:tc>
        <w:tc>
          <w:tcPr>
            <w:tcW w:w="2087" w:type="dxa"/>
            <w:tcBorders>
              <w:top w:val="nil"/>
              <w:left w:val="nil"/>
              <w:bottom w:val="nil"/>
              <w:right w:val="nil"/>
            </w:tcBorders>
            <w:shd w:val="clear" w:color="auto" w:fill="auto"/>
          </w:tcPr>
          <w:p w:rsidR="00410DF7" w:rsidRPr="00C11219" w:rsidRDefault="00410DF7" w:rsidP="0031375C">
            <w:pPr>
              <w:pStyle w:val="ARProgramTableText"/>
              <w:spacing w:line="300" w:lineRule="exact"/>
              <w:rPr>
                <w:lang w:bidi="ar-SA"/>
              </w:rPr>
            </w:pPr>
            <w:r w:rsidRPr="00C11219">
              <w:rPr>
                <w:lang w:bidi="ar-SA"/>
              </w:rPr>
              <w:t>40</w:t>
            </w:r>
            <w:r w:rsidRPr="00C11219">
              <w:rPr>
                <w:rtl/>
                <w:lang w:bidi="ar-SA"/>
              </w:rPr>
              <w:t xml:space="preserve"> (نهاية 2014)</w:t>
            </w:r>
          </w:p>
        </w:tc>
        <w:tc>
          <w:tcPr>
            <w:tcW w:w="1945" w:type="dxa"/>
            <w:tcBorders>
              <w:top w:val="nil"/>
              <w:left w:val="nil"/>
              <w:bottom w:val="nil"/>
              <w:right w:val="single" w:sz="4" w:space="0" w:color="auto"/>
            </w:tcBorders>
            <w:shd w:val="clear" w:color="auto" w:fill="auto"/>
          </w:tcPr>
          <w:p w:rsidR="00410DF7" w:rsidRPr="00C11219" w:rsidRDefault="00410DF7" w:rsidP="0031375C">
            <w:pPr>
              <w:pStyle w:val="ARProgramTableText"/>
              <w:spacing w:line="300" w:lineRule="exact"/>
              <w:rPr>
                <w:lang w:bidi="ar-SA"/>
              </w:rPr>
            </w:pPr>
            <w:r w:rsidRPr="00C11219">
              <w:rPr>
                <w:rtl/>
                <w:lang w:bidi="ar-SA"/>
              </w:rPr>
              <w:t>50</w:t>
            </w:r>
          </w:p>
        </w:tc>
      </w:tr>
      <w:tr w:rsidR="00410DF7" w:rsidRPr="00C11219" w:rsidTr="00D65E82">
        <w:trPr>
          <w:jc w:val="center"/>
        </w:trPr>
        <w:tc>
          <w:tcPr>
            <w:tcW w:w="2530" w:type="dxa"/>
            <w:tcBorders>
              <w:top w:val="nil"/>
              <w:left w:val="single" w:sz="4" w:space="0" w:color="auto"/>
              <w:bottom w:val="single" w:sz="4" w:space="0" w:color="auto"/>
              <w:right w:val="nil"/>
            </w:tcBorders>
            <w:shd w:val="clear" w:color="auto" w:fill="auto"/>
          </w:tcPr>
          <w:p w:rsidR="00410DF7" w:rsidRPr="00C11219" w:rsidRDefault="00410DF7" w:rsidP="0031375C">
            <w:pPr>
              <w:pStyle w:val="ARProgramTableText"/>
              <w:spacing w:line="300" w:lineRule="exact"/>
              <w:rPr>
                <w:rtl/>
                <w:lang w:bidi="ar-SA"/>
              </w:rPr>
            </w:pPr>
          </w:p>
        </w:tc>
        <w:tc>
          <w:tcPr>
            <w:tcW w:w="2519" w:type="dxa"/>
            <w:tcBorders>
              <w:top w:val="nil"/>
              <w:left w:val="nil"/>
              <w:bottom w:val="single" w:sz="4" w:space="0" w:color="auto"/>
              <w:right w:val="nil"/>
            </w:tcBorders>
            <w:shd w:val="clear" w:color="auto" w:fill="auto"/>
          </w:tcPr>
          <w:p w:rsidR="00410DF7" w:rsidRPr="00C11219" w:rsidRDefault="00410DF7" w:rsidP="0031375C">
            <w:pPr>
              <w:pStyle w:val="ARProgramTableText"/>
              <w:spacing w:line="300" w:lineRule="exact"/>
              <w:rPr>
                <w:lang w:bidi="ar-SA"/>
              </w:rPr>
            </w:pPr>
            <w:r w:rsidRPr="00C11219">
              <w:rPr>
                <w:rtl/>
                <w:lang w:bidi="ar-SA"/>
              </w:rPr>
              <w:t xml:space="preserve">عدد المجموعات الوطنية في </w:t>
            </w:r>
            <w:r w:rsidR="00725C70">
              <w:rPr>
                <w:rtl/>
              </w:rPr>
              <w:t>ق</w:t>
            </w:r>
            <w:r w:rsidR="00725C70" w:rsidRPr="006D27DF">
              <w:rPr>
                <w:rtl/>
              </w:rPr>
              <w:t>اعد</w:t>
            </w:r>
            <w:r w:rsidR="00725C70">
              <w:rPr>
                <w:rFonts w:hint="cs"/>
                <w:rtl/>
              </w:rPr>
              <w:t>ة</w:t>
            </w:r>
            <w:r w:rsidR="00725C70">
              <w:rPr>
                <w:rtl/>
              </w:rPr>
              <w:t xml:space="preserve"> البيانات العالمية ل</w:t>
            </w:r>
            <w:r w:rsidR="00725C70">
              <w:rPr>
                <w:rFonts w:hint="cs"/>
                <w:rtl/>
              </w:rPr>
              <w:t>أدوات</w:t>
            </w:r>
            <w:r w:rsidR="00725C70" w:rsidRPr="006D27DF">
              <w:rPr>
                <w:rtl/>
              </w:rPr>
              <w:t xml:space="preserve"> </w:t>
            </w:r>
            <w:r w:rsidR="00725C70">
              <w:rPr>
                <w:rFonts w:hint="cs"/>
                <w:rtl/>
              </w:rPr>
              <w:t>التوسيم</w:t>
            </w:r>
          </w:p>
        </w:tc>
        <w:tc>
          <w:tcPr>
            <w:tcW w:w="2087" w:type="dxa"/>
            <w:tcBorders>
              <w:top w:val="nil"/>
              <w:left w:val="nil"/>
              <w:bottom w:val="single" w:sz="4" w:space="0" w:color="auto"/>
              <w:right w:val="nil"/>
            </w:tcBorders>
            <w:shd w:val="clear" w:color="auto" w:fill="auto"/>
          </w:tcPr>
          <w:p w:rsidR="00410DF7" w:rsidRPr="00C11219" w:rsidRDefault="00410DF7" w:rsidP="0031375C">
            <w:pPr>
              <w:rPr>
                <w:rFonts w:ascii="Arabic Typesetting" w:hAnsi="Arabic Typesetting" w:cs="Arabic Typesetting"/>
                <w:sz w:val="30"/>
                <w:szCs w:val="30"/>
                <w:lang w:bidi="ar-SA"/>
              </w:rPr>
            </w:pPr>
            <w:r w:rsidRPr="00C11219">
              <w:rPr>
                <w:rFonts w:ascii="Arabic Typesetting" w:hAnsi="Arabic Typesetting" w:cs="Arabic Typesetting"/>
                <w:sz w:val="30"/>
                <w:szCs w:val="30"/>
                <w:rtl/>
                <w:lang w:bidi="ar-SA"/>
              </w:rPr>
              <w:t>18 (نهاية 2014)</w:t>
            </w:r>
          </w:p>
        </w:tc>
        <w:tc>
          <w:tcPr>
            <w:tcW w:w="1945" w:type="dxa"/>
            <w:tcBorders>
              <w:top w:val="nil"/>
              <w:left w:val="nil"/>
              <w:bottom w:val="single" w:sz="4" w:space="0" w:color="auto"/>
              <w:right w:val="single" w:sz="4" w:space="0" w:color="auto"/>
            </w:tcBorders>
            <w:shd w:val="clear" w:color="auto" w:fill="auto"/>
          </w:tcPr>
          <w:p w:rsidR="00410DF7" w:rsidRPr="00C11219" w:rsidRDefault="00410DF7" w:rsidP="0031375C">
            <w:pPr>
              <w:pStyle w:val="ARProgramTableText"/>
              <w:spacing w:line="300" w:lineRule="exact"/>
              <w:rPr>
                <w:lang w:bidi="ar-SA"/>
              </w:rPr>
            </w:pPr>
            <w:r w:rsidRPr="00C11219">
              <w:rPr>
                <w:rtl/>
                <w:lang w:bidi="ar-SA"/>
              </w:rPr>
              <w:t>32</w:t>
            </w:r>
          </w:p>
        </w:tc>
      </w:tr>
    </w:tbl>
    <w:p w:rsidR="00410DF7" w:rsidRPr="00C11219" w:rsidRDefault="00410DF7" w:rsidP="0031375C">
      <w:pPr>
        <w:pStyle w:val="ARNormal"/>
        <w:jc w:val="left"/>
        <w:rPr>
          <w:rtl/>
        </w:rPr>
      </w:pPr>
    </w:p>
    <w:p w:rsidR="00410DF7" w:rsidRPr="00032E27" w:rsidRDefault="00410DF7"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032E27">
        <w:rPr>
          <w:rFonts w:ascii="Arabic Typesetting" w:hAnsi="Arabic Typesetting" w:cs="Arabic Typesetting" w:hint="cs"/>
          <w:noProof/>
          <w:sz w:val="38"/>
          <w:szCs w:val="38"/>
          <w:rtl/>
        </w:rPr>
        <w:t>الموارد المخصصة للبرنامج 13</w:t>
      </w:r>
    </w:p>
    <w:p w:rsidR="00410DF7" w:rsidRPr="004F5BE3" w:rsidRDefault="00410DF7" w:rsidP="00861CFF">
      <w:pPr>
        <w:pStyle w:val="StyleARNumbered11517pt"/>
        <w:numPr>
          <w:ilvl w:val="0"/>
          <w:numId w:val="26"/>
        </w:numPr>
        <w:ind w:left="0" w:firstLine="0"/>
        <w:jc w:val="left"/>
        <w:rPr>
          <w:color w:val="000000"/>
        </w:rPr>
      </w:pPr>
      <w:r>
        <w:rPr>
          <w:rFonts w:hint="cs"/>
          <w:color w:val="000000"/>
          <w:rtl/>
        </w:rPr>
        <w:t xml:space="preserve">يُلاحظ ارتفاع في إجمالي الموارد المخصصة للبرنامج بنحو 20 بالمائة في الثنائية 2016/17 مقارنة بميزانية 2014/15 بعد التحويلات. وأبقي على الموارد خلاف موارد الموظفين في مستوى ميزانية 2014/15 بعد التحويلات. وتُعزى الزيادة المُسجلة في موارد الموظفين إلى إعادة التوزيع الداخلي للموارد دعما للأنشطة المرتبطة بتطوير محرك بحث وواجهة بحث لقواعد البيانات العالمية. وبالإضافة إلى ذلك، أعيد تخصيص الموارد داخل البرنامج بما يعكس زيادة التركيز على توسيع نطاق التغطية الجغرافية لقواعد البيانات العالمية. والنتيجة الصافية لما سبق ذكره هي زيادة في الموارد ضمن النتيجتين المرتقبتين </w:t>
      </w:r>
      <w:r w:rsidRPr="00C11219">
        <w:rPr>
          <w:rtl/>
        </w:rPr>
        <w:t xml:space="preserve">ه </w:t>
      </w:r>
      <w:r>
        <w:rPr>
          <w:rFonts w:hint="cs"/>
          <w:rtl/>
        </w:rPr>
        <w:t>2</w:t>
      </w:r>
      <w:r w:rsidRPr="00C11219">
        <w:rPr>
          <w:rtl/>
        </w:rPr>
        <w:t>.4</w:t>
      </w:r>
      <w:r>
        <w:rPr>
          <w:rFonts w:hint="cs"/>
          <w:rtl/>
        </w:rPr>
        <w:t xml:space="preserve"> و</w:t>
      </w:r>
      <w:r w:rsidRPr="001109B1">
        <w:rPr>
          <w:rtl/>
        </w:rPr>
        <w:t xml:space="preserve"> </w:t>
      </w:r>
      <w:r w:rsidRPr="00C11219">
        <w:rPr>
          <w:rtl/>
        </w:rPr>
        <w:t>ه 3.4</w:t>
      </w:r>
      <w:r>
        <w:rPr>
          <w:rFonts w:hint="cs"/>
          <w:rtl/>
        </w:rPr>
        <w:t>.</w:t>
      </w:r>
    </w:p>
    <w:p w:rsidR="00410DF7" w:rsidRPr="008954A8" w:rsidRDefault="00410DF7" w:rsidP="0031375C">
      <w:pPr>
        <w:pStyle w:val="ARNormal"/>
        <w:keepNext/>
        <w:spacing w:after="0"/>
        <w:jc w:val="center"/>
        <w:rPr>
          <w:b/>
          <w:bCs/>
          <w:rtl/>
        </w:rPr>
      </w:pPr>
      <w:r w:rsidRPr="008954A8">
        <w:rPr>
          <w:rFonts w:hint="cs"/>
          <w:b/>
          <w:bCs/>
          <w:rtl/>
        </w:rPr>
        <w:t xml:space="preserve">البرنامج </w:t>
      </w:r>
      <w:r>
        <w:rPr>
          <w:rFonts w:hint="cs"/>
          <w:b/>
          <w:bCs/>
          <w:rtl/>
        </w:rPr>
        <w:t>13</w:t>
      </w:r>
      <w:r w:rsidRPr="008954A8">
        <w:rPr>
          <w:rFonts w:hint="cs"/>
          <w:b/>
          <w:bCs/>
          <w:rtl/>
        </w:rPr>
        <w:t>: الموارد بحسب كل نتيجة</w:t>
      </w:r>
    </w:p>
    <w:p w:rsidR="00410DF7" w:rsidRDefault="00410DF7" w:rsidP="0031375C">
      <w:pPr>
        <w:pStyle w:val="ARNumbered113"/>
        <w:spacing w:after="120" w:line="340" w:lineRule="exact"/>
        <w:ind w:left="0" w:firstLine="0"/>
        <w:jc w:val="center"/>
        <w:rPr>
          <w:rFonts w:ascii="Arabic Typesetting" w:hAnsi="Arabic Typesetting" w:cs="Arabic Typesetting"/>
          <w:i/>
          <w:iCs/>
          <w:sz w:val="34"/>
          <w:szCs w:val="34"/>
          <w:rtl/>
        </w:rPr>
      </w:pPr>
      <w:r w:rsidRPr="002D3823">
        <w:rPr>
          <w:rFonts w:ascii="Arabic Typesetting" w:hAnsi="Arabic Typesetting" w:cs="Arabic Typesetting" w:hint="cs"/>
          <w:i/>
          <w:iCs/>
          <w:sz w:val="34"/>
          <w:szCs w:val="34"/>
          <w:rtl/>
        </w:rPr>
        <w:t>(بآلاف الفرنكات السويسرية)</w:t>
      </w:r>
    </w:p>
    <w:p w:rsidR="00410DF7" w:rsidRPr="005A7CB6" w:rsidRDefault="00410DF7" w:rsidP="00410DF7">
      <w:pPr>
        <w:pStyle w:val="StyleARNumbered11517pt"/>
        <w:spacing w:line="240" w:lineRule="auto"/>
        <w:jc w:val="center"/>
        <w:rPr>
          <w:color w:val="000000"/>
          <w:lang w:val="en-US"/>
        </w:rPr>
      </w:pPr>
      <w:r w:rsidRPr="00410DF7">
        <w:rPr>
          <w:noProof/>
          <w:rtl/>
          <w:lang w:val="en-US"/>
        </w:rPr>
        <w:drawing>
          <wp:inline distT="0" distB="0" distL="0" distR="0" wp14:anchorId="6CF2443A" wp14:editId="25306846">
            <wp:extent cx="5676900" cy="1571625"/>
            <wp:effectExtent l="0" t="0" r="0" b="9525"/>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676900" cy="1571625"/>
                    </a:xfrm>
                    <a:prstGeom prst="rect">
                      <a:avLst/>
                    </a:prstGeom>
                    <a:noFill/>
                    <a:ln>
                      <a:noFill/>
                    </a:ln>
                  </pic:spPr>
                </pic:pic>
              </a:graphicData>
            </a:graphic>
          </wp:inline>
        </w:drawing>
      </w:r>
    </w:p>
    <w:p w:rsidR="00410DF7" w:rsidRDefault="00410DF7">
      <w:pPr>
        <w:bidi w:val="0"/>
        <w:rPr>
          <w:rFonts w:ascii="Arabic Typesetting" w:hAnsi="Arabic Typesetting" w:cs="Arabic Typesetting"/>
          <w:color w:val="000000"/>
          <w:sz w:val="34"/>
          <w:szCs w:val="34"/>
          <w:rtl/>
          <w:lang w:val="fr-CH" w:bidi="ar-SA"/>
        </w:rPr>
      </w:pPr>
      <w:r>
        <w:rPr>
          <w:color w:val="000000"/>
          <w:rtl/>
        </w:rPr>
        <w:br w:type="page"/>
      </w:r>
    </w:p>
    <w:p w:rsidR="00410DF7" w:rsidRPr="008954A8" w:rsidRDefault="00410DF7" w:rsidP="0031375C">
      <w:pPr>
        <w:pStyle w:val="ARNormal"/>
        <w:keepNext/>
        <w:spacing w:after="0"/>
        <w:jc w:val="center"/>
        <w:rPr>
          <w:b/>
          <w:bCs/>
          <w:rtl/>
        </w:rPr>
      </w:pPr>
      <w:r w:rsidRPr="008954A8">
        <w:rPr>
          <w:rFonts w:hint="cs"/>
          <w:b/>
          <w:bCs/>
          <w:rtl/>
        </w:rPr>
        <w:lastRenderedPageBreak/>
        <w:t xml:space="preserve">البرنامج </w:t>
      </w:r>
      <w:r>
        <w:rPr>
          <w:rFonts w:hint="cs"/>
          <w:b/>
          <w:bCs/>
          <w:rtl/>
        </w:rPr>
        <w:t>13</w:t>
      </w:r>
      <w:r w:rsidRPr="008954A8">
        <w:rPr>
          <w:rFonts w:hint="cs"/>
          <w:b/>
          <w:bCs/>
          <w:rtl/>
        </w:rPr>
        <w:t>: الموارد بحسب غرض الإنفاق</w:t>
      </w:r>
    </w:p>
    <w:p w:rsidR="00410DF7" w:rsidRPr="002D3823" w:rsidRDefault="00410DF7" w:rsidP="0031375C">
      <w:pPr>
        <w:pStyle w:val="ARNumbered113"/>
        <w:spacing w:after="120" w:line="340" w:lineRule="exact"/>
        <w:ind w:left="0" w:firstLine="0"/>
        <w:jc w:val="center"/>
        <w:rPr>
          <w:rFonts w:ascii="Arabic Typesetting" w:hAnsi="Arabic Typesetting" w:cs="Arabic Typesetting"/>
          <w:i/>
          <w:iCs/>
          <w:sz w:val="34"/>
          <w:szCs w:val="34"/>
        </w:rPr>
      </w:pPr>
      <w:r w:rsidRPr="002D3823">
        <w:rPr>
          <w:rFonts w:ascii="Arabic Typesetting" w:hAnsi="Arabic Typesetting" w:cs="Arabic Typesetting" w:hint="cs"/>
          <w:i/>
          <w:iCs/>
          <w:sz w:val="34"/>
          <w:szCs w:val="34"/>
          <w:rtl/>
        </w:rPr>
        <w:t>(بآلاف الفرنكات السويسرية)</w:t>
      </w:r>
    </w:p>
    <w:p w:rsidR="00410DF7" w:rsidRPr="005D37F1" w:rsidRDefault="00410DF7" w:rsidP="00410DF7">
      <w:pPr>
        <w:pStyle w:val="StyleARNumbered11517pt"/>
        <w:spacing w:line="240" w:lineRule="auto"/>
        <w:jc w:val="center"/>
        <w:rPr>
          <w:color w:val="000000"/>
          <w:rtl/>
          <w:lang w:val="en-US"/>
        </w:rPr>
      </w:pPr>
      <w:r w:rsidRPr="00410DF7">
        <w:rPr>
          <w:noProof/>
          <w:rtl/>
          <w:lang w:val="en-US"/>
        </w:rPr>
        <w:drawing>
          <wp:inline distT="0" distB="0" distL="0" distR="0" wp14:anchorId="4D1CFB01" wp14:editId="6BD62A54">
            <wp:extent cx="5514975" cy="6353175"/>
            <wp:effectExtent l="0" t="0" r="9525" b="9525"/>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410DF7" w:rsidRDefault="00410DF7">
      <w:pPr>
        <w:bidi w:val="0"/>
        <w:rPr>
          <w:rFonts w:ascii="Arabic Typesetting" w:hAnsi="Arabic Typesetting" w:cs="Arabic Typesetting"/>
          <w:sz w:val="34"/>
          <w:szCs w:val="34"/>
          <w:rtl/>
          <w:lang w:val="fr-CH" w:bidi="ar-SA"/>
        </w:rPr>
      </w:pPr>
      <w:r>
        <w:rPr>
          <w:rtl/>
        </w:rPr>
        <w:br w:type="page"/>
      </w:r>
    </w:p>
    <w:p w:rsidR="0031375C" w:rsidRPr="008954A8" w:rsidRDefault="0031375C" w:rsidP="0031375C">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73" w:name="_Toc364355391"/>
      <w:bookmarkStart w:id="74" w:name="_Toc420595517"/>
      <w:r w:rsidRPr="008954A8">
        <w:rPr>
          <w:rFonts w:ascii="Arabic Typesetting" w:hAnsi="Arabic Typesetting" w:cs="Arabic Typesetting" w:hint="cs"/>
          <w:bCs/>
          <w:iCs w:val="0"/>
          <w:noProof/>
          <w:sz w:val="42"/>
          <w:szCs w:val="42"/>
          <w:rtl/>
        </w:rPr>
        <w:lastRenderedPageBreak/>
        <w:t xml:space="preserve">البرنامج 14 </w:t>
      </w:r>
      <w:r w:rsidRPr="008954A8">
        <w:rPr>
          <w:rFonts w:ascii="Arabic Typesetting" w:hAnsi="Arabic Typesetting" w:cs="Arabic Typesetting" w:hint="cs"/>
          <w:bCs/>
          <w:iCs w:val="0"/>
          <w:noProof/>
          <w:sz w:val="42"/>
          <w:szCs w:val="42"/>
          <w:rtl/>
        </w:rPr>
        <w:tab/>
        <w:t xml:space="preserve">خدمات </w:t>
      </w:r>
      <w:r>
        <w:rPr>
          <w:rFonts w:ascii="Arabic Typesetting" w:hAnsi="Arabic Typesetting" w:cs="Arabic Typesetting" w:hint="cs"/>
          <w:bCs/>
          <w:iCs w:val="0"/>
          <w:noProof/>
          <w:sz w:val="42"/>
          <w:szCs w:val="42"/>
          <w:rtl/>
        </w:rPr>
        <w:t>النفاذ</w:t>
      </w:r>
      <w:r w:rsidRPr="008954A8">
        <w:rPr>
          <w:rFonts w:ascii="Arabic Typesetting" w:hAnsi="Arabic Typesetting" w:cs="Arabic Typesetting" w:hint="cs"/>
          <w:bCs/>
          <w:iCs w:val="0"/>
          <w:noProof/>
          <w:sz w:val="42"/>
          <w:szCs w:val="42"/>
          <w:rtl/>
        </w:rPr>
        <w:t xml:space="preserve"> إلى المعلومات والمعرفة</w:t>
      </w:r>
      <w:bookmarkEnd w:id="73"/>
      <w:bookmarkEnd w:id="74"/>
    </w:p>
    <w:p w:rsidR="0031375C" w:rsidRPr="008954A8" w:rsidRDefault="0031375C"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8954A8">
        <w:rPr>
          <w:rFonts w:ascii="Arabic Typesetting" w:hAnsi="Arabic Typesetting" w:cs="Arabic Typesetting" w:hint="cs"/>
          <w:noProof/>
          <w:sz w:val="38"/>
          <w:szCs w:val="38"/>
          <w:rtl/>
        </w:rPr>
        <w:t>سياق التخطيط</w:t>
      </w:r>
    </w:p>
    <w:p w:rsidR="0031375C"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Pr>
      </w:pPr>
      <w:r>
        <w:rPr>
          <w:rFonts w:ascii="Arabic Typesetting" w:hAnsi="Arabic Typesetting" w:cs="Arabic Typesetting" w:hint="cs"/>
          <w:sz w:val="34"/>
          <w:szCs w:val="34"/>
          <w:rtl/>
        </w:rPr>
        <w:t>يُعتبر النفاذ إلى المعلومات التكنولوجية الواردة في معلومات البراءات والمجلات العلمية عنصرا بالغ الأهمية في تضييق الفجوة المعرفية العالمية. وبعد تحقيق تقدم جيد في إتاحة فرص النفاذ إلى تلك المعلومات، هناك حاجة ماسة إلى تكوين الكفاءات في البلدان النامية والبلدان الأقل نموا لاستخدام المعلومات وتحليلها.</w:t>
      </w:r>
    </w:p>
    <w:p w:rsidR="0031375C" w:rsidRPr="008954A8"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tl/>
        </w:rPr>
      </w:pPr>
      <w:r>
        <w:rPr>
          <w:rFonts w:ascii="Arabic Typesetting" w:hAnsi="Arabic Typesetting" w:cs="Arabic Typesetting" w:hint="cs"/>
          <w:sz w:val="34"/>
          <w:szCs w:val="34"/>
          <w:rtl/>
        </w:rPr>
        <w:t>و</w:t>
      </w:r>
      <w:r w:rsidRPr="008954A8">
        <w:rPr>
          <w:rFonts w:ascii="Arabic Typesetting" w:hAnsi="Arabic Typesetting" w:cs="Arabic Typesetting"/>
          <w:sz w:val="34"/>
          <w:szCs w:val="34"/>
          <w:rtl/>
        </w:rPr>
        <w:t xml:space="preserve">يرتبط </w:t>
      </w:r>
      <w:r w:rsidRPr="008954A8">
        <w:rPr>
          <w:rFonts w:ascii="Arabic Typesetting" w:hAnsi="Arabic Typesetting" w:cs="Arabic Typesetting"/>
          <w:color w:val="000000"/>
          <w:sz w:val="34"/>
          <w:szCs w:val="34"/>
          <w:rtl/>
        </w:rPr>
        <w:t xml:space="preserve">عمل البرنامج بتوصيات جدول أعمال التنمية الرامية إلى تحسين إمكانية النفاذ إلى المعلومات التكنولوجية والاستفادة منها وتعزيز مؤسسات الملكية الفكرية، وتحديداً، التوصيات </w:t>
      </w:r>
      <w:r>
        <w:rPr>
          <w:rFonts w:ascii="Arabic Typesetting" w:hAnsi="Arabic Typesetting" w:cs="Arabic Typesetting"/>
          <w:color w:val="000000"/>
          <w:sz w:val="34"/>
          <w:szCs w:val="34"/>
          <w:rtl/>
        </w:rPr>
        <w:t>1 و8 و10 و11 و19 و30 و31</w:t>
      </w:r>
      <w:r>
        <w:rPr>
          <w:rFonts w:ascii="Arabic Typesetting" w:hAnsi="Arabic Typesetting" w:cs="Arabic Typesetting" w:hint="cs"/>
          <w:color w:val="000000"/>
          <w:sz w:val="34"/>
          <w:szCs w:val="34"/>
          <w:rtl/>
        </w:rPr>
        <w:t xml:space="preserve">. </w:t>
      </w:r>
      <w:r w:rsidRPr="008954A8">
        <w:rPr>
          <w:rFonts w:ascii="Arabic Typesetting" w:hAnsi="Arabic Typesetting" w:cs="Arabic Typesetting"/>
          <w:color w:val="000000"/>
          <w:sz w:val="34"/>
          <w:szCs w:val="34"/>
          <w:rtl/>
        </w:rPr>
        <w:t xml:space="preserve">وبالإضافة إلى ذلك، </w:t>
      </w:r>
      <w:r>
        <w:rPr>
          <w:rFonts w:ascii="Arabic Typesetting" w:hAnsi="Arabic Typesetting" w:cs="Arabic Typesetting" w:hint="cs"/>
          <w:color w:val="000000"/>
          <w:sz w:val="34"/>
          <w:szCs w:val="34"/>
          <w:rtl/>
        </w:rPr>
        <w:t>سينسق</w:t>
      </w:r>
      <w:r w:rsidRPr="008954A8">
        <w:rPr>
          <w:rFonts w:ascii="Arabic Typesetting" w:hAnsi="Arabic Typesetting" w:cs="Arabic Typesetting"/>
          <w:color w:val="000000"/>
          <w:sz w:val="34"/>
          <w:szCs w:val="34"/>
          <w:rtl/>
        </w:rPr>
        <w:t xml:space="preserve"> البرنامج </w:t>
      </w:r>
      <w:r>
        <w:rPr>
          <w:rFonts w:ascii="Arabic Typesetting" w:hAnsi="Arabic Typesetting" w:cs="Arabic Typesetting" w:hint="cs"/>
          <w:color w:val="000000"/>
          <w:sz w:val="34"/>
          <w:szCs w:val="34"/>
          <w:rtl/>
        </w:rPr>
        <w:t xml:space="preserve">تنسيق </w:t>
      </w:r>
      <w:r w:rsidRPr="008954A8">
        <w:rPr>
          <w:rFonts w:ascii="Arabic Typesetting" w:hAnsi="Arabic Typesetting" w:cs="Arabic Typesetting"/>
          <w:color w:val="000000"/>
          <w:sz w:val="34"/>
          <w:szCs w:val="34"/>
          <w:rtl/>
        </w:rPr>
        <w:t>وثيق</w:t>
      </w:r>
      <w:r>
        <w:rPr>
          <w:rFonts w:ascii="Arabic Typesetting" w:hAnsi="Arabic Typesetting" w:cs="Arabic Typesetting" w:hint="cs"/>
          <w:color w:val="000000"/>
          <w:sz w:val="34"/>
          <w:szCs w:val="34"/>
          <w:rtl/>
        </w:rPr>
        <w:t>ا</w:t>
      </w:r>
      <w:r w:rsidRPr="008954A8">
        <w:rPr>
          <w:rFonts w:ascii="Arabic Typesetting" w:hAnsi="Arabic Typesetting" w:cs="Arabic Typesetting"/>
          <w:color w:val="000000"/>
          <w:sz w:val="34"/>
          <w:szCs w:val="34"/>
          <w:rtl/>
        </w:rPr>
        <w:t xml:space="preserve"> مع الدول الأعضاء والمنظمات الحكومية الدولية والمنظمات </w:t>
      </w:r>
      <w:r>
        <w:rPr>
          <w:rFonts w:ascii="Arabic Typesetting" w:hAnsi="Arabic Typesetting" w:cs="Arabic Typesetting" w:hint="cs"/>
          <w:color w:val="000000"/>
          <w:sz w:val="34"/>
          <w:szCs w:val="34"/>
          <w:rtl/>
        </w:rPr>
        <w:t>غير الحكومية</w:t>
      </w:r>
      <w:r w:rsidRPr="008954A8">
        <w:rPr>
          <w:rFonts w:ascii="Arabic Typesetting" w:hAnsi="Arabic Typesetting" w:cs="Arabic Typesetting"/>
          <w:color w:val="000000"/>
          <w:sz w:val="34"/>
          <w:szCs w:val="34"/>
          <w:rtl/>
        </w:rPr>
        <w:t xml:space="preserve"> لإعداد منصات</w:t>
      </w:r>
      <w:r>
        <w:rPr>
          <w:rFonts w:ascii="Arabic Typesetting" w:hAnsi="Arabic Typesetting" w:cs="Arabic Typesetting" w:hint="cs"/>
          <w:color w:val="000000"/>
          <w:sz w:val="34"/>
          <w:szCs w:val="34"/>
          <w:rtl/>
        </w:rPr>
        <w:t xml:space="preserve"> وأدوات</w:t>
      </w:r>
      <w:r w:rsidRPr="008954A8">
        <w:rPr>
          <w:rFonts w:ascii="Arabic Typesetting" w:hAnsi="Arabic Typesetting" w:cs="Arabic Typesetting"/>
          <w:color w:val="000000"/>
          <w:sz w:val="34"/>
          <w:szCs w:val="34"/>
          <w:rtl/>
        </w:rPr>
        <w:t xml:space="preserve"> وبنية </w:t>
      </w:r>
      <w:r>
        <w:rPr>
          <w:rFonts w:ascii="Arabic Typesetting" w:hAnsi="Arabic Typesetting" w:cs="Arabic Typesetting" w:hint="cs"/>
          <w:color w:val="000000"/>
          <w:sz w:val="34"/>
          <w:szCs w:val="34"/>
          <w:rtl/>
        </w:rPr>
        <w:t>تحتية</w:t>
      </w:r>
      <w:r w:rsidRPr="009E1314">
        <w:rPr>
          <w:rFonts w:ascii="Arabic Typesetting" w:hAnsi="Arabic Typesetting" w:cs="Arabic Typesetting"/>
          <w:color w:val="000000"/>
          <w:sz w:val="34"/>
          <w:szCs w:val="34"/>
          <w:rtl/>
        </w:rPr>
        <w:t xml:space="preserve"> </w:t>
      </w:r>
      <w:r w:rsidRPr="008954A8">
        <w:rPr>
          <w:rFonts w:ascii="Arabic Typesetting" w:hAnsi="Arabic Typesetting" w:cs="Arabic Typesetting"/>
          <w:color w:val="000000"/>
          <w:sz w:val="34"/>
          <w:szCs w:val="34"/>
          <w:rtl/>
        </w:rPr>
        <w:t>متوافقة</w:t>
      </w:r>
      <w:r w:rsidRPr="008954A8">
        <w:rPr>
          <w:rFonts w:ascii="Arabic Typesetting" w:hAnsi="Arabic Typesetting" w:cs="Arabic Typesetting"/>
          <w:sz w:val="34"/>
          <w:szCs w:val="34"/>
          <w:rtl/>
        </w:rPr>
        <w:t>.</w:t>
      </w:r>
    </w:p>
    <w:p w:rsidR="0031375C" w:rsidRPr="008954A8" w:rsidRDefault="0031375C" w:rsidP="0031375C">
      <w:pPr>
        <w:pStyle w:val="ARNormal"/>
        <w:tabs>
          <w:tab w:val="left" w:pos="714"/>
        </w:tabs>
        <w:jc w:val="left"/>
        <w:rPr>
          <w:rtl/>
        </w:rPr>
      </w:pPr>
    </w:p>
    <w:p w:rsidR="0031375C" w:rsidRPr="00A2608A" w:rsidRDefault="0031375C"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A2608A">
        <w:rPr>
          <w:rFonts w:ascii="Arabic Typesetting" w:hAnsi="Arabic Typesetting" w:cs="Arabic Typesetting" w:hint="cs"/>
          <w:noProof/>
          <w:sz w:val="38"/>
          <w:szCs w:val="38"/>
          <w:rtl/>
        </w:rPr>
        <w:t>استراتيجيات التنفيذ</w:t>
      </w:r>
    </w:p>
    <w:p w:rsidR="0031375C" w:rsidRPr="00000A04"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Pr>
      </w:pPr>
      <w:r w:rsidRPr="00000A04">
        <w:rPr>
          <w:rFonts w:ascii="Arabic Typesetting" w:hAnsi="Arabic Typesetting" w:cs="Arabic Typesetting" w:hint="cs"/>
          <w:sz w:val="34"/>
          <w:szCs w:val="34"/>
          <w:rtl/>
        </w:rPr>
        <w:t>يواصل البرنامج تيسير نفاذ البلدان الأقل نموا</w:t>
      </w:r>
      <w:r>
        <w:rPr>
          <w:rFonts w:ascii="Arabic Typesetting" w:hAnsi="Arabic Typesetting" w:cs="Arabic Typesetting" w:hint="cs"/>
          <w:sz w:val="34"/>
          <w:szCs w:val="34"/>
          <w:rtl/>
        </w:rPr>
        <w:t xml:space="preserve"> </w:t>
      </w:r>
      <w:r w:rsidRPr="00000A04">
        <w:rPr>
          <w:rFonts w:ascii="Arabic Typesetting" w:hAnsi="Arabic Typesetting" w:cs="Arabic Typesetting" w:hint="cs"/>
          <w:sz w:val="34"/>
          <w:szCs w:val="34"/>
          <w:rtl/>
        </w:rPr>
        <w:t xml:space="preserve">إلى الأدوات وقواعد البيانات المتاحة تجاريا للبحث في وثائق البراءات وخلاف البراءات ومساعدة الدول الأعضاء في إنشاء نقط نفاذ المؤسسات إلى خدامات المعلومات التكنولوجية العالية الجودة. </w:t>
      </w:r>
      <w:r>
        <w:rPr>
          <w:rFonts w:ascii="Arabic Typesetting" w:hAnsi="Arabic Typesetting" w:cs="Arabic Typesetting" w:hint="cs"/>
          <w:sz w:val="34"/>
          <w:szCs w:val="34"/>
          <w:rtl/>
        </w:rPr>
        <w:t>وستنصب جهود</w:t>
      </w:r>
      <w:r w:rsidRPr="00000A04">
        <w:rPr>
          <w:rFonts w:ascii="Arabic Typesetting" w:hAnsi="Arabic Typesetting" w:cs="Arabic Typesetting" w:hint="cs"/>
          <w:sz w:val="34"/>
          <w:szCs w:val="34"/>
          <w:rtl/>
        </w:rPr>
        <w:t xml:space="preserve"> هذا البرنامج على تعزيز مراكز دعم التكنولوجيا والابتكار (</w:t>
      </w:r>
      <w:r w:rsidRPr="00000A04">
        <w:rPr>
          <w:rFonts w:ascii="Arabic Typesetting" w:hAnsi="Arabic Typesetting" w:cs="Arabic Typesetting"/>
          <w:sz w:val="34"/>
          <w:szCs w:val="34"/>
        </w:rPr>
        <w:t>TISCs</w:t>
      </w:r>
      <w:r w:rsidRPr="00000A04">
        <w:rPr>
          <w:rFonts w:ascii="Arabic Typesetting" w:hAnsi="Arabic Typesetting" w:cs="Arabic Typesetting" w:hint="cs"/>
          <w:sz w:val="34"/>
          <w:szCs w:val="34"/>
          <w:rtl/>
        </w:rPr>
        <w:t>) وتحسين كفاءاتها في مجال تحليل المعلومات لدعم الابتكارات المحلية.</w:t>
      </w:r>
    </w:p>
    <w:p w:rsidR="0031375C" w:rsidRDefault="0031375C" w:rsidP="0031375C">
      <w:pPr>
        <w:pStyle w:val="ARNumbered11"/>
        <w:numPr>
          <w:ilvl w:val="0"/>
          <w:numId w:val="0"/>
        </w:numPr>
        <w:ind w:left="-2"/>
        <w:rPr>
          <w:rtl/>
          <w:lang w:val="en-US"/>
        </w:rPr>
      </w:pPr>
    </w:p>
    <w:p w:rsidR="0031375C" w:rsidRDefault="0031375C" w:rsidP="0031375C">
      <w:pPr>
        <w:pStyle w:val="ARNormal"/>
        <w:tabs>
          <w:tab w:val="left" w:pos="714"/>
        </w:tabs>
        <w:jc w:val="left"/>
        <w:rPr>
          <w:color w:val="000000"/>
          <w:u w:val="single"/>
          <w:rtl/>
        </w:rPr>
      </w:pPr>
      <w:r w:rsidRPr="00AF44EB">
        <w:rPr>
          <w:rFonts w:hint="cs"/>
          <w:color w:val="000000"/>
          <w:u w:val="single"/>
          <w:rtl/>
        </w:rPr>
        <w:t>إتاحة النفاذ إلى قواعد البيانات التجارية للبراءات والمعلومات العلمية والتقنية</w:t>
      </w:r>
    </w:p>
    <w:p w:rsidR="0031375C"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Pr>
      </w:pPr>
      <w:r w:rsidRPr="00B47766">
        <w:rPr>
          <w:rFonts w:ascii="Arabic Typesetting" w:hAnsi="Arabic Typesetting" w:cs="Arabic Typesetting" w:hint="cs"/>
          <w:sz w:val="34"/>
          <w:szCs w:val="34"/>
          <w:rtl/>
        </w:rPr>
        <w:t>س</w:t>
      </w:r>
      <w:r>
        <w:rPr>
          <w:rFonts w:ascii="Arabic Typesetting" w:hAnsi="Arabic Typesetting" w:cs="Arabic Typesetting" w:hint="cs"/>
          <w:sz w:val="34"/>
          <w:szCs w:val="34"/>
          <w:rtl/>
        </w:rPr>
        <w:t>ت</w:t>
      </w:r>
      <w:r w:rsidRPr="00B47766">
        <w:rPr>
          <w:rFonts w:ascii="Arabic Typesetting" w:hAnsi="Arabic Typesetting" w:cs="Arabic Typesetting" w:hint="cs"/>
          <w:sz w:val="34"/>
          <w:szCs w:val="34"/>
          <w:rtl/>
        </w:rPr>
        <w:t xml:space="preserve">تواصل إتاحة النفاذ المجاني أو بتكلفة منخفضة إلى </w:t>
      </w:r>
      <w:r w:rsidRPr="00B47766">
        <w:rPr>
          <w:rFonts w:ascii="Arabic Typesetting" w:hAnsi="Arabic Typesetting" w:cs="Arabic Typesetting"/>
          <w:sz w:val="34"/>
          <w:szCs w:val="34"/>
          <w:rtl/>
        </w:rPr>
        <w:t>قواعد البيانات التجارية للبراءات والمعلومات العلمية والتقنية</w:t>
      </w:r>
      <w:r w:rsidRPr="00B47766">
        <w:rPr>
          <w:rFonts w:ascii="Arabic Typesetting" w:hAnsi="Arabic Typesetting" w:cs="Arabic Typesetting" w:hint="cs"/>
          <w:sz w:val="34"/>
          <w:szCs w:val="34"/>
          <w:rtl/>
        </w:rPr>
        <w:t xml:space="preserve"> عبر برنامج </w:t>
      </w:r>
      <w:r w:rsidRPr="00B47766">
        <w:rPr>
          <w:rFonts w:ascii="Arabic Typesetting" w:hAnsi="Arabic Typesetting" w:cs="Arabic Typesetting"/>
          <w:sz w:val="34"/>
          <w:szCs w:val="34"/>
          <w:rtl/>
        </w:rPr>
        <w:t>النفاذ إلى الأبحاث من أجل التنمية والابتكار (</w:t>
      </w:r>
      <w:r w:rsidRPr="00B47766">
        <w:rPr>
          <w:rFonts w:ascii="Arabic Typesetting" w:hAnsi="Arabic Typesetting" w:cs="Arabic Typesetting"/>
          <w:sz w:val="34"/>
          <w:szCs w:val="34"/>
        </w:rPr>
        <w:t>ARDI</w:t>
      </w:r>
      <w:r w:rsidRPr="00B47766">
        <w:rPr>
          <w:rFonts w:ascii="Arabic Typesetting" w:hAnsi="Arabic Typesetting" w:cs="Arabic Typesetting"/>
          <w:sz w:val="34"/>
          <w:szCs w:val="34"/>
          <w:rtl/>
        </w:rPr>
        <w:t>)</w:t>
      </w:r>
      <w:r w:rsidRPr="00B47766">
        <w:rPr>
          <w:rFonts w:ascii="Arabic Typesetting" w:hAnsi="Arabic Typesetting" w:cs="Arabic Typesetting" w:hint="cs"/>
          <w:sz w:val="34"/>
          <w:szCs w:val="34"/>
          <w:rtl/>
        </w:rPr>
        <w:t xml:space="preserve"> </w:t>
      </w:r>
      <w:r w:rsidRPr="00B47766">
        <w:rPr>
          <w:rFonts w:ascii="Arabic Typesetting" w:hAnsi="Arabic Typesetting" w:cs="Arabic Typesetting"/>
          <w:sz w:val="34"/>
          <w:szCs w:val="34"/>
          <w:rtl/>
        </w:rPr>
        <w:t>و</w:t>
      </w:r>
      <w:r w:rsidRPr="00B47766">
        <w:rPr>
          <w:rFonts w:ascii="Arabic Typesetting" w:hAnsi="Arabic Typesetting" w:cs="Arabic Typesetting" w:hint="cs"/>
          <w:sz w:val="34"/>
          <w:szCs w:val="34"/>
          <w:rtl/>
        </w:rPr>
        <w:t xml:space="preserve">برنامج </w:t>
      </w:r>
      <w:r w:rsidRPr="00B47766">
        <w:rPr>
          <w:rFonts w:ascii="Arabic Typesetting" w:hAnsi="Arabic Typesetting" w:cs="Arabic Typesetting"/>
          <w:sz w:val="34"/>
          <w:szCs w:val="34"/>
          <w:rtl/>
        </w:rPr>
        <w:t>النفاذ إلى المعلومات المتخصصة بشأن البراءات (</w:t>
      </w:r>
      <w:r w:rsidRPr="00B47766">
        <w:rPr>
          <w:rFonts w:ascii="Arabic Typesetting" w:hAnsi="Arabic Typesetting" w:cs="Arabic Typesetting"/>
          <w:sz w:val="34"/>
          <w:szCs w:val="34"/>
        </w:rPr>
        <w:t>ASPI</w:t>
      </w:r>
      <w:r w:rsidRPr="00B47766">
        <w:rPr>
          <w:rFonts w:ascii="Arabic Typesetting" w:hAnsi="Arabic Typesetting" w:cs="Arabic Typesetting"/>
          <w:sz w:val="34"/>
          <w:szCs w:val="34"/>
          <w:rtl/>
        </w:rPr>
        <w:t>)</w:t>
      </w:r>
      <w:r w:rsidRPr="00B47766">
        <w:rPr>
          <w:rFonts w:ascii="Arabic Typesetting" w:hAnsi="Arabic Typesetting" w:cs="Arabic Typesetting" w:hint="cs"/>
          <w:sz w:val="34"/>
          <w:szCs w:val="34"/>
          <w:rtl/>
        </w:rPr>
        <w:t>. ويمك</w:t>
      </w:r>
      <w:r>
        <w:rPr>
          <w:rFonts w:ascii="Arabic Typesetting" w:hAnsi="Arabic Typesetting" w:cs="Arabic Typesetting" w:hint="cs"/>
          <w:sz w:val="34"/>
          <w:szCs w:val="34"/>
          <w:rtl/>
        </w:rPr>
        <w:t>ّ</w:t>
      </w:r>
      <w:r w:rsidRPr="00B47766">
        <w:rPr>
          <w:rFonts w:ascii="Arabic Typesetting" w:hAnsi="Arabic Typesetting" w:cs="Arabic Typesetting" w:hint="cs"/>
          <w:sz w:val="34"/>
          <w:szCs w:val="34"/>
          <w:rtl/>
        </w:rPr>
        <w:t xml:space="preserve">ن كلا البرنامجين مكاتب الملكية الفكرية والمؤسسات الأكاديمية والبحثية في أكثر من 100 دولة عضو مؤهلة من </w:t>
      </w:r>
      <w:r>
        <w:rPr>
          <w:rFonts w:ascii="Arabic Typesetting" w:hAnsi="Arabic Typesetting" w:cs="Arabic Typesetting" w:hint="cs"/>
          <w:sz w:val="34"/>
          <w:szCs w:val="34"/>
          <w:rtl/>
        </w:rPr>
        <w:t>ال</w:t>
      </w:r>
      <w:r w:rsidRPr="00B47766">
        <w:rPr>
          <w:rFonts w:ascii="Arabic Typesetting" w:hAnsi="Arabic Typesetting" w:cs="Arabic Typesetting" w:hint="cs"/>
          <w:sz w:val="34"/>
          <w:szCs w:val="34"/>
          <w:rtl/>
        </w:rPr>
        <w:t xml:space="preserve">نفاذ </w:t>
      </w:r>
      <w:r>
        <w:rPr>
          <w:rFonts w:ascii="Arabic Typesetting" w:hAnsi="Arabic Typesetting" w:cs="Arabic Typesetting" w:hint="cs"/>
          <w:sz w:val="34"/>
          <w:szCs w:val="34"/>
          <w:rtl/>
        </w:rPr>
        <w:t>ال</w:t>
      </w:r>
      <w:r w:rsidRPr="00B47766">
        <w:rPr>
          <w:rFonts w:ascii="Arabic Typesetting" w:hAnsi="Arabic Typesetting" w:cs="Arabic Typesetting" w:hint="cs"/>
          <w:sz w:val="34"/>
          <w:szCs w:val="34"/>
          <w:rtl/>
        </w:rPr>
        <w:t xml:space="preserve">مجاني أو </w:t>
      </w:r>
      <w:r>
        <w:rPr>
          <w:rFonts w:ascii="Arabic Typesetting" w:hAnsi="Arabic Typesetting" w:cs="Arabic Typesetting" w:hint="cs"/>
          <w:sz w:val="34"/>
          <w:szCs w:val="34"/>
          <w:rtl/>
        </w:rPr>
        <w:t xml:space="preserve">بتكلفة </w:t>
      </w:r>
      <w:r w:rsidRPr="00B47766">
        <w:rPr>
          <w:rFonts w:ascii="Arabic Typesetting" w:hAnsi="Arabic Typesetting" w:cs="Arabic Typesetting" w:hint="cs"/>
          <w:sz w:val="34"/>
          <w:szCs w:val="34"/>
          <w:rtl/>
        </w:rPr>
        <w:t>منخفض</w:t>
      </w:r>
      <w:r>
        <w:rPr>
          <w:rFonts w:ascii="Arabic Typesetting" w:hAnsi="Arabic Typesetting" w:cs="Arabic Typesetting" w:hint="cs"/>
          <w:sz w:val="34"/>
          <w:szCs w:val="34"/>
          <w:rtl/>
        </w:rPr>
        <w:t xml:space="preserve">ة </w:t>
      </w:r>
      <w:r w:rsidRPr="00B47766">
        <w:rPr>
          <w:rFonts w:ascii="Arabic Typesetting" w:hAnsi="Arabic Typesetting" w:cs="Arabic Typesetting" w:hint="cs"/>
          <w:sz w:val="34"/>
          <w:szCs w:val="34"/>
          <w:rtl/>
        </w:rPr>
        <w:t xml:space="preserve">إلى أكثر من 20,000 مجلة </w:t>
      </w:r>
      <w:r w:rsidRPr="00B47766">
        <w:rPr>
          <w:rFonts w:ascii="Arabic Typesetting" w:hAnsi="Arabic Typesetting" w:cs="Arabic Typesetting"/>
          <w:sz w:val="34"/>
          <w:szCs w:val="34"/>
          <w:rtl/>
        </w:rPr>
        <w:t xml:space="preserve">خاضعة لمراجعة </w:t>
      </w:r>
      <w:r w:rsidRPr="00B47766">
        <w:rPr>
          <w:rFonts w:ascii="Arabic Typesetting" w:hAnsi="Arabic Typesetting" w:cs="Arabic Typesetting" w:hint="cs"/>
          <w:sz w:val="34"/>
          <w:szCs w:val="34"/>
          <w:rtl/>
        </w:rPr>
        <w:t xml:space="preserve">الأقران، والكتب، والأعمال المرجعية والأدوات المعقدة للبحث في معلومات البراءات وتحليلها. وسيتواصل إدراج برنامج </w:t>
      </w:r>
      <w:r w:rsidRPr="00B47766">
        <w:rPr>
          <w:rFonts w:ascii="Arabic Typesetting" w:hAnsi="Arabic Typesetting" w:cs="Arabic Typesetting"/>
          <w:sz w:val="34"/>
          <w:szCs w:val="34"/>
          <w:rtl/>
        </w:rPr>
        <w:t>النفاذ إلى الأبحاث من أجل التنمية والابتكار</w:t>
      </w:r>
      <w:r w:rsidRPr="00B47766">
        <w:rPr>
          <w:rFonts w:ascii="Arabic Typesetting" w:hAnsi="Arabic Typesetting" w:cs="Arabic Typesetting" w:hint="cs"/>
          <w:sz w:val="34"/>
          <w:szCs w:val="34"/>
          <w:rtl/>
        </w:rPr>
        <w:t xml:space="preserve"> بشكل أكبر في أنشطة </w:t>
      </w:r>
      <w:r w:rsidRPr="00B47766">
        <w:rPr>
          <w:rFonts w:ascii="Arabic Typesetting" w:hAnsi="Arabic Typesetting" w:cs="Arabic Typesetting"/>
          <w:sz w:val="34"/>
          <w:szCs w:val="34"/>
          <w:rtl/>
        </w:rPr>
        <w:t>شراكة "الأبحاث من أجل الحياة" (</w:t>
      </w:r>
      <w:r w:rsidRPr="00B47766">
        <w:rPr>
          <w:rFonts w:ascii="Arabic Typesetting" w:hAnsi="Arabic Typesetting" w:cs="Arabic Typesetting"/>
          <w:sz w:val="34"/>
          <w:szCs w:val="34"/>
        </w:rPr>
        <w:t>Research4Life</w:t>
      </w:r>
      <w:r w:rsidRPr="00B47766">
        <w:rPr>
          <w:rFonts w:ascii="Arabic Typesetting" w:hAnsi="Arabic Typesetting" w:cs="Arabic Typesetting"/>
          <w:sz w:val="34"/>
          <w:szCs w:val="34"/>
          <w:rtl/>
        </w:rPr>
        <w:t xml:space="preserve">) </w:t>
      </w:r>
      <w:r w:rsidRPr="00B47766">
        <w:rPr>
          <w:rFonts w:ascii="Arabic Typesetting" w:hAnsi="Arabic Typesetting" w:cs="Arabic Typesetting" w:hint="cs"/>
          <w:sz w:val="34"/>
          <w:szCs w:val="34"/>
          <w:rtl/>
        </w:rPr>
        <w:t>التي تضم منظمة الصحة العالمية والفاو و</w:t>
      </w:r>
      <w:r w:rsidRPr="00B47766">
        <w:rPr>
          <w:rFonts w:ascii="Arabic Typesetting" w:hAnsi="Arabic Typesetting" w:cs="Arabic Typesetting"/>
          <w:sz w:val="34"/>
          <w:szCs w:val="34"/>
          <w:rtl/>
        </w:rPr>
        <w:t>برنامج الأمم المتحدة للبيئة (</w:t>
      </w:r>
      <w:r w:rsidRPr="00B47766">
        <w:rPr>
          <w:rFonts w:ascii="Arabic Typesetting" w:hAnsi="Arabic Typesetting" w:cs="Arabic Typesetting"/>
          <w:sz w:val="34"/>
          <w:szCs w:val="34"/>
        </w:rPr>
        <w:t>UNEP</w:t>
      </w:r>
      <w:r w:rsidRPr="00B47766">
        <w:rPr>
          <w:rFonts w:ascii="Arabic Typesetting" w:hAnsi="Arabic Typesetting" w:cs="Arabic Typesetting"/>
          <w:sz w:val="34"/>
          <w:szCs w:val="34"/>
          <w:rtl/>
        </w:rPr>
        <w:t>)</w:t>
      </w:r>
      <w:r w:rsidRPr="00B47766">
        <w:rPr>
          <w:rFonts w:ascii="Arabic Typesetting" w:hAnsi="Arabic Typesetting" w:cs="Arabic Typesetting" w:hint="cs"/>
          <w:sz w:val="34"/>
          <w:szCs w:val="34"/>
          <w:rtl/>
        </w:rPr>
        <w:t xml:space="preserve">، ولا سما فيما يخص الإدارة التقنية للبرامج </w:t>
      </w:r>
      <w:r>
        <w:rPr>
          <w:rFonts w:ascii="Arabic Typesetting" w:hAnsi="Arabic Typesetting" w:cs="Arabic Typesetting" w:hint="cs"/>
          <w:sz w:val="34"/>
          <w:szCs w:val="34"/>
          <w:rtl/>
        </w:rPr>
        <w:t xml:space="preserve">والتواصل </w:t>
      </w:r>
      <w:r w:rsidRPr="00B47766">
        <w:rPr>
          <w:rFonts w:ascii="Arabic Typesetting" w:hAnsi="Arabic Typesetting" w:cs="Arabic Typesetting" w:hint="cs"/>
          <w:sz w:val="34"/>
          <w:szCs w:val="34"/>
          <w:rtl/>
        </w:rPr>
        <w:t>والتسويق والتدريب.</w:t>
      </w:r>
    </w:p>
    <w:p w:rsidR="0031375C" w:rsidRPr="004C7CB0" w:rsidRDefault="0031375C" w:rsidP="0031375C">
      <w:pPr>
        <w:pStyle w:val="ARNormal"/>
        <w:tabs>
          <w:tab w:val="left" w:pos="714"/>
        </w:tabs>
        <w:jc w:val="left"/>
        <w:rPr>
          <w:color w:val="000000"/>
          <w:u w:val="single"/>
          <w:rtl/>
        </w:rPr>
      </w:pPr>
      <w:r w:rsidRPr="004C7CB0">
        <w:rPr>
          <w:rFonts w:hint="cs"/>
          <w:color w:val="000000"/>
          <w:u w:val="single"/>
          <w:rtl/>
        </w:rPr>
        <w:t>تطوير شبكات فعالة ومستدامة لمراكز دعم التكنولوجيا الابتكار</w:t>
      </w:r>
    </w:p>
    <w:p w:rsidR="0031375C" w:rsidRPr="00B47766"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Pr>
      </w:pPr>
      <w:r>
        <w:rPr>
          <w:rFonts w:ascii="Arabic Typesetting" w:hAnsi="Arabic Typesetting" w:cs="Arabic Typesetting" w:hint="cs"/>
          <w:sz w:val="34"/>
          <w:szCs w:val="34"/>
          <w:rtl/>
        </w:rPr>
        <w:t>إذا كانت الثنائيتا</w:t>
      </w:r>
      <w:r>
        <w:rPr>
          <w:rFonts w:ascii="Arabic Typesetting" w:hAnsi="Arabic Typesetting" w:cs="Arabic Typesetting" w:hint="eastAsia"/>
          <w:sz w:val="34"/>
          <w:szCs w:val="34"/>
          <w:rtl/>
        </w:rPr>
        <w:t>ن</w:t>
      </w:r>
      <w:r>
        <w:rPr>
          <w:rFonts w:ascii="Arabic Typesetting" w:hAnsi="Arabic Typesetting" w:cs="Arabic Typesetting" w:hint="cs"/>
          <w:sz w:val="34"/>
          <w:szCs w:val="34"/>
          <w:rtl/>
        </w:rPr>
        <w:t xml:space="preserve"> السابقتان ترميان إلى إنشاء مراكز دعم التكنولوجيا والابتكار، فإن الجهود في الثنائية 2016/17 ستنصب بشكل متزايد على دعم وتعزيز استدامة وفعالية خدماتها على المدى الطويل. وسيشمل الدعم ما يلي على وجه الخصوص: إتاحة تشكيلة أكبر من برامج تدريب المدربين إما في عين المكان أو على الإنترنت لفائدة موظفي تلك المراكز؛ ووضع عدد أكبر من الأدلة الإلكترونية التفاعلية بشأن استخدام معلومات البراءات</w:t>
      </w:r>
      <w:r w:rsidRPr="00E92D4C">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واستغلالها؛ والتشجيع على إقامة الشبكات وتقاسم المعارف عبر منصات مراكز دعم التكنولوجي</w:t>
      </w:r>
      <w:r>
        <w:rPr>
          <w:rFonts w:ascii="Arabic Typesetting" w:hAnsi="Arabic Typesetting" w:cs="Arabic Typesetting" w:hint="eastAsia"/>
          <w:sz w:val="34"/>
          <w:szCs w:val="34"/>
          <w:rtl/>
        </w:rPr>
        <w:t>ا</w:t>
      </w:r>
      <w:r>
        <w:rPr>
          <w:rFonts w:ascii="Arabic Typesetting" w:hAnsi="Arabic Typesetting" w:cs="Arabic Typesetting" w:hint="cs"/>
          <w:sz w:val="34"/>
          <w:szCs w:val="34"/>
          <w:rtl/>
        </w:rPr>
        <w:t xml:space="preserve"> والابتكار وإنشاء شبكات ومنصات إقليمية لتلك المراكز؛ وإجراء عمليات تقييم الاستدامة باستمرار؛ وتقاسم "قصص النجاح" عن النتائج الملموسة التي حققتها تلك المراكز بفضل ما تقدمه من خدمات.</w:t>
      </w:r>
    </w:p>
    <w:p w:rsidR="0031375C" w:rsidRDefault="0031375C" w:rsidP="0031375C">
      <w:pPr>
        <w:pStyle w:val="ARNormal"/>
        <w:tabs>
          <w:tab w:val="left" w:pos="714"/>
        </w:tabs>
        <w:jc w:val="left"/>
        <w:rPr>
          <w:color w:val="000000"/>
          <w:u w:val="single"/>
          <w:rtl/>
        </w:rPr>
      </w:pPr>
      <w:r>
        <w:rPr>
          <w:rFonts w:hint="cs"/>
          <w:color w:val="000000"/>
          <w:u w:val="single"/>
          <w:rtl/>
        </w:rPr>
        <w:t>تعزيز ال</w:t>
      </w:r>
      <w:r w:rsidRPr="00677F29">
        <w:rPr>
          <w:color w:val="000000"/>
          <w:u w:val="single"/>
          <w:rtl/>
        </w:rPr>
        <w:t>خدمات</w:t>
      </w:r>
      <w:r>
        <w:rPr>
          <w:rFonts w:hint="cs"/>
          <w:color w:val="000000"/>
          <w:u w:val="single"/>
          <w:rtl/>
        </w:rPr>
        <w:t xml:space="preserve"> </w:t>
      </w:r>
      <w:r w:rsidRPr="00677F29">
        <w:rPr>
          <w:color w:val="000000"/>
          <w:u w:val="single"/>
          <w:rtl/>
        </w:rPr>
        <w:t>ذات القيمة المضافة</w:t>
      </w:r>
    </w:p>
    <w:p w:rsidR="0031375C"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Pr>
      </w:pPr>
      <w:r w:rsidRPr="00197F63">
        <w:rPr>
          <w:rFonts w:ascii="Arabic Typesetting" w:hAnsi="Arabic Typesetting" w:cs="Arabic Typesetting" w:hint="cs"/>
          <w:sz w:val="34"/>
          <w:szCs w:val="34"/>
          <w:rtl/>
        </w:rPr>
        <w:t>ست</w:t>
      </w:r>
      <w:r>
        <w:rPr>
          <w:rFonts w:ascii="Arabic Typesetting" w:hAnsi="Arabic Typesetting" w:cs="Arabic Typesetting" w:hint="cs"/>
          <w:sz w:val="34"/>
          <w:szCs w:val="34"/>
          <w:rtl/>
        </w:rPr>
        <w:t>ُ</w:t>
      </w:r>
      <w:r w:rsidRPr="00197F63">
        <w:rPr>
          <w:rFonts w:ascii="Arabic Typesetting" w:hAnsi="Arabic Typesetting" w:cs="Arabic Typesetting" w:hint="cs"/>
          <w:sz w:val="34"/>
          <w:szCs w:val="34"/>
          <w:rtl/>
        </w:rPr>
        <w:t>حسن خدمات مراكز دعم التكنولوجي</w:t>
      </w:r>
      <w:r w:rsidRPr="00197F63">
        <w:rPr>
          <w:rFonts w:ascii="Arabic Typesetting" w:hAnsi="Arabic Typesetting" w:cs="Arabic Typesetting" w:hint="eastAsia"/>
          <w:sz w:val="34"/>
          <w:szCs w:val="34"/>
          <w:rtl/>
        </w:rPr>
        <w:t>ا</w:t>
      </w:r>
      <w:r>
        <w:rPr>
          <w:rFonts w:ascii="Arabic Typesetting" w:hAnsi="Arabic Typesetting" w:cs="Arabic Typesetting" w:hint="cs"/>
          <w:sz w:val="34"/>
          <w:szCs w:val="34"/>
          <w:rtl/>
        </w:rPr>
        <w:t xml:space="preserve"> </w:t>
      </w:r>
      <w:r w:rsidRPr="00197F63">
        <w:rPr>
          <w:rFonts w:ascii="Arabic Typesetting" w:hAnsi="Arabic Typesetting" w:cs="Arabic Typesetting" w:hint="cs"/>
          <w:sz w:val="34"/>
          <w:szCs w:val="34"/>
          <w:rtl/>
        </w:rPr>
        <w:t xml:space="preserve">والابتكار مع مراعاة طلب المستخدمين على مجموعة أوسع من الخدمات ذات القيمة المضافة مثل تحليل معلومات البراءات. وسيمكن الدعم تلك المراكز من تزويد المستخدمين بخدمات ذات قيمة مضافة مثل: البحث </w:t>
      </w:r>
      <w:r w:rsidRPr="00197F63">
        <w:rPr>
          <w:rFonts w:ascii="Arabic Typesetting" w:hAnsi="Arabic Typesetting" w:cs="Arabic Typesetting"/>
          <w:sz w:val="34"/>
          <w:szCs w:val="34"/>
          <w:rtl/>
        </w:rPr>
        <w:t>في حالة التقنية الصناعي</w:t>
      </w:r>
      <w:r w:rsidRPr="00197F63">
        <w:rPr>
          <w:rFonts w:ascii="Arabic Typesetting" w:hAnsi="Arabic Typesetting" w:cs="Arabic Typesetting" w:hint="cs"/>
          <w:sz w:val="34"/>
          <w:szCs w:val="34"/>
          <w:rtl/>
        </w:rPr>
        <w:t xml:space="preserve">ة الذي قدمته حتى الآن خدمات الويبو المتعلقة بمعلومات البراءات؛ وتقارير واقع البراءات عبر استخدام </w:t>
      </w:r>
      <w:r w:rsidRPr="00197F63">
        <w:rPr>
          <w:rFonts w:ascii="Arabic Typesetting" w:hAnsi="Arabic Typesetting" w:cs="Arabic Typesetting" w:hint="cs"/>
          <w:sz w:val="34"/>
          <w:szCs w:val="34"/>
          <w:rtl/>
        </w:rPr>
        <w:lastRenderedPageBreak/>
        <w:t xml:space="preserve">مبادئ الويبو التوجيهية بشأن تحليل معلومات البراءات ("المبادئ التوجيهية لإعداد تقارير واقع البراءات" و"دليل الأدوات المفتوحة المصدر لتحليل البراءات"). ولتلبية طلبات المشورة </w:t>
      </w:r>
      <w:r>
        <w:rPr>
          <w:rFonts w:ascii="Arabic Typesetting" w:hAnsi="Arabic Typesetting" w:cs="Arabic Typesetting" w:hint="cs"/>
          <w:sz w:val="34"/>
          <w:szCs w:val="34"/>
          <w:rtl/>
        </w:rPr>
        <w:t xml:space="preserve">في مجال </w:t>
      </w:r>
      <w:r w:rsidRPr="00197F63">
        <w:rPr>
          <w:rFonts w:ascii="Arabic Typesetting" w:hAnsi="Arabic Typesetting" w:cs="Arabic Typesetting" w:hint="cs"/>
          <w:sz w:val="34"/>
          <w:szCs w:val="34"/>
          <w:rtl/>
        </w:rPr>
        <w:t>إدارة أصول الملكية الفكرية وتسويقها، ست</w:t>
      </w:r>
      <w:r>
        <w:rPr>
          <w:rFonts w:ascii="Arabic Typesetting" w:hAnsi="Arabic Typesetting" w:cs="Arabic Typesetting" w:hint="cs"/>
          <w:sz w:val="34"/>
          <w:szCs w:val="34"/>
          <w:rtl/>
        </w:rPr>
        <w:t>ُ</w:t>
      </w:r>
      <w:r w:rsidRPr="00197F63">
        <w:rPr>
          <w:rFonts w:ascii="Arabic Typesetting" w:hAnsi="Arabic Typesetting" w:cs="Arabic Typesetting" w:hint="cs"/>
          <w:sz w:val="34"/>
          <w:szCs w:val="34"/>
          <w:rtl/>
        </w:rPr>
        <w:t>طلق أيضا خدمات مراكز دعم التكنولوجيا والابتكار مشروعين: مشروع بوابة الويبو لقواعد البيانات المتوافرة بشأن الوضع القانوني للبراءات؛ ومشروع "</w:t>
      </w:r>
      <w:r w:rsidRPr="00197F63">
        <w:rPr>
          <w:rFonts w:ascii="Arabic Typesetting" w:hAnsi="Arabic Typesetting" w:cs="Arabic Typesetting"/>
          <w:sz w:val="34"/>
          <w:szCs w:val="34"/>
        </w:rPr>
        <w:t>TISC Clinic</w:t>
      </w:r>
      <w:r w:rsidRPr="00197F63">
        <w:rPr>
          <w:rFonts w:ascii="Arabic Typesetting" w:hAnsi="Arabic Typesetting" w:cs="Arabic Typesetting" w:hint="cs"/>
          <w:sz w:val="34"/>
          <w:szCs w:val="34"/>
          <w:rtl/>
        </w:rPr>
        <w:t>" الذي سيمكن المخترعين المحليين من تقديم اختراع لأغراض البحث في حالة التقنية الصناعية الذي يجريه المركز و</w:t>
      </w:r>
      <w:r>
        <w:rPr>
          <w:rFonts w:ascii="Arabic Typesetting" w:hAnsi="Arabic Typesetting" w:cs="Arabic Typesetting" w:hint="cs"/>
          <w:sz w:val="34"/>
          <w:szCs w:val="34"/>
          <w:rtl/>
        </w:rPr>
        <w:t xml:space="preserve">يمكنهم </w:t>
      </w:r>
      <w:r w:rsidRPr="00197F63">
        <w:rPr>
          <w:rFonts w:ascii="Arabic Typesetting" w:hAnsi="Arabic Typesetting" w:cs="Arabic Typesetting" w:hint="cs"/>
          <w:sz w:val="34"/>
          <w:szCs w:val="34"/>
          <w:rtl/>
        </w:rPr>
        <w:t>الحصول على مشورة مجانية من وكيل عن أفضل السبل لكسب القيمة من الاختراع</w:t>
      </w:r>
      <w:r>
        <w:rPr>
          <w:rFonts w:ascii="Arabic Typesetting" w:hAnsi="Arabic Typesetting" w:cs="Arabic Typesetting" w:hint="cs"/>
          <w:sz w:val="34"/>
          <w:szCs w:val="34"/>
          <w:rtl/>
        </w:rPr>
        <w:t xml:space="preserve"> وعن</w:t>
      </w:r>
      <w:r w:rsidRPr="00197F63">
        <w:rPr>
          <w:rFonts w:ascii="Arabic Typesetting" w:hAnsi="Arabic Typesetting" w:cs="Arabic Typesetting" w:hint="cs"/>
          <w:sz w:val="34"/>
          <w:szCs w:val="34"/>
          <w:rtl/>
        </w:rPr>
        <w:t xml:space="preserve"> إمكانية إيداع طلب البراءة وما يلي ذلك من إجراءات.</w:t>
      </w:r>
    </w:p>
    <w:p w:rsidR="0031375C"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Pr>
      </w:pPr>
      <w:r w:rsidRPr="00B710E0">
        <w:rPr>
          <w:rFonts w:ascii="Arabic Typesetting" w:hAnsi="Arabic Typesetting" w:cs="Arabic Typesetting" w:hint="cs"/>
          <w:sz w:val="34"/>
          <w:szCs w:val="34"/>
          <w:rtl/>
        </w:rPr>
        <w:t>وبالتنسيق مع البرنامج 13 (قواعد البيانات العالمية) والبرنامج 15 (</w:t>
      </w:r>
      <w:r w:rsidRPr="00B710E0">
        <w:rPr>
          <w:rFonts w:ascii="Arabic Typesetting" w:hAnsi="Arabic Typesetting" w:cs="Arabic Typesetting"/>
          <w:sz w:val="34"/>
          <w:szCs w:val="34"/>
          <w:rtl/>
        </w:rPr>
        <w:t>الحلول التجارية لمكاتب الملكية الفكرية</w:t>
      </w:r>
      <w:r w:rsidRPr="00B710E0">
        <w:rPr>
          <w:rFonts w:ascii="Arabic Typesetting" w:hAnsi="Arabic Typesetting" w:cs="Arabic Typesetting" w:hint="cs"/>
          <w:sz w:val="34"/>
          <w:szCs w:val="34"/>
          <w:rtl/>
        </w:rPr>
        <w:t xml:space="preserve">)، سيواصل البرنامج مساعدة البلدان النامية على إعداد النصوص الكاملة الرقمية القابلة للقراءة الآلية والمعلومات عن الوضع القانوني للبراءات عبر برامج الشراكات مثل برنامج </w:t>
      </w:r>
      <w:r w:rsidRPr="00B710E0">
        <w:rPr>
          <w:rFonts w:ascii="Arabic Typesetting" w:hAnsi="Arabic Typesetting" w:cs="Arabic Typesetting"/>
          <w:sz w:val="34"/>
          <w:szCs w:val="34"/>
        </w:rPr>
        <w:t>LATIPAT</w:t>
      </w:r>
      <w:r w:rsidRPr="00B710E0">
        <w:rPr>
          <w:rFonts w:ascii="Arabic Typesetting" w:hAnsi="Arabic Typesetting" w:cs="Arabic Typesetting" w:hint="cs"/>
          <w:sz w:val="34"/>
          <w:szCs w:val="34"/>
          <w:rtl/>
        </w:rPr>
        <w:t xml:space="preserve"> (قاعدة بيانات إقليمية لبلدان أمريكا اللاتينية) وبرنامج</w:t>
      </w:r>
      <w:r w:rsidRPr="00B710E0">
        <w:rPr>
          <w:rFonts w:ascii="Arabic Typesetting" w:hAnsi="Arabic Typesetting" w:cs="Arabic Typesetting" w:hint="eastAsia"/>
          <w:sz w:val="34"/>
          <w:szCs w:val="34"/>
          <w:rtl/>
        </w:rPr>
        <w:t> </w:t>
      </w:r>
      <w:r w:rsidRPr="00B710E0">
        <w:rPr>
          <w:rFonts w:ascii="Arabic Typesetting" w:hAnsi="Arabic Typesetting" w:cs="Arabic Typesetting"/>
          <w:sz w:val="34"/>
          <w:szCs w:val="34"/>
        </w:rPr>
        <w:t>ARABPAT</w:t>
      </w:r>
      <w:r w:rsidRPr="00B710E0">
        <w:rPr>
          <w:rFonts w:ascii="Arabic Typesetting" w:hAnsi="Arabic Typesetting" w:cs="Arabic Typesetting" w:hint="cs"/>
          <w:sz w:val="34"/>
          <w:szCs w:val="34"/>
          <w:rtl/>
        </w:rPr>
        <w:t xml:space="preserve"> (قاعدة بيانات إقليمية لبعض البلدان العربية).</w:t>
      </w:r>
    </w:p>
    <w:p w:rsidR="0031375C" w:rsidRPr="00B710E0"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tl/>
        </w:rPr>
      </w:pPr>
      <w:r>
        <w:rPr>
          <w:rFonts w:ascii="Arabic Typesetting" w:hAnsi="Arabic Typesetting" w:cs="Arabic Typesetting" w:hint="cs"/>
          <w:sz w:val="34"/>
          <w:szCs w:val="34"/>
          <w:rtl/>
        </w:rPr>
        <w:t>ويتعاون البرنامج 14 في الأساس مع البرامج الأخرى على النحو المبيّن أدناه:</w:t>
      </w:r>
    </w:p>
    <w:p w:rsidR="0031375C" w:rsidRPr="008954A8" w:rsidRDefault="0031375C" w:rsidP="0031375C">
      <w:pPr>
        <w:pStyle w:val="ARNormal"/>
        <w:tabs>
          <w:tab w:val="left" w:pos="714"/>
          <w:tab w:val="left" w:pos="1434"/>
        </w:tabs>
        <w:spacing w:line="240" w:lineRule="auto"/>
        <w:jc w:val="left"/>
        <w:rPr>
          <w:color w:val="000000"/>
          <w:rtl/>
        </w:rPr>
      </w:pPr>
      <w:r w:rsidRPr="00651B6E">
        <w:rPr>
          <w:rFonts w:ascii="Arial" w:hAnsi="Arial" w:cs="Arial"/>
          <w:noProof/>
          <w:szCs w:val="20"/>
          <w:lang w:val="en-US"/>
        </w:rPr>
        <w:drawing>
          <wp:inline distT="0" distB="0" distL="0" distR="0" wp14:anchorId="1222D7F9" wp14:editId="5DC41DE2">
            <wp:extent cx="5939790" cy="1897433"/>
            <wp:effectExtent l="0" t="0" r="60960" b="0"/>
            <wp:docPr id="972" name="Diagram 9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2" r:lo="rId153" r:qs="rId154" r:cs="rId155"/>
              </a:graphicData>
            </a:graphic>
          </wp:inline>
        </w:drawing>
      </w:r>
    </w:p>
    <w:p w:rsidR="0031375C" w:rsidRPr="00E1728C" w:rsidRDefault="0031375C"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E1728C">
        <w:rPr>
          <w:rFonts w:ascii="Arabic Typesetting" w:hAnsi="Arabic Typesetting" w:cs="Arabic Typesetting" w:hint="cs"/>
          <w:noProof/>
          <w:sz w:val="38"/>
          <w:szCs w:val="38"/>
          <w:rtl/>
        </w:rPr>
        <w:t>المخاطر الرئيسية واستراتيجيات التخفيف منها</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668"/>
      </w:tblGrid>
      <w:tr w:rsidR="0031375C" w:rsidRPr="008954A8" w:rsidTr="0031375C">
        <w:trPr>
          <w:tblHeader/>
        </w:trPr>
        <w:tc>
          <w:tcPr>
            <w:tcW w:w="4683" w:type="dxa"/>
            <w:tcBorders>
              <w:bottom w:val="single" w:sz="4" w:space="0" w:color="auto"/>
              <w:right w:val="nil"/>
            </w:tcBorders>
            <w:shd w:val="clear" w:color="auto" w:fill="C6D9F1"/>
          </w:tcPr>
          <w:p w:rsidR="0031375C" w:rsidRPr="008954A8" w:rsidRDefault="0031375C" w:rsidP="0031375C">
            <w:pPr>
              <w:pStyle w:val="ARProgramTableHeading"/>
              <w:spacing w:line="300" w:lineRule="exact"/>
              <w:rPr>
                <w:rtl/>
                <w:lang w:bidi="ar-SA"/>
              </w:rPr>
            </w:pPr>
            <w:r>
              <w:rPr>
                <w:rFonts w:hint="cs"/>
                <w:rtl/>
                <w:lang w:bidi="ar-SA"/>
              </w:rPr>
              <w:t>المخاطر</w:t>
            </w:r>
          </w:p>
        </w:tc>
        <w:tc>
          <w:tcPr>
            <w:tcW w:w="4668" w:type="dxa"/>
            <w:tcBorders>
              <w:left w:val="nil"/>
              <w:bottom w:val="single" w:sz="4" w:space="0" w:color="auto"/>
            </w:tcBorders>
            <w:shd w:val="clear" w:color="auto" w:fill="C6D9F1"/>
          </w:tcPr>
          <w:p w:rsidR="0031375C" w:rsidRPr="008954A8" w:rsidRDefault="0031375C" w:rsidP="0031375C">
            <w:pPr>
              <w:pStyle w:val="ARProgramTableHeading"/>
              <w:spacing w:line="300" w:lineRule="exact"/>
              <w:rPr>
                <w:rtl/>
              </w:rPr>
            </w:pPr>
            <w:r>
              <w:rPr>
                <w:rFonts w:hint="cs"/>
                <w:rtl/>
              </w:rPr>
              <w:t>التخفيف منها</w:t>
            </w:r>
          </w:p>
        </w:tc>
      </w:tr>
      <w:tr w:rsidR="0031375C" w:rsidRPr="008954A8" w:rsidTr="0031375C">
        <w:tc>
          <w:tcPr>
            <w:tcW w:w="4683" w:type="dxa"/>
            <w:tcBorders>
              <w:top w:val="single" w:sz="4" w:space="0" w:color="auto"/>
              <w:left w:val="single" w:sz="4" w:space="0" w:color="auto"/>
              <w:bottom w:val="single" w:sz="4" w:space="0" w:color="auto"/>
              <w:right w:val="nil"/>
            </w:tcBorders>
            <w:shd w:val="clear" w:color="auto" w:fill="auto"/>
          </w:tcPr>
          <w:p w:rsidR="0031375C" w:rsidRPr="008954A8" w:rsidRDefault="0031375C" w:rsidP="0031375C">
            <w:pPr>
              <w:pStyle w:val="ARProgramTableText"/>
              <w:spacing w:line="300" w:lineRule="exact"/>
              <w:rPr>
                <w:rtl/>
                <w:lang w:val="fr-CH"/>
              </w:rPr>
            </w:pPr>
            <w:r w:rsidRPr="008954A8">
              <w:rPr>
                <w:rFonts w:hint="cs"/>
                <w:rtl/>
                <w:lang w:val="fr-CH" w:bidi="ar-SA"/>
              </w:rPr>
              <w:t>عدم قدرة</w:t>
            </w:r>
            <w:r>
              <w:rPr>
                <w:rFonts w:hint="cs"/>
                <w:rtl/>
                <w:lang w:val="fr-CH" w:bidi="ar-SA"/>
              </w:rPr>
              <w:t xml:space="preserve"> البلد المضيف </w:t>
            </w:r>
            <w:r w:rsidRPr="008954A8">
              <w:rPr>
                <w:rFonts w:hint="cs"/>
                <w:rtl/>
                <w:lang w:val="fr-CH" w:bidi="ar-SA"/>
              </w:rPr>
              <w:t xml:space="preserve">على </w:t>
            </w:r>
            <w:r>
              <w:rPr>
                <w:rFonts w:hint="cs"/>
                <w:rtl/>
                <w:lang w:val="fr-CH" w:bidi="ar-SA"/>
              </w:rPr>
              <w:t xml:space="preserve">الحفاظ على </w:t>
            </w:r>
            <w:r w:rsidRPr="008954A8">
              <w:rPr>
                <w:rFonts w:hint="cs"/>
                <w:rtl/>
                <w:lang w:val="fr-CH" w:bidi="ar-SA"/>
              </w:rPr>
              <w:t xml:space="preserve">استدامة </w:t>
            </w:r>
            <w:r w:rsidRPr="008954A8">
              <w:rPr>
                <w:rFonts w:hint="cs"/>
                <w:rtl/>
                <w:lang w:val="fr-CH"/>
              </w:rPr>
              <w:t>شبكات</w:t>
            </w:r>
            <w:r>
              <w:rPr>
                <w:rFonts w:hint="cs"/>
                <w:rtl/>
                <w:lang w:val="fr-CH"/>
              </w:rPr>
              <w:t xml:space="preserve"> مراكز دعم التكنولوجي</w:t>
            </w:r>
            <w:r>
              <w:rPr>
                <w:rFonts w:hint="eastAsia"/>
                <w:rtl/>
                <w:lang w:val="fr-CH"/>
              </w:rPr>
              <w:t>ا</w:t>
            </w:r>
            <w:r>
              <w:rPr>
                <w:rFonts w:hint="cs"/>
                <w:rtl/>
                <w:lang w:val="fr-CH"/>
              </w:rPr>
              <w:t xml:space="preserve"> والابتكار ومواصلة الدعم الذاتي لعملها</w:t>
            </w:r>
            <w:r w:rsidRPr="008954A8">
              <w:rPr>
                <w:rFonts w:hint="cs"/>
                <w:rtl/>
              </w:rPr>
              <w:t xml:space="preserve">. وقد يؤدي </w:t>
            </w:r>
            <w:r>
              <w:rPr>
                <w:rFonts w:hint="cs"/>
                <w:rtl/>
              </w:rPr>
              <w:t>ذلك</w:t>
            </w:r>
            <w:r w:rsidRPr="008954A8">
              <w:rPr>
                <w:rFonts w:hint="cs"/>
                <w:rtl/>
              </w:rPr>
              <w:t xml:space="preserve"> إلى إغلاق بعض الشبكات</w:t>
            </w:r>
            <w:r>
              <w:rPr>
                <w:rFonts w:hint="cs"/>
                <w:rtl/>
              </w:rPr>
              <w:t>.</w:t>
            </w:r>
          </w:p>
        </w:tc>
        <w:tc>
          <w:tcPr>
            <w:tcW w:w="4668" w:type="dxa"/>
            <w:tcBorders>
              <w:top w:val="single" w:sz="4" w:space="0" w:color="auto"/>
              <w:left w:val="nil"/>
              <w:bottom w:val="single" w:sz="4" w:space="0" w:color="auto"/>
              <w:right w:val="single" w:sz="4" w:space="0" w:color="auto"/>
            </w:tcBorders>
            <w:shd w:val="clear" w:color="auto" w:fill="auto"/>
          </w:tcPr>
          <w:p w:rsidR="0031375C" w:rsidRPr="008954A8" w:rsidRDefault="0031375C" w:rsidP="0031375C">
            <w:pPr>
              <w:pStyle w:val="ARProgramTableText"/>
              <w:spacing w:line="300" w:lineRule="exact"/>
              <w:rPr>
                <w:rtl/>
              </w:rPr>
            </w:pPr>
            <w:r>
              <w:rPr>
                <w:rFonts w:hint="cs"/>
                <w:rtl/>
                <w:lang w:bidi="ar-SA"/>
              </w:rPr>
              <w:t>إشراك</w:t>
            </w:r>
            <w:r w:rsidRPr="008954A8">
              <w:rPr>
                <w:rFonts w:hint="cs"/>
                <w:rtl/>
                <w:lang w:bidi="ar-SA"/>
              </w:rPr>
              <w:t xml:space="preserve"> البلدان المضيفة </w:t>
            </w:r>
            <w:r>
              <w:rPr>
                <w:rFonts w:hint="cs"/>
                <w:rtl/>
                <w:lang w:bidi="ar-SA"/>
              </w:rPr>
              <w:t xml:space="preserve">على نحو أكبر </w:t>
            </w:r>
            <w:r>
              <w:rPr>
                <w:rFonts w:hint="cs"/>
                <w:rtl/>
              </w:rPr>
              <w:t>في مراحل تخطيط وتنفيذ مشاريع مراكز دعم التكنولوجيا والابتكار</w:t>
            </w:r>
            <w:r w:rsidRPr="008954A8">
              <w:rPr>
                <w:rFonts w:hint="cs"/>
                <w:rtl/>
              </w:rPr>
              <w:t>.</w:t>
            </w:r>
          </w:p>
        </w:tc>
      </w:tr>
    </w:tbl>
    <w:p w:rsidR="0031375C" w:rsidRPr="008954A8" w:rsidRDefault="0031375C" w:rsidP="0031375C">
      <w:pPr>
        <w:pStyle w:val="ARNormal"/>
        <w:tabs>
          <w:tab w:val="left" w:pos="714"/>
          <w:tab w:val="left" w:pos="1434"/>
        </w:tabs>
        <w:jc w:val="left"/>
        <w:rPr>
          <w:color w:val="000000"/>
          <w:rtl/>
        </w:rPr>
      </w:pPr>
    </w:p>
    <w:p w:rsidR="0031375C" w:rsidRPr="00E1728C" w:rsidRDefault="0031375C"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E1728C">
        <w:rPr>
          <w:rFonts w:ascii="Arabic Typesetting" w:hAnsi="Arabic Typesetting" w:cs="Arabic Typesetting" w:hint="cs"/>
          <w:noProof/>
          <w:sz w:val="38"/>
          <w:szCs w:val="38"/>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37"/>
        <w:gridCol w:w="3024"/>
        <w:gridCol w:w="1891"/>
        <w:gridCol w:w="1818"/>
      </w:tblGrid>
      <w:tr w:rsidR="0031375C" w:rsidRPr="008954A8" w:rsidTr="0031375C">
        <w:trPr>
          <w:tblHeader/>
        </w:trPr>
        <w:tc>
          <w:tcPr>
            <w:tcW w:w="2837" w:type="dxa"/>
            <w:tcBorders>
              <w:top w:val="single" w:sz="4" w:space="0" w:color="auto"/>
              <w:bottom w:val="single" w:sz="4" w:space="0" w:color="auto"/>
            </w:tcBorders>
            <w:shd w:val="clear" w:color="auto" w:fill="C6D9F1"/>
          </w:tcPr>
          <w:p w:rsidR="0031375C" w:rsidRPr="008954A8" w:rsidRDefault="0031375C" w:rsidP="0031375C">
            <w:pPr>
              <w:pStyle w:val="ARProgramTableHeading"/>
              <w:spacing w:line="300" w:lineRule="exact"/>
              <w:rPr>
                <w:rtl/>
                <w:lang w:bidi="ar-SA"/>
              </w:rPr>
            </w:pPr>
            <w:r w:rsidRPr="008954A8">
              <w:rPr>
                <w:rtl/>
                <w:lang w:bidi="ar-SA"/>
              </w:rPr>
              <w:t>النتائج المرتقبة</w:t>
            </w:r>
          </w:p>
        </w:tc>
        <w:tc>
          <w:tcPr>
            <w:tcW w:w="3024" w:type="dxa"/>
            <w:tcBorders>
              <w:top w:val="single" w:sz="4" w:space="0" w:color="auto"/>
              <w:bottom w:val="single" w:sz="4" w:space="0" w:color="auto"/>
            </w:tcBorders>
            <w:shd w:val="clear" w:color="auto" w:fill="C6D9F1"/>
          </w:tcPr>
          <w:p w:rsidR="0031375C" w:rsidRPr="008954A8" w:rsidRDefault="0031375C" w:rsidP="0031375C">
            <w:pPr>
              <w:pStyle w:val="ARProgramTableHeading"/>
              <w:spacing w:line="300" w:lineRule="exact"/>
              <w:rPr>
                <w:rtl/>
                <w:lang w:bidi="ar-SA"/>
              </w:rPr>
            </w:pPr>
            <w:r w:rsidRPr="008954A8">
              <w:rPr>
                <w:rtl/>
                <w:lang w:bidi="ar-SA"/>
              </w:rPr>
              <w:t>مؤشرات الأداء</w:t>
            </w:r>
          </w:p>
        </w:tc>
        <w:tc>
          <w:tcPr>
            <w:tcW w:w="1891" w:type="dxa"/>
            <w:tcBorders>
              <w:top w:val="single" w:sz="4" w:space="0" w:color="auto"/>
              <w:bottom w:val="single" w:sz="4" w:space="0" w:color="auto"/>
            </w:tcBorders>
            <w:shd w:val="clear" w:color="auto" w:fill="C6D9F1"/>
          </w:tcPr>
          <w:p w:rsidR="0031375C" w:rsidRPr="008954A8" w:rsidRDefault="0031375C" w:rsidP="0031375C">
            <w:pPr>
              <w:pStyle w:val="ARProgramTableHeading"/>
              <w:spacing w:line="300" w:lineRule="exact"/>
              <w:rPr>
                <w:rtl/>
                <w:lang w:bidi="ar-SA"/>
              </w:rPr>
            </w:pPr>
            <w:r w:rsidRPr="008954A8">
              <w:rPr>
                <w:rtl/>
                <w:lang w:bidi="ar-SA"/>
              </w:rPr>
              <w:t>أسس المقارنة</w:t>
            </w:r>
          </w:p>
        </w:tc>
        <w:tc>
          <w:tcPr>
            <w:tcW w:w="1818" w:type="dxa"/>
            <w:tcBorders>
              <w:top w:val="single" w:sz="4" w:space="0" w:color="auto"/>
              <w:bottom w:val="single" w:sz="4" w:space="0" w:color="auto"/>
            </w:tcBorders>
            <w:shd w:val="clear" w:color="auto" w:fill="C6D9F1"/>
          </w:tcPr>
          <w:p w:rsidR="0031375C" w:rsidRPr="008954A8" w:rsidRDefault="0031375C" w:rsidP="0031375C">
            <w:pPr>
              <w:pStyle w:val="ARProgramTableHeading"/>
              <w:spacing w:line="300" w:lineRule="exact"/>
              <w:rPr>
                <w:rtl/>
                <w:lang w:bidi="ar-SA"/>
              </w:rPr>
            </w:pPr>
            <w:r w:rsidRPr="008954A8">
              <w:rPr>
                <w:rtl/>
                <w:lang w:bidi="ar-SA"/>
              </w:rPr>
              <w:t>الأهداف</w:t>
            </w:r>
          </w:p>
        </w:tc>
      </w:tr>
      <w:tr w:rsidR="0031375C" w:rsidRPr="008954A8" w:rsidTr="0031375C">
        <w:tc>
          <w:tcPr>
            <w:tcW w:w="2837" w:type="dxa"/>
            <w:tcBorders>
              <w:top w:val="single" w:sz="4" w:space="0" w:color="auto"/>
            </w:tcBorders>
            <w:shd w:val="clear" w:color="auto" w:fill="auto"/>
          </w:tcPr>
          <w:p w:rsidR="0031375C" w:rsidRPr="008954A8" w:rsidRDefault="0031375C" w:rsidP="0031375C">
            <w:pPr>
              <w:pStyle w:val="ARProgramTableText"/>
              <w:spacing w:line="300" w:lineRule="exact"/>
              <w:rPr>
                <w:rtl/>
              </w:rPr>
            </w:pPr>
            <w:r w:rsidRPr="008954A8">
              <w:rPr>
                <w:rtl/>
                <w:lang w:bidi="ar-SA"/>
              </w:rPr>
              <w:t xml:space="preserve">ه 2.4 </w:t>
            </w:r>
            <w:r w:rsidRPr="00D76644">
              <w:rPr>
                <w:rtl/>
              </w:rPr>
              <w:t>نفاذ محسّن إلى المعلومات المتعلقة بالملكية الفكرية واستخدامها من قبل مؤسسات الملكية الفكرية والجمهور لتشجيع الابتكار والإبداع</w:t>
            </w:r>
          </w:p>
        </w:tc>
        <w:tc>
          <w:tcPr>
            <w:tcW w:w="3024" w:type="dxa"/>
            <w:tcBorders>
              <w:top w:val="single" w:sz="4" w:space="0" w:color="auto"/>
            </w:tcBorders>
            <w:shd w:val="clear" w:color="auto" w:fill="auto"/>
          </w:tcPr>
          <w:p w:rsidR="0031375C" w:rsidRPr="008954A8" w:rsidRDefault="0031375C" w:rsidP="0031375C">
            <w:pPr>
              <w:pStyle w:val="ARProgramTableText"/>
              <w:spacing w:line="300" w:lineRule="exact"/>
              <w:rPr>
                <w:rtl/>
              </w:rPr>
            </w:pPr>
            <w:r w:rsidRPr="008954A8">
              <w:rPr>
                <w:rtl/>
                <w:lang w:bidi="ar-SA"/>
              </w:rPr>
              <w:t xml:space="preserve">عدد </w:t>
            </w:r>
            <w:r>
              <w:rPr>
                <w:rFonts w:hint="cs"/>
                <w:rtl/>
                <w:lang w:bidi="ar-SA"/>
              </w:rPr>
              <w:t>ال</w:t>
            </w:r>
            <w:r w:rsidRPr="008954A8">
              <w:rPr>
                <w:rtl/>
                <w:lang w:bidi="ar-SA"/>
              </w:rPr>
              <w:t>شبكات</w:t>
            </w:r>
            <w:r>
              <w:rPr>
                <w:rFonts w:hint="cs"/>
                <w:rtl/>
                <w:lang w:bidi="ar-SA"/>
              </w:rPr>
              <w:t xml:space="preserve"> الوطنية </w:t>
            </w:r>
            <w:r w:rsidRPr="008954A8">
              <w:rPr>
                <w:rtl/>
                <w:lang w:bidi="ar-SA"/>
              </w:rPr>
              <w:t>المستدامة</w:t>
            </w:r>
            <w:r w:rsidR="002D4601" w:rsidRPr="002D4601">
              <w:rPr>
                <w:rStyle w:val="FootnoteReference"/>
                <w:rFonts w:cs="Arabic Typesetting"/>
                <w:rtl/>
                <w:lang w:bidi="ar-SA"/>
              </w:rPr>
              <w:footnoteReference w:id="21"/>
            </w:r>
            <w:r>
              <w:rPr>
                <w:rFonts w:hint="cs"/>
                <w:rtl/>
                <w:lang w:bidi="ar-SA"/>
              </w:rPr>
              <w:t xml:space="preserve"> ل</w:t>
            </w:r>
            <w:r w:rsidRPr="008954A8">
              <w:rPr>
                <w:rtl/>
                <w:lang w:bidi="ar-SA"/>
              </w:rPr>
              <w:t xml:space="preserve">مراكز دعم الابتكار والتكنولوجيا </w:t>
            </w:r>
            <w:r>
              <w:rPr>
                <w:rFonts w:hint="cs"/>
                <w:rtl/>
                <w:lang w:bidi="ar-SA"/>
              </w:rPr>
              <w:t>(الأعداد التراكمية)</w:t>
            </w:r>
          </w:p>
        </w:tc>
        <w:tc>
          <w:tcPr>
            <w:tcW w:w="1891" w:type="dxa"/>
            <w:tcBorders>
              <w:top w:val="single" w:sz="4" w:space="0" w:color="auto"/>
            </w:tcBorders>
            <w:shd w:val="clear" w:color="auto" w:fill="auto"/>
          </w:tcPr>
          <w:p w:rsidR="0031375C" w:rsidRPr="008954A8" w:rsidRDefault="0031375C" w:rsidP="0031375C">
            <w:pPr>
              <w:pStyle w:val="ARProgramTableText"/>
              <w:spacing w:line="300" w:lineRule="exact"/>
              <w:rPr>
                <w:rtl/>
                <w:lang w:bidi="ar-SA"/>
              </w:rPr>
            </w:pPr>
            <w:r>
              <w:rPr>
                <w:rFonts w:hint="cs"/>
                <w:rtl/>
                <w:lang w:bidi="ar-SA"/>
              </w:rPr>
              <w:t>20</w:t>
            </w:r>
            <w:r w:rsidRPr="008954A8">
              <w:rPr>
                <w:rtl/>
                <w:lang w:bidi="ar-SA"/>
              </w:rPr>
              <w:t xml:space="preserve"> شبكة وطنية</w:t>
            </w:r>
            <w:r>
              <w:rPr>
                <w:rFonts w:hint="cs"/>
                <w:rtl/>
                <w:lang w:bidi="ar-SA"/>
              </w:rPr>
              <w:t xml:space="preserve"> مستدامة </w:t>
            </w:r>
            <w:r w:rsidRPr="00D76644">
              <w:rPr>
                <w:rtl/>
                <w:lang w:bidi="ar-SA"/>
              </w:rPr>
              <w:t>لمراكز دعم الابتكار والتكنولوجيا</w:t>
            </w:r>
            <w:r>
              <w:rPr>
                <w:rFonts w:hint="cs"/>
                <w:rtl/>
                <w:lang w:bidi="ar-SA"/>
              </w:rPr>
              <w:t xml:space="preserve"> من أصل 45 شبكة منشأة (عدد تراكمي)</w:t>
            </w:r>
            <w:r w:rsidRPr="008954A8">
              <w:rPr>
                <w:rtl/>
                <w:lang w:bidi="ar-SA"/>
              </w:rPr>
              <w:t>:</w:t>
            </w:r>
            <w:r>
              <w:rPr>
                <w:rFonts w:hint="cs"/>
                <w:rtl/>
                <w:lang w:bidi="ar-SA"/>
              </w:rPr>
              <w:t xml:space="preserve"> </w:t>
            </w:r>
            <w:r w:rsidRPr="008954A8">
              <w:rPr>
                <w:rtl/>
                <w:lang w:bidi="ar-SA"/>
              </w:rPr>
              <w:t>أفريقيا (</w:t>
            </w:r>
            <w:r>
              <w:rPr>
                <w:rFonts w:hint="cs"/>
                <w:rtl/>
                <w:lang w:bidi="ar-SA"/>
              </w:rPr>
              <w:t>9 منها 6 في البلدان الأقل نموا</w:t>
            </w:r>
            <w:r w:rsidRPr="008954A8">
              <w:rPr>
                <w:rtl/>
                <w:lang w:bidi="ar-SA"/>
              </w:rPr>
              <w:t>)؛ والمنطقة العربية (2)؛ و</w:t>
            </w:r>
            <w:r w:rsidRPr="002B02D5">
              <w:rPr>
                <w:rtl/>
                <w:lang w:bidi="ar-SA"/>
              </w:rPr>
              <w:t xml:space="preserve">آسيا والمحيط </w:t>
            </w:r>
            <w:r w:rsidRPr="002B02D5">
              <w:rPr>
                <w:rtl/>
                <w:lang w:bidi="ar-SA"/>
              </w:rPr>
              <w:lastRenderedPageBreak/>
              <w:t>الهادئ (</w:t>
            </w:r>
            <w:r w:rsidRPr="002B02D5">
              <w:rPr>
                <w:rFonts w:hint="cs"/>
                <w:rtl/>
                <w:lang w:bidi="ar-SA"/>
              </w:rPr>
              <w:t>3 منها 1 في البلدان الأقل نموا</w:t>
            </w:r>
            <w:r w:rsidRPr="002B02D5">
              <w:rPr>
                <w:rtl/>
                <w:lang w:bidi="ar-SA"/>
              </w:rPr>
              <w:t>)؛ وأمريكا اللاتينية ومنطقة الكاريبي (</w:t>
            </w:r>
            <w:r w:rsidRPr="002B02D5">
              <w:rPr>
                <w:rFonts w:hint="cs"/>
                <w:rtl/>
                <w:lang w:bidi="ar-SA"/>
              </w:rPr>
              <w:t>5</w:t>
            </w:r>
            <w:r w:rsidRPr="002B02D5">
              <w:rPr>
                <w:rtl/>
                <w:lang w:bidi="ar-SA"/>
              </w:rPr>
              <w:t xml:space="preserve">)؛ وبعض بلدان أوروبا وآسيا </w:t>
            </w:r>
            <w:r w:rsidRPr="008954A8">
              <w:rPr>
                <w:rtl/>
                <w:lang w:bidi="ar-SA"/>
              </w:rPr>
              <w:t>(1)</w:t>
            </w:r>
          </w:p>
        </w:tc>
        <w:tc>
          <w:tcPr>
            <w:tcW w:w="1818" w:type="dxa"/>
            <w:tcBorders>
              <w:top w:val="single" w:sz="4" w:space="0" w:color="auto"/>
            </w:tcBorders>
            <w:shd w:val="clear" w:color="auto" w:fill="auto"/>
          </w:tcPr>
          <w:p w:rsidR="0031375C" w:rsidRPr="002B02D5" w:rsidRDefault="0031375C" w:rsidP="0031375C">
            <w:pPr>
              <w:pStyle w:val="ARProgramTableText"/>
              <w:spacing w:line="300" w:lineRule="exact"/>
              <w:rPr>
                <w:rtl/>
                <w:lang w:bidi="ar-SA"/>
              </w:rPr>
            </w:pPr>
            <w:r>
              <w:rPr>
                <w:rFonts w:hint="cs"/>
                <w:rtl/>
                <w:lang w:bidi="ar-SA"/>
              </w:rPr>
              <w:lastRenderedPageBreak/>
              <w:t>30</w:t>
            </w:r>
            <w:r w:rsidRPr="008954A8">
              <w:rPr>
                <w:rtl/>
                <w:lang w:bidi="ar-SA"/>
              </w:rPr>
              <w:t xml:space="preserve"> شبكة وطنية (</w:t>
            </w:r>
            <w:r>
              <w:rPr>
                <w:rFonts w:hint="cs"/>
                <w:rtl/>
                <w:lang w:bidi="ar-SA"/>
              </w:rPr>
              <w:t>عدد تراكمي</w:t>
            </w:r>
            <w:r w:rsidRPr="008954A8">
              <w:rPr>
                <w:rtl/>
                <w:lang w:bidi="ar-SA"/>
              </w:rPr>
              <w:t xml:space="preserve">): </w:t>
            </w:r>
            <w:r>
              <w:rPr>
                <w:rFonts w:hint="cs"/>
                <w:rtl/>
                <w:lang w:bidi="ar-SA"/>
              </w:rPr>
              <w:t xml:space="preserve">منطقة </w:t>
            </w:r>
            <w:r w:rsidRPr="008954A8">
              <w:rPr>
                <w:rtl/>
                <w:lang w:bidi="ar-SA"/>
              </w:rPr>
              <w:t>أفريقيا (</w:t>
            </w:r>
            <w:r>
              <w:rPr>
                <w:rFonts w:hint="cs"/>
                <w:rtl/>
                <w:lang w:bidi="ar-SA"/>
              </w:rPr>
              <w:t>11</w:t>
            </w:r>
            <w:r w:rsidRPr="008954A8">
              <w:rPr>
                <w:rtl/>
                <w:lang w:bidi="ar-SA"/>
              </w:rPr>
              <w:t xml:space="preserve"> </w:t>
            </w:r>
            <w:r>
              <w:rPr>
                <w:rFonts w:hint="cs"/>
                <w:rtl/>
                <w:lang w:bidi="ar-SA"/>
              </w:rPr>
              <w:t>منها</w:t>
            </w:r>
            <w:r w:rsidRPr="008954A8">
              <w:rPr>
                <w:rtl/>
                <w:lang w:bidi="ar-SA"/>
              </w:rPr>
              <w:t xml:space="preserve"> 8 </w:t>
            </w:r>
            <w:r>
              <w:rPr>
                <w:rFonts w:hint="cs"/>
                <w:rtl/>
                <w:lang w:bidi="ar-SA"/>
              </w:rPr>
              <w:t>في ا</w:t>
            </w:r>
            <w:r w:rsidRPr="008954A8">
              <w:rPr>
                <w:rtl/>
                <w:lang w:bidi="ar-SA"/>
              </w:rPr>
              <w:t>لبلدان الأقل نمواً)؛ والمنطقة العربية (</w:t>
            </w:r>
            <w:r>
              <w:rPr>
                <w:rFonts w:hint="cs"/>
                <w:rtl/>
                <w:lang w:bidi="ar-SA"/>
              </w:rPr>
              <w:t>4</w:t>
            </w:r>
            <w:r w:rsidRPr="008954A8">
              <w:rPr>
                <w:rtl/>
                <w:lang w:bidi="ar-SA"/>
              </w:rPr>
              <w:t>)؛ و</w:t>
            </w:r>
            <w:r w:rsidRPr="002B02D5">
              <w:rPr>
                <w:rtl/>
                <w:lang w:bidi="ar-SA"/>
              </w:rPr>
              <w:t>آسيا والمحيط الهادئ (</w:t>
            </w:r>
            <w:r w:rsidRPr="002B02D5">
              <w:rPr>
                <w:rFonts w:hint="cs"/>
                <w:rtl/>
                <w:lang w:bidi="ar-SA"/>
              </w:rPr>
              <w:t>5</w:t>
            </w:r>
            <w:r w:rsidRPr="002B02D5">
              <w:rPr>
                <w:rtl/>
                <w:lang w:bidi="ar-SA"/>
              </w:rPr>
              <w:t xml:space="preserve"> منه</w:t>
            </w:r>
            <w:r w:rsidRPr="002B02D5">
              <w:rPr>
                <w:rFonts w:hint="cs"/>
                <w:rtl/>
                <w:lang w:bidi="ar-SA"/>
              </w:rPr>
              <w:t>ا</w:t>
            </w:r>
            <w:r w:rsidRPr="002B02D5">
              <w:rPr>
                <w:rtl/>
                <w:lang w:bidi="ar-SA"/>
              </w:rPr>
              <w:t xml:space="preserve"> 2 </w:t>
            </w:r>
            <w:r w:rsidRPr="002B02D5">
              <w:rPr>
                <w:rFonts w:hint="cs"/>
                <w:rtl/>
                <w:lang w:bidi="ar-SA"/>
              </w:rPr>
              <w:t>في ا</w:t>
            </w:r>
            <w:r w:rsidRPr="008954A8">
              <w:rPr>
                <w:rtl/>
                <w:lang w:bidi="ar-SA"/>
              </w:rPr>
              <w:t>لبلدان الأقل نمواً</w:t>
            </w:r>
            <w:r w:rsidRPr="002B02D5">
              <w:rPr>
                <w:rtl/>
                <w:lang w:bidi="ar-SA"/>
              </w:rPr>
              <w:t xml:space="preserve">)؛ وأمريكا اللاتينية ومنطقة </w:t>
            </w:r>
            <w:r w:rsidRPr="002B02D5">
              <w:rPr>
                <w:rtl/>
                <w:lang w:bidi="ar-SA"/>
              </w:rPr>
              <w:lastRenderedPageBreak/>
              <w:t>الكاريبي (</w:t>
            </w:r>
            <w:r w:rsidRPr="002B02D5">
              <w:rPr>
                <w:rFonts w:hint="cs"/>
                <w:rtl/>
                <w:lang w:bidi="ar-SA"/>
              </w:rPr>
              <w:t>7</w:t>
            </w:r>
            <w:r w:rsidRPr="002B02D5">
              <w:rPr>
                <w:rtl/>
                <w:lang w:bidi="ar-SA"/>
              </w:rPr>
              <w:t xml:space="preserve">)؛ وبعض بلدان أوروبا وآسيا </w:t>
            </w:r>
            <w:r w:rsidRPr="008954A8">
              <w:rPr>
                <w:rtl/>
                <w:lang w:bidi="ar-SA"/>
              </w:rPr>
              <w:t>(</w:t>
            </w:r>
            <w:r>
              <w:rPr>
                <w:rFonts w:hint="cs"/>
                <w:rtl/>
                <w:lang w:bidi="ar-SA"/>
              </w:rPr>
              <w:t>3</w:t>
            </w:r>
            <w:r w:rsidRPr="008954A8">
              <w:rPr>
                <w:rtl/>
                <w:lang w:bidi="ar-SA"/>
              </w:rPr>
              <w:t>)</w:t>
            </w:r>
          </w:p>
          <w:p w:rsidR="0031375C" w:rsidRPr="008954A8" w:rsidRDefault="0031375C" w:rsidP="0031375C">
            <w:pPr>
              <w:pStyle w:val="ARProgramTableText"/>
              <w:spacing w:line="300" w:lineRule="exact"/>
              <w:rPr>
                <w:rtl/>
                <w:lang w:bidi="ar-SA"/>
              </w:rPr>
            </w:pPr>
          </w:p>
        </w:tc>
      </w:tr>
      <w:tr w:rsidR="0031375C" w:rsidRPr="008954A8" w:rsidTr="0031375C">
        <w:tc>
          <w:tcPr>
            <w:tcW w:w="2837" w:type="dxa"/>
            <w:shd w:val="clear" w:color="auto" w:fill="auto"/>
          </w:tcPr>
          <w:p w:rsidR="0031375C" w:rsidRPr="008954A8" w:rsidRDefault="0031375C" w:rsidP="0031375C">
            <w:pPr>
              <w:pStyle w:val="ARProgramTableText"/>
              <w:spacing w:line="300" w:lineRule="exact"/>
              <w:rPr>
                <w:rtl/>
                <w:lang w:bidi="ar-SA"/>
              </w:rPr>
            </w:pPr>
          </w:p>
        </w:tc>
        <w:tc>
          <w:tcPr>
            <w:tcW w:w="3024" w:type="dxa"/>
            <w:shd w:val="clear" w:color="auto" w:fill="auto"/>
          </w:tcPr>
          <w:p w:rsidR="0031375C" w:rsidRPr="008954A8" w:rsidRDefault="0031375C" w:rsidP="0031375C">
            <w:pPr>
              <w:pStyle w:val="ARProgramTableText"/>
              <w:spacing w:line="300" w:lineRule="exact"/>
              <w:rPr>
                <w:rtl/>
                <w:lang w:bidi="ar-SA"/>
              </w:rPr>
            </w:pPr>
            <w:r>
              <w:rPr>
                <w:rFonts w:hint="cs"/>
                <w:rtl/>
                <w:lang w:bidi="ar-SA"/>
              </w:rPr>
              <w:t>متوسط عدد المستخدمين الذين حصلوا على خدمات مراكز دعم التكنولوجيا والابتكار سنويا</w:t>
            </w:r>
          </w:p>
        </w:tc>
        <w:tc>
          <w:tcPr>
            <w:tcW w:w="1891" w:type="dxa"/>
            <w:shd w:val="clear" w:color="auto" w:fill="auto"/>
          </w:tcPr>
          <w:p w:rsidR="0031375C" w:rsidRPr="008954A8" w:rsidRDefault="0031375C" w:rsidP="0031375C">
            <w:pPr>
              <w:pStyle w:val="ARProgramTableText"/>
              <w:spacing w:line="300" w:lineRule="exact"/>
              <w:rPr>
                <w:rtl/>
                <w:lang w:bidi="ar-SA"/>
              </w:rPr>
            </w:pPr>
            <w:r>
              <w:rPr>
                <w:rFonts w:hint="cs"/>
                <w:rtl/>
                <w:lang w:bidi="ar-SA"/>
              </w:rPr>
              <w:t>ما بين 548 (على الأقل) و1625 (على الأكثر)</w:t>
            </w:r>
          </w:p>
        </w:tc>
        <w:tc>
          <w:tcPr>
            <w:tcW w:w="1818" w:type="dxa"/>
            <w:shd w:val="clear" w:color="auto" w:fill="auto"/>
          </w:tcPr>
          <w:p w:rsidR="0031375C" w:rsidRPr="008954A8" w:rsidRDefault="0031375C" w:rsidP="0031375C">
            <w:pPr>
              <w:pStyle w:val="ARProgramTableText"/>
              <w:spacing w:line="300" w:lineRule="exact"/>
              <w:rPr>
                <w:rtl/>
                <w:lang w:bidi="ar-SA"/>
              </w:rPr>
            </w:pPr>
            <w:r>
              <w:rPr>
                <w:rFonts w:hint="cs"/>
                <w:rtl/>
                <w:lang w:bidi="ar-SA"/>
              </w:rPr>
              <w:t>1100</w:t>
            </w:r>
          </w:p>
        </w:tc>
      </w:tr>
      <w:tr w:rsidR="0031375C" w:rsidRPr="008954A8" w:rsidTr="0031375C">
        <w:tc>
          <w:tcPr>
            <w:tcW w:w="2837" w:type="dxa"/>
            <w:shd w:val="clear" w:color="auto" w:fill="auto"/>
          </w:tcPr>
          <w:p w:rsidR="0031375C" w:rsidRPr="008954A8" w:rsidRDefault="0031375C" w:rsidP="0031375C">
            <w:pPr>
              <w:pStyle w:val="ARProgramTableText"/>
              <w:spacing w:line="300" w:lineRule="exact"/>
              <w:rPr>
                <w:rtl/>
                <w:lang w:bidi="ar-SA"/>
              </w:rPr>
            </w:pPr>
          </w:p>
        </w:tc>
        <w:tc>
          <w:tcPr>
            <w:tcW w:w="3024" w:type="dxa"/>
            <w:shd w:val="clear" w:color="auto" w:fill="auto"/>
          </w:tcPr>
          <w:p w:rsidR="0031375C" w:rsidRDefault="0031375C" w:rsidP="0031375C">
            <w:pPr>
              <w:pStyle w:val="ARProgramTableText"/>
              <w:spacing w:line="300" w:lineRule="exact"/>
              <w:rPr>
                <w:rtl/>
                <w:lang w:bidi="ar-SA"/>
              </w:rPr>
            </w:pPr>
            <w:r>
              <w:rPr>
                <w:rFonts w:hint="cs"/>
                <w:rtl/>
                <w:lang w:bidi="ar-SA"/>
              </w:rPr>
              <w:t>عدد الدول الأعضاء في المناطق المعنية التي تتعاون مع قواعد البيانات العالمية</w:t>
            </w:r>
          </w:p>
        </w:tc>
        <w:tc>
          <w:tcPr>
            <w:tcW w:w="1891" w:type="dxa"/>
            <w:shd w:val="clear" w:color="auto" w:fill="auto"/>
          </w:tcPr>
          <w:p w:rsidR="0031375C" w:rsidRDefault="0031375C" w:rsidP="0031375C">
            <w:pPr>
              <w:pStyle w:val="ARProgramTableText"/>
              <w:spacing w:line="300" w:lineRule="exact"/>
              <w:rPr>
                <w:rtl/>
                <w:lang w:bidi="ar-SA"/>
              </w:rPr>
            </w:pPr>
            <w:r>
              <w:rPr>
                <w:rFonts w:hint="cs"/>
                <w:rtl/>
                <w:lang w:bidi="ar-SA"/>
              </w:rPr>
              <w:t>15 - ركن البراءات (</w:t>
            </w:r>
            <w:r w:rsidRPr="00EC4A16">
              <w:rPr>
                <w:lang w:bidi="ar-SA"/>
              </w:rPr>
              <w:t>PATENTSCOPE</w:t>
            </w:r>
            <w:r>
              <w:rPr>
                <w:rFonts w:hint="cs"/>
                <w:rtl/>
                <w:lang w:bidi="ar-SA"/>
              </w:rPr>
              <w:t xml:space="preserve">)، 1 - قاعدة أدوات التوسيم؛ صفر - قاعدة التصاميم في </w:t>
            </w:r>
            <w:r w:rsidRPr="00E109F8">
              <w:rPr>
                <w:rFonts w:hint="cs"/>
                <w:rtl/>
                <w:lang w:bidi="ar-SA"/>
              </w:rPr>
              <w:t>إطار برنامج</w:t>
            </w:r>
            <w:r w:rsidRPr="00E109F8">
              <w:rPr>
                <w:rFonts w:hint="eastAsia"/>
                <w:rtl/>
                <w:lang w:bidi="ar-SA"/>
              </w:rPr>
              <w:t> </w:t>
            </w:r>
            <w:r w:rsidRPr="00E109F8">
              <w:rPr>
                <w:lang w:bidi="ar-SA"/>
              </w:rPr>
              <w:t>LATIPAT</w:t>
            </w:r>
            <w:r>
              <w:rPr>
                <w:rFonts w:hint="cs"/>
                <w:rtl/>
                <w:lang w:bidi="ar-SA"/>
              </w:rPr>
              <w:t>، 3</w:t>
            </w:r>
            <w:r>
              <w:rPr>
                <w:rFonts w:hint="eastAsia"/>
                <w:rtl/>
                <w:lang w:bidi="ar-SA"/>
              </w:rPr>
              <w:t> </w:t>
            </w:r>
            <w:r>
              <w:rPr>
                <w:rFonts w:hint="cs"/>
                <w:rtl/>
                <w:lang w:bidi="ar-SA"/>
              </w:rPr>
              <w:t>- ركن البراءات (</w:t>
            </w:r>
            <w:r w:rsidRPr="00EC4A16">
              <w:rPr>
                <w:lang w:bidi="ar-SA"/>
              </w:rPr>
              <w:t>PATENTSCOPE</w:t>
            </w:r>
            <w:r>
              <w:rPr>
                <w:rFonts w:hint="cs"/>
                <w:rtl/>
                <w:lang w:bidi="ar-SA"/>
              </w:rPr>
              <w:t xml:space="preserve">)، 1 - قاعدة أدوات التوسيم؛ صفر - قاعدة التصاميم في </w:t>
            </w:r>
            <w:r w:rsidRPr="00E109F8">
              <w:rPr>
                <w:rFonts w:hint="cs"/>
                <w:rtl/>
                <w:lang w:bidi="ar-SA"/>
              </w:rPr>
              <w:t>إطار برنامج</w:t>
            </w:r>
            <w:r w:rsidRPr="00E109F8">
              <w:rPr>
                <w:rFonts w:hint="eastAsia"/>
                <w:rtl/>
                <w:lang w:bidi="ar-SA"/>
              </w:rPr>
              <w:t> </w:t>
            </w:r>
            <w:r w:rsidRPr="00E109F8">
              <w:rPr>
                <w:lang w:bidi="ar-SA"/>
              </w:rPr>
              <w:t>ARABPAT</w:t>
            </w:r>
            <w:r>
              <w:rPr>
                <w:rFonts w:hint="cs"/>
                <w:rtl/>
                <w:lang w:bidi="ar-SA"/>
              </w:rPr>
              <w:t xml:space="preserve"> (فبراير 2015)</w:t>
            </w:r>
          </w:p>
        </w:tc>
        <w:tc>
          <w:tcPr>
            <w:tcW w:w="1818" w:type="dxa"/>
            <w:shd w:val="clear" w:color="auto" w:fill="auto"/>
          </w:tcPr>
          <w:p w:rsidR="0031375C" w:rsidRDefault="0031375C" w:rsidP="0031375C">
            <w:pPr>
              <w:pStyle w:val="ARProgramTableText"/>
              <w:spacing w:line="300" w:lineRule="exact"/>
              <w:rPr>
                <w:rtl/>
                <w:lang w:bidi="ar-SA"/>
              </w:rPr>
            </w:pPr>
            <w:r>
              <w:rPr>
                <w:rFonts w:hint="cs"/>
                <w:rtl/>
                <w:lang w:bidi="ar-SA"/>
              </w:rPr>
              <w:t>+2 ركن البراءات (</w:t>
            </w:r>
            <w:r w:rsidRPr="00EC4A16">
              <w:rPr>
                <w:lang w:bidi="ar-SA"/>
              </w:rPr>
              <w:t>PATENTSCOPE</w:t>
            </w:r>
            <w:r>
              <w:rPr>
                <w:rFonts w:hint="cs"/>
                <w:rtl/>
                <w:lang w:bidi="ar-SA"/>
              </w:rPr>
              <w:t>، +4 قاعدة أدوات التوسيم، +2 قاعدة التصاميم إجمالا</w:t>
            </w:r>
          </w:p>
        </w:tc>
      </w:tr>
      <w:tr w:rsidR="0031375C" w:rsidRPr="008954A8" w:rsidTr="0031375C">
        <w:tc>
          <w:tcPr>
            <w:tcW w:w="2837" w:type="dxa"/>
            <w:shd w:val="clear" w:color="auto" w:fill="auto"/>
          </w:tcPr>
          <w:p w:rsidR="0031375C" w:rsidRPr="008954A8" w:rsidRDefault="0031375C" w:rsidP="0031375C">
            <w:pPr>
              <w:pStyle w:val="ARProgramTableText"/>
              <w:spacing w:line="300" w:lineRule="exact"/>
              <w:rPr>
                <w:rtl/>
                <w:lang w:bidi="ar-SA"/>
              </w:rPr>
            </w:pPr>
          </w:p>
        </w:tc>
        <w:tc>
          <w:tcPr>
            <w:tcW w:w="3024" w:type="dxa"/>
            <w:shd w:val="clear" w:color="auto" w:fill="auto"/>
          </w:tcPr>
          <w:p w:rsidR="0031375C" w:rsidRDefault="0031375C" w:rsidP="0031375C">
            <w:pPr>
              <w:pStyle w:val="ARProgramTableText"/>
              <w:spacing w:line="300" w:lineRule="exact"/>
              <w:rPr>
                <w:rtl/>
                <w:lang w:bidi="ar-SA"/>
              </w:rPr>
            </w:pPr>
            <w:r>
              <w:rPr>
                <w:rFonts w:hint="cs"/>
                <w:rtl/>
                <w:lang w:bidi="ar-SA"/>
              </w:rPr>
              <w:t xml:space="preserve">عدد المسجلين الذين يستخدمون فعلا برنامجي </w:t>
            </w:r>
            <w:r w:rsidRPr="00E109F8">
              <w:rPr>
                <w:lang w:bidi="ar-SA"/>
              </w:rPr>
              <w:t>ARDI</w:t>
            </w:r>
            <w:r>
              <w:rPr>
                <w:rFonts w:hint="cs"/>
                <w:rtl/>
                <w:lang w:bidi="ar-SA"/>
              </w:rPr>
              <w:t xml:space="preserve"> و</w:t>
            </w:r>
            <w:r w:rsidRPr="00E109F8">
              <w:rPr>
                <w:lang w:bidi="ar-SA"/>
              </w:rPr>
              <w:t>ASPI</w:t>
            </w:r>
          </w:p>
        </w:tc>
        <w:tc>
          <w:tcPr>
            <w:tcW w:w="1891" w:type="dxa"/>
            <w:shd w:val="clear" w:color="auto" w:fill="auto"/>
          </w:tcPr>
          <w:p w:rsidR="0031375C" w:rsidRDefault="0031375C" w:rsidP="0031375C">
            <w:pPr>
              <w:pStyle w:val="ARProgramTableText"/>
              <w:spacing w:line="300" w:lineRule="exact"/>
              <w:rPr>
                <w:rtl/>
                <w:lang w:bidi="ar-SA"/>
              </w:rPr>
            </w:pPr>
            <w:r>
              <w:rPr>
                <w:rFonts w:hint="cs"/>
                <w:rtl/>
                <w:lang w:bidi="ar-SA"/>
              </w:rPr>
              <w:t xml:space="preserve">برنامج </w:t>
            </w:r>
            <w:r w:rsidRPr="00E109F8">
              <w:rPr>
                <w:lang w:bidi="ar-SA"/>
              </w:rPr>
              <w:t>ARDI</w:t>
            </w:r>
            <w:r>
              <w:rPr>
                <w:rFonts w:hint="cs"/>
                <w:rtl/>
                <w:lang w:bidi="ar-SA"/>
              </w:rPr>
              <w:t>: 411 مستخدما فعليا</w:t>
            </w:r>
            <w:r>
              <w:rPr>
                <w:rtl/>
                <w:lang w:bidi="ar-SA"/>
              </w:rPr>
              <w:br/>
            </w:r>
            <w:r>
              <w:rPr>
                <w:rFonts w:hint="cs"/>
                <w:rtl/>
                <w:lang w:bidi="ar-SA"/>
              </w:rPr>
              <w:t xml:space="preserve">برنامج </w:t>
            </w:r>
            <w:r w:rsidRPr="00E109F8">
              <w:rPr>
                <w:lang w:bidi="ar-SA"/>
              </w:rPr>
              <w:t>ASPI</w:t>
            </w:r>
            <w:r>
              <w:rPr>
                <w:rFonts w:hint="cs"/>
                <w:rtl/>
                <w:lang w:bidi="ar-SA"/>
              </w:rPr>
              <w:t>: 35 مستخدما فعليا (نهاية 2014)</w:t>
            </w:r>
          </w:p>
        </w:tc>
        <w:tc>
          <w:tcPr>
            <w:tcW w:w="1818" w:type="dxa"/>
            <w:shd w:val="clear" w:color="auto" w:fill="auto"/>
          </w:tcPr>
          <w:p w:rsidR="0031375C" w:rsidRDefault="0031375C" w:rsidP="0031375C">
            <w:pPr>
              <w:pStyle w:val="ARProgramTableText"/>
              <w:spacing w:line="300" w:lineRule="exact"/>
              <w:rPr>
                <w:rtl/>
                <w:lang w:bidi="ar-SA"/>
              </w:rPr>
            </w:pPr>
            <w:r>
              <w:rPr>
                <w:rFonts w:hint="cs"/>
                <w:rtl/>
                <w:lang w:bidi="ar-SA"/>
              </w:rPr>
              <w:t xml:space="preserve">برنامج </w:t>
            </w:r>
            <w:r w:rsidRPr="00E109F8">
              <w:rPr>
                <w:lang w:bidi="ar-SA"/>
              </w:rPr>
              <w:t>ARDI</w:t>
            </w:r>
            <w:r>
              <w:rPr>
                <w:rFonts w:hint="cs"/>
                <w:rtl/>
                <w:lang w:bidi="ar-SA"/>
              </w:rPr>
              <w:t xml:space="preserve"> - 600</w:t>
            </w:r>
            <w:r>
              <w:rPr>
                <w:rFonts w:hint="cs"/>
                <w:rtl/>
                <w:lang w:bidi="ar-SA"/>
              </w:rPr>
              <w:br/>
              <w:t xml:space="preserve">برنامج </w:t>
            </w:r>
            <w:r w:rsidRPr="00E109F8">
              <w:rPr>
                <w:lang w:bidi="ar-SA"/>
              </w:rPr>
              <w:t>ASPI</w:t>
            </w:r>
            <w:r>
              <w:rPr>
                <w:rFonts w:hint="cs"/>
                <w:rtl/>
                <w:lang w:bidi="ar-SA"/>
              </w:rPr>
              <w:t xml:space="preserve"> - 60</w:t>
            </w:r>
          </w:p>
        </w:tc>
      </w:tr>
      <w:tr w:rsidR="0031375C" w:rsidRPr="008954A8" w:rsidTr="0031375C">
        <w:tc>
          <w:tcPr>
            <w:tcW w:w="2837" w:type="dxa"/>
            <w:shd w:val="clear" w:color="auto" w:fill="auto"/>
          </w:tcPr>
          <w:p w:rsidR="0031375C" w:rsidRPr="008954A8" w:rsidRDefault="0031375C" w:rsidP="0031375C">
            <w:pPr>
              <w:pStyle w:val="ARProgramTableText"/>
              <w:spacing w:line="300" w:lineRule="exact"/>
              <w:rPr>
                <w:rtl/>
                <w:lang w:bidi="ar-SA"/>
              </w:rPr>
            </w:pPr>
          </w:p>
        </w:tc>
        <w:tc>
          <w:tcPr>
            <w:tcW w:w="3024" w:type="dxa"/>
            <w:shd w:val="clear" w:color="auto" w:fill="auto"/>
          </w:tcPr>
          <w:p w:rsidR="0031375C" w:rsidRDefault="0031375C" w:rsidP="0031375C">
            <w:pPr>
              <w:pStyle w:val="ARProgramTableText"/>
              <w:spacing w:line="300" w:lineRule="exact"/>
              <w:rPr>
                <w:rtl/>
                <w:lang w:bidi="ar-SA"/>
              </w:rPr>
            </w:pPr>
            <w:r>
              <w:rPr>
                <w:rFonts w:hint="cs"/>
                <w:rtl/>
                <w:lang w:bidi="ar-SA"/>
              </w:rPr>
              <w:t>عدد الطلبات المقدمة إلى مراكز دعم التكنولوجيا والابتكار في إطار مشروع</w:t>
            </w:r>
            <w:r>
              <w:rPr>
                <w:rFonts w:hint="eastAsia"/>
                <w:rtl/>
                <w:lang w:bidi="ar-SA"/>
              </w:rPr>
              <w:t> </w:t>
            </w:r>
            <w:r w:rsidRPr="00B1790C">
              <w:rPr>
                <w:lang w:bidi="ar-SA"/>
              </w:rPr>
              <w:t>TISC Clinic</w:t>
            </w:r>
          </w:p>
        </w:tc>
        <w:tc>
          <w:tcPr>
            <w:tcW w:w="1891" w:type="dxa"/>
            <w:shd w:val="clear" w:color="auto" w:fill="auto"/>
          </w:tcPr>
          <w:p w:rsidR="0031375C" w:rsidRDefault="0031375C" w:rsidP="0031375C">
            <w:pPr>
              <w:pStyle w:val="ARProgramTableText"/>
              <w:spacing w:line="300" w:lineRule="exact"/>
              <w:rPr>
                <w:rtl/>
                <w:lang w:bidi="ar-SA"/>
              </w:rPr>
            </w:pPr>
            <w:r>
              <w:rPr>
                <w:rFonts w:hint="cs"/>
                <w:rtl/>
                <w:lang w:bidi="ar-SA"/>
              </w:rPr>
              <w:t>غير متاحة (جديدة)</w:t>
            </w:r>
          </w:p>
        </w:tc>
        <w:tc>
          <w:tcPr>
            <w:tcW w:w="1818" w:type="dxa"/>
            <w:shd w:val="clear" w:color="auto" w:fill="auto"/>
          </w:tcPr>
          <w:p w:rsidR="0031375C" w:rsidRDefault="0031375C" w:rsidP="0031375C">
            <w:pPr>
              <w:pStyle w:val="ARProgramTableText"/>
              <w:spacing w:line="300" w:lineRule="exact"/>
              <w:rPr>
                <w:rtl/>
                <w:lang w:bidi="ar-SA"/>
              </w:rPr>
            </w:pPr>
            <w:r>
              <w:rPr>
                <w:rFonts w:hint="cs"/>
                <w:rtl/>
                <w:lang w:bidi="ar-SA"/>
              </w:rPr>
              <w:t>10</w:t>
            </w:r>
          </w:p>
        </w:tc>
      </w:tr>
      <w:tr w:rsidR="0031375C" w:rsidRPr="008954A8" w:rsidTr="0031375C">
        <w:tc>
          <w:tcPr>
            <w:tcW w:w="2837" w:type="dxa"/>
            <w:shd w:val="clear" w:color="auto" w:fill="auto"/>
          </w:tcPr>
          <w:p w:rsidR="0031375C" w:rsidRPr="008954A8" w:rsidRDefault="0031375C" w:rsidP="0031375C">
            <w:pPr>
              <w:pStyle w:val="ARProgramTableText"/>
              <w:spacing w:line="300" w:lineRule="exact"/>
              <w:rPr>
                <w:rtl/>
                <w:lang w:bidi="ar-SA"/>
              </w:rPr>
            </w:pPr>
          </w:p>
        </w:tc>
        <w:tc>
          <w:tcPr>
            <w:tcW w:w="3024" w:type="dxa"/>
            <w:shd w:val="clear" w:color="auto" w:fill="auto"/>
          </w:tcPr>
          <w:p w:rsidR="0031375C" w:rsidRDefault="0031375C" w:rsidP="0031375C">
            <w:pPr>
              <w:pStyle w:val="ARProgramTableText"/>
              <w:spacing w:line="300" w:lineRule="exact"/>
              <w:rPr>
                <w:rtl/>
                <w:lang w:bidi="ar-SA"/>
              </w:rPr>
            </w:pPr>
            <w:r>
              <w:rPr>
                <w:rFonts w:hint="cs"/>
                <w:rtl/>
                <w:lang w:bidi="ar-SA"/>
              </w:rPr>
              <w:t>عدد مراكز دعم التكنولوجيا والابتكار التي تقدم خدمات تحليلية في مجال البراءات</w:t>
            </w:r>
          </w:p>
        </w:tc>
        <w:tc>
          <w:tcPr>
            <w:tcW w:w="1891" w:type="dxa"/>
            <w:shd w:val="clear" w:color="auto" w:fill="auto"/>
          </w:tcPr>
          <w:p w:rsidR="0031375C" w:rsidRDefault="0031375C" w:rsidP="0031375C">
            <w:pPr>
              <w:pStyle w:val="ARProgramTableText"/>
              <w:spacing w:line="300" w:lineRule="exact"/>
              <w:rPr>
                <w:rtl/>
                <w:lang w:bidi="ar-SA"/>
              </w:rPr>
            </w:pPr>
            <w:r>
              <w:rPr>
                <w:rFonts w:hint="cs"/>
                <w:rtl/>
                <w:lang w:bidi="ar-SA"/>
              </w:rPr>
              <w:t>غير متاحة (جديدة)</w:t>
            </w:r>
          </w:p>
        </w:tc>
        <w:tc>
          <w:tcPr>
            <w:tcW w:w="1818" w:type="dxa"/>
            <w:shd w:val="clear" w:color="auto" w:fill="auto"/>
          </w:tcPr>
          <w:p w:rsidR="0031375C" w:rsidRDefault="0031375C" w:rsidP="0031375C">
            <w:pPr>
              <w:pStyle w:val="ARProgramTableText"/>
              <w:spacing w:line="300" w:lineRule="exact"/>
              <w:rPr>
                <w:rtl/>
                <w:lang w:bidi="ar-SA"/>
              </w:rPr>
            </w:pPr>
            <w:r>
              <w:rPr>
                <w:rFonts w:hint="cs"/>
                <w:rtl/>
                <w:lang w:bidi="ar-SA"/>
              </w:rPr>
              <w:t>5</w:t>
            </w:r>
          </w:p>
        </w:tc>
      </w:tr>
    </w:tbl>
    <w:p w:rsidR="0031375C" w:rsidRDefault="0031375C" w:rsidP="0031375C">
      <w:pPr>
        <w:pStyle w:val="ARNormal"/>
        <w:tabs>
          <w:tab w:val="left" w:pos="714"/>
          <w:tab w:val="left" w:pos="1434"/>
        </w:tabs>
        <w:jc w:val="left"/>
        <w:rPr>
          <w:rtl/>
        </w:rPr>
      </w:pPr>
    </w:p>
    <w:p w:rsidR="0031375C" w:rsidRPr="004B7113" w:rsidRDefault="0031375C" w:rsidP="0031375C">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B7113">
        <w:rPr>
          <w:rFonts w:ascii="Arabic Typesetting" w:hAnsi="Arabic Typesetting" w:cs="Arabic Typesetting" w:hint="cs"/>
          <w:noProof/>
          <w:sz w:val="38"/>
          <w:szCs w:val="38"/>
          <w:rtl/>
        </w:rPr>
        <w:t>الموارد المخصصة للبرنامج 14</w:t>
      </w:r>
    </w:p>
    <w:p w:rsidR="0031375C" w:rsidRDefault="0031375C" w:rsidP="0031375C">
      <w:pPr>
        <w:pStyle w:val="ARNumbered113"/>
        <w:numPr>
          <w:ilvl w:val="0"/>
          <w:numId w:val="5"/>
        </w:numPr>
        <w:spacing w:after="120" w:line="340" w:lineRule="exact"/>
        <w:ind w:left="0" w:firstLine="0"/>
        <w:rPr>
          <w:rFonts w:ascii="Arabic Typesetting" w:hAnsi="Arabic Typesetting" w:cs="Arabic Typesetting"/>
          <w:sz w:val="34"/>
          <w:szCs w:val="34"/>
        </w:rPr>
      </w:pPr>
      <w:r>
        <w:rPr>
          <w:rFonts w:ascii="Arabic Typesetting" w:hAnsi="Arabic Typesetting" w:cs="Arabic Typesetting" w:hint="cs"/>
          <w:sz w:val="34"/>
          <w:szCs w:val="34"/>
          <w:rtl/>
        </w:rPr>
        <w:t>يظل إجمالي الموارد المخصصة للبرنامج 14 في الثنائية 2016/17 في المستوى ذاته تقريبا مقارنة بميزانية 2014/15 بعد التحويلات. وذلك يُعد النتيجة الصافية لانخفاض في موارد الموظفين بسبب نقل وظيفة من البرنامج وزيادة إجمالية قدرها 000</w:t>
      </w:r>
      <w:r>
        <w:rPr>
          <w:rFonts w:ascii="Arabic Typesetting" w:hAnsi="Arabic Typesetting" w:cs="Arabic Typesetting" w:hint="eastAsia"/>
          <w:sz w:val="34"/>
          <w:szCs w:val="34"/>
        </w:rPr>
        <w:t> </w:t>
      </w:r>
      <w:r>
        <w:rPr>
          <w:rFonts w:ascii="Arabic Typesetting" w:hAnsi="Arabic Typesetting" w:cs="Arabic Typesetting" w:hint="cs"/>
          <w:sz w:val="34"/>
          <w:szCs w:val="34"/>
          <w:rtl/>
        </w:rPr>
        <w:t>450 فرنك سويسري لأغراض تنفيذ مشروع جدول أعمال التنمية المُعنون "استعمال المعلومات التي آلت إلى الملك العام لأغراض البحث والتطوير في البلدان النامية".</w:t>
      </w:r>
    </w:p>
    <w:p w:rsidR="0031375C" w:rsidRPr="002A64C9" w:rsidRDefault="0031375C" w:rsidP="0031375C">
      <w:pPr>
        <w:pStyle w:val="ARNormal"/>
        <w:keepNext/>
        <w:spacing w:after="0"/>
        <w:jc w:val="center"/>
        <w:rPr>
          <w:b/>
          <w:bCs/>
          <w:rtl/>
        </w:rPr>
      </w:pPr>
      <w:r w:rsidRPr="002A64C9">
        <w:rPr>
          <w:b/>
          <w:bCs/>
          <w:rtl/>
        </w:rPr>
        <w:lastRenderedPageBreak/>
        <w:t xml:space="preserve">البرنامج </w:t>
      </w:r>
      <w:r>
        <w:rPr>
          <w:rFonts w:hint="cs"/>
          <w:b/>
          <w:bCs/>
          <w:rtl/>
        </w:rPr>
        <w:t>14</w:t>
      </w:r>
      <w:r w:rsidRPr="002A64C9">
        <w:rPr>
          <w:b/>
          <w:bCs/>
          <w:rtl/>
        </w:rPr>
        <w:t>: الموارد بحسب كل نتيجة</w:t>
      </w:r>
    </w:p>
    <w:p w:rsidR="0031375C" w:rsidRDefault="0031375C" w:rsidP="00F83D90">
      <w:pPr>
        <w:pStyle w:val="ARNormal"/>
        <w:keepNext/>
        <w:spacing w:after="0"/>
        <w:ind w:left="720"/>
        <w:jc w:val="center"/>
        <w:rPr>
          <w:i/>
          <w:iCs/>
          <w:rtl/>
        </w:rPr>
      </w:pPr>
      <w:r w:rsidRPr="002A64C9">
        <w:rPr>
          <w:i/>
          <w:iCs/>
          <w:rtl/>
        </w:rPr>
        <w:t>(بآلاف الفرنكات السويسرية)</w:t>
      </w:r>
    </w:p>
    <w:p w:rsidR="0031375C" w:rsidRPr="005074B1" w:rsidRDefault="00F83D90" w:rsidP="00F83D90">
      <w:pPr>
        <w:pStyle w:val="ARNumbered113"/>
        <w:spacing w:after="120"/>
        <w:ind w:left="0" w:firstLine="0"/>
        <w:jc w:val="center"/>
        <w:rPr>
          <w:rFonts w:ascii="Arabic Typesetting" w:hAnsi="Arabic Typesetting" w:cs="Arabic Typesetting"/>
          <w:sz w:val="34"/>
          <w:szCs w:val="34"/>
          <w:rtl/>
        </w:rPr>
      </w:pPr>
      <w:r w:rsidRPr="00F83D90">
        <w:rPr>
          <w:noProof/>
          <w:szCs w:val="20"/>
          <w:rtl/>
          <w:lang w:bidi="ar-SA"/>
        </w:rPr>
        <w:drawing>
          <wp:inline distT="0" distB="0" distL="0" distR="0" wp14:anchorId="6C08BDED" wp14:editId="266B2F66">
            <wp:extent cx="5353050" cy="1149648"/>
            <wp:effectExtent l="0" t="0" r="0"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353050" cy="1149648"/>
                    </a:xfrm>
                    <a:prstGeom prst="rect">
                      <a:avLst/>
                    </a:prstGeom>
                    <a:noFill/>
                    <a:ln>
                      <a:noFill/>
                    </a:ln>
                  </pic:spPr>
                </pic:pic>
              </a:graphicData>
            </a:graphic>
          </wp:inline>
        </w:drawing>
      </w:r>
    </w:p>
    <w:p w:rsidR="0031375C" w:rsidRPr="008954A8" w:rsidRDefault="0031375C" w:rsidP="0031375C">
      <w:pPr>
        <w:pStyle w:val="ARNormal"/>
        <w:keepNext/>
        <w:spacing w:after="0"/>
        <w:jc w:val="center"/>
        <w:rPr>
          <w:b/>
          <w:bCs/>
          <w:rtl/>
        </w:rPr>
      </w:pPr>
      <w:r w:rsidRPr="008954A8">
        <w:rPr>
          <w:rFonts w:hint="cs"/>
          <w:b/>
          <w:bCs/>
          <w:rtl/>
        </w:rPr>
        <w:t xml:space="preserve">البرنامج </w:t>
      </w:r>
      <w:r>
        <w:rPr>
          <w:rFonts w:hint="cs"/>
          <w:b/>
          <w:bCs/>
          <w:rtl/>
        </w:rPr>
        <w:t>14</w:t>
      </w:r>
      <w:r w:rsidRPr="008954A8">
        <w:rPr>
          <w:rFonts w:hint="cs"/>
          <w:b/>
          <w:bCs/>
          <w:rtl/>
        </w:rPr>
        <w:t>: الموارد بحسب غرض الإنفاق</w:t>
      </w:r>
    </w:p>
    <w:p w:rsidR="0031375C" w:rsidRPr="008954A8" w:rsidRDefault="0031375C" w:rsidP="00F83D90">
      <w:pPr>
        <w:pStyle w:val="ARNormal"/>
        <w:keepNext/>
        <w:spacing w:after="0"/>
        <w:ind w:left="720"/>
        <w:jc w:val="center"/>
        <w:rPr>
          <w:i/>
          <w:iCs/>
        </w:rPr>
      </w:pPr>
      <w:r w:rsidRPr="008954A8">
        <w:rPr>
          <w:rFonts w:hint="cs"/>
          <w:i/>
          <w:iCs/>
          <w:rtl/>
        </w:rPr>
        <w:t>(بآلاف الفرنكات السويسرية)</w:t>
      </w:r>
    </w:p>
    <w:p w:rsidR="00F83D90" w:rsidRDefault="00F83D90" w:rsidP="00F83D90">
      <w:pPr>
        <w:pStyle w:val="ARNumbered113"/>
        <w:spacing w:after="120"/>
        <w:ind w:left="0" w:firstLine="0"/>
        <w:jc w:val="center"/>
        <w:rPr>
          <w:rFonts w:ascii="Arabic Typesetting" w:hAnsi="Arabic Typesetting" w:cs="Arabic Typesetting"/>
          <w:sz w:val="34"/>
          <w:szCs w:val="34"/>
          <w:rtl/>
        </w:rPr>
      </w:pPr>
      <w:r w:rsidRPr="00F83D90">
        <w:rPr>
          <w:noProof/>
          <w:szCs w:val="20"/>
          <w:rtl/>
          <w:lang w:bidi="ar-SA"/>
        </w:rPr>
        <w:drawing>
          <wp:inline distT="0" distB="0" distL="0" distR="0" wp14:anchorId="79063118" wp14:editId="7D966C23">
            <wp:extent cx="5247628" cy="6543675"/>
            <wp:effectExtent l="0" t="0" r="0" b="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50903" cy="6547759"/>
                    </a:xfrm>
                    <a:prstGeom prst="rect">
                      <a:avLst/>
                    </a:prstGeom>
                    <a:noFill/>
                    <a:ln>
                      <a:noFill/>
                    </a:ln>
                  </pic:spPr>
                </pic:pic>
              </a:graphicData>
            </a:graphic>
          </wp:inline>
        </w:drawing>
      </w:r>
    </w:p>
    <w:p w:rsidR="00F83D90" w:rsidRPr="002302BD" w:rsidRDefault="00F83D90" w:rsidP="007843AB">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75" w:name="_Toc364355392"/>
      <w:bookmarkStart w:id="76" w:name="_Toc420595518"/>
      <w:r w:rsidRPr="002302BD">
        <w:rPr>
          <w:rFonts w:ascii="Arabic Typesetting" w:hAnsi="Arabic Typesetting" w:cs="Arabic Typesetting"/>
          <w:bCs/>
          <w:iCs w:val="0"/>
          <w:noProof/>
          <w:sz w:val="42"/>
          <w:szCs w:val="42"/>
          <w:rtl/>
        </w:rPr>
        <w:lastRenderedPageBreak/>
        <w:t>البرنامج 15</w:t>
      </w:r>
      <w:r w:rsidRPr="002302BD">
        <w:rPr>
          <w:rFonts w:ascii="Arabic Typesetting" w:hAnsi="Arabic Typesetting" w:cs="Arabic Typesetting"/>
          <w:bCs/>
          <w:iCs w:val="0"/>
          <w:noProof/>
          <w:sz w:val="42"/>
          <w:szCs w:val="42"/>
          <w:rtl/>
        </w:rPr>
        <w:tab/>
        <w:t>الحلول التجارية لمكاتب الملكية الفكرية</w:t>
      </w:r>
      <w:bookmarkEnd w:id="75"/>
      <w:bookmarkEnd w:id="76"/>
    </w:p>
    <w:p w:rsidR="00F83D90" w:rsidRPr="002302BD" w:rsidRDefault="00F83D9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2302BD">
        <w:rPr>
          <w:rFonts w:ascii="Arabic Typesetting" w:hAnsi="Arabic Typesetting" w:cs="Arabic Typesetting"/>
          <w:noProof/>
          <w:sz w:val="38"/>
          <w:szCs w:val="38"/>
          <w:rtl/>
        </w:rPr>
        <w:t>سياق التخطيط</w:t>
      </w:r>
    </w:p>
    <w:p w:rsidR="00F83D90" w:rsidRPr="004D5BD2" w:rsidRDefault="00F83D90" w:rsidP="00861CFF">
      <w:pPr>
        <w:pStyle w:val="ARNormal"/>
        <w:numPr>
          <w:ilvl w:val="0"/>
          <w:numId w:val="28"/>
        </w:numPr>
        <w:ind w:left="0" w:firstLine="0"/>
        <w:rPr>
          <w:color w:val="000000"/>
          <w:sz w:val="38"/>
          <w:szCs w:val="38"/>
        </w:rPr>
      </w:pPr>
      <w:r w:rsidRPr="002302BD">
        <w:rPr>
          <w:rtl/>
        </w:rPr>
        <w:t>يشكل هذا البرنامج مع الهيكل التقني لنظام الملكية الفكرية أساساً للبنية التحتية العالمية ومكملاً للبنية القانونية والتشغيلية. ويوفر البرنامج حلولاً برمجية مخصصة حسب الطلب وما يرتبط بها من تدريب وخدمات لإدارة المشروعات بغية دعم المعالجة الفعالة لطلبات الملكية الفكرية في الدول الأعضاء، والتعاون الفعال بين مكاتب الملكية الفكرية، ودعم منظمات الإدارة الجماعية لحق المؤلف. وتستهدف أنشطة البرنامج بشكل خاص مكاتب الملكية الفكرية في البلدان النامية والبلدان الأقل نموًا.</w:t>
      </w:r>
    </w:p>
    <w:p w:rsidR="00F83D90" w:rsidRDefault="00F83D90" w:rsidP="007843AB">
      <w:pPr>
        <w:pStyle w:val="ARNormal"/>
        <w:jc w:val="left"/>
        <w:rPr>
          <w:color w:val="000000"/>
          <w:sz w:val="38"/>
          <w:szCs w:val="38"/>
          <w:rtl/>
        </w:rPr>
      </w:pPr>
    </w:p>
    <w:p w:rsidR="00F83D90" w:rsidRDefault="00F83D90" w:rsidP="007843AB">
      <w:pPr>
        <w:pStyle w:val="ARNormal"/>
        <w:spacing w:line="240" w:lineRule="auto"/>
        <w:jc w:val="left"/>
        <w:rPr>
          <w:color w:val="000000"/>
          <w:sz w:val="38"/>
          <w:szCs w:val="38"/>
          <w:rtl/>
        </w:rPr>
      </w:pPr>
      <w:r>
        <w:rPr>
          <w:rFonts w:ascii="Arial" w:hAnsi="Arial" w:cs="Arial"/>
          <w:noProof/>
          <w:szCs w:val="20"/>
          <w:lang w:val="en-US"/>
        </w:rPr>
        <w:drawing>
          <wp:inline distT="0" distB="0" distL="0" distR="0" wp14:anchorId="0EBF75AD" wp14:editId="6212242B">
            <wp:extent cx="5605669" cy="3034748"/>
            <wp:effectExtent l="0" t="0" r="0" b="0"/>
            <wp:docPr id="9" name="Picture 1" descr="cid:image003.png@01D08CC8.444AB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8CC8.444AB940"/>
                    <pic:cNvPicPr>
                      <a:picLocks noChangeAspect="1" noChangeArrowheads="1"/>
                    </pic:cNvPicPr>
                  </pic:nvPicPr>
                  <pic:blipFill>
                    <a:blip r:embed="rId159" r:link="rId160">
                      <a:extLst>
                        <a:ext uri="{28A0092B-C50C-407E-A947-70E740481C1C}">
                          <a14:useLocalDpi xmlns:a14="http://schemas.microsoft.com/office/drawing/2010/main" val="0"/>
                        </a:ext>
                      </a:extLst>
                    </a:blip>
                    <a:srcRect/>
                    <a:stretch>
                      <a:fillRect/>
                    </a:stretch>
                  </pic:blipFill>
                  <pic:spPr bwMode="auto">
                    <a:xfrm>
                      <a:off x="0" y="0"/>
                      <a:ext cx="5595837" cy="3029425"/>
                    </a:xfrm>
                    <a:prstGeom prst="rect">
                      <a:avLst/>
                    </a:prstGeom>
                    <a:noFill/>
                    <a:ln>
                      <a:noFill/>
                    </a:ln>
                  </pic:spPr>
                </pic:pic>
              </a:graphicData>
            </a:graphic>
          </wp:inline>
        </w:drawing>
      </w:r>
    </w:p>
    <w:p w:rsidR="00F83D90" w:rsidRPr="002302BD" w:rsidRDefault="00F83D90" w:rsidP="007843AB">
      <w:pPr>
        <w:pStyle w:val="ARNormal"/>
        <w:jc w:val="left"/>
        <w:rPr>
          <w:color w:val="000000"/>
          <w:sz w:val="38"/>
          <w:szCs w:val="38"/>
          <w:rtl/>
        </w:rPr>
      </w:pPr>
    </w:p>
    <w:p w:rsidR="00F83D90" w:rsidRDefault="00F83D90" w:rsidP="00861CFF">
      <w:pPr>
        <w:pStyle w:val="ARNormal"/>
        <w:numPr>
          <w:ilvl w:val="0"/>
          <w:numId w:val="28"/>
        </w:numPr>
        <w:ind w:left="0" w:firstLine="0"/>
        <w:rPr>
          <w:color w:val="000000"/>
        </w:rPr>
      </w:pPr>
      <w:r w:rsidRPr="002302BD">
        <w:rPr>
          <w:color w:val="000000"/>
          <w:rtl/>
        </w:rPr>
        <w:t>وتُقدم جميع حلول الويبو التجارية مجانًا، رغم أن التكاليف المتبقية للمشروع (مثل تكاليف معدات تكنولوجيا المعلومات والموظفين) يتحملها مكتب الملكية الفكرية. ومن بين مكاتب الملكية الفكرية التي تستعين بمنصات الويبو البرمجية 17 بلدًا أقل نموًا. ومن بين الأنظمة المقدمة نظام إدارة مكتب الملكية الفكرية (</w:t>
      </w:r>
      <w:r w:rsidRPr="002302BD">
        <w:rPr>
          <w:color w:val="000000"/>
        </w:rPr>
        <w:t>IPAS</w:t>
      </w:r>
      <w:r w:rsidRPr="002302BD">
        <w:rPr>
          <w:color w:val="000000"/>
          <w:rtl/>
        </w:rPr>
        <w:t xml:space="preserve">) </w:t>
      </w:r>
      <w:proofErr w:type="spellStart"/>
      <w:r w:rsidRPr="002302BD">
        <w:rPr>
          <w:color w:val="000000"/>
          <w:rtl/>
        </w:rPr>
        <w:t>وويبو</w:t>
      </w:r>
      <w:proofErr w:type="spellEnd"/>
      <w:r w:rsidRPr="002302BD">
        <w:rPr>
          <w:color w:val="000000"/>
          <w:rtl/>
        </w:rPr>
        <w:t xml:space="preserve"> سكان (</w:t>
      </w:r>
      <w:r w:rsidRPr="002302BD">
        <w:rPr>
          <w:color w:val="000000"/>
        </w:rPr>
        <w:t>WIPO Scan</w:t>
      </w:r>
      <w:r w:rsidRPr="002302BD">
        <w:rPr>
          <w:color w:val="000000"/>
          <w:rtl/>
        </w:rPr>
        <w:t>) و</w:t>
      </w:r>
      <w:r w:rsidRPr="002302BD">
        <w:rPr>
          <w:color w:val="000000"/>
        </w:rPr>
        <w:t>WIPO EDMS</w:t>
      </w:r>
      <w:r w:rsidRPr="002302BD">
        <w:rPr>
          <w:color w:val="000000"/>
          <w:rtl/>
        </w:rPr>
        <w:t xml:space="preserve"> (نظام</w:t>
      </w:r>
      <w:r>
        <w:rPr>
          <w:rFonts w:hint="cs"/>
          <w:color w:val="000000"/>
          <w:rtl/>
        </w:rPr>
        <w:t> </w:t>
      </w:r>
      <w:r w:rsidRPr="002302BD">
        <w:rPr>
          <w:color w:val="000000"/>
          <w:rtl/>
        </w:rPr>
        <w:t xml:space="preserve">إدارة الوثائق الإلكترونية).  ويُنشئ البرنامج أيضًا منصات دولية ويوفرها من أجل معالجة طلبات الملكية الفكرية ومتابعتها، مثل </w:t>
      </w:r>
      <w:r w:rsidRPr="002302BD">
        <w:rPr>
          <w:color w:val="000000"/>
        </w:rPr>
        <w:t>WIPO DAS</w:t>
      </w:r>
      <w:r w:rsidRPr="002302BD">
        <w:rPr>
          <w:color w:val="000000"/>
          <w:rtl/>
        </w:rPr>
        <w:t xml:space="preserve"> (خدمات النفاذ الرقمي إلى وثائق الأولوية) و</w:t>
      </w:r>
      <w:r w:rsidRPr="002302BD">
        <w:rPr>
          <w:color w:val="000000"/>
        </w:rPr>
        <w:t>WIPO CASE</w:t>
      </w:r>
      <w:r w:rsidRPr="002302BD">
        <w:rPr>
          <w:color w:val="000000"/>
          <w:rtl/>
        </w:rPr>
        <w:t xml:space="preserve"> (نظام النفاذ المركزي إلى البحث والفحص) بغية تيسير التعاون الدولي من قبل مكاتب الملكية الفكرية ولتوفير خدمات ميسورة التكلفة وفعالة لفائدة المستخدمين العالمين لنظام الملكية الفكرية.</w:t>
      </w:r>
    </w:p>
    <w:p w:rsidR="00F83D90" w:rsidRPr="002302BD" w:rsidRDefault="00F83D90" w:rsidP="007843AB">
      <w:pPr>
        <w:pStyle w:val="ARNormal"/>
        <w:rPr>
          <w:color w:val="000000"/>
          <w:rtl/>
        </w:rPr>
      </w:pPr>
    </w:p>
    <w:p w:rsidR="00F83D90" w:rsidRPr="004D5BD2" w:rsidRDefault="00F83D9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D5BD2">
        <w:rPr>
          <w:rFonts w:ascii="Arabic Typesetting" w:hAnsi="Arabic Typesetting" w:cs="Arabic Typesetting"/>
          <w:noProof/>
          <w:sz w:val="38"/>
          <w:szCs w:val="38"/>
          <w:rtl/>
        </w:rPr>
        <w:t>استراتيجيات التنفيذ</w:t>
      </w:r>
    </w:p>
    <w:p w:rsidR="00F83D90" w:rsidRPr="002302BD" w:rsidRDefault="00F83D90" w:rsidP="00861CFF">
      <w:pPr>
        <w:pStyle w:val="ARNormal"/>
        <w:numPr>
          <w:ilvl w:val="0"/>
          <w:numId w:val="28"/>
        </w:numPr>
        <w:ind w:left="0" w:firstLine="0"/>
        <w:rPr>
          <w:color w:val="000000"/>
        </w:rPr>
      </w:pPr>
      <w:r w:rsidRPr="002302BD">
        <w:rPr>
          <w:color w:val="000000"/>
          <w:rtl/>
        </w:rPr>
        <w:t xml:space="preserve">من المتوقع ـ في ضوء اتجاهات مكاتب الملكية الفكرية ومطالبها ـ أن ينمو عدد مكاتب الملكية الفكرية المستفيدة من حلول الويبو ليصل إلى حوالي 80 إجمالاً. وسوف تستجيب استراتيجيات التنفيذ إلى المطالب الجديدة بينما تشهد تحولاً تدريجيًا نحو تحسين منصات الويبو البرمجية وخدماتها وتعزيز المنصات والخدمات ودمجها، وكذا ما ينشأ من استدامة </w:t>
      </w:r>
      <w:r>
        <w:rPr>
          <w:rFonts w:hint="cs"/>
          <w:color w:val="000000"/>
          <w:rtl/>
        </w:rPr>
        <w:t>وتبنٍّ</w:t>
      </w:r>
      <w:r w:rsidRPr="002302BD">
        <w:rPr>
          <w:color w:val="000000"/>
          <w:rtl/>
        </w:rPr>
        <w:t xml:space="preserve"> لأنظمة الإدارة في مكاتب الملكية الفكرية.</w:t>
      </w:r>
    </w:p>
    <w:p w:rsidR="00F83D90" w:rsidRPr="002302BD" w:rsidRDefault="00F83D90" w:rsidP="00861CFF">
      <w:pPr>
        <w:pStyle w:val="ARNormal"/>
        <w:numPr>
          <w:ilvl w:val="0"/>
          <w:numId w:val="28"/>
        </w:numPr>
        <w:ind w:left="0" w:firstLine="0"/>
        <w:rPr>
          <w:color w:val="000000"/>
        </w:rPr>
      </w:pPr>
      <w:r w:rsidRPr="002302BD">
        <w:rPr>
          <w:color w:val="000000"/>
          <w:rtl/>
        </w:rPr>
        <w:lastRenderedPageBreak/>
        <w:t>وسيستمر استخدام حلول الويبو التجارية في كونه خيارًا فعالاً جدًا من حيث التكلفة لمكاتب الملكية الفكرية، حيث يؤدي إلى وفورات في التكاليف ومخاطرة أقل من البدائل الأخرى المتاحة. وسيستمر تحسين حلول الويبو التجارية وتعزيز خدماتها. بينما يكمن التحدي خلال الثنائية في الاستمرار في تقديم خدمات ذات جودة عالية بطريقة فعالة من حيث التكلفة مع مواجهة الزيادة في الطلب.</w:t>
      </w:r>
    </w:p>
    <w:p w:rsidR="00F83D90" w:rsidRPr="00930B55" w:rsidRDefault="00F83D90" w:rsidP="00861CFF">
      <w:pPr>
        <w:pStyle w:val="ARNormal"/>
        <w:numPr>
          <w:ilvl w:val="0"/>
          <w:numId w:val="28"/>
        </w:numPr>
        <w:ind w:left="0" w:firstLine="0"/>
        <w:rPr>
          <w:color w:val="000000"/>
        </w:rPr>
      </w:pPr>
      <w:r w:rsidRPr="002302BD">
        <w:rPr>
          <w:color w:val="000000"/>
          <w:rtl/>
        </w:rPr>
        <w:t>فيما يلي الأولويات المحددة للثنائية:</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Pr>
          <w:rFonts w:ascii="Arabic Typesetting" w:hAnsi="Arabic Typesetting" w:cs="Arabic Typesetting" w:hint="cs"/>
          <w:color w:val="000000"/>
          <w:sz w:val="34"/>
          <w:szCs w:val="34"/>
          <w:rtl/>
        </w:rPr>
        <w:t>س</w:t>
      </w:r>
      <w:r w:rsidRPr="00184C0D">
        <w:rPr>
          <w:rFonts w:ascii="Arabic Typesetting" w:hAnsi="Arabic Typesetting" w:cs="Arabic Typesetting"/>
          <w:color w:val="000000"/>
          <w:sz w:val="34"/>
          <w:szCs w:val="34"/>
          <w:rtl/>
        </w:rPr>
        <w:t>يستمر تعزيز استدامة مستويات الخدمة واستمرارية الأعمال عن طريق تنفيذ خطة لاستمرارية العمل والطوارئ ووضع الأولويات بشأن نقل المعارف وأنشطة التدريب وخدمات الدعم التفاعلي؛</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sidRPr="00184C0D">
        <w:rPr>
          <w:rFonts w:ascii="Arabic Typesetting" w:hAnsi="Arabic Typesetting" w:cs="Arabic Typesetting"/>
          <w:color w:val="000000"/>
          <w:sz w:val="34"/>
          <w:szCs w:val="34"/>
          <w:rtl/>
        </w:rPr>
        <w:t>سيكتمل إنشاء وحدات برمجية جديدة لإيداع الطلبات إلكترونيًا (</w:t>
      </w:r>
      <w:r w:rsidRPr="00184C0D">
        <w:rPr>
          <w:rFonts w:ascii="Arabic Typesetting" w:hAnsi="Arabic Typesetting" w:cs="Arabic Typesetting"/>
          <w:color w:val="000000"/>
          <w:sz w:val="34"/>
          <w:szCs w:val="34"/>
        </w:rPr>
        <w:t>WIPO File</w:t>
      </w:r>
      <w:r w:rsidRPr="00184C0D">
        <w:rPr>
          <w:rFonts w:ascii="Arabic Typesetting" w:hAnsi="Arabic Typesetting" w:cs="Arabic Typesetting"/>
          <w:color w:val="000000"/>
          <w:sz w:val="34"/>
          <w:szCs w:val="34"/>
          <w:rtl/>
        </w:rPr>
        <w:t>) والنشر الإلكتروني وتبادل البيانات (</w:t>
      </w:r>
      <w:r w:rsidRPr="00184C0D">
        <w:rPr>
          <w:rFonts w:ascii="Arabic Typesetting" w:hAnsi="Arabic Typesetting" w:cs="Arabic Typesetting"/>
          <w:color w:val="000000"/>
          <w:sz w:val="34"/>
          <w:szCs w:val="34"/>
        </w:rPr>
        <w:t>WIPO Publish</w:t>
      </w:r>
      <w:r w:rsidRPr="00184C0D">
        <w:rPr>
          <w:rFonts w:ascii="Arabic Typesetting" w:hAnsi="Arabic Typesetting" w:cs="Arabic Typesetting"/>
          <w:color w:val="000000"/>
          <w:sz w:val="34"/>
          <w:szCs w:val="34"/>
          <w:rtl/>
        </w:rPr>
        <w:t>) وستتاح لمكاتب الملكية الفكرية المستعدة لاستخدامها؛</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sidRPr="00184C0D">
        <w:rPr>
          <w:rFonts w:ascii="Arabic Typesetting" w:hAnsi="Arabic Typesetting" w:cs="Arabic Typesetting"/>
          <w:color w:val="000000"/>
          <w:sz w:val="34"/>
          <w:szCs w:val="34"/>
          <w:rtl/>
        </w:rPr>
        <w:t>سيجري تعزيز نظام إدارة مكتب الملكية الفكرية لكي يشمل خصائص جديدة، بما في ذلك تحسين دعم الطلبات المودعة وفق نظام مدريد ومعاهدة التعاون بشأن البراءات، وتعزيز الدعم فيما يخص التصاميم الصناعية وغير ذلك من الخصائص التي يطلبها المستخدمون؛</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sidRPr="00184C0D">
        <w:rPr>
          <w:rFonts w:ascii="Arabic Typesetting" w:hAnsi="Arabic Typesetting" w:cs="Arabic Typesetting"/>
          <w:color w:val="000000"/>
          <w:sz w:val="34"/>
          <w:szCs w:val="34"/>
          <w:rtl/>
        </w:rPr>
        <w:t>سيُستغنى تدريجيًا عن نظام إدارة الملكية الفكرية العربية (</w:t>
      </w:r>
      <w:r w:rsidRPr="00184C0D">
        <w:rPr>
          <w:rFonts w:ascii="Arabic Typesetting" w:hAnsi="Arabic Typesetting" w:cs="Arabic Typesetting"/>
          <w:color w:val="000000"/>
          <w:sz w:val="34"/>
          <w:szCs w:val="34"/>
        </w:rPr>
        <w:t>AIPMS</w:t>
      </w:r>
      <w:r w:rsidRPr="00184C0D">
        <w:rPr>
          <w:rFonts w:ascii="Arabic Typesetting" w:hAnsi="Arabic Typesetting" w:cs="Arabic Typesetting"/>
          <w:color w:val="000000"/>
          <w:sz w:val="34"/>
          <w:szCs w:val="34"/>
          <w:rtl/>
        </w:rPr>
        <w:t>) ويحل محله نظام إدارة مكتب الملكية الفكرية والذي يدعم الآن اللغة العربية دعمًا كاملاً؛</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sidRPr="00184C0D">
        <w:rPr>
          <w:rFonts w:ascii="Arabic Typesetting" w:hAnsi="Arabic Typesetting" w:cs="Arabic Typesetting"/>
          <w:color w:val="000000"/>
          <w:sz w:val="34"/>
          <w:szCs w:val="34"/>
          <w:rtl/>
        </w:rPr>
        <w:t>وسيستمر صقل عمليات الدعم (مكتب المساعدة على الإنترنت):</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sidRPr="00184C0D">
        <w:rPr>
          <w:rFonts w:ascii="Arabic Typesetting" w:hAnsi="Arabic Typesetting" w:cs="Arabic Typesetting"/>
          <w:color w:val="000000"/>
          <w:sz w:val="34"/>
          <w:szCs w:val="34"/>
          <w:rtl/>
        </w:rPr>
        <w:t>ستتاح نسخة أولى من نظام "شبكة الويبو لحق المؤلف" لمجموعة أولى من منظمات الإدارة الجماعية في البلدان النامية أو البلدان الأقل نموًا؛</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sidRPr="00184C0D">
        <w:rPr>
          <w:rFonts w:ascii="Arabic Typesetting" w:hAnsi="Arabic Typesetting" w:cs="Arabic Typesetting"/>
          <w:color w:val="000000"/>
          <w:sz w:val="34"/>
          <w:szCs w:val="34"/>
          <w:rtl/>
        </w:rPr>
        <w:t xml:space="preserve">سوف يُمدد نظام </w:t>
      </w:r>
      <w:r w:rsidRPr="00184C0D">
        <w:rPr>
          <w:rFonts w:ascii="Arabic Typesetting" w:hAnsi="Arabic Typesetting" w:cs="Arabic Typesetting"/>
          <w:color w:val="000000"/>
          <w:sz w:val="34"/>
          <w:szCs w:val="34"/>
        </w:rPr>
        <w:t>WIPO CASE</w:t>
      </w:r>
      <w:r w:rsidRPr="00184C0D">
        <w:rPr>
          <w:rFonts w:ascii="Arabic Typesetting" w:hAnsi="Arabic Typesetting" w:cs="Arabic Typesetting"/>
          <w:color w:val="000000"/>
          <w:sz w:val="34"/>
          <w:szCs w:val="34"/>
          <w:rtl/>
        </w:rPr>
        <w:t xml:space="preserve"> (نظام النفاذ المركزي إلى البحث والفحص) ليشمل مكاتب مشاركة جديدة وستُنشئ نسخة عامة لإتاحة النفاذ العالمي إلى محتوى الملف من المكاتب المشاركة؛</w:t>
      </w:r>
    </w:p>
    <w:p w:rsidR="00F83D90" w:rsidRPr="00184C0D" w:rsidRDefault="00F83D90" w:rsidP="00861CFF">
      <w:pPr>
        <w:pStyle w:val="ListParagraph"/>
        <w:numPr>
          <w:ilvl w:val="0"/>
          <w:numId w:val="27"/>
        </w:numPr>
        <w:spacing w:after="120" w:line="340" w:lineRule="exact"/>
        <w:ind w:left="1134" w:hanging="567"/>
        <w:contextualSpacing w:val="0"/>
        <w:jc w:val="both"/>
        <w:rPr>
          <w:rFonts w:ascii="Arabic Typesetting" w:hAnsi="Arabic Typesetting" w:cs="Arabic Typesetting"/>
          <w:color w:val="000000"/>
          <w:sz w:val="34"/>
          <w:szCs w:val="34"/>
        </w:rPr>
      </w:pPr>
      <w:r w:rsidRPr="00184C0D">
        <w:rPr>
          <w:rFonts w:ascii="Arabic Typesetting" w:hAnsi="Arabic Typesetting" w:cs="Arabic Typesetting"/>
          <w:color w:val="000000"/>
          <w:sz w:val="34"/>
          <w:szCs w:val="34"/>
          <w:rtl/>
        </w:rPr>
        <w:t xml:space="preserve">المساعدة التقنية المقدمة لمكاتب الملكية الفكرية في البلدان الأقل نموًا من أجل </w:t>
      </w:r>
      <w:proofErr w:type="spellStart"/>
      <w:r w:rsidRPr="00184C0D">
        <w:rPr>
          <w:rFonts w:ascii="Arabic Typesetting" w:hAnsi="Arabic Typesetting" w:cs="Arabic Typesetting"/>
          <w:color w:val="000000"/>
          <w:sz w:val="34"/>
          <w:szCs w:val="34"/>
          <w:rtl/>
        </w:rPr>
        <w:t>رقمنة</w:t>
      </w:r>
      <w:proofErr w:type="spellEnd"/>
      <w:r w:rsidRPr="00184C0D">
        <w:rPr>
          <w:rFonts w:ascii="Arabic Typesetting" w:hAnsi="Arabic Typesetting" w:cs="Arabic Typesetting"/>
          <w:color w:val="000000"/>
          <w:sz w:val="34"/>
          <w:szCs w:val="34"/>
          <w:rtl/>
        </w:rPr>
        <w:t xml:space="preserve"> تسجيلات الملكية الفكر</w:t>
      </w:r>
      <w:r>
        <w:rPr>
          <w:rFonts w:ascii="Arabic Typesetting" w:hAnsi="Arabic Typesetting" w:cs="Arabic Typesetting"/>
          <w:color w:val="000000"/>
          <w:sz w:val="34"/>
          <w:szCs w:val="34"/>
          <w:rtl/>
        </w:rPr>
        <w:t>ية المتراكمة وتجميع بياناتها.</w:t>
      </w:r>
    </w:p>
    <w:p w:rsidR="00F83D90" w:rsidRPr="002302BD" w:rsidRDefault="00F83D90" w:rsidP="00861CFF">
      <w:pPr>
        <w:pStyle w:val="ARNormal"/>
        <w:numPr>
          <w:ilvl w:val="0"/>
          <w:numId w:val="28"/>
        </w:numPr>
        <w:ind w:left="0" w:firstLine="0"/>
        <w:rPr>
          <w:color w:val="000000"/>
          <w:rtl/>
        </w:rPr>
      </w:pPr>
      <w:r w:rsidRPr="002302BD">
        <w:rPr>
          <w:color w:val="000000"/>
          <w:rtl/>
        </w:rPr>
        <w:t xml:space="preserve">وستصمم الأنشطة </w:t>
      </w:r>
      <w:proofErr w:type="spellStart"/>
      <w:r w:rsidRPr="002302BD">
        <w:rPr>
          <w:color w:val="000000"/>
          <w:rtl/>
        </w:rPr>
        <w:t>المُضطلع</w:t>
      </w:r>
      <w:proofErr w:type="spellEnd"/>
      <w:r w:rsidRPr="002302BD">
        <w:rPr>
          <w:color w:val="000000"/>
          <w:rtl/>
        </w:rPr>
        <w:t xml:space="preserve"> بها في إطار البرنامج 15 وتُخطط وتُنفذ وفقًا لتوجيهات توصيات جدول أعمال التنمية المرتبطة بالموضوع </w:t>
      </w:r>
      <w:r>
        <w:rPr>
          <w:rFonts w:hint="cs"/>
          <w:color w:val="000000"/>
          <w:rtl/>
        </w:rPr>
        <w:t>و</w:t>
      </w:r>
      <w:r w:rsidRPr="002302BD">
        <w:rPr>
          <w:color w:val="000000"/>
          <w:rtl/>
        </w:rPr>
        <w:t>خاصة التوصيات 1 و2 و10.</w:t>
      </w:r>
    </w:p>
    <w:p w:rsidR="00F83D90" w:rsidRPr="00E85A7B" w:rsidRDefault="00F83D90" w:rsidP="00861CFF">
      <w:pPr>
        <w:pStyle w:val="ARNormal"/>
        <w:numPr>
          <w:ilvl w:val="0"/>
          <w:numId w:val="28"/>
        </w:numPr>
        <w:ind w:left="0" w:firstLine="0"/>
        <w:rPr>
          <w:color w:val="000000"/>
          <w:rtl/>
        </w:rPr>
      </w:pPr>
      <w:r>
        <w:rPr>
          <w:rFonts w:hint="cs"/>
          <w:color w:val="000000"/>
          <w:rtl/>
        </w:rPr>
        <w:t>ويتعاون البرنامج 15 في الأساس مع البرامج الأخرى على النحو المبيّن أدناه:</w:t>
      </w:r>
    </w:p>
    <w:p w:rsidR="00F83D90" w:rsidRDefault="00F83D90" w:rsidP="007843AB">
      <w:pPr>
        <w:tabs>
          <w:tab w:val="left" w:pos="714"/>
        </w:tabs>
        <w:spacing w:after="120"/>
        <w:rPr>
          <w:rFonts w:ascii="Arabic Typesetting" w:hAnsi="Arabic Typesetting" w:cs="Arabic Typesetting"/>
          <w:color w:val="000000"/>
          <w:sz w:val="34"/>
          <w:szCs w:val="34"/>
          <w:rtl/>
        </w:rPr>
      </w:pPr>
      <w:r w:rsidRPr="0062616C">
        <w:rPr>
          <w:rFonts w:ascii="Arial" w:hAnsi="Arial" w:cs="Arial"/>
          <w:noProof/>
          <w:lang w:bidi="ar-SA"/>
        </w:rPr>
        <w:drawing>
          <wp:inline distT="0" distB="0" distL="0" distR="0" wp14:anchorId="6D0279E8" wp14:editId="130BB5E4">
            <wp:extent cx="5756910" cy="1791970"/>
            <wp:effectExtent l="0" t="0" r="0" b="17780"/>
            <wp:docPr id="977" name="Diagram 9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1" r:lo="rId162" r:qs="rId163" r:cs="rId164"/>
              </a:graphicData>
            </a:graphic>
          </wp:inline>
        </w:drawing>
      </w:r>
    </w:p>
    <w:p w:rsidR="00F83D90" w:rsidRPr="002302BD" w:rsidRDefault="00F83D90" w:rsidP="007843AB">
      <w:pPr>
        <w:tabs>
          <w:tab w:val="left" w:pos="714"/>
        </w:tabs>
        <w:spacing w:after="120" w:line="340" w:lineRule="exact"/>
        <w:rPr>
          <w:rFonts w:ascii="Arabic Typesetting" w:hAnsi="Arabic Typesetting" w:cs="Arabic Typesetting"/>
          <w:color w:val="000000"/>
          <w:sz w:val="34"/>
          <w:szCs w:val="34"/>
          <w:rtl/>
        </w:rPr>
      </w:pPr>
    </w:p>
    <w:p w:rsidR="00F83D90" w:rsidRPr="00BE6A0F" w:rsidRDefault="00F83D9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BE6A0F">
        <w:rPr>
          <w:rFonts w:ascii="Arabic Typesetting" w:hAnsi="Arabic Typesetting" w:cs="Arabic Typesetting"/>
          <w:noProof/>
          <w:sz w:val="38"/>
          <w:szCs w:val="38"/>
          <w:rtl/>
        </w:rPr>
        <w:lastRenderedPageBreak/>
        <w:t>المخاطر الرئيسية واستراتيجيات التخفيف منها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F83D90" w:rsidRPr="002302BD" w:rsidTr="007843AB">
        <w:trPr>
          <w:tblHeader/>
        </w:trPr>
        <w:tc>
          <w:tcPr>
            <w:tcW w:w="4784" w:type="dxa"/>
            <w:tcBorders>
              <w:bottom w:val="single" w:sz="4" w:space="0" w:color="auto"/>
              <w:right w:val="nil"/>
            </w:tcBorders>
            <w:shd w:val="clear" w:color="auto" w:fill="C6D9F1"/>
          </w:tcPr>
          <w:p w:rsidR="00F83D90" w:rsidRPr="002302BD" w:rsidRDefault="00F83D90" w:rsidP="007843AB">
            <w:pPr>
              <w:pStyle w:val="ARProgramTableHeading"/>
              <w:spacing w:line="300" w:lineRule="exact"/>
              <w:rPr>
                <w:rtl/>
                <w:lang w:bidi="ar-SA"/>
              </w:rPr>
            </w:pPr>
            <w:r w:rsidRPr="002302BD">
              <w:rPr>
                <w:rtl/>
                <w:lang w:bidi="ar-SA"/>
              </w:rPr>
              <w:t>المخاطر</w:t>
            </w:r>
          </w:p>
        </w:tc>
        <w:tc>
          <w:tcPr>
            <w:tcW w:w="4786" w:type="dxa"/>
            <w:tcBorders>
              <w:left w:val="nil"/>
              <w:bottom w:val="single" w:sz="4" w:space="0" w:color="auto"/>
            </w:tcBorders>
            <w:shd w:val="clear" w:color="auto" w:fill="C6D9F1"/>
          </w:tcPr>
          <w:p w:rsidR="00F83D90" w:rsidRPr="002302BD" w:rsidRDefault="00F83D90" w:rsidP="007843AB">
            <w:pPr>
              <w:pStyle w:val="ARProgramTableHeading"/>
              <w:spacing w:line="300" w:lineRule="exact"/>
              <w:rPr>
                <w:rtl/>
              </w:rPr>
            </w:pPr>
            <w:r w:rsidRPr="002302BD">
              <w:rPr>
                <w:rtl/>
              </w:rPr>
              <w:t>التخفيف منها</w:t>
            </w:r>
          </w:p>
        </w:tc>
      </w:tr>
      <w:tr w:rsidR="00F83D90" w:rsidRPr="002302BD" w:rsidTr="007843AB">
        <w:tc>
          <w:tcPr>
            <w:tcW w:w="4784" w:type="dxa"/>
            <w:tcBorders>
              <w:top w:val="single" w:sz="4" w:space="0" w:color="auto"/>
              <w:left w:val="single" w:sz="4" w:space="0" w:color="auto"/>
              <w:bottom w:val="nil"/>
              <w:right w:val="nil"/>
            </w:tcBorders>
            <w:shd w:val="clear" w:color="auto" w:fill="auto"/>
          </w:tcPr>
          <w:p w:rsidR="00F83D90" w:rsidRPr="002302BD" w:rsidRDefault="00F83D90" w:rsidP="007843AB">
            <w:pPr>
              <w:pStyle w:val="ARProgramTableText"/>
              <w:spacing w:line="300" w:lineRule="exact"/>
              <w:rPr>
                <w:rtl/>
                <w:lang w:val="fr-CH" w:bidi="ar-SA"/>
              </w:rPr>
            </w:pPr>
            <w:r w:rsidRPr="002302BD">
              <w:rPr>
                <w:rtl/>
                <w:lang w:val="fr-CH" w:bidi="ar-SA"/>
              </w:rPr>
              <w:t>عدم قدرة مكاتب الملكية الفكرية على استدامة أنظمة الويبو البرمجية المستخدمة في أعمالها الرئيسية ومواصلة الدعم الذاتي لها.</w:t>
            </w:r>
          </w:p>
        </w:tc>
        <w:tc>
          <w:tcPr>
            <w:tcW w:w="4786" w:type="dxa"/>
            <w:tcBorders>
              <w:top w:val="single" w:sz="4" w:space="0" w:color="auto"/>
              <w:left w:val="nil"/>
              <w:bottom w:val="nil"/>
              <w:right w:val="single" w:sz="4" w:space="0" w:color="auto"/>
            </w:tcBorders>
            <w:shd w:val="clear" w:color="auto" w:fill="auto"/>
          </w:tcPr>
          <w:p w:rsidR="00F83D90" w:rsidRPr="002302BD" w:rsidRDefault="00F83D90" w:rsidP="007843AB">
            <w:pPr>
              <w:pStyle w:val="ARProgramTableText"/>
              <w:spacing w:line="300" w:lineRule="exact"/>
              <w:rPr>
                <w:rtl/>
                <w:lang w:val="fr-CH" w:bidi="ar-SA"/>
              </w:rPr>
            </w:pPr>
            <w:r w:rsidRPr="002302BD">
              <w:rPr>
                <w:rtl/>
                <w:lang w:val="fr-CH" w:bidi="ar-SA"/>
              </w:rPr>
              <w:t>ضمان تدريب موظفي مكاتب الملكية الفكرية المحليين. وضع إجراءات رسمية لدعم البرمجيات وصيانتها</w:t>
            </w:r>
          </w:p>
        </w:tc>
      </w:tr>
      <w:tr w:rsidR="00F83D90" w:rsidRPr="002302BD" w:rsidTr="007843AB">
        <w:tc>
          <w:tcPr>
            <w:tcW w:w="4784" w:type="dxa"/>
            <w:tcBorders>
              <w:top w:val="nil"/>
              <w:left w:val="single" w:sz="4" w:space="0" w:color="auto"/>
              <w:bottom w:val="single" w:sz="4" w:space="0" w:color="auto"/>
              <w:right w:val="nil"/>
            </w:tcBorders>
            <w:shd w:val="clear" w:color="auto" w:fill="auto"/>
          </w:tcPr>
          <w:p w:rsidR="00F83D90" w:rsidRPr="002302BD" w:rsidRDefault="00F83D90" w:rsidP="007843AB">
            <w:pPr>
              <w:pStyle w:val="ARProgramTableText"/>
              <w:spacing w:line="300" w:lineRule="exact"/>
              <w:rPr>
                <w:rtl/>
                <w:lang w:val="fr-CH" w:bidi="ar-SA"/>
              </w:rPr>
            </w:pPr>
            <w:r w:rsidRPr="002302BD">
              <w:rPr>
                <w:rtl/>
                <w:lang w:val="fr-CH" w:bidi="ar-SA"/>
              </w:rPr>
              <w:t>عدم النفاذ إلى المعلومات التقنية والمسجلة الملكية المملوكة لأصحاب المصالح المعنيين، وهو ما قد يكون مطلوبا لتنفيذ مشروع شبكة الويبو لحق المؤلف</w:t>
            </w:r>
          </w:p>
        </w:tc>
        <w:tc>
          <w:tcPr>
            <w:tcW w:w="4786" w:type="dxa"/>
            <w:tcBorders>
              <w:top w:val="nil"/>
              <w:left w:val="nil"/>
              <w:bottom w:val="single" w:sz="4" w:space="0" w:color="auto"/>
              <w:right w:val="single" w:sz="4" w:space="0" w:color="auto"/>
            </w:tcBorders>
            <w:shd w:val="clear" w:color="auto" w:fill="auto"/>
          </w:tcPr>
          <w:p w:rsidR="00F83D90" w:rsidRPr="002302BD" w:rsidRDefault="00F83D90" w:rsidP="007843AB">
            <w:pPr>
              <w:pStyle w:val="ARProgramTableText"/>
              <w:spacing w:line="300" w:lineRule="exact"/>
              <w:rPr>
                <w:rtl/>
                <w:lang w:val="fr-CH" w:bidi="ar-SA"/>
              </w:rPr>
            </w:pPr>
            <w:r w:rsidRPr="002302BD">
              <w:rPr>
                <w:rtl/>
                <w:lang w:val="fr-CH" w:bidi="ar-SA"/>
              </w:rPr>
              <w:t>دعوة أصحاب المصالح المعنيين للمشاركة في اجتماعات مجموعة خبراء الأعمال التابعة لمشروع شبكة الويبو لحق المؤلف لتقاسم المعلومات المفيدة</w:t>
            </w:r>
          </w:p>
        </w:tc>
      </w:tr>
    </w:tbl>
    <w:p w:rsidR="00F83D90" w:rsidRDefault="00F83D90" w:rsidP="007843AB">
      <w:pPr>
        <w:pStyle w:val="ARNormal"/>
        <w:jc w:val="left"/>
        <w:rPr>
          <w:sz w:val="38"/>
          <w:szCs w:val="38"/>
          <w:rtl/>
        </w:rPr>
      </w:pPr>
    </w:p>
    <w:p w:rsidR="00F83D90" w:rsidRPr="00BE6A0F" w:rsidRDefault="00F83D9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BE6A0F">
        <w:rPr>
          <w:rFonts w:ascii="Arabic Typesetting" w:hAnsi="Arabic Typesetting" w:cs="Arabic Typesetting"/>
          <w:noProof/>
          <w:sz w:val="38"/>
          <w:szCs w:val="38"/>
          <w:rtl/>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3119"/>
        <w:gridCol w:w="1842"/>
        <w:gridCol w:w="1668"/>
      </w:tblGrid>
      <w:tr w:rsidR="00F83D90" w:rsidRPr="002302BD" w:rsidTr="007843AB">
        <w:trPr>
          <w:tblHeader/>
        </w:trPr>
        <w:tc>
          <w:tcPr>
            <w:tcW w:w="2941" w:type="dxa"/>
            <w:tcBorders>
              <w:bottom w:val="single" w:sz="4" w:space="0" w:color="auto"/>
              <w:right w:val="nil"/>
            </w:tcBorders>
            <w:shd w:val="clear" w:color="auto" w:fill="C6D9F1"/>
          </w:tcPr>
          <w:p w:rsidR="00F83D90" w:rsidRPr="002302BD" w:rsidRDefault="00F83D90" w:rsidP="007843AB">
            <w:pPr>
              <w:pStyle w:val="ARProgramTableHeading"/>
              <w:spacing w:line="300" w:lineRule="exact"/>
              <w:rPr>
                <w:rtl/>
                <w:lang w:bidi="ar-SA"/>
              </w:rPr>
            </w:pPr>
            <w:r w:rsidRPr="002302BD">
              <w:rPr>
                <w:rtl/>
                <w:lang w:bidi="ar-SA"/>
              </w:rPr>
              <w:t>النتائج المرتقبة</w:t>
            </w:r>
          </w:p>
        </w:tc>
        <w:tc>
          <w:tcPr>
            <w:tcW w:w="3119" w:type="dxa"/>
            <w:tcBorders>
              <w:left w:val="nil"/>
              <w:bottom w:val="single" w:sz="4" w:space="0" w:color="auto"/>
              <w:right w:val="nil"/>
            </w:tcBorders>
            <w:shd w:val="clear" w:color="auto" w:fill="C6D9F1"/>
          </w:tcPr>
          <w:p w:rsidR="00F83D90" w:rsidRPr="002302BD" w:rsidRDefault="00F83D90" w:rsidP="007843AB">
            <w:pPr>
              <w:pStyle w:val="ARProgramTableHeading"/>
              <w:spacing w:line="300" w:lineRule="exact"/>
              <w:rPr>
                <w:rtl/>
                <w:lang w:bidi="ar-SA"/>
              </w:rPr>
            </w:pPr>
            <w:r w:rsidRPr="002302BD">
              <w:rPr>
                <w:rtl/>
                <w:lang w:bidi="ar-SA"/>
              </w:rPr>
              <w:t>مؤشرات الأداء</w:t>
            </w:r>
          </w:p>
        </w:tc>
        <w:tc>
          <w:tcPr>
            <w:tcW w:w="1842" w:type="dxa"/>
            <w:tcBorders>
              <w:left w:val="nil"/>
              <w:bottom w:val="single" w:sz="4" w:space="0" w:color="auto"/>
              <w:right w:val="nil"/>
            </w:tcBorders>
            <w:shd w:val="clear" w:color="auto" w:fill="C6D9F1"/>
          </w:tcPr>
          <w:p w:rsidR="00F83D90" w:rsidRPr="002302BD" w:rsidRDefault="00F83D90" w:rsidP="007843AB">
            <w:pPr>
              <w:pStyle w:val="ARProgramTableHeading"/>
              <w:spacing w:line="300" w:lineRule="exact"/>
              <w:rPr>
                <w:rtl/>
                <w:lang w:bidi="ar-SA"/>
              </w:rPr>
            </w:pPr>
            <w:r w:rsidRPr="002302BD">
              <w:rPr>
                <w:rtl/>
                <w:lang w:bidi="ar-SA"/>
              </w:rPr>
              <w:t>أسس المقارنة</w:t>
            </w:r>
          </w:p>
        </w:tc>
        <w:tc>
          <w:tcPr>
            <w:tcW w:w="1668" w:type="dxa"/>
            <w:tcBorders>
              <w:left w:val="nil"/>
              <w:bottom w:val="single" w:sz="4" w:space="0" w:color="auto"/>
            </w:tcBorders>
            <w:shd w:val="clear" w:color="auto" w:fill="C6D9F1"/>
          </w:tcPr>
          <w:p w:rsidR="00F83D90" w:rsidRPr="002302BD" w:rsidRDefault="00F83D90" w:rsidP="007843AB">
            <w:pPr>
              <w:pStyle w:val="ARProgramTableHeading"/>
              <w:spacing w:line="300" w:lineRule="exact"/>
              <w:rPr>
                <w:rtl/>
                <w:lang w:bidi="ar-SA"/>
              </w:rPr>
            </w:pPr>
            <w:r w:rsidRPr="002302BD">
              <w:rPr>
                <w:rtl/>
                <w:lang w:bidi="ar-SA"/>
              </w:rPr>
              <w:t>الأهداف</w:t>
            </w:r>
          </w:p>
        </w:tc>
      </w:tr>
      <w:tr w:rsidR="00F83D90" w:rsidRPr="002302BD" w:rsidTr="007843AB">
        <w:tc>
          <w:tcPr>
            <w:tcW w:w="2941" w:type="dxa"/>
            <w:tcBorders>
              <w:top w:val="single" w:sz="4" w:space="0" w:color="auto"/>
              <w:left w:val="single" w:sz="4" w:space="0" w:color="auto"/>
              <w:bottom w:val="nil"/>
              <w:right w:val="nil"/>
            </w:tcBorders>
            <w:shd w:val="clear" w:color="auto" w:fill="auto"/>
          </w:tcPr>
          <w:p w:rsidR="00F83D90" w:rsidRPr="002302BD" w:rsidRDefault="00F83D90" w:rsidP="007843AB">
            <w:pPr>
              <w:pStyle w:val="ARProgramTableText"/>
              <w:spacing w:line="300" w:lineRule="exact"/>
              <w:rPr>
                <w:rtl/>
              </w:rPr>
            </w:pPr>
            <w:r w:rsidRPr="002302BD">
              <w:rPr>
                <w:rtl/>
              </w:rPr>
              <w:t>ه 4.4 بنية تحتية تقنية ومعرفية معزّزة لمكاتب الملكية الفكرية وسائر مؤسسات الملكية الفكرية بما يؤدي إلى خدمات أفضل (بتكلفة أقل وسرعة أعلى وجودة أحسن) لأصحاب المصلحة الذين يتعاملون معها ونتائج أحسن لإدارة الملكية الفكرية</w:t>
            </w:r>
          </w:p>
        </w:tc>
        <w:tc>
          <w:tcPr>
            <w:tcW w:w="3119" w:type="dxa"/>
            <w:tcBorders>
              <w:top w:val="single" w:sz="4" w:space="0" w:color="auto"/>
              <w:left w:val="nil"/>
              <w:bottom w:val="nil"/>
              <w:right w:val="nil"/>
            </w:tcBorders>
            <w:shd w:val="clear" w:color="auto" w:fill="auto"/>
          </w:tcPr>
          <w:p w:rsidR="00F83D90" w:rsidRPr="002302BD" w:rsidRDefault="00F83D90" w:rsidP="007843AB">
            <w:pPr>
              <w:pStyle w:val="ARProgramTableText"/>
              <w:spacing w:line="300" w:lineRule="exact"/>
              <w:rPr>
                <w:rtl/>
              </w:rPr>
            </w:pPr>
            <w:r w:rsidRPr="002302BD">
              <w:rPr>
                <w:rtl/>
              </w:rPr>
              <w:t>عدد المكاتب التي تستخدم منصات الويبو للبنية التحتية</w:t>
            </w:r>
          </w:p>
        </w:tc>
        <w:tc>
          <w:tcPr>
            <w:tcW w:w="1842" w:type="dxa"/>
            <w:tcBorders>
              <w:top w:val="single" w:sz="4" w:space="0" w:color="auto"/>
              <w:left w:val="nil"/>
              <w:bottom w:val="nil"/>
              <w:right w:val="nil"/>
            </w:tcBorders>
            <w:shd w:val="clear" w:color="auto" w:fill="auto"/>
          </w:tcPr>
          <w:p w:rsidR="00F83D90" w:rsidRPr="002302BD" w:rsidRDefault="00F83D90" w:rsidP="007843AB">
            <w:pPr>
              <w:pStyle w:val="ARProgramTableText"/>
              <w:spacing w:line="300" w:lineRule="exact"/>
              <w:rPr>
                <w:rtl/>
              </w:rPr>
            </w:pPr>
            <w:r>
              <w:rPr>
                <w:rtl/>
              </w:rPr>
              <w:t>22 مكتب</w:t>
            </w:r>
            <w:r w:rsidRPr="002302BD">
              <w:rPr>
                <w:rtl/>
              </w:rPr>
              <w:t>ا اعتبارا من مارس 2015.</w:t>
            </w:r>
          </w:p>
          <w:p w:rsidR="00F83D90" w:rsidRPr="002302BD" w:rsidRDefault="00F83D90" w:rsidP="007843AB">
            <w:pPr>
              <w:pStyle w:val="ARProgramTableText"/>
              <w:spacing w:line="300" w:lineRule="exact"/>
              <w:rPr>
                <w:rtl/>
              </w:rPr>
            </w:pPr>
            <w:r w:rsidRPr="002302BD">
              <w:rPr>
                <w:rtl/>
              </w:rPr>
              <w:t>آسيا والمحيط الهادئ: 12</w:t>
            </w:r>
          </w:p>
          <w:p w:rsidR="00F83D90" w:rsidRPr="002302BD" w:rsidRDefault="00E8768E" w:rsidP="007843AB">
            <w:pPr>
              <w:pStyle w:val="ARProgramTableText"/>
              <w:spacing w:line="300" w:lineRule="exact"/>
              <w:rPr>
                <w:rtl/>
              </w:rPr>
            </w:pPr>
            <w:r>
              <w:rPr>
                <w:rFonts w:hint="cs"/>
                <w:rtl/>
              </w:rPr>
              <w:t>البلدان المتحولة</w:t>
            </w:r>
            <w:r w:rsidR="00F83D90" w:rsidRPr="002302BD">
              <w:rPr>
                <w:rtl/>
              </w:rPr>
              <w:t>: 1</w:t>
            </w:r>
          </w:p>
          <w:p w:rsidR="00F83D90" w:rsidRPr="002302BD" w:rsidRDefault="00E8768E" w:rsidP="007843AB">
            <w:pPr>
              <w:pStyle w:val="ARProgramTableText"/>
              <w:spacing w:line="300" w:lineRule="exact"/>
              <w:rPr>
                <w:rtl/>
              </w:rPr>
            </w:pPr>
            <w:r>
              <w:rPr>
                <w:rFonts w:hint="cs"/>
                <w:rtl/>
              </w:rPr>
              <w:t xml:space="preserve">البلدان </w:t>
            </w:r>
            <w:r w:rsidR="00F83D90" w:rsidRPr="002302BD">
              <w:rPr>
                <w:rtl/>
              </w:rPr>
              <w:t>المتقدمة:9</w:t>
            </w:r>
          </w:p>
        </w:tc>
        <w:tc>
          <w:tcPr>
            <w:tcW w:w="1668" w:type="dxa"/>
            <w:tcBorders>
              <w:top w:val="single" w:sz="4" w:space="0" w:color="auto"/>
              <w:left w:val="nil"/>
              <w:bottom w:val="nil"/>
              <w:right w:val="single" w:sz="4" w:space="0" w:color="auto"/>
            </w:tcBorders>
            <w:shd w:val="clear" w:color="auto" w:fill="auto"/>
          </w:tcPr>
          <w:p w:rsidR="00F83D90" w:rsidRPr="002302BD" w:rsidRDefault="00F83D90" w:rsidP="007843AB">
            <w:pPr>
              <w:pStyle w:val="ARProgramTableText"/>
              <w:spacing w:line="300" w:lineRule="exact"/>
              <w:jc w:val="center"/>
              <w:rPr>
                <w:rtl/>
              </w:rPr>
            </w:pPr>
            <w:r>
              <w:rPr>
                <w:rtl/>
              </w:rPr>
              <w:t>29 مكتب</w:t>
            </w:r>
            <w:r w:rsidRPr="002302BD">
              <w:rPr>
                <w:rtl/>
              </w:rPr>
              <w:t>ا بنهاية 2017</w:t>
            </w:r>
          </w:p>
        </w:tc>
      </w:tr>
      <w:tr w:rsidR="00F83D90" w:rsidRPr="002302BD" w:rsidTr="007843AB">
        <w:tc>
          <w:tcPr>
            <w:tcW w:w="2941" w:type="dxa"/>
            <w:tcBorders>
              <w:top w:val="nil"/>
              <w:left w:val="single" w:sz="4" w:space="0" w:color="auto"/>
              <w:bottom w:val="nil"/>
              <w:right w:val="nil"/>
            </w:tcBorders>
            <w:shd w:val="clear" w:color="auto" w:fill="auto"/>
          </w:tcPr>
          <w:p w:rsidR="00F83D90" w:rsidRPr="002302BD" w:rsidRDefault="00F83D90" w:rsidP="007843AB">
            <w:pPr>
              <w:pStyle w:val="ARProgramTableText"/>
              <w:spacing w:line="300" w:lineRule="exact"/>
              <w:rPr>
                <w:rtl/>
              </w:rPr>
            </w:pPr>
          </w:p>
        </w:tc>
        <w:tc>
          <w:tcPr>
            <w:tcW w:w="3119" w:type="dxa"/>
            <w:tcBorders>
              <w:top w:val="nil"/>
              <w:left w:val="nil"/>
              <w:bottom w:val="nil"/>
              <w:right w:val="nil"/>
            </w:tcBorders>
            <w:shd w:val="clear" w:color="auto" w:fill="auto"/>
          </w:tcPr>
          <w:p w:rsidR="00F83D90" w:rsidRPr="002302BD" w:rsidRDefault="00F83D90" w:rsidP="007843AB">
            <w:pPr>
              <w:rPr>
                <w:rFonts w:ascii="Arabic Typesetting" w:hAnsi="Arabic Typesetting" w:cs="Arabic Typesetting"/>
                <w:sz w:val="30"/>
                <w:szCs w:val="30"/>
              </w:rPr>
            </w:pPr>
            <w:r w:rsidRPr="002302BD">
              <w:rPr>
                <w:rFonts w:ascii="Arabic Typesetting" w:hAnsi="Arabic Typesetting" w:cs="Arabic Typesetting"/>
                <w:sz w:val="30"/>
                <w:szCs w:val="30"/>
                <w:rtl/>
              </w:rPr>
              <w:t>متوسط مستوى الخدمة التي تقدمها المكاتب التي تحصل على مساعدات (</w:t>
            </w:r>
            <w:r>
              <w:rPr>
                <w:rFonts w:ascii="Arabic Typesetting" w:hAnsi="Arabic Typesetting" w:cs="Arabic Typesetting" w:hint="cs"/>
                <w:sz w:val="30"/>
                <w:szCs w:val="30"/>
                <w:rtl/>
              </w:rPr>
              <w:t>من</w:t>
            </w:r>
            <w:r w:rsidRPr="002302BD">
              <w:rPr>
                <w:rFonts w:ascii="Arabic Typesetting" w:hAnsi="Arabic Typesetting" w:cs="Arabic Typesetting"/>
                <w:sz w:val="30"/>
                <w:szCs w:val="30"/>
                <w:rtl/>
              </w:rPr>
              <w:t xml:space="preserve"> 1 إلى 5)</w:t>
            </w:r>
          </w:p>
        </w:tc>
        <w:tc>
          <w:tcPr>
            <w:tcW w:w="1842" w:type="dxa"/>
            <w:tcBorders>
              <w:top w:val="nil"/>
              <w:left w:val="nil"/>
              <w:bottom w:val="nil"/>
              <w:right w:val="nil"/>
            </w:tcBorders>
            <w:shd w:val="clear" w:color="auto" w:fill="auto"/>
          </w:tcPr>
          <w:p w:rsidR="00F83D90" w:rsidRPr="002302BD" w:rsidRDefault="00F83D90" w:rsidP="007843AB">
            <w:pPr>
              <w:pStyle w:val="ARProgramTableText"/>
              <w:spacing w:line="300" w:lineRule="exact"/>
              <w:rPr>
                <w:rtl/>
              </w:rPr>
            </w:pPr>
            <w:r w:rsidRPr="002302BD">
              <w:rPr>
                <w:rtl/>
              </w:rPr>
              <w:t>2.9 بنهاية 2015</w:t>
            </w:r>
          </w:p>
        </w:tc>
        <w:tc>
          <w:tcPr>
            <w:tcW w:w="1668" w:type="dxa"/>
            <w:tcBorders>
              <w:top w:val="nil"/>
              <w:left w:val="nil"/>
              <w:bottom w:val="nil"/>
              <w:right w:val="single" w:sz="4" w:space="0" w:color="auto"/>
            </w:tcBorders>
            <w:shd w:val="clear" w:color="auto" w:fill="auto"/>
          </w:tcPr>
          <w:p w:rsidR="00F83D90" w:rsidRPr="002302BD" w:rsidRDefault="00F83D90" w:rsidP="007843AB">
            <w:pPr>
              <w:pStyle w:val="ARProgramTableText"/>
              <w:spacing w:line="300" w:lineRule="exact"/>
              <w:rPr>
                <w:rtl/>
              </w:rPr>
            </w:pPr>
            <w:r w:rsidRPr="002302BD">
              <w:rPr>
                <w:rtl/>
              </w:rPr>
              <w:t>3 بنهاية 2017</w:t>
            </w:r>
          </w:p>
        </w:tc>
      </w:tr>
      <w:tr w:rsidR="00F83D90" w:rsidRPr="002302BD" w:rsidTr="007843AB">
        <w:tc>
          <w:tcPr>
            <w:tcW w:w="2941" w:type="dxa"/>
            <w:tcBorders>
              <w:top w:val="nil"/>
              <w:left w:val="single" w:sz="4" w:space="0" w:color="auto"/>
              <w:bottom w:val="single" w:sz="4" w:space="0" w:color="auto"/>
              <w:right w:val="nil"/>
            </w:tcBorders>
            <w:shd w:val="clear" w:color="auto" w:fill="auto"/>
          </w:tcPr>
          <w:p w:rsidR="00F83D90" w:rsidRPr="002302BD" w:rsidRDefault="00F83D90" w:rsidP="007843AB">
            <w:pPr>
              <w:pStyle w:val="ARProgramTableText"/>
              <w:spacing w:line="300" w:lineRule="exact"/>
              <w:rPr>
                <w:rtl/>
              </w:rPr>
            </w:pPr>
          </w:p>
        </w:tc>
        <w:tc>
          <w:tcPr>
            <w:tcW w:w="3119" w:type="dxa"/>
            <w:tcBorders>
              <w:top w:val="nil"/>
              <w:left w:val="nil"/>
              <w:bottom w:val="single" w:sz="4" w:space="0" w:color="auto"/>
              <w:right w:val="nil"/>
            </w:tcBorders>
            <w:shd w:val="clear" w:color="auto" w:fill="auto"/>
          </w:tcPr>
          <w:p w:rsidR="00F83D90" w:rsidRPr="002302BD" w:rsidRDefault="00F83D90" w:rsidP="007843AB">
            <w:pPr>
              <w:rPr>
                <w:rFonts w:ascii="Arabic Typesetting" w:hAnsi="Arabic Typesetting" w:cs="Arabic Typesetting"/>
                <w:sz w:val="30"/>
                <w:szCs w:val="30"/>
              </w:rPr>
            </w:pPr>
            <w:r w:rsidRPr="002302BD">
              <w:rPr>
                <w:rFonts w:ascii="Arabic Typesetting" w:hAnsi="Arabic Typesetting" w:cs="Arabic Typesetting"/>
                <w:sz w:val="30"/>
                <w:szCs w:val="30"/>
                <w:rtl/>
              </w:rPr>
              <w:t>عدد منظمات الإدارة الجماعية في البلدان النامية والبلدان الأقل نمواً المشاركة في الشبكات الإقليمية والعالمية التي تقوم الويبو بتسهيل عملها</w:t>
            </w:r>
          </w:p>
        </w:tc>
        <w:tc>
          <w:tcPr>
            <w:tcW w:w="1842" w:type="dxa"/>
            <w:tcBorders>
              <w:top w:val="nil"/>
              <w:left w:val="nil"/>
              <w:bottom w:val="single" w:sz="4" w:space="0" w:color="auto"/>
              <w:right w:val="nil"/>
            </w:tcBorders>
            <w:shd w:val="clear" w:color="auto" w:fill="auto"/>
          </w:tcPr>
          <w:p w:rsidR="00F83D90" w:rsidRPr="002302BD" w:rsidRDefault="00F83D90" w:rsidP="007843AB">
            <w:pPr>
              <w:pStyle w:val="ARProgramTableText"/>
              <w:spacing w:line="300" w:lineRule="exact"/>
              <w:rPr>
                <w:rtl/>
              </w:rPr>
            </w:pPr>
            <w:r w:rsidRPr="002302BD">
              <w:rPr>
                <w:rtl/>
              </w:rPr>
              <w:t>صفر بنهاية 2015</w:t>
            </w:r>
          </w:p>
        </w:tc>
        <w:tc>
          <w:tcPr>
            <w:tcW w:w="1668" w:type="dxa"/>
            <w:tcBorders>
              <w:top w:val="nil"/>
              <w:left w:val="nil"/>
              <w:bottom w:val="single" w:sz="4" w:space="0" w:color="auto"/>
              <w:right w:val="single" w:sz="4" w:space="0" w:color="auto"/>
            </w:tcBorders>
            <w:shd w:val="clear" w:color="auto" w:fill="auto"/>
          </w:tcPr>
          <w:p w:rsidR="00F83D90" w:rsidRPr="002302BD" w:rsidRDefault="00F83D90" w:rsidP="007843AB">
            <w:pPr>
              <w:pStyle w:val="ARProgramTableText"/>
              <w:spacing w:line="300" w:lineRule="exact"/>
              <w:rPr>
                <w:rtl/>
              </w:rPr>
            </w:pPr>
            <w:r w:rsidRPr="002302BD">
              <w:rPr>
                <w:rtl/>
              </w:rPr>
              <w:t>7 منظمات إدارة جماعية بنهاية 2017</w:t>
            </w:r>
          </w:p>
        </w:tc>
      </w:tr>
    </w:tbl>
    <w:p w:rsidR="00F83D90" w:rsidRPr="002302BD" w:rsidRDefault="00F83D90" w:rsidP="007843AB">
      <w:pPr>
        <w:tabs>
          <w:tab w:val="left" w:pos="714"/>
        </w:tabs>
        <w:spacing w:after="120" w:line="340" w:lineRule="exact"/>
        <w:rPr>
          <w:rFonts w:ascii="Arabic Typesetting" w:hAnsi="Arabic Typesetting" w:cs="Arabic Typesetting"/>
          <w:color w:val="000000"/>
          <w:sz w:val="34"/>
          <w:szCs w:val="34"/>
          <w:rtl/>
        </w:rPr>
      </w:pPr>
    </w:p>
    <w:p w:rsidR="00F83D90" w:rsidRPr="00BE6A0F" w:rsidRDefault="00F83D9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BE6A0F">
        <w:rPr>
          <w:rFonts w:ascii="Arabic Typesetting" w:hAnsi="Arabic Typesetting" w:cs="Arabic Typesetting" w:hint="cs"/>
          <w:noProof/>
          <w:sz w:val="38"/>
          <w:szCs w:val="38"/>
          <w:rtl/>
        </w:rPr>
        <w:t>الموارد المخصصة للبرنامج 15</w:t>
      </w:r>
    </w:p>
    <w:p w:rsidR="00F83D90" w:rsidRDefault="00F83D90" w:rsidP="00861CFF">
      <w:pPr>
        <w:pStyle w:val="ARNormal"/>
        <w:numPr>
          <w:ilvl w:val="0"/>
          <w:numId w:val="28"/>
        </w:numPr>
        <w:ind w:left="0" w:firstLine="0"/>
        <w:rPr>
          <w:color w:val="000000"/>
        </w:rPr>
      </w:pPr>
      <w:r>
        <w:rPr>
          <w:rFonts w:hint="cs"/>
          <w:color w:val="000000"/>
          <w:rtl/>
        </w:rPr>
        <w:t>تعكس الزيادة المُسجلة في إجمالي الموارد (موارد الموظفين وخلاف موارد الموظفين على حد سواء) في الثنائية 2016/17 مقارنة بميزانية 2014/15 بعد التحويلات نقل المسؤوليات الخاصة بإعداد ونشر برمجيات "شبكة الويبو لحق المؤلف" وما يرتبط بها من دعم ل</w:t>
      </w:r>
      <w:r w:rsidRPr="00BE6A0F">
        <w:rPr>
          <w:color w:val="000000"/>
          <w:rtl/>
        </w:rPr>
        <w:t>منظمات الإدارة الجماعية</w:t>
      </w:r>
      <w:r>
        <w:rPr>
          <w:rFonts w:hint="cs"/>
          <w:color w:val="000000"/>
          <w:rtl/>
        </w:rPr>
        <w:t xml:space="preserve"> من البرنامج 3 (حق المؤلف والحقوق المجاورة) إلى البرنامج. وبالإضافة إلى ذلك، تعكس الزيادة موارد الموظفين الإضافية المنقولة من البرنامج 12 بغرض تعزيز الدعم المُقدم إلى مكاتب الملكية الفكرية على الصعيد العالمي.</w:t>
      </w:r>
    </w:p>
    <w:p w:rsidR="00F83D90" w:rsidRPr="002A64C9" w:rsidRDefault="00F83D90" w:rsidP="007843AB">
      <w:pPr>
        <w:pStyle w:val="ARNormal"/>
        <w:keepNext/>
        <w:spacing w:after="0"/>
        <w:jc w:val="center"/>
        <w:rPr>
          <w:b/>
          <w:bCs/>
          <w:rtl/>
        </w:rPr>
      </w:pPr>
      <w:r w:rsidRPr="002A64C9">
        <w:rPr>
          <w:b/>
          <w:bCs/>
          <w:rtl/>
        </w:rPr>
        <w:t xml:space="preserve">البرنامج </w:t>
      </w:r>
      <w:r>
        <w:rPr>
          <w:rFonts w:hint="cs"/>
          <w:b/>
          <w:bCs/>
          <w:rtl/>
        </w:rPr>
        <w:t>15</w:t>
      </w:r>
      <w:r w:rsidRPr="002A64C9">
        <w:rPr>
          <w:b/>
          <w:bCs/>
          <w:rtl/>
        </w:rPr>
        <w:t>: الموارد بحسب كل نتيجة</w:t>
      </w:r>
    </w:p>
    <w:p w:rsidR="00F83D90" w:rsidRDefault="00F83D90" w:rsidP="007843AB">
      <w:pPr>
        <w:pStyle w:val="ARNormal"/>
        <w:spacing w:after="0"/>
        <w:ind w:left="720"/>
        <w:jc w:val="center"/>
        <w:rPr>
          <w:i/>
          <w:iCs/>
          <w:rtl/>
        </w:rPr>
      </w:pPr>
      <w:r w:rsidRPr="002A64C9">
        <w:rPr>
          <w:i/>
          <w:iCs/>
          <w:rtl/>
        </w:rPr>
        <w:t>(بآلاف الفرنكات السويسرية)</w:t>
      </w:r>
    </w:p>
    <w:p w:rsidR="00F83D90" w:rsidRPr="00442B45" w:rsidRDefault="00F83D90" w:rsidP="00F83D90">
      <w:pPr>
        <w:pStyle w:val="ARNormal"/>
        <w:spacing w:line="240" w:lineRule="auto"/>
        <w:jc w:val="center"/>
        <w:rPr>
          <w:color w:val="000000"/>
          <w:rtl/>
        </w:rPr>
      </w:pPr>
      <w:r w:rsidRPr="00F83D90">
        <w:rPr>
          <w:noProof/>
          <w:rtl/>
          <w:lang w:val="en-US"/>
        </w:rPr>
        <w:drawing>
          <wp:inline distT="0" distB="0" distL="0" distR="0" wp14:anchorId="7191BE25" wp14:editId="7F3889B3">
            <wp:extent cx="5676900" cy="1209675"/>
            <wp:effectExtent l="0" t="0" r="0" b="9525"/>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676900" cy="1209675"/>
                    </a:xfrm>
                    <a:prstGeom prst="rect">
                      <a:avLst/>
                    </a:prstGeom>
                    <a:noFill/>
                    <a:ln>
                      <a:noFill/>
                    </a:ln>
                  </pic:spPr>
                </pic:pic>
              </a:graphicData>
            </a:graphic>
          </wp:inline>
        </w:drawing>
      </w:r>
    </w:p>
    <w:p w:rsidR="00F83D90" w:rsidRPr="008954A8" w:rsidRDefault="00F83D90" w:rsidP="007843AB">
      <w:pPr>
        <w:pStyle w:val="ARNormal"/>
        <w:keepNext/>
        <w:spacing w:after="0"/>
        <w:jc w:val="center"/>
        <w:rPr>
          <w:b/>
          <w:bCs/>
          <w:rtl/>
        </w:rPr>
      </w:pPr>
      <w:r w:rsidRPr="008954A8">
        <w:rPr>
          <w:rFonts w:hint="cs"/>
          <w:b/>
          <w:bCs/>
          <w:rtl/>
        </w:rPr>
        <w:lastRenderedPageBreak/>
        <w:t xml:space="preserve">البرنامج </w:t>
      </w:r>
      <w:r>
        <w:rPr>
          <w:rFonts w:hint="cs"/>
          <w:b/>
          <w:bCs/>
          <w:rtl/>
        </w:rPr>
        <w:t>15</w:t>
      </w:r>
      <w:r w:rsidRPr="008954A8">
        <w:rPr>
          <w:rFonts w:hint="cs"/>
          <w:b/>
          <w:bCs/>
          <w:rtl/>
        </w:rPr>
        <w:t>: الموارد بحسب غرض الإنفاق</w:t>
      </w:r>
    </w:p>
    <w:p w:rsidR="00F83D90" w:rsidRPr="008954A8" w:rsidRDefault="00F83D90" w:rsidP="007843AB">
      <w:pPr>
        <w:pStyle w:val="ARNormal"/>
        <w:spacing w:after="0"/>
        <w:ind w:left="720"/>
        <w:jc w:val="center"/>
        <w:rPr>
          <w:i/>
          <w:iCs/>
        </w:rPr>
      </w:pPr>
      <w:r w:rsidRPr="008954A8">
        <w:rPr>
          <w:rFonts w:hint="cs"/>
          <w:i/>
          <w:iCs/>
          <w:rtl/>
        </w:rPr>
        <w:t>(بآلاف الفرنكات السويسرية)</w:t>
      </w:r>
    </w:p>
    <w:p w:rsidR="00F83D90" w:rsidRPr="00EE13BB" w:rsidRDefault="00F83D90" w:rsidP="00F83D90">
      <w:pPr>
        <w:pStyle w:val="ARNormal"/>
        <w:spacing w:line="240" w:lineRule="auto"/>
        <w:jc w:val="center"/>
        <w:rPr>
          <w:color w:val="000000"/>
          <w:rtl/>
        </w:rPr>
      </w:pPr>
      <w:r w:rsidRPr="00F83D90">
        <w:rPr>
          <w:noProof/>
          <w:rtl/>
          <w:lang w:val="en-US"/>
        </w:rPr>
        <w:drawing>
          <wp:inline distT="0" distB="0" distL="0" distR="0" wp14:anchorId="37078666" wp14:editId="36BBBFF6">
            <wp:extent cx="5514975" cy="6353175"/>
            <wp:effectExtent l="0" t="0" r="9525" b="9525"/>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rPr>
      </w:pPr>
    </w:p>
    <w:p w:rsidR="0014345C" w:rsidRDefault="0014345C" w:rsidP="007843AB">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sectPr w:rsidR="0014345C" w:rsidSect="00861CFF">
          <w:pgSz w:w="11906" w:h="16838" w:code="9"/>
          <w:pgMar w:top="1134" w:right="1418" w:bottom="1418" w:left="1134" w:header="510" w:footer="1021" w:gutter="0"/>
          <w:cols w:space="720"/>
          <w:bidi/>
          <w:rtlGutter/>
        </w:sectPr>
      </w:pPr>
      <w:bookmarkStart w:id="77" w:name="_Toc358745227"/>
      <w:bookmarkStart w:id="78" w:name="_Toc364355393"/>
    </w:p>
    <w:p w:rsidR="00FA1D26" w:rsidRPr="008954A8" w:rsidRDefault="00FA1D26" w:rsidP="007843AB">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79" w:name="_Toc420595519"/>
      <w:r w:rsidRPr="008954A8">
        <w:rPr>
          <w:rFonts w:ascii="Arabic Typesetting" w:hAnsi="Arabic Typesetting" w:cs="Arabic Typesetting" w:hint="cs"/>
          <w:i/>
          <w:iCs w:val="0"/>
          <w:sz w:val="42"/>
          <w:szCs w:val="42"/>
          <w:rtl/>
        </w:rPr>
        <w:lastRenderedPageBreak/>
        <w:t>الهدف الاستراتيجي الخامس</w:t>
      </w:r>
      <w:bookmarkStart w:id="80" w:name="_Toc364355394"/>
      <w:bookmarkEnd w:id="77"/>
      <w:bookmarkEnd w:id="78"/>
      <w:r>
        <w:rPr>
          <w:rFonts w:ascii="Arabic Typesetting" w:hAnsi="Arabic Typesetting" w:cs="Arabic Typesetting" w:hint="cs"/>
          <w:i/>
          <w:iCs w:val="0"/>
          <w:sz w:val="42"/>
          <w:szCs w:val="42"/>
          <w:rtl/>
        </w:rPr>
        <w:tab/>
      </w:r>
      <w:r w:rsidRPr="008954A8">
        <w:rPr>
          <w:rFonts w:ascii="Arabic Typesetting" w:hAnsi="Arabic Typesetting" w:cs="Arabic Typesetting" w:hint="cs"/>
          <w:i/>
          <w:iCs w:val="0"/>
          <w:sz w:val="42"/>
          <w:szCs w:val="42"/>
          <w:rtl/>
        </w:rPr>
        <w:t xml:space="preserve">المصدر العالمي </w:t>
      </w:r>
      <w:r w:rsidRPr="008954A8">
        <w:rPr>
          <w:rFonts w:ascii="Arabic Typesetting" w:hAnsi="Arabic Typesetting" w:cs="Arabic Typesetting"/>
          <w:i/>
          <w:iCs w:val="0"/>
          <w:sz w:val="42"/>
          <w:szCs w:val="42"/>
          <w:rtl/>
        </w:rPr>
        <w:t>لمراجع المعلومات والدراسات المتعلقة بالملكية</w:t>
      </w:r>
      <w:r w:rsidRPr="008954A8">
        <w:rPr>
          <w:rFonts w:ascii="Arabic Typesetting" w:hAnsi="Arabic Typesetting" w:cs="Arabic Typesetting" w:hint="cs"/>
          <w:i/>
          <w:iCs w:val="0"/>
          <w:sz w:val="42"/>
          <w:szCs w:val="42"/>
          <w:rtl/>
        </w:rPr>
        <w:t xml:space="preserve"> الفكرية</w:t>
      </w:r>
      <w:bookmarkEnd w:id="79"/>
      <w:bookmarkEnd w:id="80"/>
    </w:p>
    <w:p w:rsidR="00FA1D26" w:rsidRPr="008954A8" w:rsidRDefault="00FA1D26" w:rsidP="00862268">
      <w:pPr>
        <w:spacing w:after="120" w:line="340" w:lineRule="exact"/>
        <w:rPr>
          <w:rFonts w:ascii="Arabic Typesetting" w:hAnsi="Arabic Typesetting" w:cs="Arabic Typesetting"/>
          <w:sz w:val="34"/>
          <w:szCs w:val="34"/>
          <w:rtl/>
        </w:rPr>
      </w:pPr>
      <w:r w:rsidRPr="008954A8">
        <w:rPr>
          <w:rFonts w:ascii="Arabic Typesetting" w:hAnsi="Arabic Typesetting" w:cs="Arabic Typesetting" w:hint="cs"/>
          <w:color w:val="000000"/>
          <w:sz w:val="34"/>
          <w:szCs w:val="34"/>
          <w:rtl/>
        </w:rPr>
        <w:t xml:space="preserve">تعتبر </w:t>
      </w:r>
      <w:r w:rsidRPr="008954A8">
        <w:rPr>
          <w:rFonts w:ascii="Arabic Typesetting" w:hAnsi="Arabic Typesetting" w:cs="Arabic Typesetting"/>
          <w:sz w:val="34"/>
          <w:szCs w:val="34"/>
          <w:rtl/>
        </w:rPr>
        <w:t>الويبو هي الجهة المس</w:t>
      </w:r>
      <w:r w:rsidRPr="008954A8">
        <w:rPr>
          <w:rFonts w:ascii="Arabic Typesetting" w:hAnsi="Arabic Typesetting" w:cs="Arabic Typesetting" w:hint="cs"/>
          <w:sz w:val="34"/>
          <w:szCs w:val="34"/>
          <w:rtl/>
        </w:rPr>
        <w:t>ؤ</w:t>
      </w:r>
      <w:r w:rsidRPr="008954A8">
        <w:rPr>
          <w:rFonts w:ascii="Arabic Typesetting" w:hAnsi="Arabic Typesetting" w:cs="Arabic Typesetting"/>
          <w:sz w:val="34"/>
          <w:szCs w:val="34"/>
          <w:rtl/>
        </w:rPr>
        <w:t xml:space="preserve">ولة عن </w:t>
      </w:r>
      <w:r w:rsidRPr="008954A8">
        <w:rPr>
          <w:rFonts w:ascii="Arabic Typesetting" w:hAnsi="Arabic Typesetting" w:cs="Arabic Typesetting" w:hint="cs"/>
          <w:sz w:val="34"/>
          <w:szCs w:val="34"/>
          <w:rtl/>
        </w:rPr>
        <w:t>إ</w:t>
      </w:r>
      <w:r w:rsidRPr="008954A8">
        <w:rPr>
          <w:rFonts w:ascii="Arabic Typesetting" w:hAnsi="Arabic Typesetting" w:cs="Arabic Typesetting"/>
          <w:sz w:val="34"/>
          <w:szCs w:val="34"/>
          <w:rtl/>
        </w:rPr>
        <w:t xml:space="preserve">نتاج وحفظ المجموعات الحالية من حالات الإفصاح التكنولوجية والبيانات </w:t>
      </w:r>
      <w:proofErr w:type="spellStart"/>
      <w:r w:rsidRPr="008954A8">
        <w:rPr>
          <w:rFonts w:ascii="Arabic Typesetting" w:hAnsi="Arabic Typesetting" w:cs="Arabic Typesetting"/>
          <w:sz w:val="34"/>
          <w:szCs w:val="34"/>
          <w:rtl/>
        </w:rPr>
        <w:t>التوسيمية</w:t>
      </w:r>
      <w:proofErr w:type="spellEnd"/>
      <w:r w:rsidRPr="008954A8">
        <w:rPr>
          <w:rFonts w:ascii="Arabic Typesetting" w:hAnsi="Arabic Typesetting" w:cs="Arabic Typesetting"/>
          <w:sz w:val="34"/>
          <w:szCs w:val="34"/>
          <w:rtl/>
        </w:rPr>
        <w:t xml:space="preserve"> والمعلومات التقنية والقانونية عن الملكية الفكرية. </w:t>
      </w:r>
      <w:r w:rsidRPr="008954A8">
        <w:rPr>
          <w:rFonts w:ascii="Arabic Typesetting" w:hAnsi="Arabic Typesetting" w:cs="Arabic Typesetting" w:hint="cs"/>
          <w:sz w:val="34"/>
          <w:szCs w:val="34"/>
          <w:rtl/>
        </w:rPr>
        <w:t>و</w:t>
      </w:r>
      <w:r w:rsidRPr="008954A8">
        <w:rPr>
          <w:rFonts w:ascii="Arabic Typesetting" w:hAnsi="Arabic Typesetting" w:cs="Arabic Typesetting"/>
          <w:sz w:val="34"/>
          <w:szCs w:val="34"/>
          <w:rtl/>
        </w:rPr>
        <w:t xml:space="preserve">توفر تلك المجموعات نافذة اطلاع على ما يحدث في قطاعات الاقتصاد المهمة وما يطرأ من تعديلات في نظام الملكية الفكرية. </w:t>
      </w:r>
      <w:r w:rsidRPr="008954A8">
        <w:rPr>
          <w:rFonts w:ascii="Arabic Typesetting" w:hAnsi="Arabic Typesetting" w:cs="Arabic Typesetting" w:hint="cs"/>
          <w:sz w:val="34"/>
          <w:szCs w:val="34"/>
          <w:rtl/>
        </w:rPr>
        <w:t>و</w:t>
      </w:r>
      <w:r w:rsidRPr="008954A8">
        <w:rPr>
          <w:rFonts w:ascii="Arabic Typesetting" w:hAnsi="Arabic Typesetting" w:cs="Arabic Typesetting"/>
          <w:sz w:val="34"/>
          <w:szCs w:val="34"/>
          <w:rtl/>
        </w:rPr>
        <w:t xml:space="preserve">تكتسي تلك المجموعات قيمة عظيمة لصانعي السياسات وقطاع الأعمال والصناعات وغيرها من الجهات المنتفعة بنظام الملكية الفكرية فضلا عن جمهور المهتمين من العامة. </w:t>
      </w:r>
      <w:r w:rsidRPr="008954A8">
        <w:rPr>
          <w:rFonts w:ascii="Arabic Typesetting" w:hAnsi="Arabic Typesetting" w:cs="Arabic Typesetting" w:hint="cs"/>
          <w:sz w:val="34"/>
          <w:szCs w:val="34"/>
          <w:rtl/>
        </w:rPr>
        <w:t>و</w:t>
      </w:r>
      <w:r w:rsidRPr="008954A8">
        <w:rPr>
          <w:rFonts w:ascii="Arabic Typesetting" w:hAnsi="Arabic Typesetting" w:cs="Arabic Typesetting"/>
          <w:sz w:val="34"/>
          <w:szCs w:val="34"/>
          <w:rtl/>
        </w:rPr>
        <w:t>أدرك جدول أعمال التنمية وأقر بأهمية تلك المجموعات حيث تشهد المنظمة طلبا قويا لتوفير التحليلات الاقتصادية والدراسات التجريبية</w:t>
      </w:r>
      <w:r w:rsidRPr="008954A8">
        <w:rPr>
          <w:rFonts w:ascii="Arabic Typesetting" w:hAnsi="Arabic Typesetting" w:cs="Arabic Typesetting" w:hint="cs"/>
          <w:sz w:val="34"/>
          <w:szCs w:val="34"/>
          <w:rtl/>
        </w:rPr>
        <w:t>.</w:t>
      </w:r>
    </w:p>
    <w:p w:rsidR="00FA1D26" w:rsidRPr="008954A8" w:rsidRDefault="00FA1D26" w:rsidP="00862268">
      <w:pPr>
        <w:spacing w:after="120" w:line="340" w:lineRule="exact"/>
        <w:rPr>
          <w:rFonts w:ascii="Arabic Typesetting" w:hAnsi="Arabic Typesetting" w:cs="Arabic Typesetting"/>
          <w:color w:val="000000"/>
          <w:sz w:val="34"/>
          <w:szCs w:val="34"/>
          <w:rtl/>
        </w:rPr>
      </w:pPr>
      <w:r w:rsidRPr="008954A8">
        <w:rPr>
          <w:rFonts w:ascii="Arabic Typesetting" w:hAnsi="Arabic Typesetting" w:cs="Arabic Typesetting" w:hint="cs"/>
          <w:color w:val="000000"/>
          <w:sz w:val="34"/>
          <w:szCs w:val="34"/>
          <w:rtl/>
        </w:rPr>
        <w:t xml:space="preserve">وتعتمد </w:t>
      </w:r>
      <w:r w:rsidRPr="008954A8">
        <w:rPr>
          <w:rFonts w:ascii="Arabic Typesetting" w:hAnsi="Arabic Typesetting" w:cs="Arabic Typesetting"/>
          <w:sz w:val="34"/>
          <w:szCs w:val="34"/>
          <w:rtl/>
        </w:rPr>
        <w:t xml:space="preserve">قيمة البيانات المرجعية في مجموعات مراجع الويبو على مدى دقة وحداثة تلك المجموعات وعلى مدى قدرتها على الاستجابة لاحتياجات أصحاب المصالح فضلا عن إتاحتها للجميع بالمجان. </w:t>
      </w:r>
      <w:r w:rsidRPr="008954A8">
        <w:rPr>
          <w:rFonts w:ascii="Arabic Typesetting" w:hAnsi="Arabic Typesetting" w:cs="Arabic Typesetting" w:hint="cs"/>
          <w:sz w:val="34"/>
          <w:szCs w:val="34"/>
          <w:rtl/>
        </w:rPr>
        <w:t>و</w:t>
      </w:r>
      <w:r w:rsidRPr="008954A8">
        <w:rPr>
          <w:rFonts w:ascii="Arabic Typesetting" w:hAnsi="Arabic Typesetting" w:cs="Arabic Typesetting"/>
          <w:sz w:val="34"/>
          <w:szCs w:val="34"/>
          <w:rtl/>
        </w:rPr>
        <w:t>تعد الويبو في وضعية فريدة تُمَك</w:t>
      </w:r>
      <w:r w:rsidRPr="008954A8">
        <w:rPr>
          <w:rFonts w:ascii="Arabic Typesetting" w:hAnsi="Arabic Typesetting" w:cs="Arabic Typesetting" w:hint="cs"/>
          <w:sz w:val="34"/>
          <w:szCs w:val="34"/>
          <w:rtl/>
        </w:rPr>
        <w:t>ٍ</w:t>
      </w:r>
      <w:r w:rsidRPr="008954A8">
        <w:rPr>
          <w:rFonts w:ascii="Arabic Typesetting" w:hAnsi="Arabic Typesetting" w:cs="Arabic Typesetting"/>
          <w:sz w:val="34"/>
          <w:szCs w:val="34"/>
          <w:rtl/>
        </w:rPr>
        <w:t xml:space="preserve">نها من الحصول على أكثر المعلومات المتعلقة بالملكية الفكرية شمولا، والعمل كبوابة لعبور تلك المعلومات إلى </w:t>
      </w:r>
      <w:r w:rsidRPr="008954A8">
        <w:rPr>
          <w:rFonts w:ascii="Arabic Typesetting" w:hAnsi="Arabic Typesetting" w:cs="Arabic Typesetting" w:hint="cs"/>
          <w:sz w:val="34"/>
          <w:szCs w:val="34"/>
          <w:rtl/>
        </w:rPr>
        <w:t>جميع أنحاء العالم</w:t>
      </w:r>
      <w:r w:rsidRPr="008954A8">
        <w:rPr>
          <w:rFonts w:ascii="Arabic Typesetting" w:hAnsi="Arabic Typesetting" w:cs="Arabic Typesetting"/>
          <w:sz w:val="34"/>
          <w:szCs w:val="34"/>
          <w:rtl/>
        </w:rPr>
        <w:t>. وفي ظل هذا الهدف الاستراتيجي، تسعى الويبو إلى ترجمة تلك الطاقة التي تنفرد بها إلى واقع</w:t>
      </w:r>
      <w:r w:rsidRPr="008954A8">
        <w:rPr>
          <w:rFonts w:ascii="Arabic Typesetting" w:hAnsi="Arabic Typesetting" w:cs="Arabic Typesetting" w:hint="cs"/>
          <w:color w:val="000000"/>
          <w:sz w:val="34"/>
          <w:szCs w:val="34"/>
          <w:rtl/>
        </w:rPr>
        <w:t xml:space="preserve"> ملموس.</w:t>
      </w:r>
    </w:p>
    <w:p w:rsidR="00FA1D26" w:rsidRPr="008954A8" w:rsidRDefault="00FA1D26" w:rsidP="00862268">
      <w:pPr>
        <w:spacing w:after="120" w:line="340" w:lineRule="exact"/>
        <w:rPr>
          <w:rFonts w:ascii="Arabic Typesetting" w:hAnsi="Arabic Typesetting" w:cs="Arabic Typesetting"/>
          <w:color w:val="000000"/>
          <w:sz w:val="34"/>
          <w:szCs w:val="3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3969"/>
        <w:gridCol w:w="2235"/>
      </w:tblGrid>
      <w:tr w:rsidR="00FA1D26" w:rsidRPr="008954A8" w:rsidTr="007843AB">
        <w:trPr>
          <w:tblHeader/>
        </w:trPr>
        <w:tc>
          <w:tcPr>
            <w:tcW w:w="3366" w:type="dxa"/>
            <w:tcBorders>
              <w:bottom w:val="single" w:sz="4" w:space="0" w:color="auto"/>
              <w:right w:val="nil"/>
            </w:tcBorders>
            <w:shd w:val="clear" w:color="auto" w:fill="C6D9F1"/>
          </w:tcPr>
          <w:p w:rsidR="00FA1D26" w:rsidRPr="008954A8" w:rsidRDefault="00FA1D26" w:rsidP="00862268">
            <w:pPr>
              <w:pStyle w:val="ARSGTableHeading"/>
              <w:rPr>
                <w:rtl/>
                <w:lang w:bidi="ar-SA"/>
              </w:rPr>
            </w:pPr>
            <w:r w:rsidRPr="008954A8">
              <w:rPr>
                <w:rtl/>
                <w:lang w:bidi="ar-SA"/>
              </w:rPr>
              <w:t>النتائج المرتقبة</w:t>
            </w:r>
          </w:p>
        </w:tc>
        <w:tc>
          <w:tcPr>
            <w:tcW w:w="3969" w:type="dxa"/>
            <w:tcBorders>
              <w:left w:val="nil"/>
              <w:bottom w:val="single" w:sz="4" w:space="0" w:color="auto"/>
              <w:right w:val="nil"/>
            </w:tcBorders>
            <w:shd w:val="clear" w:color="auto" w:fill="C6D9F1"/>
          </w:tcPr>
          <w:p w:rsidR="00FA1D26" w:rsidRPr="008954A8" w:rsidRDefault="00FA1D26" w:rsidP="00862268">
            <w:pPr>
              <w:pStyle w:val="ARSGTableHeading"/>
              <w:rPr>
                <w:rtl/>
                <w:lang w:bidi="ar-SA"/>
              </w:rPr>
            </w:pPr>
            <w:r w:rsidRPr="008954A8">
              <w:rPr>
                <w:rtl/>
                <w:lang w:bidi="ar-SA"/>
              </w:rPr>
              <w:t>مؤشرات الأداء</w:t>
            </w:r>
          </w:p>
        </w:tc>
        <w:tc>
          <w:tcPr>
            <w:tcW w:w="2235" w:type="dxa"/>
            <w:tcBorders>
              <w:left w:val="nil"/>
              <w:bottom w:val="single" w:sz="4" w:space="0" w:color="auto"/>
            </w:tcBorders>
            <w:shd w:val="clear" w:color="auto" w:fill="C6D9F1"/>
          </w:tcPr>
          <w:p w:rsidR="00FA1D26" w:rsidRPr="008954A8" w:rsidRDefault="00FA1D26" w:rsidP="00862268">
            <w:pPr>
              <w:pStyle w:val="ARSGTableHeading"/>
              <w:rPr>
                <w:rtl/>
                <w:lang w:bidi="ar-SA"/>
              </w:rPr>
            </w:pPr>
            <w:r w:rsidRPr="008954A8">
              <w:rPr>
                <w:rtl/>
                <w:lang w:bidi="ar-SA"/>
              </w:rPr>
              <w:t>البرامج المسؤولة</w:t>
            </w:r>
          </w:p>
        </w:tc>
      </w:tr>
      <w:tr w:rsidR="00FA1D26" w:rsidRPr="008954A8" w:rsidTr="00862268">
        <w:tc>
          <w:tcPr>
            <w:tcW w:w="3366" w:type="dxa"/>
            <w:tcBorders>
              <w:bottom w:val="nil"/>
              <w:right w:val="nil"/>
            </w:tcBorders>
            <w:shd w:val="clear" w:color="auto" w:fill="auto"/>
          </w:tcPr>
          <w:p w:rsidR="00FA1D26" w:rsidRPr="008954A8" w:rsidRDefault="00FA1D26" w:rsidP="00862268">
            <w:pPr>
              <w:pStyle w:val="ARSGTableText"/>
              <w:rPr>
                <w:rtl/>
              </w:rPr>
            </w:pPr>
            <w:r w:rsidRPr="008954A8">
              <w:rPr>
                <w:rFonts w:hint="cs"/>
                <w:rtl/>
              </w:rPr>
              <w:t xml:space="preserve">ه 1.5 </w:t>
            </w:r>
            <w:r w:rsidRPr="004E6539">
              <w:rPr>
                <w:rtl/>
              </w:rPr>
              <w:t>استخدام معلومات الويبو الإحصائية بشأن الملكية الفكرية على نطاق أوسع ونحو أفضل</w:t>
            </w:r>
          </w:p>
        </w:tc>
        <w:tc>
          <w:tcPr>
            <w:tcW w:w="3969" w:type="dxa"/>
            <w:tcBorders>
              <w:left w:val="nil"/>
              <w:bottom w:val="nil"/>
              <w:right w:val="nil"/>
            </w:tcBorders>
            <w:shd w:val="clear" w:color="auto" w:fill="auto"/>
          </w:tcPr>
          <w:p w:rsidR="00FA1D26" w:rsidRPr="008954A8" w:rsidRDefault="00FA1D26" w:rsidP="00862268">
            <w:pPr>
              <w:pStyle w:val="ARSGTableText"/>
              <w:rPr>
                <w:rtl/>
              </w:rPr>
            </w:pPr>
            <w:r w:rsidRPr="004E6539">
              <w:rPr>
                <w:rtl/>
              </w:rPr>
              <w:t>عدد عمليات البحث باستخدام مركز البيانات الإحصائية للملكية الفكرية</w:t>
            </w:r>
          </w:p>
        </w:tc>
        <w:tc>
          <w:tcPr>
            <w:tcW w:w="2235" w:type="dxa"/>
            <w:tcBorders>
              <w:left w:val="nil"/>
              <w:bottom w:val="nil"/>
            </w:tcBorders>
            <w:shd w:val="clear" w:color="auto" w:fill="auto"/>
          </w:tcPr>
          <w:p w:rsidR="00FA1D26" w:rsidRPr="008954A8" w:rsidRDefault="00FA1D26" w:rsidP="00862268">
            <w:pPr>
              <w:pStyle w:val="ARSGTableText"/>
              <w:jc w:val="center"/>
              <w:rPr>
                <w:rtl/>
                <w:lang w:bidi="ar-SA"/>
              </w:rPr>
            </w:pPr>
            <w:r w:rsidRPr="008954A8">
              <w:rPr>
                <w:rFonts w:hint="cs"/>
                <w:rtl/>
                <w:lang w:bidi="ar-SA"/>
              </w:rPr>
              <w:t>البرنامج 16</w:t>
            </w:r>
          </w:p>
        </w:tc>
      </w:tr>
      <w:tr w:rsidR="00FA1D26" w:rsidRPr="008954A8" w:rsidTr="00862268">
        <w:tc>
          <w:tcPr>
            <w:tcW w:w="3366" w:type="dxa"/>
            <w:tcBorders>
              <w:top w:val="nil"/>
              <w:bottom w:val="nil"/>
              <w:right w:val="nil"/>
            </w:tcBorders>
            <w:shd w:val="clear" w:color="auto" w:fill="auto"/>
          </w:tcPr>
          <w:p w:rsidR="00FA1D26" w:rsidRPr="008954A8" w:rsidRDefault="00FA1D26" w:rsidP="00862268">
            <w:pPr>
              <w:pStyle w:val="ARSGTableText"/>
              <w:rPr>
                <w:rtl/>
                <w:lang w:bidi="ar-SA"/>
              </w:rPr>
            </w:pPr>
          </w:p>
        </w:tc>
        <w:tc>
          <w:tcPr>
            <w:tcW w:w="3969" w:type="dxa"/>
            <w:tcBorders>
              <w:top w:val="nil"/>
              <w:left w:val="nil"/>
              <w:bottom w:val="nil"/>
              <w:right w:val="nil"/>
            </w:tcBorders>
            <w:shd w:val="clear" w:color="auto" w:fill="auto"/>
          </w:tcPr>
          <w:p w:rsidR="00FA1D26" w:rsidRPr="008954A8" w:rsidRDefault="00FA1D26" w:rsidP="00862268">
            <w:pPr>
              <w:pStyle w:val="ARSGTableText"/>
              <w:rPr>
                <w:rtl/>
                <w:lang w:bidi="ar-SA"/>
              </w:rPr>
            </w:pPr>
            <w:r w:rsidRPr="004E6539">
              <w:rPr>
                <w:rtl/>
                <w:lang w:bidi="ar-SA"/>
              </w:rPr>
              <w:t>عدد مرات تحميل التقارير الإحصائية السنوية بعد 6 أشهر من نشرها</w:t>
            </w:r>
          </w:p>
        </w:tc>
        <w:tc>
          <w:tcPr>
            <w:tcW w:w="2235" w:type="dxa"/>
            <w:tcBorders>
              <w:top w:val="nil"/>
              <w:left w:val="nil"/>
              <w:bottom w:val="nil"/>
            </w:tcBorders>
            <w:shd w:val="clear" w:color="auto" w:fill="auto"/>
          </w:tcPr>
          <w:p w:rsidR="00FA1D26" w:rsidRPr="008954A8" w:rsidRDefault="00FA1D26" w:rsidP="00862268">
            <w:pPr>
              <w:pStyle w:val="ARSGTableText"/>
              <w:jc w:val="center"/>
              <w:rPr>
                <w:rtl/>
                <w:lang w:bidi="ar-SA"/>
              </w:rPr>
            </w:pPr>
            <w:r w:rsidRPr="008954A8">
              <w:rPr>
                <w:rFonts w:hint="cs"/>
                <w:rtl/>
                <w:lang w:bidi="ar-SA"/>
              </w:rPr>
              <w:t>البرنامج 16</w:t>
            </w:r>
          </w:p>
        </w:tc>
      </w:tr>
      <w:tr w:rsidR="00FA1D26" w:rsidRPr="008954A8" w:rsidTr="00862268">
        <w:tc>
          <w:tcPr>
            <w:tcW w:w="3366" w:type="dxa"/>
            <w:tcBorders>
              <w:top w:val="nil"/>
              <w:bottom w:val="nil"/>
              <w:right w:val="nil"/>
            </w:tcBorders>
            <w:shd w:val="clear" w:color="auto" w:fill="auto"/>
          </w:tcPr>
          <w:p w:rsidR="00FA1D26" w:rsidRPr="008954A8" w:rsidRDefault="00FA1D26" w:rsidP="00862268">
            <w:pPr>
              <w:pStyle w:val="ARSGTableText"/>
              <w:rPr>
                <w:rtl/>
                <w:lang w:bidi="ar-SA"/>
              </w:rPr>
            </w:pPr>
          </w:p>
        </w:tc>
        <w:tc>
          <w:tcPr>
            <w:tcW w:w="3969" w:type="dxa"/>
            <w:tcBorders>
              <w:top w:val="nil"/>
              <w:left w:val="nil"/>
              <w:bottom w:val="nil"/>
              <w:right w:val="nil"/>
            </w:tcBorders>
            <w:shd w:val="clear" w:color="auto" w:fill="auto"/>
          </w:tcPr>
          <w:p w:rsidR="00FA1D26" w:rsidRPr="008954A8" w:rsidRDefault="00FA1D26" w:rsidP="00862268">
            <w:pPr>
              <w:pStyle w:val="ARSGTableText"/>
              <w:rPr>
                <w:rtl/>
              </w:rPr>
            </w:pPr>
            <w:r w:rsidRPr="004E6539">
              <w:rPr>
                <w:rtl/>
              </w:rPr>
              <w:t>الفرق بين تنبؤات يناير والعدد الفعلي لإيداعات معاهدة البراءات ومدريد ولاهاي ضمن العتبة المحددة</w:t>
            </w:r>
          </w:p>
        </w:tc>
        <w:tc>
          <w:tcPr>
            <w:tcW w:w="2235" w:type="dxa"/>
            <w:tcBorders>
              <w:top w:val="nil"/>
              <w:left w:val="nil"/>
              <w:bottom w:val="nil"/>
            </w:tcBorders>
            <w:shd w:val="clear" w:color="auto" w:fill="auto"/>
          </w:tcPr>
          <w:p w:rsidR="00FA1D26" w:rsidRPr="008954A8" w:rsidRDefault="00FA1D26" w:rsidP="00862268">
            <w:pPr>
              <w:pStyle w:val="ARSGTableText"/>
              <w:jc w:val="center"/>
              <w:rPr>
                <w:rtl/>
                <w:lang w:bidi="ar-SA"/>
              </w:rPr>
            </w:pPr>
            <w:r>
              <w:rPr>
                <w:rFonts w:hint="cs"/>
                <w:rtl/>
                <w:lang w:bidi="ar-SA"/>
              </w:rPr>
              <w:t>البرنامج 16</w:t>
            </w:r>
          </w:p>
        </w:tc>
      </w:tr>
      <w:tr w:rsidR="00FA1D26" w:rsidRPr="008954A8" w:rsidTr="007843AB">
        <w:tc>
          <w:tcPr>
            <w:tcW w:w="3366" w:type="dxa"/>
            <w:tcBorders>
              <w:top w:val="nil"/>
              <w:bottom w:val="nil"/>
              <w:right w:val="nil"/>
            </w:tcBorders>
            <w:shd w:val="clear" w:color="auto" w:fill="auto"/>
          </w:tcPr>
          <w:p w:rsidR="00FA1D26" w:rsidRPr="008954A8" w:rsidRDefault="00FA1D26" w:rsidP="00862268">
            <w:pPr>
              <w:pStyle w:val="ARSGTableText"/>
              <w:rPr>
                <w:rtl/>
              </w:rPr>
            </w:pPr>
            <w:r w:rsidRPr="008954A8">
              <w:rPr>
                <w:rFonts w:hint="cs"/>
                <w:rtl/>
                <w:lang w:bidi="ar-SA"/>
              </w:rPr>
              <w:t xml:space="preserve">ه 2.5 </w:t>
            </w:r>
            <w:r w:rsidRPr="004E6539">
              <w:rPr>
                <w:rtl/>
                <w:lang w:bidi="ar-SA"/>
              </w:rPr>
              <w:t>استخدام تحليلات الويبو الاقتصادية على نطاق أوسع ونحو أفضل في صياغة السياسات العامة</w:t>
            </w:r>
          </w:p>
        </w:tc>
        <w:tc>
          <w:tcPr>
            <w:tcW w:w="3969" w:type="dxa"/>
            <w:tcBorders>
              <w:top w:val="nil"/>
              <w:left w:val="nil"/>
              <w:bottom w:val="nil"/>
              <w:right w:val="nil"/>
            </w:tcBorders>
            <w:shd w:val="clear" w:color="auto" w:fill="auto"/>
          </w:tcPr>
          <w:p w:rsidR="00FA1D26" w:rsidRPr="008954A8" w:rsidRDefault="00FA1D26" w:rsidP="00862268">
            <w:pPr>
              <w:pStyle w:val="ARSGTableText"/>
              <w:rPr>
                <w:rtl/>
              </w:rPr>
            </w:pPr>
            <w:r w:rsidRPr="004E6539">
              <w:rPr>
                <w:rtl/>
              </w:rPr>
              <w:t>العدد السنوي لزائري مواقع مؤشر الابتكار العالمي</w:t>
            </w:r>
          </w:p>
        </w:tc>
        <w:tc>
          <w:tcPr>
            <w:tcW w:w="2235" w:type="dxa"/>
            <w:tcBorders>
              <w:top w:val="nil"/>
              <w:left w:val="nil"/>
              <w:bottom w:val="nil"/>
            </w:tcBorders>
            <w:shd w:val="clear" w:color="auto" w:fill="auto"/>
          </w:tcPr>
          <w:p w:rsidR="00FA1D26" w:rsidRPr="008954A8" w:rsidRDefault="00FA1D26" w:rsidP="007843AB">
            <w:pPr>
              <w:pStyle w:val="ARSGTableText"/>
              <w:jc w:val="center"/>
              <w:rPr>
                <w:rtl/>
                <w:lang w:bidi="ar-SA"/>
              </w:rPr>
            </w:pPr>
            <w:r w:rsidRPr="008954A8">
              <w:rPr>
                <w:rFonts w:hint="cs"/>
                <w:rtl/>
                <w:lang w:bidi="ar-SA"/>
              </w:rPr>
              <w:t xml:space="preserve">البرنامج </w:t>
            </w:r>
            <w:r>
              <w:rPr>
                <w:rFonts w:hint="cs"/>
                <w:rtl/>
                <w:lang w:bidi="ar-SA"/>
              </w:rPr>
              <w:t>16</w:t>
            </w:r>
          </w:p>
        </w:tc>
      </w:tr>
      <w:tr w:rsidR="00FA1D26" w:rsidRPr="008954A8" w:rsidTr="007843AB">
        <w:tc>
          <w:tcPr>
            <w:tcW w:w="3366" w:type="dxa"/>
            <w:tcBorders>
              <w:top w:val="nil"/>
              <w:bottom w:val="single" w:sz="4" w:space="0" w:color="auto"/>
              <w:right w:val="nil"/>
            </w:tcBorders>
            <w:shd w:val="clear" w:color="auto" w:fill="auto"/>
          </w:tcPr>
          <w:p w:rsidR="00FA1D26" w:rsidRPr="008954A8" w:rsidRDefault="00FA1D26" w:rsidP="00862268">
            <w:pPr>
              <w:pStyle w:val="ARSGTableText"/>
              <w:rPr>
                <w:rtl/>
                <w:lang w:bidi="ar-SA"/>
              </w:rPr>
            </w:pPr>
          </w:p>
        </w:tc>
        <w:tc>
          <w:tcPr>
            <w:tcW w:w="3969" w:type="dxa"/>
            <w:tcBorders>
              <w:top w:val="nil"/>
              <w:left w:val="nil"/>
              <w:bottom w:val="single" w:sz="4" w:space="0" w:color="auto"/>
              <w:right w:val="nil"/>
            </w:tcBorders>
            <w:shd w:val="clear" w:color="auto" w:fill="auto"/>
          </w:tcPr>
          <w:p w:rsidR="00FA1D26" w:rsidRPr="008954A8" w:rsidRDefault="00FA1D26" w:rsidP="00862268">
            <w:pPr>
              <w:pStyle w:val="ARSGTableText"/>
              <w:rPr>
                <w:rtl/>
                <w:lang w:bidi="ar-SA"/>
              </w:rPr>
            </w:pPr>
            <w:r w:rsidRPr="004E6539">
              <w:rPr>
                <w:rtl/>
                <w:lang w:bidi="ar-SA"/>
              </w:rPr>
              <w:t>عدد مرات تحميل التقرير العالمي للملكية الفكرية بعد 6 أشهر من نشره</w:t>
            </w:r>
          </w:p>
        </w:tc>
        <w:tc>
          <w:tcPr>
            <w:tcW w:w="2235" w:type="dxa"/>
            <w:tcBorders>
              <w:top w:val="nil"/>
              <w:left w:val="nil"/>
              <w:bottom w:val="single" w:sz="4" w:space="0" w:color="auto"/>
            </w:tcBorders>
            <w:shd w:val="clear" w:color="auto" w:fill="auto"/>
          </w:tcPr>
          <w:p w:rsidR="00FA1D26" w:rsidRPr="008954A8" w:rsidRDefault="00FA1D26" w:rsidP="00862268">
            <w:pPr>
              <w:pStyle w:val="ARSGTableText"/>
              <w:jc w:val="center"/>
              <w:rPr>
                <w:rtl/>
                <w:lang w:bidi="ar-SA"/>
              </w:rPr>
            </w:pPr>
            <w:r w:rsidRPr="008954A8">
              <w:rPr>
                <w:rFonts w:hint="cs"/>
                <w:rtl/>
                <w:lang w:bidi="ar-SA"/>
              </w:rPr>
              <w:t>البرنامج 16</w:t>
            </w:r>
          </w:p>
        </w:tc>
      </w:tr>
    </w:tbl>
    <w:p w:rsidR="00FA1D26" w:rsidRPr="008954A8" w:rsidRDefault="00FA1D26" w:rsidP="007843AB">
      <w:pPr>
        <w:rPr>
          <w:rFonts w:ascii="Arabic Typesetting" w:hAnsi="Arabic Typesetting" w:cs="Arabic Typesetting"/>
          <w:color w:val="000000"/>
          <w:sz w:val="34"/>
          <w:szCs w:val="34"/>
          <w:rtl/>
        </w:rPr>
      </w:pPr>
    </w:p>
    <w:p w:rsidR="00FA1D26" w:rsidRDefault="00FA1D26">
      <w:pPr>
        <w:bidi w:val="0"/>
        <w:rPr>
          <w:rFonts w:ascii="Arabic Typesetting" w:hAnsi="Arabic Typesetting" w:cs="Arabic Typesetting"/>
          <w:sz w:val="34"/>
          <w:szCs w:val="34"/>
          <w:rtl/>
          <w:lang w:val="fr-CH" w:bidi="ar-SA"/>
        </w:rPr>
      </w:pPr>
      <w:r>
        <w:rPr>
          <w:rtl/>
        </w:rPr>
        <w:br w:type="page"/>
      </w:r>
    </w:p>
    <w:p w:rsidR="00FA1D26" w:rsidRPr="008954A8" w:rsidRDefault="00FA1D26" w:rsidP="007843AB">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81" w:name="_Toc364355395"/>
      <w:bookmarkStart w:id="82" w:name="_Toc420595520"/>
      <w:r w:rsidRPr="008954A8">
        <w:rPr>
          <w:rFonts w:ascii="Arabic Typesetting" w:hAnsi="Arabic Typesetting" w:cs="Arabic Typesetting" w:hint="cs"/>
          <w:bCs/>
          <w:iCs w:val="0"/>
          <w:noProof/>
          <w:sz w:val="42"/>
          <w:szCs w:val="42"/>
          <w:rtl/>
        </w:rPr>
        <w:lastRenderedPageBreak/>
        <w:t xml:space="preserve">البرنامج 16 </w:t>
      </w:r>
      <w:r w:rsidRPr="008954A8">
        <w:rPr>
          <w:rFonts w:ascii="Arabic Typesetting" w:hAnsi="Arabic Typesetting" w:cs="Arabic Typesetting" w:hint="cs"/>
          <w:bCs/>
          <w:iCs w:val="0"/>
          <w:noProof/>
          <w:sz w:val="42"/>
          <w:szCs w:val="42"/>
          <w:rtl/>
        </w:rPr>
        <w:tab/>
        <w:t>الاقتصاد والإحصاء</w:t>
      </w:r>
      <w:bookmarkEnd w:id="81"/>
      <w:bookmarkEnd w:id="82"/>
    </w:p>
    <w:p w:rsidR="00FA1D26" w:rsidRPr="008954A8" w:rsidRDefault="00FA1D26"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954A8">
        <w:rPr>
          <w:rFonts w:ascii="Arabic Typesetting" w:hAnsi="Arabic Typesetting" w:cs="Arabic Typesetting" w:hint="cs"/>
          <w:noProof/>
          <w:sz w:val="38"/>
          <w:szCs w:val="38"/>
          <w:rtl/>
        </w:rPr>
        <w:t>سياق التخطيط</w:t>
      </w:r>
    </w:p>
    <w:p w:rsidR="00FA1D26" w:rsidRPr="008954A8" w:rsidRDefault="00FA1D26" w:rsidP="00861CFF">
      <w:pPr>
        <w:pStyle w:val="ARNumbered116"/>
        <w:numPr>
          <w:ilvl w:val="0"/>
          <w:numId w:val="29"/>
        </w:numPr>
        <w:spacing w:after="120" w:line="340" w:lineRule="exact"/>
        <w:ind w:left="0" w:firstLine="0"/>
        <w:rPr>
          <w:rFonts w:ascii="Arabic Typesetting" w:hAnsi="Arabic Typesetting" w:cs="Arabic Typesetting"/>
          <w:sz w:val="34"/>
          <w:szCs w:val="34"/>
          <w:rtl/>
        </w:rPr>
      </w:pPr>
      <w:r w:rsidRPr="008954A8">
        <w:rPr>
          <w:rFonts w:ascii="Arabic Typesetting" w:hAnsi="Arabic Typesetting" w:cs="Arabic Typesetting"/>
          <w:sz w:val="34"/>
          <w:szCs w:val="34"/>
          <w:rtl/>
        </w:rPr>
        <w:t xml:space="preserve">بينما </w:t>
      </w:r>
      <w:r>
        <w:rPr>
          <w:rFonts w:ascii="Arabic Typesetting" w:hAnsi="Arabic Typesetting" w:cs="Arabic Typesetting" w:hint="cs"/>
          <w:sz w:val="34"/>
          <w:szCs w:val="34"/>
          <w:rtl/>
        </w:rPr>
        <w:t>يواصل</w:t>
      </w:r>
      <w:r w:rsidRPr="008954A8">
        <w:rPr>
          <w:rFonts w:ascii="Arabic Typesetting" w:hAnsi="Arabic Typesetting" w:cs="Arabic Typesetting"/>
          <w:sz w:val="34"/>
          <w:szCs w:val="34"/>
          <w:rtl/>
        </w:rPr>
        <w:t xml:space="preserve"> الاقتصاد العالمي </w:t>
      </w:r>
      <w:r>
        <w:rPr>
          <w:rFonts w:ascii="Arabic Typesetting" w:hAnsi="Arabic Typesetting" w:cs="Arabic Typesetting" w:hint="cs"/>
          <w:sz w:val="34"/>
          <w:szCs w:val="34"/>
          <w:rtl/>
        </w:rPr>
        <w:t>تعافيه بوتيرة غير منتظمة</w:t>
      </w:r>
      <w:r w:rsidRPr="008954A8">
        <w:rPr>
          <w:rFonts w:ascii="Arabic Typesetting" w:hAnsi="Arabic Typesetting" w:cs="Arabic Typesetting"/>
          <w:sz w:val="34"/>
          <w:szCs w:val="34"/>
          <w:rtl/>
        </w:rPr>
        <w:t xml:space="preserve">، سوف يظل الابتكار عنصرا أساسيا في استدامة النمو على المدى البعيد وفي تحسين التنمية البشرية. </w:t>
      </w:r>
      <w:r>
        <w:rPr>
          <w:rFonts w:ascii="Arabic Typesetting" w:hAnsi="Arabic Typesetting" w:cs="Arabic Typesetting" w:hint="cs"/>
          <w:sz w:val="34"/>
          <w:szCs w:val="34"/>
          <w:rtl/>
        </w:rPr>
        <w:t xml:space="preserve">ولحسن الحظ، </w:t>
      </w:r>
      <w:r w:rsidRPr="008954A8">
        <w:rPr>
          <w:rFonts w:ascii="Arabic Typesetting" w:hAnsi="Arabic Typesetting" w:cs="Arabic Typesetting"/>
          <w:sz w:val="34"/>
          <w:szCs w:val="34"/>
          <w:rtl/>
        </w:rPr>
        <w:t>يقدم واقع الابتكار المتغير فرصاً جديدة لتسخير المعارف لفائدة المجتمعات. وعلى وجه التحديد، تستثمر البلدان موارد أكثر مما مضى في الاقتصاد المعرفي، كما بزغت مصادر جديدة للابتكار – وخاصة في قارة آسيا. ومع ذلك، وعلى الرغم من النمو السريع لبعض البلدان النامية، فما تزال نسبة كبيرة من سكان العالم تعيش بين براثن الفقر وتعجز عن استغلال المعارف لتحقيق الازدهار الاقتصادي.</w:t>
      </w:r>
    </w:p>
    <w:p w:rsidR="00FA1D26" w:rsidRPr="008954A8" w:rsidRDefault="00FA1D26" w:rsidP="00861CFF">
      <w:pPr>
        <w:pStyle w:val="ARNumbered116"/>
        <w:numPr>
          <w:ilvl w:val="0"/>
          <w:numId w:val="29"/>
        </w:numPr>
        <w:spacing w:after="120" w:line="340" w:lineRule="exact"/>
        <w:ind w:left="0" w:firstLine="0"/>
        <w:rPr>
          <w:rFonts w:ascii="Arabic Typesetting" w:hAnsi="Arabic Typesetting" w:cs="Arabic Typesetting"/>
          <w:b/>
          <w:sz w:val="34"/>
          <w:szCs w:val="34"/>
          <w:rtl/>
        </w:rPr>
      </w:pPr>
      <w:r w:rsidRPr="008954A8">
        <w:rPr>
          <w:rFonts w:ascii="Arabic Typesetting" w:hAnsi="Arabic Typesetting" w:cs="Arabic Typesetting"/>
          <w:color w:val="000000"/>
          <w:sz w:val="34"/>
          <w:szCs w:val="34"/>
          <w:rtl/>
        </w:rPr>
        <w:t xml:space="preserve">وإزاء </w:t>
      </w:r>
      <w:r w:rsidRPr="008954A8">
        <w:rPr>
          <w:rFonts w:ascii="Arabic Typesetting" w:hAnsi="Arabic Typesetting" w:cs="Arabic Typesetting"/>
          <w:b/>
          <w:sz w:val="34"/>
          <w:szCs w:val="34"/>
          <w:rtl/>
        </w:rPr>
        <w:t xml:space="preserve">هذه الخلفية، يواجه نظام الملكية الفكرية العالمي تحديات كبرى. </w:t>
      </w:r>
      <w:r w:rsidRPr="008954A8">
        <w:rPr>
          <w:rFonts w:ascii="Arabic Typesetting" w:hAnsi="Arabic Typesetting" w:cs="Arabic Typesetting" w:hint="cs"/>
          <w:b/>
          <w:sz w:val="34"/>
          <w:szCs w:val="34"/>
          <w:rtl/>
        </w:rPr>
        <w:t>و</w:t>
      </w:r>
      <w:r w:rsidRPr="008954A8">
        <w:rPr>
          <w:rFonts w:ascii="Arabic Typesetting" w:hAnsi="Arabic Typesetting" w:cs="Arabic Typesetting"/>
          <w:b/>
          <w:sz w:val="34"/>
          <w:szCs w:val="34"/>
          <w:rtl/>
        </w:rPr>
        <w:t xml:space="preserve">يحتاج صانعو السياسة إلى تلبية الطلب المتزايد بصفة دائمة على حقوق الملكية والتكنولوجيات الجديدة ونماذج الأعمال التجارية وإلى توفير وتعزيز إطار دولي يوفر حماية متوازنة للملكية الفكرية. </w:t>
      </w:r>
      <w:r w:rsidRPr="008954A8">
        <w:rPr>
          <w:rFonts w:ascii="Arabic Typesetting" w:hAnsi="Arabic Typesetting" w:cs="Arabic Typesetting" w:hint="cs"/>
          <w:b/>
          <w:sz w:val="34"/>
          <w:szCs w:val="34"/>
          <w:rtl/>
        </w:rPr>
        <w:t>و</w:t>
      </w:r>
      <w:r w:rsidRPr="008954A8">
        <w:rPr>
          <w:rFonts w:ascii="Arabic Typesetting" w:hAnsi="Arabic Typesetting" w:cs="Arabic Typesetting"/>
          <w:b/>
          <w:sz w:val="34"/>
          <w:szCs w:val="34"/>
          <w:rtl/>
        </w:rPr>
        <w:t>يواجه واضعو السياسات في البلدان النامية تحديات خاصة ملموسة في سياق تطويع سياسة الملكية الفكرية للوفاء باحتياجات اقتصاديات هذه البلدان، مع الأخذ في الاعتبار ثروات الموارد الطبيعية المختلفة وما تحتويه من هياكل صناعية متباينة.</w:t>
      </w:r>
    </w:p>
    <w:p w:rsidR="00FA1D26" w:rsidRPr="004C5D98" w:rsidRDefault="00FA1D26" w:rsidP="007843AB">
      <w:pPr>
        <w:pStyle w:val="ARNumbered116"/>
        <w:numPr>
          <w:ilvl w:val="0"/>
          <w:numId w:val="29"/>
        </w:numPr>
        <w:tabs>
          <w:tab w:val="left" w:pos="714"/>
        </w:tabs>
        <w:spacing w:after="120" w:line="340" w:lineRule="exact"/>
        <w:ind w:left="0" w:firstLine="0"/>
        <w:rPr>
          <w:rFonts w:ascii="Arabic Typesetting" w:hAnsi="Arabic Typesetting" w:cs="Arabic Typesetting"/>
          <w:color w:val="000000"/>
          <w:sz w:val="34"/>
          <w:szCs w:val="34"/>
          <w:rtl/>
        </w:rPr>
      </w:pPr>
      <w:r w:rsidRPr="004C5D98">
        <w:rPr>
          <w:rFonts w:ascii="Arabic Typesetting" w:hAnsi="Arabic Typesetting" w:cs="Arabic Typesetting" w:hint="cs"/>
          <w:b/>
          <w:sz w:val="34"/>
          <w:szCs w:val="34"/>
          <w:rtl/>
        </w:rPr>
        <w:t xml:space="preserve">وعليه، </w:t>
      </w:r>
      <w:r w:rsidRPr="004C5D98">
        <w:rPr>
          <w:rFonts w:ascii="Arabic Typesetting" w:hAnsi="Arabic Typesetting" w:cs="Arabic Typesetting" w:hint="cs"/>
          <w:color w:val="000000"/>
          <w:sz w:val="34"/>
          <w:szCs w:val="34"/>
          <w:rtl/>
        </w:rPr>
        <w:t>يسعى ا</w:t>
      </w:r>
      <w:r w:rsidRPr="004C5D98">
        <w:rPr>
          <w:rFonts w:ascii="Arabic Typesetting" w:hAnsi="Arabic Typesetting" w:cs="Arabic Typesetting"/>
          <w:color w:val="000000"/>
          <w:sz w:val="34"/>
          <w:szCs w:val="34"/>
          <w:rtl/>
        </w:rPr>
        <w:t xml:space="preserve">لبرنامج </w:t>
      </w:r>
      <w:r w:rsidRPr="004C5D98">
        <w:rPr>
          <w:rFonts w:ascii="Arabic Typesetting" w:hAnsi="Arabic Typesetting" w:cs="Arabic Typesetting" w:hint="cs"/>
          <w:color w:val="000000"/>
          <w:sz w:val="34"/>
          <w:szCs w:val="34"/>
          <w:rtl/>
        </w:rPr>
        <w:t>إلى تحقيق هدفين</w:t>
      </w:r>
      <w:r w:rsidRPr="004C5D98">
        <w:rPr>
          <w:rFonts w:ascii="Arabic Typesetting" w:hAnsi="Arabic Typesetting" w:cs="Arabic Typesetting"/>
          <w:color w:val="000000"/>
          <w:sz w:val="34"/>
          <w:szCs w:val="34"/>
          <w:rtl/>
        </w:rPr>
        <w:t xml:space="preserve">: أولاً، توفير معلومات إحصائية دقيقة وشاملة وفي الوقت المناسب على أداء نظام الملكية الفكرية في جميع أنحاء العالم؛ وثانيا، توفير تحليل تطبيقي عالي الجودة </w:t>
      </w:r>
      <w:r w:rsidRPr="004C5D98">
        <w:rPr>
          <w:rFonts w:ascii="Arabic Typesetting" w:hAnsi="Arabic Typesetting" w:cs="Arabic Typesetting" w:hint="cs"/>
          <w:color w:val="000000"/>
          <w:sz w:val="34"/>
          <w:szCs w:val="34"/>
          <w:rtl/>
        </w:rPr>
        <w:t>دعما لوضع السياسات استنادا إلى الأدلة.</w:t>
      </w:r>
    </w:p>
    <w:p w:rsidR="00FA1D26" w:rsidRPr="008702A2" w:rsidRDefault="00FA1D26"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702A2">
        <w:rPr>
          <w:rFonts w:ascii="Arabic Typesetting" w:hAnsi="Arabic Typesetting" w:cs="Arabic Typesetting" w:hint="cs"/>
          <w:noProof/>
          <w:sz w:val="38"/>
          <w:szCs w:val="38"/>
          <w:rtl/>
        </w:rPr>
        <w:t>استراتيجيات التنفيذ</w:t>
      </w:r>
    </w:p>
    <w:p w:rsidR="00FA1D26" w:rsidRPr="008954A8" w:rsidRDefault="00FA1D26" w:rsidP="002D4601">
      <w:pPr>
        <w:pStyle w:val="ARNumbered116"/>
        <w:numPr>
          <w:ilvl w:val="0"/>
          <w:numId w:val="29"/>
        </w:numPr>
        <w:spacing w:after="120" w:line="340" w:lineRule="exact"/>
        <w:ind w:left="0" w:firstLine="0"/>
        <w:rPr>
          <w:rFonts w:ascii="Arabic Typesetting" w:hAnsi="Arabic Typesetting" w:cs="Arabic Typesetting"/>
          <w:b/>
          <w:sz w:val="34"/>
          <w:szCs w:val="34"/>
          <w:rtl/>
        </w:rPr>
      </w:pPr>
      <w:r w:rsidRPr="008954A8">
        <w:rPr>
          <w:rFonts w:ascii="Arabic Typesetting" w:hAnsi="Arabic Typesetting" w:cs="Arabic Typesetting"/>
          <w:b/>
          <w:sz w:val="34"/>
          <w:szCs w:val="34"/>
          <w:rtl/>
        </w:rPr>
        <w:t xml:space="preserve">في مجال </w:t>
      </w:r>
      <w:r w:rsidRPr="008954A8">
        <w:rPr>
          <w:rFonts w:ascii="Arabic Typesetting" w:hAnsi="Arabic Typesetting" w:cs="Arabic Typesetting"/>
          <w:sz w:val="34"/>
          <w:szCs w:val="34"/>
          <w:rtl/>
        </w:rPr>
        <w:t>احصاءات الملكية الفكرية، تعمل الويبو مع مكاتب الملكية الفكرية الوطنية والإقليمية على جمع البيانات المتعلقة بنشاط الملكية الفكرية في جميع أنحاء العالم من خلال الاستقصاء الإحصائي السنوي الذي تجريه المنظمة. ويتم إعداد الإحصاءات عن معاهدات الإيداع التي تديرها الويبو داخل المنظمة. وسيواصل المنشور الإحصائي الرئيسي للويبو - مؤشرات الملكية الفكرية العالمية - تلخيص الاتجاهات الإحصائية الرئيسية في مجال براءات الاختراع ونماذج المنفعة والعلامات التجارية والتصاميم الصناعية</w:t>
      </w:r>
      <w:r>
        <w:rPr>
          <w:rFonts w:ascii="Arabic Typesetting" w:hAnsi="Arabic Typesetting" w:cs="Arabic Typesetting" w:hint="cs"/>
          <w:sz w:val="34"/>
          <w:szCs w:val="34"/>
          <w:rtl/>
        </w:rPr>
        <w:t xml:space="preserve"> والأصناف النباتية</w:t>
      </w:r>
      <w:r w:rsidRPr="008954A8">
        <w:rPr>
          <w:rFonts w:ascii="Arabic Typesetting" w:hAnsi="Arabic Typesetting" w:cs="Arabic Typesetting"/>
          <w:sz w:val="34"/>
          <w:szCs w:val="34"/>
          <w:rtl/>
        </w:rPr>
        <w:t xml:space="preserve">. كما ستصدر منشورات إحصائية منفصلة عن أداء أنظمة التعاون بشأن البراءات ومدريد ولاهاي. كما سيواصل مركز البيانات الإحصائية للملكية الفكرية إتاحة جميع الإحصاءات للمستخدمين في جميع أنحاء العالم. وفي ضوء الأولويات التي تم تحديدها أعلاه، </w:t>
      </w:r>
      <w:r>
        <w:rPr>
          <w:rFonts w:ascii="Arabic Typesetting" w:hAnsi="Arabic Typesetting" w:cs="Arabic Typesetting" w:hint="cs"/>
          <w:sz w:val="34"/>
          <w:szCs w:val="34"/>
          <w:rtl/>
        </w:rPr>
        <w:t>سيبذل البرنامج</w:t>
      </w:r>
      <w:r w:rsidRPr="008954A8">
        <w:rPr>
          <w:rFonts w:ascii="Arabic Typesetting" w:hAnsi="Arabic Typesetting" w:cs="Arabic Typesetting"/>
          <w:sz w:val="34"/>
          <w:szCs w:val="34"/>
          <w:rtl/>
        </w:rPr>
        <w:t xml:space="preserve"> جهود</w:t>
      </w:r>
      <w:r>
        <w:rPr>
          <w:rFonts w:ascii="Arabic Typesetting" w:hAnsi="Arabic Typesetting" w:cs="Arabic Typesetting" w:hint="cs"/>
          <w:sz w:val="34"/>
          <w:szCs w:val="34"/>
          <w:rtl/>
        </w:rPr>
        <w:t>ا</w:t>
      </w:r>
      <w:r w:rsidRPr="008954A8">
        <w:rPr>
          <w:rFonts w:ascii="Arabic Typesetting" w:hAnsi="Arabic Typesetting" w:cs="Arabic Typesetting"/>
          <w:sz w:val="34"/>
          <w:szCs w:val="34"/>
          <w:rtl/>
        </w:rPr>
        <w:t xml:space="preserve"> خاصة من أجل </w:t>
      </w:r>
      <w:r>
        <w:rPr>
          <w:rFonts w:ascii="Arabic Typesetting" w:hAnsi="Arabic Typesetting" w:cs="Arabic Typesetting" w:hint="cs"/>
          <w:sz w:val="34"/>
          <w:szCs w:val="34"/>
          <w:rtl/>
        </w:rPr>
        <w:t xml:space="preserve">تجميع إحصاءات جديدة بشأن البيانات الجغرافية </w:t>
      </w:r>
      <w:r w:rsidR="002D4601">
        <w:rPr>
          <w:rFonts w:ascii="Arabic Typesetting" w:hAnsi="Arabic Typesetting" w:cs="Arabic Typesetting" w:hint="cs"/>
          <w:sz w:val="34"/>
          <w:szCs w:val="34"/>
          <w:rtl/>
        </w:rPr>
        <w:t xml:space="preserve">والعلامات التجارية الجماعية وعلامات التصديق </w:t>
      </w:r>
      <w:r>
        <w:rPr>
          <w:rFonts w:ascii="Arabic Typesetting" w:hAnsi="Arabic Typesetting" w:cs="Arabic Typesetting" w:hint="cs"/>
          <w:sz w:val="34"/>
          <w:szCs w:val="34"/>
          <w:rtl/>
        </w:rPr>
        <w:t>والأنشطة المتعلقة بحق المؤلف والتبليغ عنها وتحسين سهولة</w:t>
      </w:r>
      <w:r w:rsidRPr="008954A8">
        <w:rPr>
          <w:rFonts w:ascii="Arabic Typesetting" w:hAnsi="Arabic Typesetting" w:cs="Arabic Typesetting"/>
          <w:sz w:val="34"/>
          <w:szCs w:val="34"/>
          <w:rtl/>
        </w:rPr>
        <w:t xml:space="preserve"> استخدام إحصا</w:t>
      </w:r>
      <w:r>
        <w:rPr>
          <w:rFonts w:ascii="Arabic Typesetting" w:hAnsi="Arabic Typesetting" w:cs="Arabic Typesetting" w:hint="cs"/>
          <w:sz w:val="34"/>
          <w:szCs w:val="34"/>
          <w:rtl/>
        </w:rPr>
        <w:t>ءات الويبو</w:t>
      </w:r>
      <w:r w:rsidRPr="008954A8">
        <w:rPr>
          <w:rFonts w:ascii="Arabic Typesetting" w:hAnsi="Arabic Typesetting" w:cs="Arabic Typesetting"/>
          <w:b/>
          <w:sz w:val="34"/>
          <w:szCs w:val="34"/>
          <w:rtl/>
        </w:rPr>
        <w:t>.</w:t>
      </w:r>
    </w:p>
    <w:p w:rsidR="00FA1D26" w:rsidRDefault="00FA1D26" w:rsidP="00083CF9">
      <w:pPr>
        <w:pStyle w:val="ARNumbered116"/>
        <w:numPr>
          <w:ilvl w:val="0"/>
          <w:numId w:val="29"/>
        </w:numPr>
        <w:spacing w:after="120" w:line="340" w:lineRule="exact"/>
        <w:ind w:left="0" w:firstLine="0"/>
        <w:rPr>
          <w:rFonts w:ascii="Arabic Typesetting" w:hAnsi="Arabic Typesetting" w:cs="Arabic Typesetting"/>
          <w:color w:val="000000"/>
          <w:sz w:val="34"/>
          <w:szCs w:val="34"/>
        </w:rPr>
      </w:pPr>
      <w:r w:rsidRPr="006136C8">
        <w:rPr>
          <w:rFonts w:ascii="Arabic Typesetting" w:hAnsi="Arabic Typesetting" w:cs="Arabic Typesetting" w:hint="cs"/>
          <w:b/>
          <w:sz w:val="34"/>
          <w:szCs w:val="34"/>
          <w:rtl/>
        </w:rPr>
        <w:t>و</w:t>
      </w:r>
      <w:r w:rsidRPr="006136C8">
        <w:rPr>
          <w:rFonts w:ascii="Arabic Typesetting" w:hAnsi="Arabic Typesetting" w:cs="Arabic Typesetting"/>
          <w:b/>
          <w:sz w:val="34"/>
          <w:szCs w:val="34"/>
          <w:rtl/>
        </w:rPr>
        <w:t xml:space="preserve">في مجال </w:t>
      </w:r>
      <w:r w:rsidRPr="006136C8">
        <w:rPr>
          <w:rFonts w:ascii="Arabic Typesetting" w:hAnsi="Arabic Typesetting" w:cs="Arabic Typesetting"/>
          <w:color w:val="000000"/>
          <w:sz w:val="34"/>
          <w:szCs w:val="34"/>
          <w:rtl/>
        </w:rPr>
        <w:t>التحليل الاقتصادي، سوف تواصل الويبو دورها في المشاركة في نشر مؤشر الابتكار العالمي، ساعية في ذلك إلى المساهمة في قياس الابتكار وتزويد وا</w:t>
      </w:r>
      <w:r w:rsidR="00083CF9">
        <w:rPr>
          <w:rFonts w:ascii="Arabic Typesetting" w:hAnsi="Arabic Typesetting" w:cs="Arabic Typesetting"/>
          <w:color w:val="000000"/>
          <w:sz w:val="34"/>
          <w:szCs w:val="34"/>
          <w:rtl/>
        </w:rPr>
        <w:t xml:space="preserve">ضعي السياسات </w:t>
      </w:r>
      <w:r w:rsidR="00083CF9">
        <w:rPr>
          <w:rFonts w:ascii="Arabic Typesetting" w:hAnsi="Arabic Typesetting" w:cs="Arabic Typesetting" w:hint="cs"/>
          <w:color w:val="000000"/>
          <w:sz w:val="34"/>
          <w:szCs w:val="34"/>
          <w:rtl/>
        </w:rPr>
        <w:t xml:space="preserve">بالمعلومات اللازمة عن </w:t>
      </w:r>
      <w:r w:rsidRPr="006136C8">
        <w:rPr>
          <w:rFonts w:ascii="Arabic Typesetting" w:hAnsi="Arabic Typesetting" w:cs="Arabic Typesetting"/>
          <w:color w:val="000000"/>
          <w:sz w:val="34"/>
          <w:szCs w:val="34"/>
          <w:rtl/>
        </w:rPr>
        <w:t xml:space="preserve">الأداء الابتكاري. </w:t>
      </w:r>
      <w:r w:rsidR="00083CF9">
        <w:rPr>
          <w:rFonts w:ascii="Arabic Typesetting" w:hAnsi="Arabic Typesetting" w:cs="Arabic Typesetting" w:hint="cs"/>
          <w:color w:val="000000"/>
          <w:sz w:val="34"/>
          <w:szCs w:val="34"/>
          <w:rtl/>
        </w:rPr>
        <w:t xml:space="preserve">وستواصل الويبو التماس تعليقات الدول الأعضاء بشأن كيفية تحسين المؤشر. </w:t>
      </w:r>
      <w:r w:rsidRPr="006136C8">
        <w:rPr>
          <w:rFonts w:ascii="Arabic Typesetting" w:hAnsi="Arabic Typesetting" w:cs="Arabic Typesetting"/>
          <w:color w:val="000000"/>
          <w:sz w:val="34"/>
          <w:szCs w:val="34"/>
          <w:rtl/>
        </w:rPr>
        <w:t>كما ستواصل إصدار سلسلة التقرير العالمي للملكية الفكرية بهدف استكشاف مفاهيم جديدة وإثراء التحليل المتعلق بأحدث موضوعات الملكية الفكرية العالمية التي طرح</w:t>
      </w:r>
      <w:r>
        <w:rPr>
          <w:rFonts w:ascii="Arabic Typesetting" w:hAnsi="Arabic Typesetting" w:cs="Arabic Typesetting" w:hint="cs"/>
          <w:color w:val="000000"/>
          <w:sz w:val="34"/>
          <w:szCs w:val="34"/>
          <w:rtl/>
        </w:rPr>
        <w:t>ت</w:t>
      </w:r>
      <w:r w:rsidRPr="006136C8">
        <w:rPr>
          <w:rFonts w:ascii="Arabic Typesetting" w:hAnsi="Arabic Typesetting" w:cs="Arabic Typesetting"/>
          <w:color w:val="000000"/>
          <w:sz w:val="34"/>
          <w:szCs w:val="34"/>
          <w:rtl/>
        </w:rPr>
        <w:t xml:space="preserve"> على الساحة </w:t>
      </w:r>
      <w:r>
        <w:rPr>
          <w:rFonts w:ascii="Arabic Typesetting" w:hAnsi="Arabic Typesetting" w:cs="Arabic Typesetting" w:hint="cs"/>
          <w:color w:val="000000"/>
          <w:sz w:val="34"/>
          <w:szCs w:val="34"/>
          <w:rtl/>
        </w:rPr>
        <w:t>حتى الآن</w:t>
      </w:r>
      <w:r w:rsidRPr="006136C8">
        <w:rPr>
          <w:rFonts w:ascii="Arabic Typesetting" w:hAnsi="Arabic Typesetting" w:cs="Arabic Typesetting"/>
          <w:color w:val="000000"/>
          <w:sz w:val="34"/>
          <w:szCs w:val="34"/>
          <w:rtl/>
        </w:rPr>
        <w:t xml:space="preserve">. وبالإضافة إلى ذلك، </w:t>
      </w:r>
      <w:r>
        <w:rPr>
          <w:rFonts w:ascii="Arabic Typesetting" w:hAnsi="Arabic Typesetting" w:cs="Arabic Typesetting" w:hint="cs"/>
          <w:color w:val="000000"/>
          <w:sz w:val="34"/>
          <w:szCs w:val="34"/>
          <w:rtl/>
        </w:rPr>
        <w:t>سيسعى البرنامج إلى إنشاء مسار بحث جديد بشأن السياسات والأداء في الاقتصاد الإبداعي.</w:t>
      </w:r>
      <w:r w:rsidR="005E7BD0">
        <w:rPr>
          <w:rFonts w:ascii="Arabic Typesetting" w:hAnsi="Arabic Typesetting" w:cs="Arabic Typesetting" w:hint="cs"/>
          <w:color w:val="000000"/>
          <w:sz w:val="34"/>
          <w:szCs w:val="34"/>
          <w:rtl/>
        </w:rPr>
        <w:t xml:space="preserve"> وسيقيم البرنامج، في تنفيذه لمسار البحث الجديد، تعاونا وثيقا مع البرنامج 3.</w:t>
      </w:r>
    </w:p>
    <w:p w:rsidR="00FA1D26" w:rsidRPr="006136C8" w:rsidRDefault="00FA1D26" w:rsidP="00861CFF">
      <w:pPr>
        <w:pStyle w:val="ARNumbered116"/>
        <w:numPr>
          <w:ilvl w:val="0"/>
          <w:numId w:val="29"/>
        </w:numPr>
        <w:spacing w:after="120" w:line="340" w:lineRule="exact"/>
        <w:ind w:left="0" w:firstLine="0"/>
        <w:rPr>
          <w:rFonts w:ascii="Arabic Typesetting" w:hAnsi="Arabic Typesetting" w:cs="Arabic Typesetting"/>
          <w:color w:val="000000"/>
          <w:sz w:val="34"/>
          <w:szCs w:val="34"/>
          <w:rtl/>
        </w:rPr>
      </w:pPr>
      <w:r>
        <w:rPr>
          <w:rFonts w:ascii="Arabic Typesetting" w:hAnsi="Arabic Typesetting" w:cs="Arabic Typesetting" w:hint="cs"/>
          <w:color w:val="000000"/>
          <w:sz w:val="34"/>
          <w:szCs w:val="34"/>
          <w:rtl/>
        </w:rPr>
        <w:t>وكما كان الحال في الماضي،</w:t>
      </w:r>
      <w:r w:rsidRPr="006136C8">
        <w:rPr>
          <w:rFonts w:ascii="Arabic Typesetting" w:hAnsi="Arabic Typesetting" w:cs="Arabic Typesetting"/>
          <w:color w:val="000000"/>
          <w:sz w:val="34"/>
          <w:szCs w:val="34"/>
          <w:rtl/>
        </w:rPr>
        <w:t xml:space="preserve"> </w:t>
      </w:r>
      <w:r>
        <w:rPr>
          <w:rFonts w:ascii="Arabic Typesetting" w:hAnsi="Arabic Typesetting" w:cs="Arabic Typesetting" w:hint="cs"/>
          <w:color w:val="000000"/>
          <w:sz w:val="34"/>
          <w:szCs w:val="34"/>
          <w:rtl/>
        </w:rPr>
        <w:t>س</w:t>
      </w:r>
      <w:r w:rsidRPr="006136C8">
        <w:rPr>
          <w:rFonts w:ascii="Arabic Typesetting" w:hAnsi="Arabic Typesetting" w:cs="Arabic Typesetting"/>
          <w:color w:val="000000"/>
          <w:sz w:val="34"/>
          <w:szCs w:val="34"/>
          <w:rtl/>
        </w:rPr>
        <w:t xml:space="preserve">يكون البرنامج على أهبة الاستعداد للاستجابة لطلبات التحليل الاقتصادي التي ترد إلى لجان الويبو. وأخيراً، </w:t>
      </w:r>
      <w:r>
        <w:rPr>
          <w:rFonts w:ascii="Arabic Typesetting" w:hAnsi="Arabic Typesetting" w:cs="Arabic Typesetting" w:hint="cs"/>
          <w:color w:val="000000"/>
          <w:sz w:val="34"/>
          <w:szCs w:val="34"/>
          <w:rtl/>
        </w:rPr>
        <w:t>فإن</w:t>
      </w:r>
      <w:r w:rsidRPr="006136C8">
        <w:rPr>
          <w:rFonts w:ascii="Arabic Typesetting" w:hAnsi="Arabic Typesetting" w:cs="Arabic Typesetting"/>
          <w:color w:val="000000"/>
          <w:sz w:val="34"/>
          <w:szCs w:val="34"/>
          <w:rtl/>
        </w:rPr>
        <w:t xml:space="preserve"> عمل الدراسات في البلدان النامية</w:t>
      </w:r>
      <w:r>
        <w:rPr>
          <w:rFonts w:ascii="Arabic Typesetting" w:hAnsi="Arabic Typesetting" w:cs="Arabic Typesetting" w:hint="cs"/>
          <w:color w:val="000000"/>
          <w:sz w:val="34"/>
          <w:szCs w:val="34"/>
          <w:rtl/>
        </w:rPr>
        <w:t>،</w:t>
      </w:r>
      <w:r w:rsidRPr="006136C8">
        <w:rPr>
          <w:rFonts w:ascii="Arabic Typesetting" w:hAnsi="Arabic Typesetting" w:cs="Arabic Typesetting"/>
          <w:color w:val="000000"/>
          <w:sz w:val="34"/>
          <w:szCs w:val="34"/>
          <w:rtl/>
        </w:rPr>
        <w:t xml:space="preserve"> </w:t>
      </w:r>
      <w:r>
        <w:rPr>
          <w:rFonts w:ascii="Arabic Typesetting" w:hAnsi="Arabic Typesetting" w:cs="Arabic Typesetting" w:hint="cs"/>
          <w:color w:val="000000"/>
          <w:sz w:val="34"/>
          <w:szCs w:val="34"/>
          <w:rtl/>
        </w:rPr>
        <w:t>باعتباره جزءا في مشروع من مشاريع جدول أعمال التنمية، سيوسع ليشمل أربعة بلدان أو خمسة بلدان جديدة. وتلبية لاحتياجات الدول الأعضاء،</w:t>
      </w:r>
      <w:r w:rsidRPr="006136C8">
        <w:rPr>
          <w:rFonts w:ascii="Arabic Typesetting" w:hAnsi="Arabic Typesetting" w:cs="Arabic Typesetting"/>
          <w:color w:val="000000"/>
          <w:sz w:val="34"/>
          <w:szCs w:val="34"/>
          <w:rtl/>
        </w:rPr>
        <w:t xml:space="preserve"> ستستمر هذه الدراسات </w:t>
      </w:r>
      <w:r>
        <w:rPr>
          <w:rFonts w:ascii="Arabic Typesetting" w:hAnsi="Arabic Typesetting" w:cs="Arabic Typesetting" w:hint="cs"/>
          <w:color w:val="000000"/>
          <w:sz w:val="34"/>
          <w:szCs w:val="34"/>
          <w:rtl/>
        </w:rPr>
        <w:t>استرشادها ب</w:t>
      </w:r>
      <w:r w:rsidRPr="006136C8">
        <w:rPr>
          <w:rFonts w:ascii="Arabic Typesetting" w:hAnsi="Arabic Typesetting" w:cs="Arabic Typesetting"/>
          <w:color w:val="000000"/>
          <w:sz w:val="34"/>
          <w:szCs w:val="34"/>
          <w:rtl/>
        </w:rPr>
        <w:t xml:space="preserve">توصيات جدول أعمال التنمية </w:t>
      </w:r>
      <w:r>
        <w:rPr>
          <w:rFonts w:ascii="Arabic Typesetting" w:hAnsi="Arabic Typesetting" w:cs="Arabic Typesetting" w:hint="cs"/>
          <w:color w:val="000000"/>
          <w:sz w:val="34"/>
          <w:szCs w:val="34"/>
          <w:rtl/>
        </w:rPr>
        <w:t>المعنية</w:t>
      </w:r>
      <w:r w:rsidRPr="006136C8">
        <w:rPr>
          <w:rFonts w:ascii="Arabic Typesetting" w:hAnsi="Arabic Typesetting" w:cs="Arabic Typesetting"/>
          <w:color w:val="000000"/>
          <w:sz w:val="34"/>
          <w:szCs w:val="34"/>
          <w:rtl/>
        </w:rPr>
        <w:t xml:space="preserve"> – لا سيما التوصيات</w:t>
      </w:r>
      <w:r>
        <w:rPr>
          <w:rFonts w:ascii="Arabic Typesetting" w:hAnsi="Arabic Typesetting" w:cs="Arabic Typesetting" w:hint="cs"/>
          <w:color w:val="000000"/>
          <w:sz w:val="34"/>
          <w:szCs w:val="34"/>
          <w:rtl/>
        </w:rPr>
        <w:t xml:space="preserve"> 34 و</w:t>
      </w:r>
      <w:r w:rsidRPr="006136C8">
        <w:rPr>
          <w:rFonts w:ascii="Arabic Typesetting" w:hAnsi="Arabic Typesetting" w:cs="Arabic Typesetting"/>
          <w:color w:val="000000"/>
          <w:sz w:val="34"/>
          <w:szCs w:val="34"/>
          <w:rtl/>
        </w:rPr>
        <w:t>35 و37</w:t>
      </w:r>
      <w:r>
        <w:rPr>
          <w:rFonts w:ascii="Arabic Typesetting" w:hAnsi="Arabic Typesetting" w:cs="Arabic Typesetting"/>
          <w:color w:val="000000"/>
          <w:sz w:val="34"/>
          <w:szCs w:val="34"/>
          <w:rtl/>
        </w:rPr>
        <w:t xml:space="preserve"> </w:t>
      </w:r>
      <w:r>
        <w:rPr>
          <w:rFonts w:ascii="Arabic Typesetting" w:hAnsi="Arabic Typesetting" w:cs="Arabic Typesetting" w:hint="cs"/>
          <w:color w:val="000000"/>
          <w:sz w:val="34"/>
          <w:szCs w:val="34"/>
          <w:rtl/>
        </w:rPr>
        <w:t>و39</w:t>
      </w:r>
      <w:r w:rsidRPr="006136C8">
        <w:rPr>
          <w:rFonts w:ascii="Arabic Typesetting" w:hAnsi="Arabic Typesetting" w:cs="Arabic Typesetting"/>
          <w:color w:val="000000"/>
          <w:sz w:val="34"/>
          <w:szCs w:val="34"/>
          <w:rtl/>
        </w:rPr>
        <w:t>– وتقديم مدخلات تجري</w:t>
      </w:r>
      <w:r>
        <w:rPr>
          <w:rFonts w:ascii="Arabic Typesetting" w:hAnsi="Arabic Typesetting" w:cs="Arabic Typesetting"/>
          <w:color w:val="000000"/>
          <w:sz w:val="34"/>
          <w:szCs w:val="34"/>
          <w:rtl/>
        </w:rPr>
        <w:t xml:space="preserve">بية في سياق </w:t>
      </w:r>
      <w:r w:rsidRPr="006136C8">
        <w:rPr>
          <w:rFonts w:ascii="Arabic Typesetting" w:hAnsi="Arabic Typesetting" w:cs="Arabic Typesetting"/>
          <w:color w:val="000000"/>
          <w:sz w:val="34"/>
          <w:szCs w:val="34"/>
          <w:rtl/>
        </w:rPr>
        <w:t>فهم الآثار الاقتصادية لمختلف خيارات</w:t>
      </w:r>
      <w:r>
        <w:rPr>
          <w:rFonts w:ascii="Arabic Typesetting" w:hAnsi="Arabic Typesetting" w:cs="Arabic Typesetting"/>
          <w:color w:val="000000"/>
          <w:sz w:val="34"/>
          <w:szCs w:val="34"/>
          <w:rtl/>
        </w:rPr>
        <w:t xml:space="preserve"> سياسات الملكية الفكرية العامة.</w:t>
      </w:r>
    </w:p>
    <w:p w:rsidR="00FA1D26" w:rsidRPr="00101D98" w:rsidRDefault="00FA1D26" w:rsidP="00861CFF">
      <w:pPr>
        <w:pStyle w:val="ARNumbered116"/>
        <w:numPr>
          <w:ilvl w:val="0"/>
          <w:numId w:val="29"/>
        </w:numPr>
        <w:spacing w:after="120" w:line="340" w:lineRule="exact"/>
        <w:ind w:left="0" w:firstLine="0"/>
        <w:rPr>
          <w:rFonts w:ascii="Arabic Typesetting" w:hAnsi="Arabic Typesetting" w:cs="Arabic Typesetting"/>
          <w:color w:val="000000"/>
          <w:sz w:val="34"/>
          <w:szCs w:val="34"/>
        </w:rPr>
      </w:pPr>
      <w:r w:rsidRPr="00101D98">
        <w:rPr>
          <w:rFonts w:ascii="Arabic Typesetting" w:hAnsi="Arabic Typesetting" w:cs="Arabic Typesetting" w:hint="cs"/>
          <w:color w:val="000000"/>
          <w:sz w:val="34"/>
          <w:szCs w:val="34"/>
          <w:rtl/>
        </w:rPr>
        <w:t>و</w:t>
      </w:r>
      <w:r w:rsidRPr="00101D98">
        <w:rPr>
          <w:rFonts w:ascii="Arabic Typesetting" w:hAnsi="Arabic Typesetting" w:cs="Arabic Typesetting"/>
          <w:color w:val="000000"/>
          <w:sz w:val="34"/>
          <w:szCs w:val="34"/>
          <w:rtl/>
        </w:rPr>
        <w:t xml:space="preserve">للحصول </w:t>
      </w:r>
      <w:r w:rsidRPr="008954A8">
        <w:rPr>
          <w:rFonts w:ascii="Arabic Typesetting" w:hAnsi="Arabic Typesetting" w:cs="Arabic Typesetting"/>
          <w:color w:val="000000"/>
          <w:sz w:val="34"/>
          <w:szCs w:val="34"/>
          <w:rtl/>
        </w:rPr>
        <w:t>على تحليل اقتصادي عالي الجودة وتعظيم أوجه التوافق والتآزر، سوف تستثمر الويبو ما تتمتع به من شبكة دولية من الاقتصاديين الأكاديميين والاستعانة بهم على نطاق واسع، مع الاستمرار في التنسيق مع الشبكة العالمية للخبراء الاقتصاديين في مكاتب الملكية الفكرية</w:t>
      </w:r>
      <w:r w:rsidRPr="00101D98">
        <w:rPr>
          <w:rFonts w:ascii="Arabic Typesetting" w:hAnsi="Arabic Typesetting" w:cs="Arabic Typesetting"/>
          <w:color w:val="000000"/>
          <w:sz w:val="34"/>
          <w:szCs w:val="34"/>
          <w:rtl/>
        </w:rPr>
        <w:t>.</w:t>
      </w:r>
    </w:p>
    <w:p w:rsidR="00FA1D26" w:rsidRDefault="00FA1D26" w:rsidP="00861CFF">
      <w:pPr>
        <w:pStyle w:val="ARNumbered116"/>
        <w:numPr>
          <w:ilvl w:val="0"/>
          <w:numId w:val="29"/>
        </w:numPr>
        <w:spacing w:after="120" w:line="340" w:lineRule="exact"/>
        <w:ind w:left="0" w:firstLine="0"/>
        <w:rPr>
          <w:rFonts w:ascii="Arabic Typesetting" w:hAnsi="Arabic Typesetting" w:cs="Arabic Typesetting"/>
          <w:color w:val="000000"/>
          <w:sz w:val="34"/>
          <w:szCs w:val="34"/>
        </w:rPr>
      </w:pPr>
      <w:r>
        <w:rPr>
          <w:rFonts w:ascii="Arabic Typesetting" w:hAnsi="Arabic Typesetting" w:cs="Arabic Typesetting" w:hint="cs"/>
          <w:color w:val="000000"/>
          <w:sz w:val="34"/>
          <w:szCs w:val="34"/>
          <w:rtl/>
        </w:rPr>
        <w:lastRenderedPageBreak/>
        <w:t>ويتعاون البرنامج 16 في الأساس مع البرامج الأخرى على النحو المبيّن أدناه:</w:t>
      </w:r>
    </w:p>
    <w:p w:rsidR="00FA1D26" w:rsidRPr="008954A8" w:rsidRDefault="00442700" w:rsidP="007843AB">
      <w:pPr>
        <w:pStyle w:val="ARNumbered116"/>
        <w:spacing w:after="120"/>
        <w:rPr>
          <w:rFonts w:ascii="Arabic Typesetting" w:hAnsi="Arabic Typesetting" w:cs="Arabic Typesetting"/>
          <w:b/>
          <w:sz w:val="34"/>
          <w:szCs w:val="34"/>
          <w:rtl/>
        </w:rPr>
      </w:pPr>
      <w:r>
        <w:rPr>
          <w:noProof/>
          <w:lang w:bidi="ar-SA"/>
        </w:rPr>
        <w:drawing>
          <wp:inline distT="0" distB="0" distL="0" distR="0" wp14:anchorId="47B58B86" wp14:editId="1AB662A8">
            <wp:extent cx="5486400" cy="1948070"/>
            <wp:effectExtent l="0" t="0" r="0" b="0"/>
            <wp:docPr id="68" name="Diagram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8" r:lo="rId169" r:qs="rId170" r:cs="rId171"/>
              </a:graphicData>
            </a:graphic>
          </wp:inline>
        </w:drawing>
      </w:r>
    </w:p>
    <w:p w:rsidR="00FA1D26" w:rsidRPr="008702A2" w:rsidRDefault="00FA1D26"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702A2">
        <w:rPr>
          <w:rFonts w:ascii="Arabic Typesetting" w:hAnsi="Arabic Typesetting" w:cs="Arabic Typesetting" w:hint="cs"/>
          <w:noProof/>
          <w:sz w:val="38"/>
          <w:szCs w:val="38"/>
          <w:rtl/>
        </w:rPr>
        <w:t>المخاطر الرئيسية واستراتيجيات التخفيف منها</w:t>
      </w:r>
    </w:p>
    <w:tbl>
      <w:tblPr>
        <w:bidiVisual/>
        <w:tblW w:w="0" w:type="auto"/>
        <w:jc w:val="center"/>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1"/>
        <w:gridCol w:w="4436"/>
      </w:tblGrid>
      <w:tr w:rsidR="00FA1D26" w:rsidRPr="008954A8" w:rsidTr="007843AB">
        <w:trPr>
          <w:tblHeader/>
          <w:jc w:val="center"/>
        </w:trPr>
        <w:tc>
          <w:tcPr>
            <w:tcW w:w="4571" w:type="dxa"/>
            <w:tcBorders>
              <w:bottom w:val="single" w:sz="4" w:space="0" w:color="auto"/>
              <w:right w:val="nil"/>
            </w:tcBorders>
            <w:shd w:val="clear" w:color="auto" w:fill="C6D9F1"/>
          </w:tcPr>
          <w:p w:rsidR="00FA1D26" w:rsidRPr="008954A8" w:rsidRDefault="00FA1D26" w:rsidP="004C5D98">
            <w:pPr>
              <w:pStyle w:val="ARProgramTableHeading"/>
              <w:spacing w:before="0" w:after="0" w:line="300" w:lineRule="exact"/>
              <w:rPr>
                <w:rtl/>
                <w:lang w:bidi="ar-SA"/>
              </w:rPr>
            </w:pPr>
            <w:r>
              <w:rPr>
                <w:rFonts w:hint="cs"/>
                <w:rtl/>
                <w:lang w:bidi="ar-SA"/>
              </w:rPr>
              <w:t>المخاطر</w:t>
            </w:r>
          </w:p>
        </w:tc>
        <w:tc>
          <w:tcPr>
            <w:tcW w:w="4436" w:type="dxa"/>
            <w:tcBorders>
              <w:left w:val="nil"/>
              <w:bottom w:val="single" w:sz="4" w:space="0" w:color="auto"/>
            </w:tcBorders>
            <w:shd w:val="clear" w:color="auto" w:fill="C6D9F1"/>
          </w:tcPr>
          <w:p w:rsidR="00FA1D26" w:rsidRPr="008954A8" w:rsidRDefault="00FA1D26" w:rsidP="004C5D98">
            <w:pPr>
              <w:pStyle w:val="ARProgramTableHeading"/>
              <w:spacing w:before="0" w:after="0" w:line="300" w:lineRule="exact"/>
              <w:rPr>
                <w:rtl/>
              </w:rPr>
            </w:pPr>
            <w:r>
              <w:rPr>
                <w:rFonts w:hint="cs"/>
                <w:rtl/>
              </w:rPr>
              <w:t>التخفيف منها</w:t>
            </w:r>
          </w:p>
        </w:tc>
      </w:tr>
      <w:tr w:rsidR="00FA1D26" w:rsidRPr="008954A8" w:rsidTr="007843AB">
        <w:trPr>
          <w:jc w:val="center"/>
        </w:trPr>
        <w:tc>
          <w:tcPr>
            <w:tcW w:w="4571" w:type="dxa"/>
            <w:tcBorders>
              <w:top w:val="single" w:sz="4" w:space="0" w:color="auto"/>
              <w:left w:val="single" w:sz="4" w:space="0" w:color="auto"/>
              <w:bottom w:val="nil"/>
              <w:right w:val="nil"/>
            </w:tcBorders>
            <w:shd w:val="clear" w:color="auto" w:fill="auto"/>
          </w:tcPr>
          <w:p w:rsidR="00FA1D26" w:rsidRPr="008954A8" w:rsidRDefault="00FA1D26" w:rsidP="004C5D98">
            <w:pPr>
              <w:pStyle w:val="ARProgramTableText"/>
              <w:spacing w:before="0" w:after="0" w:line="300" w:lineRule="exact"/>
              <w:rPr>
                <w:rtl/>
                <w:lang w:val="fr-CH"/>
              </w:rPr>
            </w:pPr>
            <w:r>
              <w:rPr>
                <w:rFonts w:hint="cs"/>
                <w:rtl/>
                <w:lang w:val="fr-CH" w:bidi="ar-SA"/>
              </w:rPr>
              <w:t>نشر معلومات إحصائية غير كاملة</w:t>
            </w:r>
            <w:r w:rsidRPr="008954A8">
              <w:rPr>
                <w:rFonts w:hint="cs"/>
                <w:rtl/>
                <w:lang w:val="fr-CH"/>
              </w:rPr>
              <w:t>.</w:t>
            </w:r>
          </w:p>
        </w:tc>
        <w:tc>
          <w:tcPr>
            <w:tcW w:w="4436" w:type="dxa"/>
            <w:tcBorders>
              <w:top w:val="single" w:sz="4" w:space="0" w:color="auto"/>
              <w:left w:val="nil"/>
              <w:bottom w:val="nil"/>
              <w:right w:val="single" w:sz="4" w:space="0" w:color="auto"/>
            </w:tcBorders>
            <w:shd w:val="clear" w:color="auto" w:fill="auto"/>
          </w:tcPr>
          <w:p w:rsidR="00FA1D26" w:rsidRPr="008954A8" w:rsidRDefault="00FA1D26" w:rsidP="004C5D98">
            <w:pPr>
              <w:pStyle w:val="ARProgramTableText"/>
              <w:spacing w:before="0" w:after="0" w:line="300" w:lineRule="exact"/>
              <w:rPr>
                <w:rtl/>
              </w:rPr>
            </w:pPr>
            <w:r>
              <w:rPr>
                <w:rFonts w:hint="cs"/>
                <w:color w:val="000000"/>
                <w:rtl/>
              </w:rPr>
              <w:t>إتاحة ما يكفي من الوقت للرد والمساهمة في تكوين الكفاءات الإحصائية على المستوى الوطني</w:t>
            </w:r>
            <w:r w:rsidRPr="008954A8">
              <w:rPr>
                <w:rFonts w:hint="cs"/>
                <w:color w:val="000000"/>
                <w:rtl/>
              </w:rPr>
              <w:t>.</w:t>
            </w:r>
          </w:p>
        </w:tc>
      </w:tr>
      <w:tr w:rsidR="00FA1D26" w:rsidRPr="008954A8" w:rsidTr="007843AB">
        <w:trPr>
          <w:jc w:val="center"/>
        </w:trPr>
        <w:tc>
          <w:tcPr>
            <w:tcW w:w="4571" w:type="dxa"/>
            <w:tcBorders>
              <w:top w:val="nil"/>
              <w:left w:val="single" w:sz="4" w:space="0" w:color="auto"/>
              <w:bottom w:val="single" w:sz="4" w:space="0" w:color="auto"/>
              <w:right w:val="nil"/>
            </w:tcBorders>
            <w:shd w:val="clear" w:color="auto" w:fill="auto"/>
          </w:tcPr>
          <w:p w:rsidR="00FA1D26" w:rsidRPr="008954A8" w:rsidRDefault="00FA1D26" w:rsidP="004C5D98">
            <w:pPr>
              <w:pStyle w:val="ARProgramTableText"/>
              <w:spacing w:before="0" w:after="0" w:line="300" w:lineRule="exact"/>
              <w:rPr>
                <w:rtl/>
              </w:rPr>
            </w:pPr>
            <w:r>
              <w:rPr>
                <w:rFonts w:hint="cs"/>
                <w:rtl/>
                <w:lang w:bidi="ar-SA"/>
              </w:rPr>
              <w:t>احتواء</w:t>
            </w:r>
            <w:r w:rsidRPr="008954A8">
              <w:rPr>
                <w:rFonts w:hint="cs"/>
                <w:rtl/>
                <w:lang w:bidi="ar-SA"/>
              </w:rPr>
              <w:t xml:space="preserve"> </w:t>
            </w:r>
            <w:r w:rsidRPr="008954A8">
              <w:rPr>
                <w:color w:val="000000"/>
                <w:rtl/>
              </w:rPr>
              <w:t xml:space="preserve">منشورات الويبو </w:t>
            </w:r>
            <w:r w:rsidRPr="008954A8">
              <w:rPr>
                <w:rFonts w:hint="cs"/>
                <w:color w:val="000000"/>
                <w:rtl/>
              </w:rPr>
              <w:t xml:space="preserve">على </w:t>
            </w:r>
            <w:r w:rsidRPr="008954A8">
              <w:rPr>
                <w:color w:val="000000"/>
                <w:rtl/>
              </w:rPr>
              <w:t xml:space="preserve">بيانات إحصائية غير دقيقة أو </w:t>
            </w:r>
            <w:r>
              <w:rPr>
                <w:rFonts w:hint="cs"/>
                <w:color w:val="000000"/>
                <w:rtl/>
              </w:rPr>
              <w:t xml:space="preserve">على </w:t>
            </w:r>
            <w:r w:rsidRPr="008954A8">
              <w:rPr>
                <w:color w:val="000000"/>
                <w:rtl/>
              </w:rPr>
              <w:t>أخطاء</w:t>
            </w:r>
            <w:r w:rsidRPr="008954A8">
              <w:rPr>
                <w:rFonts w:hint="cs"/>
                <w:rtl/>
              </w:rPr>
              <w:t xml:space="preserve"> تحليلية</w:t>
            </w:r>
          </w:p>
        </w:tc>
        <w:tc>
          <w:tcPr>
            <w:tcW w:w="4436" w:type="dxa"/>
            <w:tcBorders>
              <w:top w:val="nil"/>
              <w:left w:val="nil"/>
              <w:bottom w:val="single" w:sz="4" w:space="0" w:color="auto"/>
              <w:right w:val="single" w:sz="4" w:space="0" w:color="auto"/>
            </w:tcBorders>
            <w:shd w:val="clear" w:color="auto" w:fill="auto"/>
          </w:tcPr>
          <w:p w:rsidR="00FA1D26" w:rsidRPr="008954A8" w:rsidRDefault="00FA1D26" w:rsidP="004C5D98">
            <w:pPr>
              <w:pStyle w:val="ARProgramTableText"/>
              <w:spacing w:before="0" w:after="0" w:line="300" w:lineRule="exact"/>
              <w:rPr>
                <w:rtl/>
              </w:rPr>
            </w:pPr>
            <w:r w:rsidRPr="008954A8">
              <w:rPr>
                <w:rFonts w:hint="cs"/>
                <w:rtl/>
                <w:lang w:bidi="ar-SA"/>
              </w:rPr>
              <w:t xml:space="preserve">إنشاء </w:t>
            </w:r>
            <w:r w:rsidRPr="008954A8">
              <w:rPr>
                <w:color w:val="000000"/>
                <w:rtl/>
              </w:rPr>
              <w:t xml:space="preserve">آليات للمراقبة يكون من شأنها تحديد حالات عدم اتساق البيانات أثناء مرحلة جمع إحصاءات الملكية الفكرية؛ مراجعة جميع المنشورات الإحصائية بعناية بواسطة خبراء الإحصاء وقطاعات الويبو ذات الصلة؛ </w:t>
            </w:r>
            <w:r w:rsidRPr="008954A8">
              <w:rPr>
                <w:rFonts w:hint="cs"/>
                <w:color w:val="000000"/>
                <w:rtl/>
              </w:rPr>
              <w:t>مراجعة</w:t>
            </w:r>
            <w:r w:rsidRPr="008954A8">
              <w:rPr>
                <w:color w:val="000000"/>
                <w:rtl/>
              </w:rPr>
              <w:t xml:space="preserve"> جميع المنشورات التحليلية من قبل نظراء</w:t>
            </w:r>
            <w:r w:rsidRPr="008954A8">
              <w:rPr>
                <w:rFonts w:hint="cs"/>
                <w:rtl/>
              </w:rPr>
              <w:t xml:space="preserve"> خارجيين.</w:t>
            </w:r>
          </w:p>
        </w:tc>
      </w:tr>
    </w:tbl>
    <w:p w:rsidR="00FA1D26" w:rsidRPr="008702A2" w:rsidRDefault="00FA1D26"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702A2">
        <w:rPr>
          <w:rFonts w:ascii="Arabic Typesetting" w:hAnsi="Arabic Typesetting" w:cs="Arabic Typesetting" w:hint="cs"/>
          <w:noProof/>
          <w:sz w:val="38"/>
          <w:szCs w:val="38"/>
          <w:rtl/>
        </w:rPr>
        <w:t>إطار النتائج</w:t>
      </w:r>
    </w:p>
    <w:tbl>
      <w:tblPr>
        <w:bidiVisual/>
        <w:tblW w:w="0" w:type="auto"/>
        <w:jc w:val="center"/>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3"/>
        <w:gridCol w:w="3544"/>
        <w:gridCol w:w="1417"/>
        <w:gridCol w:w="1611"/>
      </w:tblGrid>
      <w:tr w:rsidR="00FA1D26" w:rsidRPr="008954A8" w:rsidTr="004C5D98">
        <w:trPr>
          <w:tblHeader/>
          <w:jc w:val="center"/>
        </w:trPr>
        <w:tc>
          <w:tcPr>
            <w:tcW w:w="2603" w:type="dxa"/>
            <w:tcBorders>
              <w:bottom w:val="single" w:sz="4" w:space="0" w:color="auto"/>
              <w:right w:val="nil"/>
            </w:tcBorders>
            <w:shd w:val="clear" w:color="auto" w:fill="C6D9F1"/>
          </w:tcPr>
          <w:p w:rsidR="00FA1D26" w:rsidRPr="008954A8" w:rsidRDefault="00FA1D26" w:rsidP="004C5D98">
            <w:pPr>
              <w:pStyle w:val="ARProgramTableHeading"/>
              <w:spacing w:before="0" w:after="0" w:line="300" w:lineRule="exact"/>
              <w:rPr>
                <w:rtl/>
                <w:lang w:bidi="ar-SA"/>
              </w:rPr>
            </w:pPr>
            <w:r w:rsidRPr="008954A8">
              <w:rPr>
                <w:rFonts w:hint="cs"/>
                <w:rtl/>
                <w:lang w:bidi="ar-SA"/>
              </w:rPr>
              <w:t>النتائج المرتقبة</w:t>
            </w:r>
          </w:p>
        </w:tc>
        <w:tc>
          <w:tcPr>
            <w:tcW w:w="3544" w:type="dxa"/>
            <w:tcBorders>
              <w:left w:val="nil"/>
              <w:bottom w:val="single" w:sz="4" w:space="0" w:color="auto"/>
              <w:right w:val="nil"/>
            </w:tcBorders>
            <w:shd w:val="clear" w:color="auto" w:fill="C6D9F1"/>
          </w:tcPr>
          <w:p w:rsidR="00FA1D26" w:rsidRPr="008954A8" w:rsidRDefault="00FA1D26" w:rsidP="004C5D98">
            <w:pPr>
              <w:pStyle w:val="ARProgramTableHeading"/>
              <w:spacing w:before="0" w:after="0" w:line="300" w:lineRule="exact"/>
              <w:rPr>
                <w:rtl/>
                <w:lang w:bidi="ar-SA"/>
              </w:rPr>
            </w:pPr>
            <w:r w:rsidRPr="008954A8">
              <w:rPr>
                <w:rFonts w:hint="cs"/>
                <w:rtl/>
                <w:lang w:bidi="ar-SA"/>
              </w:rPr>
              <w:t>مؤشرات الأداء</w:t>
            </w:r>
          </w:p>
        </w:tc>
        <w:tc>
          <w:tcPr>
            <w:tcW w:w="1417" w:type="dxa"/>
            <w:tcBorders>
              <w:left w:val="nil"/>
              <w:bottom w:val="single" w:sz="4" w:space="0" w:color="auto"/>
              <w:right w:val="nil"/>
            </w:tcBorders>
            <w:shd w:val="clear" w:color="auto" w:fill="C6D9F1"/>
          </w:tcPr>
          <w:p w:rsidR="00FA1D26" w:rsidRPr="008954A8" w:rsidRDefault="00FA1D26" w:rsidP="004C5D98">
            <w:pPr>
              <w:pStyle w:val="ARProgramTableHeading"/>
              <w:spacing w:before="0" w:after="0" w:line="300" w:lineRule="exact"/>
              <w:rPr>
                <w:rtl/>
                <w:lang w:bidi="ar-SA"/>
              </w:rPr>
            </w:pPr>
            <w:r w:rsidRPr="008954A8">
              <w:rPr>
                <w:rFonts w:hint="cs"/>
                <w:rtl/>
                <w:lang w:bidi="ar-SA"/>
              </w:rPr>
              <w:t>أسس المقارنة</w:t>
            </w:r>
          </w:p>
        </w:tc>
        <w:tc>
          <w:tcPr>
            <w:tcW w:w="1611" w:type="dxa"/>
            <w:tcBorders>
              <w:left w:val="nil"/>
              <w:bottom w:val="single" w:sz="4" w:space="0" w:color="auto"/>
            </w:tcBorders>
            <w:shd w:val="clear" w:color="auto" w:fill="C6D9F1"/>
          </w:tcPr>
          <w:p w:rsidR="00FA1D26" w:rsidRPr="008954A8" w:rsidRDefault="00FA1D26" w:rsidP="004C5D98">
            <w:pPr>
              <w:pStyle w:val="ARProgramTableHeading"/>
              <w:spacing w:before="0" w:after="0" w:line="300" w:lineRule="exact"/>
              <w:rPr>
                <w:rtl/>
                <w:lang w:bidi="ar-SA"/>
              </w:rPr>
            </w:pPr>
            <w:r w:rsidRPr="008954A8">
              <w:rPr>
                <w:rFonts w:hint="cs"/>
                <w:rtl/>
                <w:lang w:bidi="ar-SA"/>
              </w:rPr>
              <w:t>الأهداف</w:t>
            </w:r>
          </w:p>
        </w:tc>
      </w:tr>
      <w:tr w:rsidR="00FA1D26" w:rsidRPr="008954A8" w:rsidTr="004C5D98">
        <w:trPr>
          <w:jc w:val="center"/>
        </w:trPr>
        <w:tc>
          <w:tcPr>
            <w:tcW w:w="2603" w:type="dxa"/>
            <w:tcBorders>
              <w:top w:val="single" w:sz="4" w:space="0" w:color="auto"/>
              <w:left w:val="single" w:sz="4" w:space="0" w:color="auto"/>
              <w:bottom w:val="nil"/>
              <w:right w:val="nil"/>
            </w:tcBorders>
            <w:shd w:val="clear" w:color="auto" w:fill="auto"/>
          </w:tcPr>
          <w:p w:rsidR="00FA1D26" w:rsidRPr="008954A8" w:rsidRDefault="00FA1D26" w:rsidP="004C5D98">
            <w:pPr>
              <w:pStyle w:val="ARProgramTableText"/>
              <w:spacing w:before="0" w:after="0" w:line="300" w:lineRule="exact"/>
              <w:rPr>
                <w:rtl/>
              </w:rPr>
            </w:pPr>
            <w:r w:rsidRPr="008954A8">
              <w:rPr>
                <w:rFonts w:hint="cs"/>
                <w:rtl/>
                <w:lang w:bidi="ar-SA"/>
              </w:rPr>
              <w:t xml:space="preserve">ه 1.5 </w:t>
            </w:r>
            <w:r w:rsidRPr="00EB47AC">
              <w:rPr>
                <w:rtl/>
              </w:rPr>
              <w:t>استخدام معلومات الويبو الإحصائية بشأن الملكية الفكرية على نطاق أوسع ونحو أفضل</w:t>
            </w:r>
          </w:p>
        </w:tc>
        <w:tc>
          <w:tcPr>
            <w:tcW w:w="3544" w:type="dxa"/>
            <w:tcBorders>
              <w:top w:val="single" w:sz="4" w:space="0" w:color="auto"/>
              <w:left w:val="nil"/>
              <w:bottom w:val="nil"/>
              <w:right w:val="nil"/>
            </w:tcBorders>
            <w:shd w:val="clear" w:color="auto" w:fill="auto"/>
          </w:tcPr>
          <w:p w:rsidR="00FA1D26" w:rsidRPr="008954A8" w:rsidRDefault="00FA1D26" w:rsidP="004C5D98">
            <w:pPr>
              <w:pStyle w:val="ARProgramTableText"/>
              <w:spacing w:before="0" w:after="0" w:line="300" w:lineRule="exact"/>
              <w:rPr>
                <w:rtl/>
              </w:rPr>
            </w:pPr>
            <w:r>
              <w:rPr>
                <w:rFonts w:hint="cs"/>
                <w:rtl/>
              </w:rPr>
              <w:t xml:space="preserve">عدد عمليات البحث باستخدام </w:t>
            </w:r>
            <w:r w:rsidRPr="008954A8">
              <w:rPr>
                <w:rFonts w:hint="cs"/>
                <w:rtl/>
                <w:lang w:bidi="ar-SA"/>
              </w:rPr>
              <w:t>مركز البيانات الإحصائية للملكية الفكرية</w:t>
            </w:r>
          </w:p>
        </w:tc>
        <w:tc>
          <w:tcPr>
            <w:tcW w:w="1417" w:type="dxa"/>
            <w:tcBorders>
              <w:top w:val="single" w:sz="4" w:space="0" w:color="auto"/>
              <w:left w:val="nil"/>
              <w:bottom w:val="nil"/>
              <w:right w:val="nil"/>
            </w:tcBorders>
            <w:shd w:val="clear" w:color="auto" w:fill="auto"/>
          </w:tcPr>
          <w:p w:rsidR="00FA1D26" w:rsidRPr="008954A8" w:rsidRDefault="00FA1D26" w:rsidP="004C5D98">
            <w:pPr>
              <w:pStyle w:val="ARProgramTableText"/>
              <w:spacing w:before="0" w:after="0" w:line="300" w:lineRule="exact"/>
              <w:rPr>
                <w:rtl/>
              </w:rPr>
            </w:pPr>
            <w:r>
              <w:rPr>
                <w:rFonts w:hint="cs"/>
                <w:rtl/>
              </w:rPr>
              <w:t>ت</w:t>
            </w:r>
            <w:r w:rsidRPr="008954A8">
              <w:rPr>
                <w:rFonts w:hint="cs"/>
                <w:rtl/>
              </w:rPr>
              <w:t xml:space="preserve">حدد في نهاية </w:t>
            </w:r>
            <w:r>
              <w:rPr>
                <w:rFonts w:hint="cs"/>
                <w:rtl/>
              </w:rPr>
              <w:t>2015</w:t>
            </w:r>
          </w:p>
        </w:tc>
        <w:tc>
          <w:tcPr>
            <w:tcW w:w="1611" w:type="dxa"/>
            <w:tcBorders>
              <w:top w:val="single" w:sz="4" w:space="0" w:color="auto"/>
              <w:left w:val="nil"/>
              <w:bottom w:val="nil"/>
              <w:right w:val="single" w:sz="4" w:space="0" w:color="auto"/>
            </w:tcBorders>
            <w:shd w:val="clear" w:color="auto" w:fill="auto"/>
          </w:tcPr>
          <w:p w:rsidR="00FA1D26" w:rsidRPr="00650789" w:rsidRDefault="00FA1D26" w:rsidP="004C5D98">
            <w:pPr>
              <w:pStyle w:val="ARProgramTableText"/>
              <w:spacing w:before="0" w:after="0" w:line="300" w:lineRule="exact"/>
              <w:rPr>
                <w:color w:val="000000"/>
                <w:rtl/>
              </w:rPr>
            </w:pPr>
            <w:r w:rsidRPr="00650789">
              <w:rPr>
                <w:rFonts w:hint="cs"/>
                <w:rtl/>
                <w:lang w:bidi="ar-SA"/>
              </w:rPr>
              <w:t>تحدد لاحقا</w:t>
            </w:r>
          </w:p>
        </w:tc>
      </w:tr>
      <w:tr w:rsidR="00FA1D26" w:rsidRPr="008954A8" w:rsidTr="004C5D98">
        <w:trPr>
          <w:jc w:val="center"/>
        </w:trPr>
        <w:tc>
          <w:tcPr>
            <w:tcW w:w="2603" w:type="dxa"/>
            <w:tcBorders>
              <w:top w:val="nil"/>
              <w:left w:val="single" w:sz="4" w:space="0" w:color="auto"/>
              <w:bottom w:val="nil"/>
              <w:right w:val="nil"/>
            </w:tcBorders>
            <w:shd w:val="clear" w:color="auto" w:fill="auto"/>
          </w:tcPr>
          <w:p w:rsidR="00FA1D26" w:rsidRPr="008954A8" w:rsidRDefault="00FA1D26" w:rsidP="004C5D98">
            <w:pPr>
              <w:pStyle w:val="ARProgramTableText"/>
              <w:spacing w:before="0" w:after="0" w:line="300" w:lineRule="exact"/>
              <w:rPr>
                <w:rtl/>
                <w:lang w:bidi="ar-SA"/>
              </w:rPr>
            </w:pPr>
          </w:p>
        </w:tc>
        <w:tc>
          <w:tcPr>
            <w:tcW w:w="3544" w:type="dxa"/>
            <w:tcBorders>
              <w:top w:val="nil"/>
              <w:left w:val="nil"/>
              <w:bottom w:val="nil"/>
              <w:right w:val="nil"/>
            </w:tcBorders>
            <w:shd w:val="clear" w:color="auto" w:fill="auto"/>
          </w:tcPr>
          <w:p w:rsidR="00FA1D26" w:rsidRPr="008954A8" w:rsidRDefault="00FA1D26" w:rsidP="004C5D98">
            <w:pPr>
              <w:pStyle w:val="ARProgramTableText"/>
              <w:spacing w:before="0" w:after="0" w:line="300" w:lineRule="exact"/>
              <w:rPr>
                <w:rtl/>
                <w:lang w:bidi="ar-SA"/>
              </w:rPr>
            </w:pPr>
            <w:r w:rsidRPr="008954A8">
              <w:rPr>
                <w:rFonts w:hint="cs"/>
                <w:rtl/>
                <w:lang w:bidi="ar-SA"/>
              </w:rPr>
              <w:t xml:space="preserve">عدد </w:t>
            </w:r>
            <w:r>
              <w:rPr>
                <w:rFonts w:hint="cs"/>
                <w:rtl/>
                <w:lang w:bidi="ar-SA"/>
              </w:rPr>
              <w:t>مرات تحميل التقارير الإحصائية السنوية بعد 6 أشهر من نشرها</w:t>
            </w:r>
          </w:p>
        </w:tc>
        <w:tc>
          <w:tcPr>
            <w:tcW w:w="1417" w:type="dxa"/>
            <w:tcBorders>
              <w:top w:val="nil"/>
              <w:left w:val="nil"/>
              <w:bottom w:val="nil"/>
              <w:right w:val="nil"/>
            </w:tcBorders>
            <w:shd w:val="clear" w:color="auto" w:fill="auto"/>
          </w:tcPr>
          <w:p w:rsidR="00FA1D26" w:rsidRPr="00DA2387" w:rsidRDefault="00FA1D26" w:rsidP="004C5D98">
            <w:pPr>
              <w:pStyle w:val="ARProgramTableText"/>
              <w:spacing w:before="0" w:after="0" w:line="300" w:lineRule="exact"/>
              <w:rPr>
                <w:lang w:bidi="ar-SA"/>
              </w:rPr>
            </w:pPr>
            <w:r w:rsidRPr="0013501F">
              <w:rPr>
                <w:rFonts w:hint="cs"/>
                <w:rtl/>
                <w:lang w:bidi="ar-SA"/>
              </w:rPr>
              <w:t>تحدد لاحقا</w:t>
            </w:r>
            <w:r w:rsidRPr="00AA66C1">
              <w:rPr>
                <w:sz w:val="24"/>
                <w:szCs w:val="24"/>
                <w:vertAlign w:val="superscript"/>
                <w:rtl/>
              </w:rPr>
              <w:footnoteReference w:id="22"/>
            </w:r>
          </w:p>
        </w:tc>
        <w:tc>
          <w:tcPr>
            <w:tcW w:w="1611" w:type="dxa"/>
            <w:tcBorders>
              <w:top w:val="nil"/>
              <w:left w:val="nil"/>
              <w:bottom w:val="nil"/>
              <w:right w:val="single" w:sz="4" w:space="0" w:color="auto"/>
            </w:tcBorders>
            <w:shd w:val="clear" w:color="auto" w:fill="auto"/>
          </w:tcPr>
          <w:p w:rsidR="00FA1D26" w:rsidRPr="00DA2387" w:rsidRDefault="00FA1D26" w:rsidP="004C5D98">
            <w:pPr>
              <w:pStyle w:val="ARProgramTableText"/>
              <w:spacing w:before="0" w:after="0" w:line="300" w:lineRule="exact"/>
            </w:pPr>
            <w:r w:rsidRPr="00650789">
              <w:rPr>
                <w:rFonts w:hint="cs"/>
                <w:rtl/>
                <w:lang w:bidi="ar-SA"/>
              </w:rPr>
              <w:t>تحدد لاحقا</w:t>
            </w:r>
          </w:p>
        </w:tc>
      </w:tr>
      <w:tr w:rsidR="00FA1D26" w:rsidRPr="008954A8" w:rsidTr="004C5D98">
        <w:trPr>
          <w:jc w:val="center"/>
        </w:trPr>
        <w:tc>
          <w:tcPr>
            <w:tcW w:w="2603" w:type="dxa"/>
            <w:tcBorders>
              <w:top w:val="nil"/>
              <w:left w:val="single" w:sz="4" w:space="0" w:color="auto"/>
              <w:bottom w:val="nil"/>
              <w:right w:val="nil"/>
            </w:tcBorders>
            <w:shd w:val="clear" w:color="auto" w:fill="auto"/>
          </w:tcPr>
          <w:p w:rsidR="00FA1D26" w:rsidRPr="008954A8" w:rsidRDefault="00FA1D26" w:rsidP="004C5D98">
            <w:pPr>
              <w:pStyle w:val="ARProgramTableText"/>
              <w:spacing w:before="0" w:after="0" w:line="300" w:lineRule="exact"/>
              <w:rPr>
                <w:rtl/>
                <w:lang w:bidi="ar-SA"/>
              </w:rPr>
            </w:pPr>
          </w:p>
        </w:tc>
        <w:tc>
          <w:tcPr>
            <w:tcW w:w="3544" w:type="dxa"/>
            <w:tcBorders>
              <w:top w:val="nil"/>
              <w:left w:val="nil"/>
              <w:bottom w:val="nil"/>
              <w:right w:val="nil"/>
            </w:tcBorders>
            <w:shd w:val="clear" w:color="auto" w:fill="auto"/>
          </w:tcPr>
          <w:p w:rsidR="00FA1D26" w:rsidRPr="008954A8" w:rsidRDefault="00FA1D26" w:rsidP="004C5D98">
            <w:pPr>
              <w:pStyle w:val="ARProgramTableText"/>
              <w:spacing w:before="0" w:after="0" w:line="300" w:lineRule="exact"/>
              <w:rPr>
                <w:rtl/>
                <w:lang w:bidi="ar-SA"/>
              </w:rPr>
            </w:pPr>
            <w:r>
              <w:rPr>
                <w:rFonts w:hint="cs"/>
                <w:rtl/>
                <w:lang w:bidi="ar-SA"/>
              </w:rPr>
              <w:t>الفرق بين تنبؤات يناير والعدد الفعلي لإيداعات معاهدة البراءات ومدريد ولاهاي ضمن العتبة المحددة</w:t>
            </w:r>
          </w:p>
        </w:tc>
        <w:tc>
          <w:tcPr>
            <w:tcW w:w="1417" w:type="dxa"/>
            <w:tcBorders>
              <w:top w:val="nil"/>
              <w:left w:val="nil"/>
              <w:bottom w:val="nil"/>
              <w:right w:val="nil"/>
            </w:tcBorders>
            <w:shd w:val="clear" w:color="auto" w:fill="auto"/>
          </w:tcPr>
          <w:p w:rsidR="00FA1D26" w:rsidRPr="00DA2387" w:rsidRDefault="00FA1D26" w:rsidP="004C5D98">
            <w:pPr>
              <w:pStyle w:val="ARProgramTableText"/>
              <w:spacing w:before="0" w:after="0" w:line="300" w:lineRule="exact"/>
              <w:rPr>
                <w:lang w:bidi="ar-SA"/>
              </w:rPr>
            </w:pPr>
            <w:r w:rsidRPr="0013501F">
              <w:rPr>
                <w:rFonts w:hint="cs"/>
                <w:rtl/>
                <w:lang w:bidi="ar-SA"/>
              </w:rPr>
              <w:t>تحدد في بداية 2016</w:t>
            </w:r>
          </w:p>
        </w:tc>
        <w:tc>
          <w:tcPr>
            <w:tcW w:w="1611" w:type="dxa"/>
            <w:tcBorders>
              <w:top w:val="nil"/>
              <w:left w:val="nil"/>
              <w:bottom w:val="nil"/>
              <w:right w:val="single" w:sz="4" w:space="0" w:color="auto"/>
            </w:tcBorders>
            <w:shd w:val="clear" w:color="auto" w:fill="auto"/>
          </w:tcPr>
          <w:p w:rsidR="00FA1D26" w:rsidRPr="0013501F" w:rsidRDefault="00FA1D26" w:rsidP="004C5D98">
            <w:pPr>
              <w:spacing w:line="300" w:lineRule="exact"/>
              <w:rPr>
                <w:rFonts w:ascii="Arabic Typesetting" w:hAnsi="Arabic Typesetting" w:cs="Arabic Typesetting"/>
                <w:sz w:val="30"/>
                <w:szCs w:val="30"/>
                <w:rtl/>
                <w:lang w:bidi="ar-SA"/>
              </w:rPr>
            </w:pPr>
            <w:r w:rsidRPr="0013501F">
              <w:rPr>
                <w:rFonts w:ascii="Arabic Typesetting" w:hAnsi="Arabic Typesetting" w:cs="Arabic Typesetting" w:hint="cs"/>
                <w:sz w:val="30"/>
                <w:szCs w:val="30"/>
                <w:rtl/>
                <w:lang w:bidi="ar-SA"/>
              </w:rPr>
              <w:t>التنبؤات ضمن 80% من</w:t>
            </w:r>
            <w:r>
              <w:rPr>
                <w:rFonts w:ascii="Arabic Typesetting" w:hAnsi="Arabic Typesetting" w:cs="Arabic Typesetting" w:hint="cs"/>
                <w:sz w:val="30"/>
                <w:szCs w:val="30"/>
                <w:rtl/>
                <w:lang w:bidi="ar-SA"/>
              </w:rPr>
              <w:t xml:space="preserve"> فترة الثقة</w:t>
            </w:r>
            <w:r w:rsidRPr="0013501F">
              <w:rPr>
                <w:rFonts w:ascii="Arabic Typesetting" w:hAnsi="Arabic Typesetting" w:cs="Arabic Typesetting" w:hint="cs"/>
                <w:sz w:val="30"/>
                <w:szCs w:val="30"/>
                <w:rtl/>
                <w:lang w:bidi="ar-SA"/>
              </w:rPr>
              <w:t xml:space="preserve"> </w:t>
            </w:r>
          </w:p>
        </w:tc>
      </w:tr>
      <w:tr w:rsidR="00FA1D26" w:rsidRPr="008954A8" w:rsidTr="004C5D98">
        <w:trPr>
          <w:jc w:val="center"/>
        </w:trPr>
        <w:tc>
          <w:tcPr>
            <w:tcW w:w="2603" w:type="dxa"/>
            <w:tcBorders>
              <w:top w:val="nil"/>
              <w:left w:val="single" w:sz="4" w:space="0" w:color="auto"/>
              <w:bottom w:val="nil"/>
              <w:right w:val="nil"/>
            </w:tcBorders>
            <w:shd w:val="clear" w:color="auto" w:fill="auto"/>
          </w:tcPr>
          <w:p w:rsidR="00FA1D26" w:rsidRPr="008954A8" w:rsidRDefault="00FA1D26" w:rsidP="004C5D98">
            <w:pPr>
              <w:pStyle w:val="ARProgramTableText"/>
              <w:spacing w:before="0" w:after="0" w:line="300" w:lineRule="exact"/>
              <w:rPr>
                <w:rtl/>
                <w:lang w:bidi="ar-SA"/>
              </w:rPr>
            </w:pPr>
            <w:r w:rsidRPr="008954A8">
              <w:rPr>
                <w:rFonts w:hint="cs"/>
                <w:rtl/>
                <w:lang w:bidi="ar-SA"/>
              </w:rPr>
              <w:t xml:space="preserve">ه 2.5 </w:t>
            </w:r>
            <w:r w:rsidRPr="00EB47AC">
              <w:rPr>
                <w:rtl/>
                <w:lang w:bidi="ar-SA"/>
              </w:rPr>
              <w:t>استخدام تحليلات الويبو الاقتصادية على نطاق أوسع ونحو أفضل في صياغة السياسات العامة</w:t>
            </w:r>
          </w:p>
        </w:tc>
        <w:tc>
          <w:tcPr>
            <w:tcW w:w="3544" w:type="dxa"/>
            <w:tcBorders>
              <w:top w:val="nil"/>
              <w:left w:val="nil"/>
              <w:bottom w:val="nil"/>
              <w:right w:val="nil"/>
            </w:tcBorders>
            <w:shd w:val="clear" w:color="auto" w:fill="auto"/>
          </w:tcPr>
          <w:p w:rsidR="00FA1D26" w:rsidRPr="008954A8" w:rsidRDefault="00FA1D26" w:rsidP="004C5D98">
            <w:pPr>
              <w:pStyle w:val="ARProgramTableText"/>
              <w:spacing w:before="0" w:after="0" w:line="300" w:lineRule="exact"/>
              <w:rPr>
                <w:rtl/>
                <w:lang w:bidi="ar-SA"/>
              </w:rPr>
            </w:pPr>
            <w:r>
              <w:rPr>
                <w:rFonts w:hint="cs"/>
                <w:rtl/>
                <w:lang w:bidi="ar-SA"/>
              </w:rPr>
              <w:t>العدد السنوي لزائري مواقع مؤشر الابتكار العالمي</w:t>
            </w:r>
          </w:p>
        </w:tc>
        <w:tc>
          <w:tcPr>
            <w:tcW w:w="1417" w:type="dxa"/>
            <w:tcBorders>
              <w:top w:val="nil"/>
              <w:left w:val="nil"/>
              <w:bottom w:val="nil"/>
              <w:right w:val="nil"/>
            </w:tcBorders>
            <w:shd w:val="clear" w:color="auto" w:fill="auto"/>
          </w:tcPr>
          <w:p w:rsidR="00FA1D26" w:rsidRPr="00DA2387" w:rsidRDefault="00FA1D26" w:rsidP="004C5D98">
            <w:pPr>
              <w:pStyle w:val="ARProgramTableText"/>
              <w:spacing w:before="0" w:after="0" w:line="300" w:lineRule="exact"/>
              <w:rPr>
                <w:lang w:bidi="ar-SA"/>
              </w:rPr>
            </w:pPr>
            <w:r w:rsidRPr="0013501F">
              <w:rPr>
                <w:rFonts w:hint="cs"/>
                <w:rtl/>
                <w:lang w:bidi="ar-SA"/>
              </w:rPr>
              <w:t xml:space="preserve">تحدد </w:t>
            </w:r>
            <w:r>
              <w:rPr>
                <w:rFonts w:hint="cs"/>
                <w:rtl/>
                <w:lang w:bidi="ar-SA"/>
              </w:rPr>
              <w:t>نهاية 2015</w:t>
            </w:r>
          </w:p>
        </w:tc>
        <w:tc>
          <w:tcPr>
            <w:tcW w:w="1611" w:type="dxa"/>
            <w:tcBorders>
              <w:top w:val="nil"/>
              <w:left w:val="nil"/>
              <w:bottom w:val="nil"/>
              <w:right w:val="single" w:sz="4" w:space="0" w:color="auto"/>
            </w:tcBorders>
            <w:shd w:val="clear" w:color="auto" w:fill="auto"/>
          </w:tcPr>
          <w:p w:rsidR="00FA1D26" w:rsidRPr="00DA2387" w:rsidRDefault="00FA1D26" w:rsidP="004C5D98">
            <w:pPr>
              <w:pStyle w:val="ARProgramTableText"/>
              <w:spacing w:before="0" w:after="0" w:line="300" w:lineRule="exact"/>
            </w:pPr>
            <w:r w:rsidRPr="00650789">
              <w:rPr>
                <w:rFonts w:hint="cs"/>
                <w:rtl/>
                <w:lang w:bidi="ar-SA"/>
              </w:rPr>
              <w:t>تحدد لاحقا</w:t>
            </w:r>
          </w:p>
        </w:tc>
      </w:tr>
      <w:tr w:rsidR="00FA1D26" w:rsidRPr="008954A8" w:rsidTr="004C5D98">
        <w:trPr>
          <w:jc w:val="center"/>
        </w:trPr>
        <w:tc>
          <w:tcPr>
            <w:tcW w:w="2603" w:type="dxa"/>
            <w:tcBorders>
              <w:top w:val="nil"/>
              <w:left w:val="single" w:sz="4" w:space="0" w:color="auto"/>
              <w:bottom w:val="single" w:sz="4" w:space="0" w:color="auto"/>
              <w:right w:val="nil"/>
            </w:tcBorders>
            <w:shd w:val="clear" w:color="auto" w:fill="auto"/>
          </w:tcPr>
          <w:p w:rsidR="00FA1D26" w:rsidRPr="008954A8" w:rsidRDefault="00FA1D26" w:rsidP="004C5D98">
            <w:pPr>
              <w:pStyle w:val="ARProgramTableText"/>
              <w:spacing w:before="0" w:after="0" w:line="300" w:lineRule="exact"/>
              <w:rPr>
                <w:rtl/>
                <w:lang w:bidi="ar-SA"/>
              </w:rPr>
            </w:pPr>
          </w:p>
        </w:tc>
        <w:tc>
          <w:tcPr>
            <w:tcW w:w="3544" w:type="dxa"/>
            <w:tcBorders>
              <w:top w:val="nil"/>
              <w:left w:val="nil"/>
              <w:bottom w:val="single" w:sz="4" w:space="0" w:color="auto"/>
              <w:right w:val="nil"/>
            </w:tcBorders>
            <w:shd w:val="clear" w:color="auto" w:fill="auto"/>
          </w:tcPr>
          <w:p w:rsidR="00FA1D26" w:rsidRPr="008954A8" w:rsidRDefault="00FA1D26" w:rsidP="004C5D98">
            <w:pPr>
              <w:pStyle w:val="ARProgramTableText"/>
              <w:spacing w:before="0" w:after="0" w:line="300" w:lineRule="exact"/>
              <w:rPr>
                <w:rtl/>
                <w:lang w:bidi="ar-SA"/>
              </w:rPr>
            </w:pPr>
            <w:r w:rsidRPr="008954A8">
              <w:rPr>
                <w:rFonts w:hint="cs"/>
                <w:rtl/>
                <w:lang w:bidi="ar-SA"/>
              </w:rPr>
              <w:t xml:space="preserve">عدد </w:t>
            </w:r>
            <w:r>
              <w:rPr>
                <w:rFonts w:hint="cs"/>
                <w:rtl/>
                <w:lang w:bidi="ar-SA"/>
              </w:rPr>
              <w:t>مرات تحميل التقرير العالمي للملكية الفكرية بعد 6 أشهر من نشره</w:t>
            </w:r>
          </w:p>
        </w:tc>
        <w:tc>
          <w:tcPr>
            <w:tcW w:w="1417" w:type="dxa"/>
            <w:tcBorders>
              <w:top w:val="nil"/>
              <w:left w:val="nil"/>
              <w:bottom w:val="single" w:sz="4" w:space="0" w:color="auto"/>
              <w:right w:val="nil"/>
            </w:tcBorders>
            <w:shd w:val="clear" w:color="auto" w:fill="auto"/>
          </w:tcPr>
          <w:p w:rsidR="00FA1D26" w:rsidRPr="00DA2387" w:rsidRDefault="00FA1D26" w:rsidP="004C5D98">
            <w:pPr>
              <w:pStyle w:val="ARProgramTableText"/>
              <w:spacing w:before="0" w:after="0" w:line="300" w:lineRule="exact"/>
              <w:rPr>
                <w:lang w:bidi="ar-SA"/>
              </w:rPr>
            </w:pPr>
            <w:r w:rsidRPr="0013501F">
              <w:rPr>
                <w:rFonts w:hint="cs"/>
                <w:rtl/>
                <w:lang w:bidi="ar-SA"/>
              </w:rPr>
              <w:t>تحدد لاحقا</w:t>
            </w:r>
            <w:r w:rsidRPr="00557B1D">
              <w:rPr>
                <w:rFonts w:hint="cs"/>
                <w:sz w:val="24"/>
                <w:szCs w:val="24"/>
                <w:vertAlign w:val="superscript"/>
                <w:rtl/>
                <w:lang w:bidi="ar-SA"/>
              </w:rPr>
              <w:t>18</w:t>
            </w:r>
          </w:p>
        </w:tc>
        <w:tc>
          <w:tcPr>
            <w:tcW w:w="1611" w:type="dxa"/>
            <w:tcBorders>
              <w:top w:val="nil"/>
              <w:left w:val="nil"/>
              <w:bottom w:val="single" w:sz="4" w:space="0" w:color="auto"/>
              <w:right w:val="single" w:sz="4" w:space="0" w:color="auto"/>
            </w:tcBorders>
            <w:shd w:val="clear" w:color="auto" w:fill="auto"/>
          </w:tcPr>
          <w:p w:rsidR="00FA1D26" w:rsidRPr="00DA2387" w:rsidRDefault="00FA1D26" w:rsidP="004C5D98">
            <w:pPr>
              <w:pStyle w:val="ARProgramTableText"/>
              <w:spacing w:before="0" w:after="0" w:line="300" w:lineRule="exact"/>
            </w:pPr>
            <w:r w:rsidRPr="00650789">
              <w:rPr>
                <w:rFonts w:hint="cs"/>
                <w:rtl/>
                <w:lang w:bidi="ar-SA"/>
              </w:rPr>
              <w:t>تحدد لاحقا</w:t>
            </w:r>
          </w:p>
        </w:tc>
      </w:tr>
    </w:tbl>
    <w:p w:rsidR="00FA1D26" w:rsidRPr="00D306BA" w:rsidRDefault="00FA1D26"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D306BA">
        <w:rPr>
          <w:rFonts w:ascii="Arabic Typesetting" w:hAnsi="Arabic Typesetting" w:cs="Arabic Typesetting" w:hint="cs"/>
          <w:noProof/>
          <w:sz w:val="38"/>
          <w:szCs w:val="38"/>
          <w:rtl/>
        </w:rPr>
        <w:t>الموارد المخصصة للبرنامج 16</w:t>
      </w:r>
    </w:p>
    <w:p w:rsidR="00FA1D26" w:rsidRDefault="00FA1D26" w:rsidP="00C725BD">
      <w:pPr>
        <w:pStyle w:val="ARNumbered116"/>
        <w:numPr>
          <w:ilvl w:val="0"/>
          <w:numId w:val="29"/>
        </w:numPr>
        <w:spacing w:after="120" w:line="340" w:lineRule="exact"/>
        <w:ind w:left="0" w:firstLine="0"/>
        <w:rPr>
          <w:rFonts w:ascii="Arabic Typesetting" w:hAnsi="Arabic Typesetting" w:cs="Arabic Typesetting"/>
          <w:color w:val="000000"/>
          <w:sz w:val="34"/>
          <w:szCs w:val="34"/>
        </w:rPr>
      </w:pPr>
      <w:r>
        <w:rPr>
          <w:rFonts w:ascii="Arabic Typesetting" w:hAnsi="Arabic Typesetting" w:cs="Arabic Typesetting" w:hint="cs"/>
          <w:color w:val="000000"/>
          <w:sz w:val="34"/>
          <w:szCs w:val="34"/>
          <w:rtl/>
        </w:rPr>
        <w:t xml:space="preserve">تعكس الزيادة المُسجلة في كل من موارد الموظفين وخلاف موارد الموظفين ضمن النتيجة المرتقبة </w:t>
      </w:r>
      <w:r w:rsidRPr="00AF54BA">
        <w:rPr>
          <w:rFonts w:ascii="Arabic Typesetting" w:hAnsi="Arabic Typesetting" w:cs="Arabic Typesetting" w:hint="cs"/>
          <w:color w:val="000000"/>
          <w:sz w:val="34"/>
          <w:szCs w:val="34"/>
          <w:rtl/>
          <w:lang w:bidi="ar-SA"/>
        </w:rPr>
        <w:t>ه 1.5</w:t>
      </w:r>
      <w:r>
        <w:rPr>
          <w:rFonts w:ascii="Arabic Typesetting" w:hAnsi="Arabic Typesetting" w:cs="Arabic Typesetting" w:hint="cs"/>
          <w:color w:val="000000"/>
          <w:sz w:val="34"/>
          <w:szCs w:val="34"/>
          <w:rtl/>
          <w:lang w:bidi="ar-SA"/>
        </w:rPr>
        <w:t xml:space="preserve"> (</w:t>
      </w:r>
      <w:r w:rsidRPr="00AF54BA">
        <w:rPr>
          <w:rFonts w:ascii="Arabic Typesetting" w:hAnsi="Arabic Typesetting" w:cs="Arabic Typesetting"/>
          <w:color w:val="000000"/>
          <w:sz w:val="34"/>
          <w:szCs w:val="34"/>
          <w:rtl/>
        </w:rPr>
        <w:t>استخدام معلومات الويبو الإحصائية بشأن الملكية الفكرية على نطاق أوسع ونحو أفضل</w:t>
      </w:r>
      <w:r>
        <w:rPr>
          <w:rFonts w:ascii="Arabic Typesetting" w:hAnsi="Arabic Typesetting" w:cs="Arabic Typesetting" w:hint="cs"/>
          <w:color w:val="000000"/>
          <w:sz w:val="34"/>
          <w:szCs w:val="34"/>
          <w:rtl/>
        </w:rPr>
        <w:t xml:space="preserve">) جهودا معزّزة لتوفير معلومات إحصائية عن أداء نظام الملكية الفكرية في كل أنحاء العالم، وبخاصة لجمع إحصاءات جديدة عن </w:t>
      </w:r>
      <w:r w:rsidR="00C725BD">
        <w:rPr>
          <w:rFonts w:ascii="Arabic Typesetting" w:hAnsi="Arabic Typesetting" w:cs="Arabic Typesetting" w:hint="cs"/>
          <w:color w:val="000000"/>
          <w:sz w:val="34"/>
          <w:szCs w:val="34"/>
          <w:rtl/>
        </w:rPr>
        <w:t>العلامات التجارية و</w:t>
      </w:r>
      <w:r>
        <w:rPr>
          <w:rFonts w:ascii="Arabic Typesetting" w:hAnsi="Arabic Typesetting" w:cs="Arabic Typesetting" w:hint="cs"/>
          <w:color w:val="000000"/>
          <w:sz w:val="34"/>
          <w:szCs w:val="34"/>
          <w:rtl/>
        </w:rPr>
        <w:t>البيانات الجغرافية وحق المؤلف</w:t>
      </w:r>
      <w:r w:rsidR="00C725BD" w:rsidRPr="00C725BD">
        <w:rPr>
          <w:rFonts w:ascii="Arabic Typesetting" w:hAnsi="Arabic Typesetting" w:cs="Arabic Typesetting" w:hint="cs"/>
          <w:color w:val="000000"/>
          <w:sz w:val="34"/>
          <w:szCs w:val="34"/>
          <w:rtl/>
        </w:rPr>
        <w:t xml:space="preserve"> </w:t>
      </w:r>
      <w:r w:rsidR="00C725BD">
        <w:rPr>
          <w:rFonts w:ascii="Arabic Typesetting" w:hAnsi="Arabic Typesetting" w:cs="Arabic Typesetting" w:hint="cs"/>
          <w:color w:val="000000"/>
          <w:sz w:val="34"/>
          <w:szCs w:val="34"/>
          <w:rtl/>
        </w:rPr>
        <w:t>والإبلاغ عنها، وستُجمع إحصاءات حق المؤلف ويُبلّغ عنها بالتعاون الوثيق مع البرنامج 3.</w:t>
      </w:r>
    </w:p>
    <w:p w:rsidR="00FA1D26" w:rsidRDefault="00FA1D26" w:rsidP="00861CFF">
      <w:pPr>
        <w:pStyle w:val="ARNumbered116"/>
        <w:numPr>
          <w:ilvl w:val="0"/>
          <w:numId w:val="29"/>
        </w:numPr>
        <w:tabs>
          <w:tab w:val="right" w:pos="707"/>
        </w:tabs>
        <w:spacing w:after="120" w:line="340" w:lineRule="exact"/>
        <w:ind w:left="0" w:firstLine="0"/>
        <w:rPr>
          <w:rFonts w:ascii="Arabic Typesetting" w:hAnsi="Arabic Typesetting" w:cs="Arabic Typesetting"/>
          <w:color w:val="000000"/>
          <w:sz w:val="34"/>
          <w:szCs w:val="34"/>
        </w:rPr>
      </w:pPr>
      <w:r>
        <w:rPr>
          <w:rFonts w:ascii="Arabic Typesetting" w:hAnsi="Arabic Typesetting" w:cs="Arabic Typesetting" w:hint="cs"/>
          <w:color w:val="000000"/>
          <w:sz w:val="34"/>
          <w:szCs w:val="34"/>
          <w:rtl/>
        </w:rPr>
        <w:lastRenderedPageBreak/>
        <w:t xml:space="preserve">تبيّن الزيادة المُسجلة في موارد الموظفين وخلاف موارد الموظفين ضمن النتيجة المرتقبة </w:t>
      </w:r>
      <w:r w:rsidRPr="00AF54BA">
        <w:rPr>
          <w:rFonts w:ascii="Arabic Typesetting" w:hAnsi="Arabic Typesetting" w:cs="Arabic Typesetting" w:hint="cs"/>
          <w:color w:val="000000"/>
          <w:sz w:val="34"/>
          <w:szCs w:val="34"/>
          <w:rtl/>
          <w:lang w:bidi="ar-SA"/>
        </w:rPr>
        <w:t xml:space="preserve">ه </w:t>
      </w:r>
      <w:r>
        <w:rPr>
          <w:rFonts w:ascii="Arabic Typesetting" w:hAnsi="Arabic Typesetting" w:cs="Arabic Typesetting" w:hint="cs"/>
          <w:color w:val="000000"/>
          <w:sz w:val="34"/>
          <w:szCs w:val="34"/>
          <w:rtl/>
          <w:lang w:bidi="ar-SA"/>
        </w:rPr>
        <w:t>2</w:t>
      </w:r>
      <w:r w:rsidRPr="00AF54BA">
        <w:rPr>
          <w:rFonts w:ascii="Arabic Typesetting" w:hAnsi="Arabic Typesetting" w:cs="Arabic Typesetting" w:hint="cs"/>
          <w:color w:val="000000"/>
          <w:sz w:val="34"/>
          <w:szCs w:val="34"/>
          <w:rtl/>
          <w:lang w:bidi="ar-SA"/>
        </w:rPr>
        <w:t>.5</w:t>
      </w:r>
      <w:r>
        <w:rPr>
          <w:rFonts w:ascii="Arabic Typesetting" w:hAnsi="Arabic Typesetting" w:cs="Arabic Typesetting" w:hint="cs"/>
          <w:color w:val="000000"/>
          <w:sz w:val="34"/>
          <w:szCs w:val="34"/>
          <w:rtl/>
          <w:lang w:bidi="ar-SA"/>
        </w:rPr>
        <w:t xml:space="preserve"> (</w:t>
      </w:r>
      <w:r w:rsidRPr="00AF54BA">
        <w:rPr>
          <w:rFonts w:ascii="Arabic Typesetting" w:hAnsi="Arabic Typesetting" w:cs="Arabic Typesetting"/>
          <w:color w:val="000000"/>
          <w:sz w:val="34"/>
          <w:szCs w:val="34"/>
          <w:rtl/>
          <w:lang w:bidi="ar-SA"/>
        </w:rPr>
        <w:t>استخدام تحليلات الويبو الاقتصادية على نطاق أوسع ونحو أفضل</w:t>
      </w:r>
      <w:r>
        <w:rPr>
          <w:rFonts w:ascii="Arabic Typesetting" w:hAnsi="Arabic Typesetting" w:cs="Arabic Typesetting" w:hint="cs"/>
          <w:color w:val="000000"/>
          <w:sz w:val="34"/>
          <w:szCs w:val="34"/>
          <w:rtl/>
          <w:lang w:bidi="ar-SA"/>
        </w:rPr>
        <w:t>) زيادة الالتزامات البحثية، لا سيما بشأن السياسات العامة والأداء في الصناعات الإبداعية وبشأن الدراسات ضمن مشروع جدول أعمال التنمية المتعلق بالملكية الفكرية والتنمية الاقتصادية والاجتماعية.</w:t>
      </w:r>
    </w:p>
    <w:p w:rsidR="00FA1D26" w:rsidRPr="009A32AA" w:rsidRDefault="00FA1D26" w:rsidP="007843AB">
      <w:pPr>
        <w:pStyle w:val="ARNormal"/>
        <w:keepNext/>
        <w:spacing w:after="0"/>
        <w:jc w:val="center"/>
        <w:rPr>
          <w:b/>
          <w:bCs/>
          <w:rtl/>
        </w:rPr>
      </w:pPr>
      <w:r w:rsidRPr="009A32AA">
        <w:rPr>
          <w:b/>
          <w:bCs/>
          <w:rtl/>
        </w:rPr>
        <w:t xml:space="preserve">البرنامج </w:t>
      </w:r>
      <w:r>
        <w:rPr>
          <w:rFonts w:hint="cs"/>
          <w:b/>
          <w:bCs/>
          <w:rtl/>
        </w:rPr>
        <w:t>16</w:t>
      </w:r>
      <w:r w:rsidRPr="009A32AA">
        <w:rPr>
          <w:b/>
          <w:bCs/>
          <w:rtl/>
        </w:rPr>
        <w:t>: الموارد بحسب كل نتيجة</w:t>
      </w:r>
    </w:p>
    <w:p w:rsidR="00FA1D26" w:rsidRPr="009A32AA" w:rsidRDefault="00FA1D26" w:rsidP="007843AB">
      <w:pPr>
        <w:pStyle w:val="ARNormal"/>
        <w:spacing w:after="0"/>
        <w:ind w:left="720"/>
        <w:jc w:val="center"/>
        <w:rPr>
          <w:i/>
          <w:iCs/>
          <w:rtl/>
        </w:rPr>
      </w:pPr>
      <w:r w:rsidRPr="009A32AA">
        <w:rPr>
          <w:i/>
          <w:iCs/>
          <w:rtl/>
        </w:rPr>
        <w:t>(بآلاف الفرنكات السويسرية)</w:t>
      </w:r>
    </w:p>
    <w:p w:rsidR="00FA1D26" w:rsidRDefault="00FA1D26" w:rsidP="004C5D98">
      <w:pPr>
        <w:pStyle w:val="ARNumbered116"/>
        <w:tabs>
          <w:tab w:val="right" w:pos="707"/>
        </w:tabs>
        <w:jc w:val="center"/>
        <w:rPr>
          <w:rFonts w:ascii="Arabic Typesetting" w:hAnsi="Arabic Typesetting" w:cs="Arabic Typesetting"/>
          <w:color w:val="000000"/>
          <w:sz w:val="34"/>
          <w:szCs w:val="34"/>
          <w:rtl/>
        </w:rPr>
      </w:pPr>
      <w:r w:rsidRPr="00FA1D26">
        <w:rPr>
          <w:noProof/>
          <w:szCs w:val="20"/>
          <w:rtl/>
          <w:lang w:bidi="ar-SA"/>
        </w:rPr>
        <w:drawing>
          <wp:inline distT="0" distB="0" distL="0" distR="0" wp14:anchorId="45CB2B2A" wp14:editId="1E43C18D">
            <wp:extent cx="5676900" cy="1381125"/>
            <wp:effectExtent l="0" t="0" r="0" b="9525"/>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676900" cy="1381125"/>
                    </a:xfrm>
                    <a:prstGeom prst="rect">
                      <a:avLst/>
                    </a:prstGeom>
                    <a:noFill/>
                    <a:ln>
                      <a:noFill/>
                    </a:ln>
                  </pic:spPr>
                </pic:pic>
              </a:graphicData>
            </a:graphic>
          </wp:inline>
        </w:drawing>
      </w:r>
    </w:p>
    <w:p w:rsidR="00FA1D26" w:rsidRPr="008954A8" w:rsidRDefault="00FA1D26" w:rsidP="007843AB">
      <w:pPr>
        <w:pStyle w:val="ARNormal"/>
        <w:keepNext/>
        <w:spacing w:after="0"/>
        <w:jc w:val="center"/>
        <w:rPr>
          <w:b/>
          <w:bCs/>
          <w:rtl/>
        </w:rPr>
      </w:pPr>
      <w:r w:rsidRPr="008954A8">
        <w:rPr>
          <w:rFonts w:hint="cs"/>
          <w:b/>
          <w:bCs/>
          <w:rtl/>
        </w:rPr>
        <w:t xml:space="preserve">البرنامج </w:t>
      </w:r>
      <w:r>
        <w:rPr>
          <w:rFonts w:hint="cs"/>
          <w:b/>
          <w:bCs/>
          <w:rtl/>
        </w:rPr>
        <w:t>16</w:t>
      </w:r>
      <w:r w:rsidRPr="008954A8">
        <w:rPr>
          <w:rFonts w:hint="cs"/>
          <w:b/>
          <w:bCs/>
          <w:rtl/>
        </w:rPr>
        <w:t>: الموارد بحسب غرض الإنفاق</w:t>
      </w:r>
    </w:p>
    <w:p w:rsidR="00FA1D26" w:rsidRPr="008954A8" w:rsidRDefault="00FA1D26" w:rsidP="007843AB">
      <w:pPr>
        <w:pStyle w:val="ARNormal"/>
        <w:spacing w:after="0"/>
        <w:ind w:left="720"/>
        <w:jc w:val="center"/>
        <w:rPr>
          <w:i/>
          <w:iCs/>
        </w:rPr>
      </w:pPr>
      <w:r w:rsidRPr="008954A8">
        <w:rPr>
          <w:rFonts w:hint="cs"/>
          <w:i/>
          <w:iCs/>
          <w:rtl/>
        </w:rPr>
        <w:t>(بآلاف الفرنكات السويسرية)</w:t>
      </w:r>
    </w:p>
    <w:p w:rsidR="00FA1D26" w:rsidRPr="00EE13BB" w:rsidRDefault="00FA1D26" w:rsidP="004C5D98">
      <w:pPr>
        <w:pStyle w:val="ARNormal"/>
        <w:spacing w:after="0" w:line="240" w:lineRule="auto"/>
        <w:jc w:val="center"/>
        <w:rPr>
          <w:color w:val="000000"/>
          <w:rtl/>
        </w:rPr>
      </w:pPr>
      <w:r w:rsidRPr="00FA1D26">
        <w:rPr>
          <w:noProof/>
          <w:rtl/>
          <w:lang w:val="en-US"/>
        </w:rPr>
        <w:drawing>
          <wp:inline distT="0" distB="0" distL="0" distR="0" wp14:anchorId="28650927" wp14:editId="471CE938">
            <wp:extent cx="4876701" cy="5635121"/>
            <wp:effectExtent l="0" t="0" r="635" b="381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908613" cy="5671996"/>
                    </a:xfrm>
                    <a:prstGeom prst="rect">
                      <a:avLst/>
                    </a:prstGeom>
                    <a:noFill/>
                    <a:ln>
                      <a:noFill/>
                    </a:ln>
                  </pic:spPr>
                </pic:pic>
              </a:graphicData>
            </a:graphic>
          </wp:inline>
        </w:drawing>
      </w:r>
    </w:p>
    <w:p w:rsidR="006450EA" w:rsidRDefault="006450EA" w:rsidP="004C5D98">
      <w:pPr>
        <w:pStyle w:val="ARNormal"/>
        <w:spacing w:after="0"/>
        <w:rPr>
          <w:rtl/>
        </w:rPr>
      </w:pPr>
    </w:p>
    <w:p w:rsidR="00B729B5" w:rsidRDefault="00B729B5" w:rsidP="002C3C33">
      <w:pPr>
        <w:pStyle w:val="ARNormal"/>
        <w:rPr>
          <w:rtl/>
        </w:rPr>
        <w:sectPr w:rsidR="00B729B5" w:rsidSect="00861CFF">
          <w:pgSz w:w="11906" w:h="16838" w:code="9"/>
          <w:pgMar w:top="1134" w:right="1418" w:bottom="1418" w:left="1134" w:header="510" w:footer="1021" w:gutter="0"/>
          <w:cols w:space="720"/>
          <w:bidi/>
          <w:rtlGutter/>
        </w:sectPr>
      </w:pPr>
    </w:p>
    <w:p w:rsidR="00B729B5" w:rsidRPr="00F11F15" w:rsidRDefault="00B729B5" w:rsidP="007843AB">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83" w:name="_Toc358745230"/>
      <w:bookmarkStart w:id="84" w:name="_Toc364355396"/>
      <w:bookmarkStart w:id="85" w:name="_Toc420595521"/>
      <w:r w:rsidRPr="008954A8">
        <w:rPr>
          <w:rFonts w:ascii="Arabic Typesetting" w:hAnsi="Arabic Typesetting" w:cs="Arabic Typesetting" w:hint="cs"/>
          <w:i/>
          <w:iCs w:val="0"/>
          <w:sz w:val="42"/>
          <w:szCs w:val="42"/>
          <w:rtl/>
        </w:rPr>
        <w:lastRenderedPageBreak/>
        <w:t>الهدف الاستراتيجي السادس</w:t>
      </w:r>
      <w:bookmarkStart w:id="86" w:name="_Toc364355397"/>
      <w:bookmarkEnd w:id="83"/>
      <w:bookmarkEnd w:id="84"/>
      <w:r>
        <w:rPr>
          <w:rFonts w:ascii="Arabic Typesetting" w:hAnsi="Arabic Typesetting" w:cs="Arabic Typesetting" w:hint="cs"/>
          <w:i/>
          <w:iCs w:val="0"/>
          <w:sz w:val="42"/>
          <w:szCs w:val="42"/>
          <w:rtl/>
        </w:rPr>
        <w:tab/>
      </w:r>
      <w:r w:rsidRPr="008954A8">
        <w:rPr>
          <w:rFonts w:ascii="Arabic Typesetting" w:hAnsi="Arabic Typesetting" w:cs="Arabic Typesetting"/>
          <w:i/>
          <w:iCs w:val="0"/>
          <w:sz w:val="42"/>
          <w:szCs w:val="42"/>
          <w:rtl/>
        </w:rPr>
        <w:t>التعاون الدولي بشأن إذكاء الاحترام للملكية الفكرية</w:t>
      </w:r>
      <w:bookmarkEnd w:id="85"/>
      <w:bookmarkEnd w:id="86"/>
    </w:p>
    <w:p w:rsidR="00B729B5" w:rsidRPr="008954A8" w:rsidRDefault="00B729B5" w:rsidP="00862268">
      <w:pPr>
        <w:tabs>
          <w:tab w:val="left" w:pos="714"/>
        </w:tabs>
        <w:spacing w:after="120" w:line="340" w:lineRule="exact"/>
        <w:rPr>
          <w:rFonts w:ascii="Arabic Typesetting" w:hAnsi="Arabic Typesetting" w:cs="Arabic Typesetting"/>
          <w:sz w:val="34"/>
          <w:szCs w:val="34"/>
          <w:rtl/>
        </w:rPr>
      </w:pPr>
      <w:r w:rsidRPr="008954A8">
        <w:rPr>
          <w:rFonts w:ascii="Arabic Typesetting" w:hAnsi="Arabic Typesetting" w:cs="Arabic Typesetting" w:hint="cs"/>
          <w:color w:val="000000"/>
          <w:sz w:val="34"/>
          <w:szCs w:val="34"/>
          <w:rtl/>
        </w:rPr>
        <w:t xml:space="preserve">يجسد </w:t>
      </w:r>
      <w:r w:rsidRPr="008954A8">
        <w:rPr>
          <w:rFonts w:ascii="Arabic Typesetting" w:hAnsi="Arabic Typesetting" w:cs="Arabic Typesetting"/>
          <w:sz w:val="34"/>
          <w:szCs w:val="34"/>
          <w:rtl/>
        </w:rPr>
        <w:t>إذكاء الاحترام للملكية الفكرية منهاج عمل أوسع من ذلك النهج الذي يهدف فقط إلى إنفاذ حقوق الملكية الفكرية. ويدعو هذا المنهاج إلى التركيز على التعاون الدولي حيث تتمكن الويبو من أن تحدث فرقا. يشكل هذا هدفاً شاملاً وجامعاً تدعمه مختلف مجالات أنشطة الويبو. وتقوم لجنة الويبو الاستشارية المعنية بالإنفاذ (</w:t>
      </w:r>
      <w:r w:rsidRPr="008954A8">
        <w:rPr>
          <w:rFonts w:ascii="Arabic Typesetting" w:hAnsi="Arabic Typesetting" w:cs="Arabic Typesetting"/>
          <w:sz w:val="34"/>
          <w:szCs w:val="34"/>
        </w:rPr>
        <w:t>ACE</w:t>
      </w:r>
      <w:r w:rsidRPr="008954A8">
        <w:rPr>
          <w:rFonts w:ascii="Arabic Typesetting" w:hAnsi="Arabic Typesetting" w:cs="Arabic Typesetting"/>
          <w:sz w:val="34"/>
          <w:szCs w:val="34"/>
          <w:rtl/>
        </w:rPr>
        <w:t>) مقام آلية عمل للدول الأعضاء في سبيل تنسيق العمل نحو تحقيق هذا الهدف. ويسترشد العمل في ظل هذا الهدف الاستراتيجي بالتوصية 45 من جدول أعم</w:t>
      </w:r>
      <w:r w:rsidRPr="008954A8">
        <w:rPr>
          <w:rFonts w:ascii="Arabic Typesetting" w:hAnsi="Arabic Typesetting" w:cs="Arabic Typesetting" w:hint="cs"/>
          <w:sz w:val="34"/>
          <w:szCs w:val="34"/>
          <w:rtl/>
        </w:rPr>
        <w:t>ال التنمية.</w:t>
      </w:r>
    </w:p>
    <w:p w:rsidR="00B729B5" w:rsidRPr="008954A8" w:rsidRDefault="00B729B5" w:rsidP="00862268">
      <w:pPr>
        <w:tabs>
          <w:tab w:val="left" w:pos="714"/>
        </w:tabs>
        <w:spacing w:after="120" w:line="340" w:lineRule="exact"/>
        <w:rPr>
          <w:rFonts w:ascii="Arabic Typesetting" w:hAnsi="Arabic Typesetting" w:cs="Arabic Typesetting"/>
          <w:sz w:val="34"/>
          <w:szCs w:val="3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3969"/>
        <w:gridCol w:w="2235"/>
      </w:tblGrid>
      <w:tr w:rsidR="00B729B5" w:rsidRPr="00323437" w:rsidTr="007843AB">
        <w:trPr>
          <w:tblHeader/>
        </w:trPr>
        <w:tc>
          <w:tcPr>
            <w:tcW w:w="3366" w:type="dxa"/>
            <w:tcBorders>
              <w:bottom w:val="single" w:sz="4" w:space="0" w:color="auto"/>
              <w:right w:val="nil"/>
            </w:tcBorders>
            <w:shd w:val="clear" w:color="auto" w:fill="C6D9F1"/>
          </w:tcPr>
          <w:p w:rsidR="00B729B5" w:rsidRPr="00323437" w:rsidRDefault="00B729B5" w:rsidP="007843AB">
            <w:pPr>
              <w:pStyle w:val="ARProgramTableHeading"/>
              <w:spacing w:line="300" w:lineRule="exact"/>
              <w:rPr>
                <w:rtl/>
                <w:lang w:bidi="ar-SA"/>
              </w:rPr>
            </w:pPr>
            <w:r w:rsidRPr="00323437">
              <w:rPr>
                <w:rtl/>
                <w:lang w:bidi="ar-SA"/>
              </w:rPr>
              <w:t>النتائج المرتقبة</w:t>
            </w:r>
          </w:p>
        </w:tc>
        <w:tc>
          <w:tcPr>
            <w:tcW w:w="3969" w:type="dxa"/>
            <w:tcBorders>
              <w:left w:val="nil"/>
              <w:bottom w:val="single" w:sz="4" w:space="0" w:color="auto"/>
              <w:right w:val="nil"/>
            </w:tcBorders>
            <w:shd w:val="clear" w:color="auto" w:fill="C6D9F1"/>
          </w:tcPr>
          <w:p w:rsidR="00B729B5" w:rsidRPr="00323437" w:rsidRDefault="00B729B5" w:rsidP="007843AB">
            <w:pPr>
              <w:pStyle w:val="ARProgramTableHeading"/>
              <w:spacing w:line="300" w:lineRule="exact"/>
              <w:rPr>
                <w:rtl/>
                <w:lang w:bidi="ar-SA"/>
              </w:rPr>
            </w:pPr>
            <w:r w:rsidRPr="00323437">
              <w:rPr>
                <w:rtl/>
                <w:lang w:bidi="ar-SA"/>
              </w:rPr>
              <w:t>مؤشرات الأداء</w:t>
            </w:r>
          </w:p>
        </w:tc>
        <w:tc>
          <w:tcPr>
            <w:tcW w:w="2235" w:type="dxa"/>
            <w:tcBorders>
              <w:left w:val="nil"/>
              <w:bottom w:val="single" w:sz="4" w:space="0" w:color="auto"/>
            </w:tcBorders>
            <w:shd w:val="clear" w:color="auto" w:fill="C6D9F1"/>
          </w:tcPr>
          <w:p w:rsidR="00B729B5" w:rsidRPr="00323437" w:rsidRDefault="00B729B5" w:rsidP="007843AB">
            <w:pPr>
              <w:pStyle w:val="ARProgramTableHeading"/>
              <w:spacing w:line="300" w:lineRule="exact"/>
              <w:rPr>
                <w:rtl/>
                <w:lang w:bidi="ar-SA"/>
              </w:rPr>
            </w:pPr>
            <w:r w:rsidRPr="00323437">
              <w:rPr>
                <w:rtl/>
                <w:lang w:bidi="ar-SA"/>
              </w:rPr>
              <w:t>البرامج المسؤولة</w:t>
            </w:r>
          </w:p>
        </w:tc>
      </w:tr>
      <w:tr w:rsidR="00B729B5" w:rsidRPr="00323437" w:rsidTr="00862268">
        <w:tc>
          <w:tcPr>
            <w:tcW w:w="3366" w:type="dxa"/>
            <w:tcBorders>
              <w:bottom w:val="nil"/>
              <w:right w:val="nil"/>
            </w:tcBorders>
            <w:shd w:val="clear" w:color="auto" w:fill="auto"/>
          </w:tcPr>
          <w:p w:rsidR="00B729B5" w:rsidRPr="00323437" w:rsidRDefault="00B729B5" w:rsidP="00862268">
            <w:pPr>
              <w:pStyle w:val="ARSGTableText"/>
              <w:rPr>
                <w:rtl/>
              </w:rPr>
            </w:pPr>
            <w:r w:rsidRPr="00323437">
              <w:rPr>
                <w:rFonts w:hint="cs"/>
                <w:rtl/>
              </w:rPr>
              <w:t xml:space="preserve">ه 1.6 </w:t>
            </w:r>
            <w:r w:rsidRPr="004354D4">
              <w:rPr>
                <w:rtl/>
              </w:rPr>
              <w:t>تقدّم في الحوار السياسي الدولي بين الدول الأعضاء في الويبو حول إذكاء الاحترام للملكية الفكرية، مع الاسترشاد بالتوصية رقم 45 من جدول أعمال الويبو بشأن التنمية</w:t>
            </w:r>
          </w:p>
        </w:tc>
        <w:tc>
          <w:tcPr>
            <w:tcW w:w="3969" w:type="dxa"/>
            <w:tcBorders>
              <w:left w:val="nil"/>
              <w:bottom w:val="nil"/>
              <w:right w:val="nil"/>
            </w:tcBorders>
            <w:shd w:val="clear" w:color="auto" w:fill="auto"/>
          </w:tcPr>
          <w:p w:rsidR="00B729B5" w:rsidRPr="00323437" w:rsidRDefault="00B729B5" w:rsidP="007843AB">
            <w:pPr>
              <w:pStyle w:val="ARSGTableText"/>
              <w:rPr>
                <w:rtl/>
              </w:rPr>
            </w:pPr>
            <w:r w:rsidRPr="004354D4">
              <w:rPr>
                <w:rtl/>
              </w:rPr>
              <w:t xml:space="preserve">استمرار توافق الدول الأعضاء على العمل الجوهري الذي تقوم به لجنة الويبو الاستشارية المعنية بالإنفاذ </w:t>
            </w:r>
            <w:r w:rsidRPr="004354D4">
              <w:rPr>
                <w:rFonts w:hint="cs"/>
                <w:rtl/>
              </w:rPr>
              <w:t>و</w:t>
            </w:r>
            <w:r w:rsidRPr="004354D4">
              <w:rPr>
                <w:rtl/>
              </w:rPr>
              <w:t xml:space="preserve">الرامي إلى </w:t>
            </w:r>
            <w:r w:rsidRPr="004354D4">
              <w:rPr>
                <w:rFonts w:hint="cs"/>
                <w:rtl/>
              </w:rPr>
              <w:t>إدراج</w:t>
            </w:r>
            <w:r w:rsidRPr="004354D4">
              <w:rPr>
                <w:rtl/>
              </w:rPr>
              <w:t xml:space="preserve"> الشواغل الإنمائي</w:t>
            </w:r>
            <w:r w:rsidRPr="004354D4">
              <w:rPr>
                <w:rFonts w:hint="cs"/>
                <w:rtl/>
              </w:rPr>
              <w:t>ة</w:t>
            </w:r>
          </w:p>
        </w:tc>
        <w:tc>
          <w:tcPr>
            <w:tcW w:w="2235" w:type="dxa"/>
            <w:tcBorders>
              <w:left w:val="nil"/>
              <w:bottom w:val="nil"/>
            </w:tcBorders>
            <w:shd w:val="clear" w:color="auto" w:fill="auto"/>
          </w:tcPr>
          <w:p w:rsidR="00B729B5" w:rsidRPr="00323437" w:rsidRDefault="00B729B5" w:rsidP="00862268">
            <w:pPr>
              <w:pStyle w:val="ARSGTableText"/>
              <w:jc w:val="center"/>
              <w:rPr>
                <w:rtl/>
                <w:lang w:bidi="ar-SA"/>
              </w:rPr>
            </w:pPr>
            <w:r w:rsidRPr="00323437">
              <w:rPr>
                <w:rFonts w:hint="cs"/>
                <w:rtl/>
                <w:lang w:bidi="ar-SA"/>
              </w:rPr>
              <w:t>البرنامج 17</w:t>
            </w:r>
          </w:p>
        </w:tc>
      </w:tr>
      <w:tr w:rsidR="00B729B5" w:rsidRPr="00323437" w:rsidTr="00862268">
        <w:tc>
          <w:tcPr>
            <w:tcW w:w="3366" w:type="dxa"/>
            <w:tcBorders>
              <w:top w:val="nil"/>
              <w:bottom w:val="single" w:sz="4" w:space="0" w:color="auto"/>
              <w:right w:val="nil"/>
            </w:tcBorders>
            <w:shd w:val="clear" w:color="auto" w:fill="auto"/>
          </w:tcPr>
          <w:p w:rsidR="00B729B5" w:rsidRPr="00323437" w:rsidRDefault="00B729B5" w:rsidP="00862268">
            <w:pPr>
              <w:pStyle w:val="ARSGTableText"/>
              <w:rPr>
                <w:rtl/>
              </w:rPr>
            </w:pPr>
            <w:r w:rsidRPr="00323437">
              <w:rPr>
                <w:rFonts w:hint="cs"/>
                <w:rtl/>
                <w:lang w:bidi="ar-SA"/>
              </w:rPr>
              <w:t xml:space="preserve">ه 2.6 تعاون وتنسيق على نحو منتظم </w:t>
            </w:r>
            <w:r w:rsidRPr="00323437">
              <w:rPr>
                <w:rFonts w:hint="cs"/>
                <w:rtl/>
              </w:rPr>
              <w:t xml:space="preserve">وفعال وشفاف بين عمل الويبو وعمل المنظمات الدولية الأخرى في مجال إذكاء احترام الملكية الفكرية </w:t>
            </w:r>
          </w:p>
        </w:tc>
        <w:tc>
          <w:tcPr>
            <w:tcW w:w="3969" w:type="dxa"/>
            <w:tcBorders>
              <w:top w:val="nil"/>
              <w:left w:val="nil"/>
              <w:bottom w:val="single" w:sz="4" w:space="0" w:color="auto"/>
              <w:right w:val="nil"/>
            </w:tcBorders>
            <w:shd w:val="clear" w:color="auto" w:fill="auto"/>
          </w:tcPr>
          <w:p w:rsidR="00B729B5" w:rsidRPr="00323437" w:rsidRDefault="00B729B5" w:rsidP="007843AB">
            <w:pPr>
              <w:pStyle w:val="ARSGTableText"/>
              <w:rPr>
                <w:rtl/>
              </w:rPr>
            </w:pPr>
            <w:r w:rsidRPr="004354D4">
              <w:rPr>
                <w:rtl/>
                <w:lang w:bidi="ar-SA"/>
              </w:rPr>
              <w:t>عدد عمليات التعاون الاستراتيجي أو غيرها من الأنشطة المشتركة مع منظمات شريكة بشأن إذكاء الاحترام للملكية الفكرية</w:t>
            </w:r>
          </w:p>
        </w:tc>
        <w:tc>
          <w:tcPr>
            <w:tcW w:w="2235" w:type="dxa"/>
            <w:tcBorders>
              <w:top w:val="nil"/>
              <w:left w:val="nil"/>
              <w:bottom w:val="single" w:sz="4" w:space="0" w:color="auto"/>
            </w:tcBorders>
            <w:shd w:val="clear" w:color="auto" w:fill="auto"/>
          </w:tcPr>
          <w:p w:rsidR="00B729B5" w:rsidRPr="00323437" w:rsidRDefault="00B729B5" w:rsidP="00862268">
            <w:pPr>
              <w:pStyle w:val="ARSGTableText"/>
              <w:jc w:val="center"/>
              <w:rPr>
                <w:rtl/>
                <w:lang w:bidi="ar-SA"/>
              </w:rPr>
            </w:pPr>
            <w:r w:rsidRPr="00323437">
              <w:rPr>
                <w:rFonts w:hint="cs"/>
                <w:rtl/>
                <w:lang w:bidi="ar-SA"/>
              </w:rPr>
              <w:t>البرنامج 17</w:t>
            </w:r>
          </w:p>
        </w:tc>
      </w:tr>
    </w:tbl>
    <w:p w:rsidR="00B729B5" w:rsidRPr="008954A8" w:rsidRDefault="00B729B5" w:rsidP="00862268">
      <w:pPr>
        <w:tabs>
          <w:tab w:val="left" w:pos="714"/>
        </w:tabs>
        <w:spacing w:after="120" w:line="340" w:lineRule="exact"/>
        <w:rPr>
          <w:rFonts w:ascii="Arabic Typesetting" w:hAnsi="Arabic Typesetting" w:cs="Arabic Typesetting"/>
          <w:color w:val="000000"/>
          <w:sz w:val="34"/>
          <w:szCs w:val="34"/>
          <w:rtl/>
        </w:rPr>
      </w:pPr>
    </w:p>
    <w:p w:rsidR="00B729B5" w:rsidRDefault="00B729B5">
      <w:pPr>
        <w:bidi w:val="0"/>
        <w:rPr>
          <w:rFonts w:ascii="Arabic Typesetting" w:hAnsi="Arabic Typesetting" w:cs="Arabic Typesetting"/>
          <w:sz w:val="34"/>
          <w:szCs w:val="34"/>
          <w:rtl/>
          <w:lang w:val="fr-CH" w:bidi="ar-SA"/>
        </w:rPr>
      </w:pPr>
      <w:r>
        <w:rPr>
          <w:rtl/>
        </w:rPr>
        <w:br w:type="page"/>
      </w:r>
    </w:p>
    <w:p w:rsidR="00B729B5" w:rsidRPr="00305F87" w:rsidRDefault="00B729B5" w:rsidP="007843AB">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87" w:name="_Toc364355398"/>
      <w:bookmarkStart w:id="88" w:name="_Toc420595522"/>
      <w:r w:rsidRPr="00305F87">
        <w:rPr>
          <w:rFonts w:ascii="Arabic Typesetting" w:hAnsi="Arabic Typesetting" w:cs="Arabic Typesetting" w:hint="cs"/>
          <w:bCs/>
          <w:iCs w:val="0"/>
          <w:noProof/>
          <w:snapToGrid/>
          <w:sz w:val="42"/>
          <w:szCs w:val="42"/>
          <w:rtl/>
          <w:lang w:bidi="ar-EG"/>
        </w:rPr>
        <w:lastRenderedPageBreak/>
        <w:t>البرنامج 17</w:t>
      </w:r>
      <w:r w:rsidRPr="00305F87">
        <w:rPr>
          <w:rFonts w:ascii="Arabic Typesetting" w:hAnsi="Arabic Typesetting" w:cs="Arabic Typesetting" w:hint="cs"/>
          <w:bCs/>
          <w:iCs w:val="0"/>
          <w:noProof/>
          <w:snapToGrid/>
          <w:sz w:val="42"/>
          <w:szCs w:val="42"/>
          <w:rtl/>
          <w:lang w:bidi="ar-EG"/>
        </w:rPr>
        <w:tab/>
        <w:t>إذكاء الاحترام للملكية الفكرية</w:t>
      </w:r>
      <w:bookmarkEnd w:id="87"/>
      <w:bookmarkEnd w:id="88"/>
    </w:p>
    <w:p w:rsidR="00B729B5" w:rsidRPr="008954A8" w:rsidRDefault="00B729B5"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954A8">
        <w:rPr>
          <w:rFonts w:ascii="Arabic Typesetting" w:hAnsi="Arabic Typesetting" w:cs="Arabic Typesetting" w:hint="cs"/>
          <w:noProof/>
          <w:sz w:val="38"/>
          <w:szCs w:val="38"/>
          <w:rtl/>
        </w:rPr>
        <w:t>سياق التخطيط</w:t>
      </w:r>
    </w:p>
    <w:p w:rsidR="00B729B5" w:rsidRPr="008954A8" w:rsidRDefault="00B729B5" w:rsidP="00861CFF">
      <w:pPr>
        <w:pStyle w:val="ARNumbered116"/>
        <w:numPr>
          <w:ilvl w:val="0"/>
          <w:numId w:val="30"/>
        </w:numPr>
        <w:spacing w:after="120" w:line="340" w:lineRule="exact"/>
        <w:ind w:left="-6" w:firstLine="0"/>
        <w:rPr>
          <w:rFonts w:ascii="Arabic Typesetting" w:hAnsi="Arabic Typesetting" w:cs="Arabic Typesetting"/>
          <w:color w:val="000000"/>
          <w:sz w:val="34"/>
          <w:szCs w:val="34"/>
        </w:rPr>
      </w:pPr>
      <w:r w:rsidRPr="00345CD2">
        <w:rPr>
          <w:rFonts w:ascii="Arabic Typesetting" w:hAnsi="Arabic Typesetting" w:cs="Arabic Typesetting"/>
          <w:sz w:val="34"/>
          <w:szCs w:val="34"/>
          <w:rtl/>
        </w:rPr>
        <w:t xml:space="preserve">إن احترام الملكية الفكرية مبدأٌ أساسي </w:t>
      </w:r>
      <w:r w:rsidRPr="00390E0D">
        <w:rPr>
          <w:rFonts w:ascii="Arabic Typesetting" w:hAnsi="Arabic Typesetting" w:cs="Arabic Typesetting"/>
          <w:sz w:val="34"/>
          <w:szCs w:val="34"/>
          <w:rtl/>
        </w:rPr>
        <w:t>تؤمن به</w:t>
      </w:r>
      <w:r w:rsidRPr="00345CD2">
        <w:rPr>
          <w:rFonts w:ascii="Arabic Typesetting" w:hAnsi="Arabic Typesetting" w:cs="Arabic Typesetting"/>
          <w:sz w:val="34"/>
          <w:szCs w:val="34"/>
          <w:rtl/>
        </w:rPr>
        <w:t xml:space="preserve"> جميع الدول الأعضاء في الويبو، إلا أن </w:t>
      </w:r>
      <w:r w:rsidRPr="00390E0D">
        <w:rPr>
          <w:rFonts w:ascii="Arabic Typesetting" w:hAnsi="Arabic Typesetting" w:cs="Arabic Typesetting"/>
          <w:sz w:val="34"/>
          <w:szCs w:val="34"/>
          <w:rtl/>
        </w:rPr>
        <w:t>إعماله</w:t>
      </w:r>
      <w:r w:rsidRPr="00345CD2">
        <w:rPr>
          <w:rFonts w:ascii="Arabic Typesetting" w:hAnsi="Arabic Typesetting" w:cs="Arabic Typesetting"/>
          <w:sz w:val="34"/>
          <w:szCs w:val="34"/>
          <w:rtl/>
        </w:rPr>
        <w:t xml:space="preserve"> إعمالاً تاماً لا يزال بعيد المنال؛ لأن </w:t>
      </w:r>
      <w:r w:rsidRPr="00390E0D">
        <w:rPr>
          <w:rFonts w:ascii="Arabic Typesetting" w:hAnsi="Arabic Typesetting" w:cs="Arabic Typesetting"/>
          <w:sz w:val="34"/>
          <w:szCs w:val="34"/>
          <w:rtl/>
        </w:rPr>
        <w:t>ممارسات</w:t>
      </w:r>
      <w:r w:rsidRPr="00345CD2">
        <w:rPr>
          <w:rFonts w:ascii="Arabic Typesetting" w:hAnsi="Arabic Typesetting" w:cs="Arabic Typesetting"/>
          <w:sz w:val="34"/>
          <w:szCs w:val="34"/>
          <w:rtl/>
        </w:rPr>
        <w:t xml:space="preserve"> التعدي على الملكية الفكرية – وأبرزها </w:t>
      </w:r>
      <w:r>
        <w:rPr>
          <w:rFonts w:ascii="Arabic Typesetting" w:hAnsi="Arabic Typesetting" w:cs="Arabic Typesetting" w:hint="cs"/>
          <w:sz w:val="34"/>
          <w:szCs w:val="34"/>
          <w:rtl/>
        </w:rPr>
        <w:t>التقليد</w:t>
      </w:r>
      <w:r w:rsidRPr="00345CD2">
        <w:rPr>
          <w:rFonts w:ascii="Arabic Typesetting" w:hAnsi="Arabic Typesetting" w:cs="Arabic Typesetting"/>
          <w:sz w:val="34"/>
          <w:szCs w:val="34"/>
          <w:rtl/>
        </w:rPr>
        <w:t xml:space="preserve"> والقرصنة – تمثل ظاهرة متفشية في أجزاء كثيرة من العالم. ومن أجل ابتكار ردود مناسبة، لا بد من الفهم السليم لدوافع منتجي السلع المتعدية على الملكية الفكرية ومستهلكيها وتأثير انتهاكات الملكية الفكرية في رفاهية المجتمعات. ويمكن بعد ذلك اتخاذ مجموعة متنوعة من التدابير العلاجية والوقائية على حد سواء في ضوء الاحتياجات الاستراتيجية الوطنية، </w:t>
      </w:r>
      <w:r w:rsidRPr="004B28E4">
        <w:rPr>
          <w:rFonts w:ascii="Arabic Typesetting" w:hAnsi="Arabic Typesetting" w:cs="Arabic Typesetting"/>
          <w:sz w:val="34"/>
          <w:szCs w:val="34"/>
          <w:rtl/>
        </w:rPr>
        <w:t>التي</w:t>
      </w:r>
      <w:r w:rsidRPr="00345CD2">
        <w:rPr>
          <w:rFonts w:ascii="Arabic Typesetting" w:hAnsi="Arabic Typesetting" w:cs="Arabic Typesetting"/>
          <w:sz w:val="34"/>
          <w:szCs w:val="34"/>
          <w:rtl/>
        </w:rPr>
        <w:t xml:space="preserve"> تستهدف، على سبيل المثال، حدوث تحسينات في أطر التشريع والإنفاذ، والتوعية والتغيير الثقافي الذي يقر بقيمة الملكية الفكرية، وحلول الأعمال التجارية والتكنولوجيا التي تعزز البدائل القانونية، أو التعاون المؤسسي.</w:t>
      </w:r>
    </w:p>
    <w:p w:rsidR="00B729B5" w:rsidRPr="008954A8" w:rsidRDefault="00B729B5" w:rsidP="00861CFF">
      <w:pPr>
        <w:pStyle w:val="ARNumbered116"/>
        <w:numPr>
          <w:ilvl w:val="0"/>
          <w:numId w:val="30"/>
        </w:numPr>
        <w:spacing w:after="120" w:line="340" w:lineRule="exact"/>
        <w:ind w:left="-6" w:firstLine="0"/>
        <w:rPr>
          <w:rFonts w:ascii="Arabic Typesetting" w:hAnsi="Arabic Typesetting" w:cs="Arabic Typesetting"/>
          <w:color w:val="000000"/>
          <w:sz w:val="34"/>
          <w:szCs w:val="34"/>
        </w:rPr>
      </w:pPr>
      <w:r w:rsidRPr="00345CD2">
        <w:rPr>
          <w:rFonts w:ascii="Arabic Typesetting" w:hAnsi="Arabic Typesetting" w:cs="Arabic Typesetting"/>
          <w:sz w:val="34"/>
          <w:szCs w:val="34"/>
          <w:rtl/>
        </w:rPr>
        <w:t xml:space="preserve">ويؤثر تعدُّد الجهات الفاعلة في سياسات الملكية الفكرية الدولية والوطنية في مجال إذكاء الاحترام للملكية الفكرية، وغالباً ما يكون بسبب اختلاف المصالح ووجهات النظر. وفي الوقت نفسه، تسعى الدول الأعضاء جاهدةً إلى اتخاذ تدابير منسجمة مع شتى الحقائق الاجتماعية والاقتصادية في بلدانهم. والتحدي الذي سوف </w:t>
      </w:r>
      <w:proofErr w:type="spellStart"/>
      <w:r w:rsidRPr="00345CD2">
        <w:rPr>
          <w:rFonts w:ascii="Arabic Typesetting" w:hAnsi="Arabic Typesetting" w:cs="Arabic Typesetting"/>
          <w:sz w:val="34"/>
          <w:szCs w:val="34"/>
          <w:rtl/>
        </w:rPr>
        <w:t>يواجهه</w:t>
      </w:r>
      <w:proofErr w:type="spellEnd"/>
      <w:r w:rsidRPr="00345CD2">
        <w:rPr>
          <w:rFonts w:ascii="Arabic Typesetting" w:hAnsi="Arabic Typesetting" w:cs="Arabic Typesetting"/>
          <w:sz w:val="34"/>
          <w:szCs w:val="34"/>
          <w:rtl/>
        </w:rPr>
        <w:t xml:space="preserve"> البرنامج 17 هو الحفاظ على </w:t>
      </w:r>
      <w:r w:rsidRPr="004B28E4">
        <w:rPr>
          <w:rFonts w:ascii="Arabic Typesetting" w:hAnsi="Arabic Typesetting" w:cs="Arabic Typesetting"/>
          <w:sz w:val="34"/>
          <w:szCs w:val="34"/>
          <w:rtl/>
        </w:rPr>
        <w:t>وجاهة الويبو المستمرة</w:t>
      </w:r>
      <w:r w:rsidRPr="00345CD2">
        <w:rPr>
          <w:rFonts w:ascii="Arabic Typesetting" w:hAnsi="Arabic Typesetting" w:cs="Arabic Typesetting"/>
          <w:sz w:val="34"/>
          <w:szCs w:val="34"/>
          <w:rtl/>
        </w:rPr>
        <w:t xml:space="preserve"> في توجيه دفة النقاش الذي يُجرى بشأن التوازن الصحيح في حماية حقوق الملكية الفكرية وإن</w:t>
      </w:r>
      <w:r>
        <w:rPr>
          <w:rFonts w:ascii="Arabic Typesetting" w:hAnsi="Arabic Typesetting" w:cs="Arabic Typesetting"/>
          <w:sz w:val="34"/>
          <w:szCs w:val="34"/>
          <w:rtl/>
        </w:rPr>
        <w:t xml:space="preserve">فاذها. وسوف </w:t>
      </w:r>
      <w:r w:rsidRPr="00345CD2">
        <w:rPr>
          <w:rFonts w:ascii="Arabic Typesetting" w:hAnsi="Arabic Typesetting" w:cs="Arabic Typesetting"/>
          <w:sz w:val="34"/>
          <w:szCs w:val="34"/>
          <w:rtl/>
        </w:rPr>
        <w:t xml:space="preserve">يسعى البرنامج إلى ضمان حدوث تأثير مستدام لمساهمات الويبو في توفير بيئة تحترم الملكية الفكرية. وتهدف المساهمات إلى تعزيز قدرة الدول الأعضاء على دعم الأسواق المشروعة للسلع والخدمات المحمية بموجب </w:t>
      </w:r>
      <w:r>
        <w:rPr>
          <w:rFonts w:ascii="Arabic Typesetting" w:hAnsi="Arabic Typesetting" w:cs="Arabic Typesetting" w:hint="cs"/>
          <w:sz w:val="34"/>
          <w:szCs w:val="34"/>
          <w:rtl/>
        </w:rPr>
        <w:t xml:space="preserve">حقوق </w:t>
      </w:r>
      <w:r w:rsidRPr="00345CD2">
        <w:rPr>
          <w:rFonts w:ascii="Arabic Typesetting" w:hAnsi="Arabic Typesetting" w:cs="Arabic Typesetting"/>
          <w:sz w:val="34"/>
          <w:szCs w:val="34"/>
          <w:rtl/>
        </w:rPr>
        <w:t>الملكية الفكرية وتحسين الامتثال للملكية الفكرية، لصالح الفوائد المجتمعية الأوسع، وخاصة حماية المستهلك، والشواغل الموجهة نحو التنمية.</w:t>
      </w:r>
    </w:p>
    <w:p w:rsidR="00B729B5" w:rsidRPr="008954A8" w:rsidRDefault="00B729B5" w:rsidP="00861CFF">
      <w:pPr>
        <w:pStyle w:val="ARNumbered116"/>
        <w:numPr>
          <w:ilvl w:val="0"/>
          <w:numId w:val="30"/>
        </w:numPr>
        <w:spacing w:after="120" w:line="340" w:lineRule="exact"/>
        <w:ind w:left="-6" w:firstLine="0"/>
        <w:rPr>
          <w:rFonts w:ascii="Arabic Typesetting" w:hAnsi="Arabic Typesetting" w:cs="Arabic Typesetting"/>
          <w:color w:val="000000"/>
          <w:sz w:val="34"/>
          <w:szCs w:val="34"/>
        </w:rPr>
      </w:pPr>
      <w:r w:rsidRPr="00345CD2">
        <w:rPr>
          <w:rFonts w:ascii="Arabic Typesetting" w:hAnsi="Arabic Typesetting" w:cs="Arabic Typesetting"/>
          <w:sz w:val="34"/>
          <w:szCs w:val="34"/>
          <w:rtl/>
        </w:rPr>
        <w:t>ويواصل البرنامج 17 تيسير الحوار بشأن سياسات إذكاء الاحترام للملكية الفكرية بين الدول الأع</w:t>
      </w:r>
      <w:r>
        <w:rPr>
          <w:rFonts w:ascii="Arabic Typesetting" w:hAnsi="Arabic Typesetting" w:cs="Arabic Typesetting"/>
          <w:sz w:val="34"/>
          <w:szCs w:val="34"/>
          <w:rtl/>
        </w:rPr>
        <w:t>ضاء من خلال اللجنة الاستشارية</w:t>
      </w:r>
      <w:r>
        <w:rPr>
          <w:rFonts w:ascii="Arabic Typesetting" w:hAnsi="Arabic Typesetting" w:cs="Arabic Typesetting" w:hint="cs"/>
          <w:sz w:val="34"/>
          <w:szCs w:val="34"/>
          <w:rtl/>
        </w:rPr>
        <w:t xml:space="preserve"> المعنية بال</w:t>
      </w:r>
      <w:r w:rsidRPr="00345CD2">
        <w:rPr>
          <w:rFonts w:ascii="Arabic Typesetting" w:hAnsi="Arabic Typesetting" w:cs="Arabic Typesetting"/>
          <w:sz w:val="34"/>
          <w:szCs w:val="34"/>
          <w:rtl/>
        </w:rPr>
        <w:t xml:space="preserve">إنفاذ، ويشارك في شراكات منهجية وفعالة وشفافة لتحقيق التآزر في هذا المجال. وفي أنشطة المساعدة التقنية </w:t>
      </w:r>
      <w:r>
        <w:rPr>
          <w:rFonts w:ascii="Arabic Typesetting" w:hAnsi="Arabic Typesetting" w:cs="Arabic Typesetting" w:hint="cs"/>
          <w:sz w:val="34"/>
          <w:szCs w:val="34"/>
          <w:rtl/>
        </w:rPr>
        <w:t xml:space="preserve">التي تُقدم </w:t>
      </w:r>
      <w:r w:rsidRPr="00345CD2">
        <w:rPr>
          <w:rFonts w:ascii="Arabic Typesetting" w:hAnsi="Arabic Typesetting" w:cs="Arabic Typesetting"/>
          <w:sz w:val="34"/>
          <w:szCs w:val="34"/>
          <w:rtl/>
        </w:rPr>
        <w:t>حسب الطلب، يُركِّز البرنامج 17 على تقديم مشورة متوازنة بشأن التشريعات والسياسات، وتعزيز القدرات الوطنية للتشجيع على احترام الملكية الفكرية، وتقديم الدعم الاستراتيجي لإدماج احترام الملكية الفكرية في الاستراتيجيات الوطنية، وتشجيع المستهلكين، بمَنْ فيهم الشباب، على المشاركة</w:t>
      </w:r>
      <w:r>
        <w:rPr>
          <w:rFonts w:ascii="Arabic Typesetting" w:hAnsi="Arabic Typesetting" w:cs="Arabic Typesetting" w:hint="cs"/>
          <w:sz w:val="34"/>
          <w:szCs w:val="34"/>
          <w:rtl/>
        </w:rPr>
        <w:t>؛</w:t>
      </w:r>
      <w:r w:rsidRPr="00345CD2">
        <w:rPr>
          <w:rFonts w:ascii="Arabic Typesetting" w:hAnsi="Arabic Typesetting" w:cs="Arabic Typesetting"/>
          <w:sz w:val="34"/>
          <w:szCs w:val="34"/>
          <w:rtl/>
        </w:rPr>
        <w:t xml:space="preserve"> بغية تعزيز فهم مشترك للمنافع الاجتماعية لنظام إيكولوجي قوي للملكية الفكرية.</w:t>
      </w:r>
    </w:p>
    <w:p w:rsidR="00B729B5" w:rsidRPr="003138FA" w:rsidRDefault="00B729B5" w:rsidP="007843AB">
      <w:pPr>
        <w:tabs>
          <w:tab w:val="left" w:pos="714"/>
        </w:tabs>
        <w:spacing w:after="120" w:line="340" w:lineRule="exact"/>
        <w:rPr>
          <w:rFonts w:ascii="Arabic Typesetting" w:hAnsi="Arabic Typesetting" w:cs="Arabic Typesetting"/>
          <w:color w:val="000000"/>
          <w:sz w:val="34"/>
          <w:szCs w:val="34"/>
          <w:rtl/>
        </w:rPr>
      </w:pPr>
    </w:p>
    <w:p w:rsidR="00B729B5" w:rsidRPr="004E0703" w:rsidRDefault="00B729B5"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E0703">
        <w:rPr>
          <w:rFonts w:ascii="Arabic Typesetting" w:hAnsi="Arabic Typesetting" w:cs="Arabic Typesetting" w:hint="cs"/>
          <w:noProof/>
          <w:sz w:val="38"/>
          <w:szCs w:val="38"/>
          <w:rtl/>
        </w:rPr>
        <w:t>استراتيجيات التنفيذ</w:t>
      </w:r>
    </w:p>
    <w:p w:rsidR="00B729B5" w:rsidRPr="008954A8" w:rsidRDefault="00B729B5" w:rsidP="00FC5945">
      <w:pPr>
        <w:pStyle w:val="ARNumbered116"/>
        <w:numPr>
          <w:ilvl w:val="0"/>
          <w:numId w:val="30"/>
        </w:numPr>
        <w:spacing w:after="120" w:line="340" w:lineRule="exact"/>
        <w:ind w:left="-6" w:firstLine="0"/>
        <w:rPr>
          <w:rFonts w:ascii="Arabic Typesetting" w:hAnsi="Arabic Typesetting" w:cs="Arabic Typesetting"/>
          <w:sz w:val="34"/>
          <w:szCs w:val="34"/>
          <w:rtl/>
        </w:rPr>
      </w:pPr>
      <w:r w:rsidRPr="00345CD2">
        <w:rPr>
          <w:rFonts w:ascii="Arabic Typesetting" w:hAnsi="Arabic Typesetting" w:cs="Arabic Typesetting"/>
          <w:sz w:val="34"/>
          <w:szCs w:val="34"/>
          <w:rtl/>
        </w:rPr>
        <w:t>يسترشد البرنامج 17 في جميع أنشطته بالتوصية 45 من توصيات جدول أعمال الت</w:t>
      </w:r>
      <w:r>
        <w:rPr>
          <w:rFonts w:ascii="Arabic Typesetting" w:hAnsi="Arabic Typesetting" w:cs="Arabic Typesetting"/>
          <w:sz w:val="34"/>
          <w:szCs w:val="34"/>
          <w:rtl/>
        </w:rPr>
        <w:t xml:space="preserve">نمية. وتوفر اللجنة الاستشارية </w:t>
      </w:r>
      <w:r>
        <w:rPr>
          <w:rFonts w:ascii="Arabic Typesetting" w:hAnsi="Arabic Typesetting" w:cs="Arabic Typesetting" w:hint="cs"/>
          <w:sz w:val="34"/>
          <w:szCs w:val="34"/>
          <w:rtl/>
        </w:rPr>
        <w:t>المعنية بالإ</w:t>
      </w:r>
      <w:r w:rsidRPr="00345CD2">
        <w:rPr>
          <w:rFonts w:ascii="Arabic Typesetting" w:hAnsi="Arabic Typesetting" w:cs="Arabic Typesetting"/>
          <w:sz w:val="34"/>
          <w:szCs w:val="34"/>
          <w:rtl/>
        </w:rPr>
        <w:t xml:space="preserve">نفاذ – التي تعتبر سوقاً للأفكار – منتدى لتبادل الممارسات والخبرات الوطنية. وسوف يُيسِّر البرنامجُ اتفاق الدول الأعضاء المستمر على برنامج عمل ذي أساس موضوعي </w:t>
      </w:r>
      <w:r w:rsidRPr="004B28E4">
        <w:rPr>
          <w:rFonts w:ascii="Arabic Typesetting" w:hAnsi="Arabic Typesetting" w:cs="Arabic Typesetting"/>
          <w:sz w:val="34"/>
          <w:szCs w:val="34"/>
          <w:rtl/>
        </w:rPr>
        <w:t xml:space="preserve">يرتقي </w:t>
      </w:r>
      <w:r>
        <w:rPr>
          <w:rFonts w:ascii="Arabic Typesetting" w:hAnsi="Arabic Typesetting" w:cs="Arabic Typesetting" w:hint="cs"/>
          <w:sz w:val="34"/>
          <w:szCs w:val="34"/>
          <w:rtl/>
        </w:rPr>
        <w:t>بالخطاب</w:t>
      </w:r>
      <w:r w:rsidRPr="004B28E4">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الخاص </w:t>
      </w:r>
      <w:r w:rsidRPr="004B28E4">
        <w:rPr>
          <w:rFonts w:ascii="Arabic Typesetting" w:hAnsi="Arabic Typesetting" w:cs="Arabic Typesetting"/>
          <w:sz w:val="34"/>
          <w:szCs w:val="34"/>
          <w:rtl/>
        </w:rPr>
        <w:t xml:space="preserve">بإذكاء الاحترام </w:t>
      </w:r>
      <w:r>
        <w:rPr>
          <w:rFonts w:ascii="Arabic Typesetting" w:hAnsi="Arabic Typesetting" w:cs="Arabic Typesetting" w:hint="cs"/>
          <w:sz w:val="34"/>
          <w:szCs w:val="34"/>
          <w:rtl/>
        </w:rPr>
        <w:t>ل</w:t>
      </w:r>
      <w:r>
        <w:rPr>
          <w:rFonts w:ascii="Arabic Typesetting" w:hAnsi="Arabic Typesetting" w:cs="Arabic Typesetting"/>
          <w:sz w:val="34"/>
          <w:szCs w:val="34"/>
          <w:rtl/>
        </w:rPr>
        <w:t>لملكية الفكرية ويستكشفه</w:t>
      </w:r>
      <w:r w:rsidRPr="00345CD2">
        <w:rPr>
          <w:rFonts w:ascii="Arabic Typesetting" w:hAnsi="Arabic Typesetting" w:cs="Arabic Typesetting"/>
          <w:sz w:val="34"/>
          <w:szCs w:val="34"/>
          <w:rtl/>
        </w:rPr>
        <w:t xml:space="preserve"> بكل تعقيداته</w:t>
      </w:r>
      <w:r w:rsidR="00FC5945">
        <w:rPr>
          <w:rFonts w:ascii="Arabic Typesetting" w:hAnsi="Arabic Typesetting" w:cs="Arabic Typesetting" w:hint="cs"/>
          <w:sz w:val="34"/>
          <w:szCs w:val="34"/>
          <w:rtl/>
        </w:rPr>
        <w:t>، وذلك بتنظيم اجتماعين في الثنائية للجنة الاستشارية المعنية بالإنفاذ</w:t>
      </w:r>
      <w:r w:rsidRPr="00345CD2">
        <w:rPr>
          <w:rFonts w:ascii="Arabic Typesetting" w:hAnsi="Arabic Typesetting" w:cs="Arabic Typesetting"/>
          <w:sz w:val="34"/>
          <w:szCs w:val="34"/>
          <w:rtl/>
        </w:rPr>
        <w:t xml:space="preserve">. وبناءً </w:t>
      </w:r>
      <w:r>
        <w:rPr>
          <w:rFonts w:ascii="Arabic Typesetting" w:hAnsi="Arabic Typesetting" w:cs="Arabic Typesetting"/>
          <w:sz w:val="34"/>
          <w:szCs w:val="34"/>
          <w:rtl/>
        </w:rPr>
        <w:t>على مناقشات اللجنة الاستشارية</w:t>
      </w:r>
      <w:r>
        <w:rPr>
          <w:rFonts w:ascii="Arabic Typesetting" w:hAnsi="Arabic Typesetting" w:cs="Arabic Typesetting" w:hint="cs"/>
          <w:sz w:val="34"/>
          <w:szCs w:val="34"/>
          <w:rtl/>
        </w:rPr>
        <w:t xml:space="preserve"> المعنية بالإ</w:t>
      </w:r>
      <w:r w:rsidRPr="00345CD2">
        <w:rPr>
          <w:rFonts w:ascii="Arabic Typesetting" w:hAnsi="Arabic Typesetting" w:cs="Arabic Typesetting"/>
          <w:sz w:val="34"/>
          <w:szCs w:val="34"/>
          <w:rtl/>
        </w:rPr>
        <w:t>نفاذ، يجوز للدول الأعضاء أن تضع على نحو منفرد استراتيجيات وطنية لإذكاء الاحترام للملكية الفكرية تعتمد – حسبما يتطلب الأمر – على تدابير وقائية أو علاجية وتراعي الواقع الاجتماعي والاقتصادي في البلد المعني، فضلاً عن مستوى التنمية في هذا البلد.</w:t>
      </w:r>
    </w:p>
    <w:p w:rsidR="00B729B5" w:rsidRPr="008954A8" w:rsidRDefault="00B729B5" w:rsidP="00861CFF">
      <w:pPr>
        <w:pStyle w:val="ARNumbered116"/>
        <w:numPr>
          <w:ilvl w:val="0"/>
          <w:numId w:val="30"/>
        </w:numPr>
        <w:spacing w:after="120" w:line="340" w:lineRule="exact"/>
        <w:ind w:left="-6" w:firstLine="0"/>
        <w:rPr>
          <w:rFonts w:ascii="Arabic Typesetting" w:hAnsi="Arabic Typesetting" w:cs="Arabic Typesetting"/>
          <w:sz w:val="34"/>
          <w:szCs w:val="34"/>
          <w:rtl/>
        </w:rPr>
      </w:pPr>
      <w:r w:rsidRPr="00345CD2">
        <w:rPr>
          <w:rFonts w:ascii="Arabic Typesetting" w:hAnsi="Arabic Typesetting" w:cs="Arabic Typesetting"/>
          <w:sz w:val="34"/>
          <w:szCs w:val="34"/>
          <w:rtl/>
        </w:rPr>
        <w:t xml:space="preserve">وبهدف تحقيق </w:t>
      </w:r>
      <w:r>
        <w:rPr>
          <w:rFonts w:ascii="Arabic Typesetting" w:hAnsi="Arabic Typesetting" w:cs="Arabic Typesetting" w:hint="cs"/>
          <w:sz w:val="34"/>
          <w:szCs w:val="34"/>
          <w:rtl/>
        </w:rPr>
        <w:t>اتساق</w:t>
      </w:r>
      <w:r w:rsidRPr="00345CD2">
        <w:rPr>
          <w:rFonts w:ascii="Arabic Typesetting" w:hAnsi="Arabic Typesetting" w:cs="Arabic Typesetting"/>
          <w:sz w:val="34"/>
          <w:szCs w:val="34"/>
          <w:rtl/>
        </w:rPr>
        <w:t xml:space="preserve"> دولي للسياسات وتحقيق أقصى قدر من التأثير من خلال الموارد المشتركة، سوف يقيم البرنامج 17 شراكات تعاونية استراتيجية، وسوف يستحدث أنشطةً مشتركةً لإذكاء الاحترام للملكية الفكرية، وسوف يشارك في الأنشطة ذات الصلة التي يقيمها شركاؤه. وإضافةً إلى ذلك، سوف يُجرى تيسير تبادل الخبرات العملية في إذكاء الاحترام للملكية الفكرية عن طريق إقامة منتديات تجمع بين مجموعة واسعة من الجهات الفاعلة الدولية </w:t>
      </w:r>
      <w:r w:rsidRPr="00BE45D9">
        <w:rPr>
          <w:rFonts w:ascii="Arabic Typesetting" w:hAnsi="Arabic Typesetting" w:cs="Arabic Typesetting"/>
          <w:sz w:val="34"/>
          <w:szCs w:val="34"/>
          <w:rtl/>
        </w:rPr>
        <w:t>ذات الصلة وال</w:t>
      </w:r>
      <w:r>
        <w:rPr>
          <w:rFonts w:ascii="Arabic Typesetting" w:hAnsi="Arabic Typesetting" w:cs="Arabic Typesetting"/>
          <w:sz w:val="34"/>
          <w:szCs w:val="34"/>
          <w:rtl/>
        </w:rPr>
        <w:t>خبراء في هذا المجال. وسوف تست</w:t>
      </w:r>
      <w:r>
        <w:rPr>
          <w:rFonts w:ascii="Arabic Typesetting" w:hAnsi="Arabic Typesetting" w:cs="Arabic Typesetting" w:hint="cs"/>
          <w:sz w:val="34"/>
          <w:szCs w:val="34"/>
          <w:rtl/>
        </w:rPr>
        <w:t>رشد</w:t>
      </w:r>
      <w:r w:rsidRPr="00BE45D9">
        <w:rPr>
          <w:rFonts w:ascii="Arabic Typesetting" w:hAnsi="Arabic Typesetting" w:cs="Arabic Typesetting"/>
          <w:sz w:val="34"/>
          <w:szCs w:val="34"/>
          <w:rtl/>
        </w:rPr>
        <w:t xml:space="preserve"> بالتوصية</w:t>
      </w:r>
      <w:r>
        <w:rPr>
          <w:rFonts w:ascii="Arabic Typesetting" w:hAnsi="Arabic Typesetting" w:cs="Arabic Typesetting" w:hint="cs"/>
          <w:sz w:val="34"/>
          <w:szCs w:val="34"/>
          <w:rtl/>
        </w:rPr>
        <w:t> </w:t>
      </w:r>
      <w:r w:rsidRPr="00BE45D9">
        <w:rPr>
          <w:rFonts w:ascii="Arabic Typesetting" w:hAnsi="Arabic Typesetting" w:cs="Arabic Typesetting"/>
          <w:sz w:val="34"/>
          <w:szCs w:val="34"/>
          <w:rtl/>
        </w:rPr>
        <w:t>40 من توصيات جدول أعمال التنمية أوجهُ التعاون التي تسود النهج المُوجَّه نحو</w:t>
      </w:r>
      <w:r w:rsidRPr="00345CD2">
        <w:rPr>
          <w:rFonts w:ascii="Arabic Typesetting" w:hAnsi="Arabic Typesetting" w:cs="Arabic Typesetting"/>
          <w:sz w:val="34"/>
          <w:szCs w:val="34"/>
          <w:rtl/>
        </w:rPr>
        <w:t xml:space="preserve"> التنمية الذ</w:t>
      </w:r>
      <w:r>
        <w:rPr>
          <w:rFonts w:ascii="Arabic Typesetting" w:hAnsi="Arabic Typesetting" w:cs="Arabic Typesetting"/>
          <w:sz w:val="34"/>
          <w:szCs w:val="34"/>
          <w:rtl/>
        </w:rPr>
        <w:t xml:space="preserve">ي تتبعه الويبو لإذكاء الاحترام </w:t>
      </w:r>
      <w:r>
        <w:rPr>
          <w:rFonts w:ascii="Arabic Typesetting" w:hAnsi="Arabic Typesetting" w:cs="Arabic Typesetting" w:hint="cs"/>
          <w:sz w:val="34"/>
          <w:szCs w:val="34"/>
          <w:rtl/>
        </w:rPr>
        <w:t>ل</w:t>
      </w:r>
      <w:r w:rsidRPr="00345CD2">
        <w:rPr>
          <w:rFonts w:ascii="Arabic Typesetting" w:hAnsi="Arabic Typesetting" w:cs="Arabic Typesetting"/>
          <w:sz w:val="34"/>
          <w:szCs w:val="34"/>
          <w:rtl/>
        </w:rPr>
        <w:t>لملكية الفكرية.</w:t>
      </w:r>
    </w:p>
    <w:p w:rsidR="00B729B5" w:rsidRPr="008954A8" w:rsidRDefault="00B729B5" w:rsidP="00861CFF">
      <w:pPr>
        <w:pStyle w:val="ARNumbered116"/>
        <w:numPr>
          <w:ilvl w:val="0"/>
          <w:numId w:val="30"/>
        </w:numPr>
        <w:spacing w:after="120" w:line="340" w:lineRule="exact"/>
        <w:ind w:left="-6" w:firstLine="0"/>
        <w:rPr>
          <w:rFonts w:ascii="Arabic Typesetting" w:hAnsi="Arabic Typesetting" w:cs="Arabic Typesetting"/>
          <w:sz w:val="34"/>
          <w:szCs w:val="34"/>
          <w:rtl/>
        </w:rPr>
      </w:pPr>
      <w:r w:rsidRPr="00345CD2">
        <w:rPr>
          <w:rFonts w:ascii="Arabic Typesetting" w:hAnsi="Arabic Typesetting" w:cs="Arabic Typesetting"/>
          <w:sz w:val="34"/>
          <w:szCs w:val="34"/>
          <w:rtl/>
        </w:rPr>
        <w:t xml:space="preserve">ويواصل البرنامج 17 مساعدة الدول الأعضاء، بناء على طلبها، في صياغة أطر تشريعية أو تنظيمية أو سياسية مُفصَّلة ومتوازنة لإذكاء الاحترام للملكية الفكرية، وذلك بما يتماشى مع الخصائص والاحتياجات الخاصة بكل بلد. وتُقدَّم المساعدةُ كذلك إلى </w:t>
      </w:r>
      <w:r w:rsidRPr="00345CD2">
        <w:rPr>
          <w:rFonts w:ascii="Arabic Typesetting" w:hAnsi="Arabic Typesetting" w:cs="Arabic Typesetting"/>
          <w:sz w:val="34"/>
          <w:szCs w:val="34"/>
          <w:rtl/>
        </w:rPr>
        <w:lastRenderedPageBreak/>
        <w:t>مجموعة متنوعة من الجماهير في شكل أنشطة تكوين كفاءات بشأن إذكاء الاحترام للملكية الفكرية. ولتحقيق نتائج مستدامة، سوف ينصب التركيز بشكل خاص على زيادة كفاءات مؤسسات التدريب القانوني الوطنية، مثل الشرطة أو الأكاديميات القضائية، لكي تسهم في مضاعفة أنشطة تكوين الكفاءات، وذلك إضافةً إلى إتاحة مواد تدريبية مُصمَّمة خصيصاً بشأن إذكاء الاحترام للملكية الفكرية. وسوف يدعم البرنامجُ 17 أيضاً وضع استراتيجيات توعية وطنية ترمي إلى الحد من التعدي على الملكية الفكرية من خلال تغيير السلوك. وسوف يُستكمَل ذلك بأنشطةٍ تهدف إلى زيادة الإدراك الشعبي لقيمة الملكية الفكرية، مثل إجراء مسابقات بمناسبة يوم الملكية الفكرية السنوي وبرنامج جوائز الويبو، مع التركيز بشكل خاص على مساعدة الشباب على إدراك قيمة المنافع التي تعود على المجتمع من الملكية الفكرية. وتسترشد أنشطة المساعدة التقنية بالتوصيات 1 و6 و12 و13 و14 و17 (المساعدة التشريعية والتنظيمية والسياسية) و45 (المساعدة التشريعية والتنظيمية والسياسية) و3 و10 و11 (تكوين الكفاءات والتوعية) من توصيات جدول أعمال التنمية.</w:t>
      </w:r>
    </w:p>
    <w:p w:rsidR="00B729B5" w:rsidRPr="004E0703" w:rsidRDefault="00B729B5" w:rsidP="00861CFF">
      <w:pPr>
        <w:pStyle w:val="ARNumbered116"/>
        <w:numPr>
          <w:ilvl w:val="0"/>
          <w:numId w:val="30"/>
        </w:numPr>
        <w:spacing w:after="120" w:line="340" w:lineRule="exact"/>
        <w:ind w:left="-6" w:firstLine="0"/>
        <w:rPr>
          <w:rFonts w:ascii="Arabic Typesetting" w:hAnsi="Arabic Typesetting" w:cs="Arabic Typesetting"/>
          <w:sz w:val="34"/>
          <w:szCs w:val="34"/>
          <w:rtl/>
        </w:rPr>
      </w:pPr>
      <w:r>
        <w:rPr>
          <w:rFonts w:ascii="Arabic Typesetting" w:hAnsi="Arabic Typesetting" w:cs="Arabic Typesetting" w:hint="cs"/>
          <w:sz w:val="34"/>
          <w:szCs w:val="34"/>
          <w:rtl/>
        </w:rPr>
        <w:t>ويتعاون البرنامج 17 في الأساس مع البرامج الأخرى على النحو المبيّن أدناه:</w:t>
      </w:r>
    </w:p>
    <w:p w:rsidR="00B729B5" w:rsidRDefault="00B729B5" w:rsidP="007843AB">
      <w:pPr>
        <w:tabs>
          <w:tab w:val="left" w:pos="714"/>
        </w:tabs>
        <w:spacing w:after="120"/>
        <w:rPr>
          <w:rFonts w:ascii="Arabic Typesetting" w:hAnsi="Arabic Typesetting" w:cs="Arabic Typesetting"/>
          <w:color w:val="000000"/>
          <w:sz w:val="34"/>
          <w:szCs w:val="34"/>
          <w:rtl/>
        </w:rPr>
      </w:pPr>
      <w:r>
        <w:rPr>
          <w:noProof/>
          <w:lang w:bidi="ar-SA"/>
        </w:rPr>
        <w:drawing>
          <wp:anchor distT="0" distB="0" distL="114300" distR="114300" simplePos="0" relativeHeight="251670528" behindDoc="0" locked="0" layoutInCell="1" allowOverlap="1" wp14:anchorId="7502A97B" wp14:editId="022CCBCC">
            <wp:simplePos x="0" y="0"/>
            <wp:positionH relativeFrom="column">
              <wp:posOffset>-33655</wp:posOffset>
            </wp:positionH>
            <wp:positionV relativeFrom="paragraph">
              <wp:posOffset>88900</wp:posOffset>
            </wp:positionV>
            <wp:extent cx="5940425" cy="1793875"/>
            <wp:effectExtent l="38100" t="19050" r="60325" b="0"/>
            <wp:wrapTopAndBottom/>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5" r:lo="rId176" r:qs="rId177" r:cs="rId178"/>
              </a:graphicData>
            </a:graphic>
          </wp:anchor>
        </w:drawing>
      </w:r>
    </w:p>
    <w:p w:rsidR="00B729B5" w:rsidRPr="004E0703" w:rsidRDefault="00B729B5" w:rsidP="007843AB">
      <w:pPr>
        <w:rPr>
          <w:rFonts w:ascii="Arabic Typesetting" w:hAnsi="Arabic Typesetting" w:cs="Arabic Typesetting"/>
          <w:noProof/>
          <w:sz w:val="38"/>
          <w:szCs w:val="38"/>
          <w:rtl/>
        </w:rPr>
      </w:pPr>
      <w:r w:rsidRPr="004E0703">
        <w:rPr>
          <w:rFonts w:ascii="Arabic Typesetting" w:hAnsi="Arabic Typesetting" w:cs="Arabic Typesetting" w:hint="cs"/>
          <w:noProof/>
          <w:sz w:val="38"/>
          <w:szCs w:val="38"/>
          <w:rtl/>
        </w:rPr>
        <w:t xml:space="preserve">المخاطر الرئيسية </w:t>
      </w:r>
      <w:r w:rsidRPr="004E0703">
        <w:rPr>
          <w:rFonts w:ascii="Arabic Typesetting" w:hAnsi="Arabic Typesetting" w:cs="Arabic Typesetting"/>
          <w:noProof/>
          <w:sz w:val="38"/>
          <w:szCs w:val="38"/>
          <w:rtl/>
        </w:rPr>
        <w:t>واستراتيجيات التخفيف</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B729B5" w:rsidRPr="008954A8" w:rsidTr="007843AB">
        <w:trPr>
          <w:tblHeader/>
        </w:trPr>
        <w:tc>
          <w:tcPr>
            <w:tcW w:w="4784" w:type="dxa"/>
            <w:tcBorders>
              <w:bottom w:val="single" w:sz="4" w:space="0" w:color="auto"/>
              <w:right w:val="nil"/>
            </w:tcBorders>
            <w:shd w:val="clear" w:color="auto" w:fill="C6D9F1"/>
          </w:tcPr>
          <w:p w:rsidR="00B729B5" w:rsidRPr="008954A8" w:rsidRDefault="00B729B5" w:rsidP="007843AB">
            <w:pPr>
              <w:pStyle w:val="ARProgramTableHeading"/>
              <w:spacing w:line="300" w:lineRule="exact"/>
              <w:rPr>
                <w:rtl/>
                <w:lang w:bidi="ar-SA"/>
              </w:rPr>
            </w:pPr>
            <w:r>
              <w:rPr>
                <w:rFonts w:hint="cs"/>
                <w:rtl/>
                <w:lang w:bidi="ar-SA"/>
              </w:rPr>
              <w:t>المخاطر</w:t>
            </w:r>
          </w:p>
        </w:tc>
        <w:tc>
          <w:tcPr>
            <w:tcW w:w="4786" w:type="dxa"/>
            <w:tcBorders>
              <w:left w:val="nil"/>
              <w:bottom w:val="single" w:sz="4" w:space="0" w:color="auto"/>
            </w:tcBorders>
            <w:shd w:val="clear" w:color="auto" w:fill="C6D9F1"/>
          </w:tcPr>
          <w:p w:rsidR="00B729B5" w:rsidRPr="008954A8" w:rsidRDefault="00B729B5" w:rsidP="007843AB">
            <w:pPr>
              <w:pStyle w:val="ARProgramTableHeading"/>
              <w:spacing w:line="300" w:lineRule="exact"/>
              <w:rPr>
                <w:rtl/>
              </w:rPr>
            </w:pPr>
            <w:r>
              <w:rPr>
                <w:rFonts w:hint="cs"/>
                <w:rtl/>
              </w:rPr>
              <w:t>التخفيف منها</w:t>
            </w:r>
          </w:p>
        </w:tc>
      </w:tr>
      <w:tr w:rsidR="00B729B5" w:rsidRPr="008954A8" w:rsidTr="007843AB">
        <w:tc>
          <w:tcPr>
            <w:tcW w:w="4784" w:type="dxa"/>
            <w:tcBorders>
              <w:bottom w:val="nil"/>
              <w:right w:val="nil"/>
            </w:tcBorders>
            <w:shd w:val="clear" w:color="auto" w:fill="auto"/>
          </w:tcPr>
          <w:p w:rsidR="00B729B5" w:rsidRPr="008954A8" w:rsidRDefault="00B729B5" w:rsidP="007843AB">
            <w:pPr>
              <w:pStyle w:val="ARProgramTableText"/>
              <w:spacing w:line="300" w:lineRule="exact"/>
              <w:rPr>
                <w:rtl/>
                <w:lang w:val="fr-CH"/>
              </w:rPr>
            </w:pPr>
            <w:r w:rsidRPr="00345CD2">
              <w:rPr>
                <w:color w:val="000000"/>
                <w:rtl/>
              </w:rPr>
              <w:t>عدم وجود اتفاق فيما بين الدول الأعضاء وعدم تقديمها الدعم السياسي في العمل الذي تقوم به الويبو في مجال إذكاء احترام الملكية الفكرية، مما قد يؤثر سلباً في دور الويبو في إذكاء الاحترام للملكية الفكرية.</w:t>
            </w:r>
            <w:r w:rsidRPr="008954A8">
              <w:rPr>
                <w:rFonts w:hint="cs"/>
                <w:color w:val="000000"/>
                <w:rtl/>
              </w:rPr>
              <w:t xml:space="preserve"> </w:t>
            </w:r>
          </w:p>
        </w:tc>
        <w:tc>
          <w:tcPr>
            <w:tcW w:w="4786" w:type="dxa"/>
            <w:tcBorders>
              <w:left w:val="nil"/>
              <w:bottom w:val="nil"/>
            </w:tcBorders>
            <w:shd w:val="clear" w:color="auto" w:fill="auto"/>
          </w:tcPr>
          <w:p w:rsidR="00B729B5" w:rsidRPr="008954A8" w:rsidRDefault="00B729B5" w:rsidP="007843AB">
            <w:pPr>
              <w:pStyle w:val="ARProgramTableText"/>
              <w:spacing w:line="300" w:lineRule="exact"/>
              <w:rPr>
                <w:rtl/>
              </w:rPr>
            </w:pPr>
            <w:r w:rsidRPr="008E5C0B">
              <w:rPr>
                <w:rtl/>
                <w:lang w:bidi="ar-SA"/>
              </w:rPr>
              <w:t>الانخراط في مشاورات منتظمة مع الدول الأعضاء بهدف تسهيل تقارب وجهات نظر الدول الأعضاء</w:t>
            </w:r>
            <w:r>
              <w:rPr>
                <w:rtl/>
                <w:lang w:bidi="ar-SA"/>
              </w:rPr>
              <w:t xml:space="preserve"> بشأن وجاهة اللجنة الاستشارية </w:t>
            </w:r>
            <w:r>
              <w:rPr>
                <w:rFonts w:hint="cs"/>
                <w:rtl/>
                <w:lang w:bidi="ar-SA"/>
              </w:rPr>
              <w:t>المعنية بالإ</w:t>
            </w:r>
            <w:r w:rsidRPr="008E5C0B">
              <w:rPr>
                <w:rtl/>
                <w:lang w:bidi="ar-SA"/>
              </w:rPr>
              <w:t xml:space="preserve">نفاذ وعملها </w:t>
            </w:r>
            <w:r w:rsidRPr="001C0E8D">
              <w:rPr>
                <w:rtl/>
                <w:lang w:bidi="ar-SA"/>
              </w:rPr>
              <w:t>ووظيفتها</w:t>
            </w:r>
            <w:r w:rsidRPr="008E5C0B">
              <w:rPr>
                <w:rtl/>
                <w:lang w:bidi="ar-SA"/>
              </w:rPr>
              <w:t xml:space="preserve"> وأنشطة تكوين الكفاءات ذات الصلة. وتطبيق معايير صارمة في جميع الأنشطة بغية تحقيق جودة عالية وض</w:t>
            </w:r>
            <w:r>
              <w:rPr>
                <w:rtl/>
                <w:lang w:bidi="ar-SA"/>
              </w:rPr>
              <w:t>مان الالتزام بالشفافية والحياد</w:t>
            </w:r>
            <w:r w:rsidRPr="008E5C0B">
              <w:rPr>
                <w:rtl/>
                <w:lang w:bidi="ar-SA"/>
              </w:rPr>
              <w:t xml:space="preserve"> واتباع نهج يتسم بالتوازن.</w:t>
            </w:r>
          </w:p>
        </w:tc>
      </w:tr>
      <w:tr w:rsidR="00B729B5" w:rsidRPr="008954A8" w:rsidTr="007843AB">
        <w:tc>
          <w:tcPr>
            <w:tcW w:w="4784" w:type="dxa"/>
            <w:tcBorders>
              <w:top w:val="nil"/>
              <w:right w:val="nil"/>
            </w:tcBorders>
            <w:shd w:val="clear" w:color="auto" w:fill="auto"/>
          </w:tcPr>
          <w:p w:rsidR="00B729B5" w:rsidRPr="00345CD2" w:rsidRDefault="00B729B5" w:rsidP="007843AB">
            <w:pPr>
              <w:pStyle w:val="ARProgramTableText"/>
              <w:spacing w:line="300" w:lineRule="exact"/>
              <w:rPr>
                <w:color w:val="000000"/>
                <w:rtl/>
              </w:rPr>
            </w:pPr>
            <w:r w:rsidRPr="008E5C0B">
              <w:rPr>
                <w:color w:val="000000"/>
                <w:rtl/>
              </w:rPr>
              <w:t>إعراض البلدان أو أصحاب المصلحة عن الويبو واللجوء إلى منظمات دولية أو إقليمية أخرى تقوم بأنشطة في مجال إذكاء الاحترام للملكية الفكرية.</w:t>
            </w:r>
          </w:p>
        </w:tc>
        <w:tc>
          <w:tcPr>
            <w:tcW w:w="4786" w:type="dxa"/>
            <w:tcBorders>
              <w:top w:val="nil"/>
              <w:left w:val="nil"/>
            </w:tcBorders>
            <w:shd w:val="clear" w:color="auto" w:fill="auto"/>
          </w:tcPr>
          <w:p w:rsidR="00B729B5" w:rsidRPr="008E5C0B" w:rsidRDefault="00B729B5" w:rsidP="007843AB">
            <w:pPr>
              <w:pStyle w:val="ARProgramTableText"/>
              <w:spacing w:line="300" w:lineRule="exact"/>
              <w:rPr>
                <w:highlight w:val="red"/>
                <w:rtl/>
              </w:rPr>
            </w:pPr>
            <w:r w:rsidRPr="004F478E">
              <w:rPr>
                <w:rtl/>
              </w:rPr>
              <w:t>تعزيز الشراكات وتحديد أوجه التآزر وإقامتها مع رسم أدوار واضحة بين الشركاء.</w:t>
            </w:r>
          </w:p>
          <w:p w:rsidR="00B729B5" w:rsidRDefault="00B729B5" w:rsidP="007843AB">
            <w:pPr>
              <w:pStyle w:val="ARProgramTableText"/>
              <w:spacing w:line="300" w:lineRule="exact"/>
              <w:rPr>
                <w:rtl/>
              </w:rPr>
            </w:pPr>
            <w:r w:rsidRPr="00921BA4">
              <w:rPr>
                <w:rtl/>
              </w:rPr>
              <w:t>دمج الأنشطة والاستراتيجيات الخاصة بإذكاء الاحترام للملكية الفكرية في السياسات الوطنية للم</w:t>
            </w:r>
            <w:r>
              <w:rPr>
                <w:rFonts w:hint="cs"/>
                <w:rtl/>
              </w:rPr>
              <w:t>ل</w:t>
            </w:r>
            <w:r w:rsidRPr="00921BA4">
              <w:rPr>
                <w:rtl/>
              </w:rPr>
              <w:t>كية الفكرية بالتعاون مع مكاتب الويبو الإقليمية وإدارة البلدان التي تمر بمرحلة انتقالية والبلدان المتقدمة.</w:t>
            </w:r>
          </w:p>
          <w:p w:rsidR="00B729B5" w:rsidRPr="008E5C0B" w:rsidRDefault="00B729B5" w:rsidP="007843AB">
            <w:pPr>
              <w:pStyle w:val="ARProgramTableText"/>
              <w:spacing w:line="300" w:lineRule="exact"/>
              <w:rPr>
                <w:rtl/>
              </w:rPr>
            </w:pPr>
            <w:r w:rsidRPr="008E5C0B">
              <w:rPr>
                <w:rtl/>
              </w:rPr>
              <w:t>التركيز على الأنشطة المُوجَّهة نحو السياسات التي يمكن أن تقدم فيها الويبو دوراً متميزاً وميزة تنافسية.</w:t>
            </w:r>
          </w:p>
        </w:tc>
      </w:tr>
    </w:tbl>
    <w:p w:rsidR="00B729B5" w:rsidRPr="008954A8" w:rsidRDefault="00B729B5" w:rsidP="007843AB">
      <w:pPr>
        <w:tabs>
          <w:tab w:val="left" w:pos="714"/>
        </w:tabs>
        <w:spacing w:after="120" w:line="340" w:lineRule="exact"/>
        <w:rPr>
          <w:rFonts w:ascii="Arabic Typesetting" w:hAnsi="Arabic Typesetting" w:cs="Arabic Typesetting"/>
          <w:color w:val="000000"/>
          <w:sz w:val="34"/>
          <w:szCs w:val="34"/>
          <w:rtl/>
        </w:rPr>
      </w:pPr>
    </w:p>
    <w:p w:rsidR="00B729B5" w:rsidRDefault="00B729B5">
      <w:pPr>
        <w:bidi w:val="0"/>
        <w:rPr>
          <w:rFonts w:ascii="Arabic Typesetting" w:hAnsi="Arabic Typesetting" w:cs="Arabic Typesetting"/>
          <w:noProof/>
          <w:snapToGrid w:val="0"/>
          <w:sz w:val="38"/>
          <w:szCs w:val="38"/>
          <w:rtl/>
          <w:lang w:bidi="ar-SA"/>
        </w:rPr>
      </w:pPr>
      <w:r>
        <w:rPr>
          <w:rFonts w:ascii="Arabic Typesetting" w:hAnsi="Arabic Typesetting" w:cs="Arabic Typesetting"/>
          <w:noProof/>
          <w:sz w:val="38"/>
          <w:szCs w:val="38"/>
          <w:rtl/>
        </w:rPr>
        <w:br w:type="page"/>
      </w:r>
    </w:p>
    <w:p w:rsidR="00B729B5" w:rsidRPr="004E0703" w:rsidRDefault="00B729B5"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E0703">
        <w:rPr>
          <w:rFonts w:ascii="Arabic Typesetting" w:hAnsi="Arabic Typesetting" w:cs="Arabic Typesetting" w:hint="cs"/>
          <w:noProof/>
          <w:sz w:val="38"/>
          <w:szCs w:val="38"/>
          <w:rtl/>
        </w:rPr>
        <w:lastRenderedPageBreak/>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3119"/>
        <w:gridCol w:w="1842"/>
        <w:gridCol w:w="1668"/>
      </w:tblGrid>
      <w:tr w:rsidR="00B729B5" w:rsidRPr="008954A8" w:rsidTr="007843AB">
        <w:trPr>
          <w:tblHeader/>
        </w:trPr>
        <w:tc>
          <w:tcPr>
            <w:tcW w:w="2941" w:type="dxa"/>
            <w:tcBorders>
              <w:bottom w:val="single" w:sz="4" w:space="0" w:color="auto"/>
              <w:right w:val="nil"/>
            </w:tcBorders>
            <w:shd w:val="clear" w:color="auto" w:fill="C6D9F1"/>
          </w:tcPr>
          <w:p w:rsidR="00B729B5" w:rsidRPr="008954A8" w:rsidRDefault="00B729B5" w:rsidP="007843AB">
            <w:pPr>
              <w:pStyle w:val="ARProgramTableHeading"/>
              <w:spacing w:line="300" w:lineRule="exact"/>
              <w:rPr>
                <w:rtl/>
                <w:lang w:bidi="ar-SA"/>
              </w:rPr>
            </w:pPr>
            <w:r w:rsidRPr="008954A8">
              <w:rPr>
                <w:rFonts w:hint="cs"/>
                <w:rtl/>
                <w:lang w:bidi="ar-SA"/>
              </w:rPr>
              <w:t>النتائج المرتقبة</w:t>
            </w:r>
          </w:p>
        </w:tc>
        <w:tc>
          <w:tcPr>
            <w:tcW w:w="3119" w:type="dxa"/>
            <w:tcBorders>
              <w:left w:val="nil"/>
              <w:bottom w:val="single" w:sz="4" w:space="0" w:color="auto"/>
              <w:right w:val="nil"/>
            </w:tcBorders>
            <w:shd w:val="clear" w:color="auto" w:fill="C6D9F1"/>
          </w:tcPr>
          <w:p w:rsidR="00B729B5" w:rsidRPr="008954A8" w:rsidRDefault="00B729B5" w:rsidP="007843AB">
            <w:pPr>
              <w:pStyle w:val="ARProgramTableHeading"/>
              <w:spacing w:line="300" w:lineRule="exact"/>
              <w:rPr>
                <w:rtl/>
                <w:lang w:bidi="ar-SA"/>
              </w:rPr>
            </w:pPr>
            <w:r w:rsidRPr="008954A8">
              <w:rPr>
                <w:rFonts w:hint="cs"/>
                <w:rtl/>
                <w:lang w:bidi="ar-SA"/>
              </w:rPr>
              <w:t>مؤشرات الأداء</w:t>
            </w:r>
          </w:p>
        </w:tc>
        <w:tc>
          <w:tcPr>
            <w:tcW w:w="1842" w:type="dxa"/>
            <w:tcBorders>
              <w:left w:val="nil"/>
              <w:bottom w:val="single" w:sz="4" w:space="0" w:color="auto"/>
              <w:right w:val="nil"/>
            </w:tcBorders>
            <w:shd w:val="clear" w:color="auto" w:fill="C6D9F1"/>
          </w:tcPr>
          <w:p w:rsidR="00B729B5" w:rsidRPr="008954A8" w:rsidRDefault="00B729B5" w:rsidP="007843AB">
            <w:pPr>
              <w:pStyle w:val="ARProgramTableHeading"/>
              <w:spacing w:line="300" w:lineRule="exact"/>
              <w:rPr>
                <w:rtl/>
                <w:lang w:bidi="ar-SA"/>
              </w:rPr>
            </w:pPr>
            <w:r w:rsidRPr="008954A8">
              <w:rPr>
                <w:rFonts w:hint="cs"/>
                <w:rtl/>
                <w:lang w:bidi="ar-SA"/>
              </w:rPr>
              <w:t>أسس المقارنة</w:t>
            </w:r>
          </w:p>
        </w:tc>
        <w:tc>
          <w:tcPr>
            <w:tcW w:w="1668" w:type="dxa"/>
            <w:tcBorders>
              <w:left w:val="nil"/>
              <w:bottom w:val="single" w:sz="4" w:space="0" w:color="auto"/>
            </w:tcBorders>
            <w:shd w:val="clear" w:color="auto" w:fill="C6D9F1"/>
          </w:tcPr>
          <w:p w:rsidR="00B729B5" w:rsidRPr="008954A8" w:rsidRDefault="00B729B5" w:rsidP="007843AB">
            <w:pPr>
              <w:pStyle w:val="ARProgramTableHeading"/>
              <w:spacing w:line="300" w:lineRule="exact"/>
              <w:rPr>
                <w:rtl/>
                <w:lang w:bidi="ar-SA"/>
              </w:rPr>
            </w:pPr>
            <w:r w:rsidRPr="008954A8">
              <w:rPr>
                <w:rFonts w:hint="cs"/>
                <w:rtl/>
                <w:lang w:bidi="ar-SA"/>
              </w:rPr>
              <w:t>الأهداف</w:t>
            </w:r>
          </w:p>
        </w:tc>
      </w:tr>
      <w:tr w:rsidR="00B729B5" w:rsidRPr="008954A8" w:rsidTr="007843AB">
        <w:tc>
          <w:tcPr>
            <w:tcW w:w="2941" w:type="dxa"/>
            <w:tcBorders>
              <w:top w:val="single" w:sz="4" w:space="0" w:color="auto"/>
              <w:left w:val="single" w:sz="4" w:space="0" w:color="auto"/>
              <w:bottom w:val="nil"/>
              <w:right w:val="nil"/>
            </w:tcBorders>
            <w:shd w:val="clear" w:color="auto" w:fill="auto"/>
          </w:tcPr>
          <w:p w:rsidR="00B729B5" w:rsidRPr="008954A8" w:rsidRDefault="009800D4" w:rsidP="007843AB">
            <w:pPr>
              <w:pStyle w:val="ARProgramTableText"/>
              <w:spacing w:line="300" w:lineRule="exact"/>
              <w:rPr>
                <w:rtl/>
                <w:lang w:bidi="ar-SA"/>
              </w:rPr>
            </w:pPr>
            <w:r>
              <w:rPr>
                <w:rtl/>
                <w:lang w:bidi="ar-SA"/>
              </w:rPr>
              <w:t>ه</w:t>
            </w:r>
            <w:r w:rsidR="00B729B5">
              <w:rPr>
                <w:rFonts w:hint="cs"/>
                <w:rtl/>
                <w:lang w:bidi="ar-SA"/>
              </w:rPr>
              <w:t xml:space="preserve"> </w:t>
            </w:r>
            <w:r w:rsidR="00B729B5" w:rsidRPr="00DE05FC">
              <w:rPr>
                <w:rtl/>
                <w:lang w:bidi="ar-SA"/>
              </w:rPr>
              <w:t>2.1 أطر تشريعية وتنظيمية وسياسية مكيّفة ومتوازنة في مجال الملكية الفكرية</w:t>
            </w:r>
          </w:p>
        </w:tc>
        <w:tc>
          <w:tcPr>
            <w:tcW w:w="3119" w:type="dxa"/>
            <w:tcBorders>
              <w:top w:val="single" w:sz="4" w:space="0" w:color="auto"/>
              <w:left w:val="nil"/>
              <w:bottom w:val="nil"/>
              <w:right w:val="nil"/>
            </w:tcBorders>
            <w:shd w:val="clear" w:color="auto" w:fill="auto"/>
          </w:tcPr>
          <w:p w:rsidR="00B729B5" w:rsidRPr="008954A8" w:rsidRDefault="00B729B5" w:rsidP="007843AB">
            <w:pPr>
              <w:pStyle w:val="ARProgramTableText"/>
              <w:spacing w:line="300" w:lineRule="exact"/>
              <w:rPr>
                <w:rtl/>
              </w:rPr>
            </w:pPr>
            <w:r w:rsidRPr="003D050B">
              <w:rPr>
                <w:rtl/>
              </w:rPr>
              <w:t xml:space="preserve">عدد البلدان أو المنظمات الإقليمية التي اعتمدت أو عدَّلت أطراً ذات صلة من أجل الإنفاذ الفعال للملكية الفكرية في ضوء الجزء الثالث من اتفاق </w:t>
            </w:r>
            <w:proofErr w:type="spellStart"/>
            <w:r w:rsidRPr="003D050B">
              <w:rPr>
                <w:rtl/>
              </w:rPr>
              <w:t>تريبس</w:t>
            </w:r>
            <w:proofErr w:type="spellEnd"/>
            <w:r w:rsidR="00A52F4C">
              <w:rPr>
                <w:rFonts w:hint="cs"/>
                <w:rtl/>
              </w:rPr>
              <w:t xml:space="preserve"> والتوصية 45 من توصيات جدول أعمال التنمية</w:t>
            </w:r>
            <w:r w:rsidRPr="003D050B">
              <w:rPr>
                <w:rtl/>
              </w:rPr>
              <w:t>، أو في طريقها إلى القيام بذلك، علاوةً على مساعدة الويبو</w:t>
            </w:r>
          </w:p>
        </w:tc>
        <w:tc>
          <w:tcPr>
            <w:tcW w:w="1842" w:type="dxa"/>
            <w:tcBorders>
              <w:top w:val="single" w:sz="4" w:space="0" w:color="auto"/>
              <w:left w:val="nil"/>
              <w:bottom w:val="nil"/>
              <w:right w:val="nil"/>
            </w:tcBorders>
            <w:shd w:val="clear" w:color="auto" w:fill="auto"/>
          </w:tcPr>
          <w:p w:rsidR="00B729B5" w:rsidRPr="008954A8" w:rsidRDefault="00B729B5" w:rsidP="007843AB">
            <w:pPr>
              <w:pStyle w:val="ARProgramTableText"/>
              <w:spacing w:line="300" w:lineRule="exact"/>
              <w:rPr>
                <w:rtl/>
              </w:rPr>
            </w:pPr>
            <w:r w:rsidRPr="003D050B">
              <w:rPr>
                <w:rtl/>
              </w:rPr>
              <w:t>13 بلداً في طريقه إلى تعديل أو اعتماد أو تعديل واعتماد أطر ذات صلة من أجل الإنفاذ الفعال للملكية الفكرية (كما في 15 فبراير 2015)</w:t>
            </w:r>
          </w:p>
        </w:tc>
        <w:tc>
          <w:tcPr>
            <w:tcW w:w="1668" w:type="dxa"/>
            <w:tcBorders>
              <w:top w:val="single" w:sz="4" w:space="0" w:color="auto"/>
              <w:left w:val="nil"/>
              <w:bottom w:val="nil"/>
              <w:right w:val="single" w:sz="4" w:space="0" w:color="auto"/>
            </w:tcBorders>
            <w:shd w:val="clear" w:color="auto" w:fill="auto"/>
          </w:tcPr>
          <w:p w:rsidR="00B729B5" w:rsidRPr="008954A8" w:rsidRDefault="00B729B5" w:rsidP="007843AB">
            <w:pPr>
              <w:pStyle w:val="ARProgramTableText"/>
              <w:spacing w:line="300" w:lineRule="exact"/>
              <w:rPr>
                <w:rtl/>
              </w:rPr>
            </w:pPr>
            <w:r w:rsidRPr="003D050B">
              <w:rPr>
                <w:color w:val="000000"/>
                <w:rtl/>
              </w:rPr>
              <w:t xml:space="preserve">قيام بلد واحد أو منظمة إقليمية واحدة باعتماد أو تعديل أو تعديل واعتماد أطر ذات صلة من أجل الإنفاذ الفعال للملكية الفكرية </w:t>
            </w:r>
          </w:p>
        </w:tc>
      </w:tr>
      <w:tr w:rsidR="00B729B5" w:rsidRPr="008954A8" w:rsidTr="007843AB">
        <w:tc>
          <w:tcPr>
            <w:tcW w:w="2941" w:type="dxa"/>
            <w:tcBorders>
              <w:top w:val="nil"/>
              <w:left w:val="single" w:sz="4" w:space="0" w:color="auto"/>
              <w:bottom w:val="nil"/>
              <w:right w:val="nil"/>
            </w:tcBorders>
            <w:shd w:val="clear" w:color="auto" w:fill="auto"/>
          </w:tcPr>
          <w:p w:rsidR="00B729B5" w:rsidRPr="00DE05FC" w:rsidRDefault="00B729B5" w:rsidP="007843AB">
            <w:pPr>
              <w:pStyle w:val="ARProgramTableText"/>
              <w:spacing w:line="300" w:lineRule="exact"/>
              <w:rPr>
                <w:rtl/>
                <w:lang w:bidi="ar-SA"/>
              </w:rPr>
            </w:pPr>
          </w:p>
        </w:tc>
        <w:tc>
          <w:tcPr>
            <w:tcW w:w="3119" w:type="dxa"/>
            <w:tcBorders>
              <w:top w:val="nil"/>
              <w:left w:val="nil"/>
              <w:bottom w:val="nil"/>
              <w:right w:val="nil"/>
            </w:tcBorders>
            <w:shd w:val="clear" w:color="auto" w:fill="auto"/>
          </w:tcPr>
          <w:p w:rsidR="00B729B5" w:rsidRPr="003D050B" w:rsidRDefault="00B729B5" w:rsidP="007843AB">
            <w:pPr>
              <w:pStyle w:val="ARProgramTableText"/>
              <w:spacing w:line="300" w:lineRule="exact"/>
              <w:rPr>
                <w:rtl/>
              </w:rPr>
            </w:pPr>
            <w:r w:rsidRPr="003D050B">
              <w:rPr>
                <w:rtl/>
              </w:rPr>
              <w:t>عدد البلدان التي اعتمدت أو طبّقت أو اعتمدت وطبّقت استراتيجيةً وطنيةً بشأن إذكاء الاحترام للملكية الفكرية، أو في طريقها إلى القيام بذلك، بمساعدة الويبو</w:t>
            </w:r>
          </w:p>
        </w:tc>
        <w:tc>
          <w:tcPr>
            <w:tcW w:w="1842" w:type="dxa"/>
            <w:tcBorders>
              <w:top w:val="nil"/>
              <w:left w:val="nil"/>
              <w:bottom w:val="nil"/>
              <w:right w:val="nil"/>
            </w:tcBorders>
            <w:shd w:val="clear" w:color="auto" w:fill="auto"/>
          </w:tcPr>
          <w:p w:rsidR="00B729B5" w:rsidRPr="003D050B" w:rsidRDefault="00B729B5" w:rsidP="007843AB">
            <w:pPr>
              <w:pStyle w:val="ARProgramTableText"/>
              <w:spacing w:line="300" w:lineRule="exact"/>
              <w:rPr>
                <w:rtl/>
              </w:rPr>
            </w:pPr>
            <w:r w:rsidRPr="003D050B">
              <w:rPr>
                <w:rtl/>
              </w:rPr>
              <w:t>بلدان في طريقهما إلى اعتماد هذه الاستراتيجية</w:t>
            </w:r>
          </w:p>
        </w:tc>
        <w:tc>
          <w:tcPr>
            <w:tcW w:w="1668" w:type="dxa"/>
            <w:tcBorders>
              <w:top w:val="nil"/>
              <w:left w:val="nil"/>
              <w:bottom w:val="nil"/>
              <w:right w:val="single" w:sz="4" w:space="0" w:color="auto"/>
            </w:tcBorders>
            <w:shd w:val="clear" w:color="auto" w:fill="auto"/>
          </w:tcPr>
          <w:p w:rsidR="00B729B5" w:rsidRPr="003D050B" w:rsidRDefault="00B729B5" w:rsidP="007843AB">
            <w:pPr>
              <w:pStyle w:val="ARProgramTableText"/>
              <w:spacing w:line="300" w:lineRule="exact"/>
              <w:rPr>
                <w:color w:val="000000"/>
                <w:rtl/>
              </w:rPr>
            </w:pPr>
            <w:r w:rsidRPr="003D050B">
              <w:rPr>
                <w:color w:val="000000"/>
                <w:rtl/>
              </w:rPr>
              <w:t>اعتماد بلدين لهذه الاستراتيجية</w:t>
            </w:r>
          </w:p>
        </w:tc>
      </w:tr>
      <w:tr w:rsidR="00B729B5" w:rsidRPr="008954A8" w:rsidTr="007843AB">
        <w:tc>
          <w:tcPr>
            <w:tcW w:w="2941" w:type="dxa"/>
            <w:tcBorders>
              <w:top w:val="nil"/>
              <w:left w:val="single" w:sz="4" w:space="0" w:color="auto"/>
              <w:bottom w:val="nil"/>
              <w:right w:val="nil"/>
            </w:tcBorders>
            <w:shd w:val="clear" w:color="auto" w:fill="auto"/>
          </w:tcPr>
          <w:p w:rsidR="00B729B5" w:rsidRPr="008954A8" w:rsidRDefault="009800D4" w:rsidP="007843AB">
            <w:pPr>
              <w:pStyle w:val="ARProgramTableText"/>
              <w:spacing w:line="300" w:lineRule="exact"/>
              <w:rPr>
                <w:w w:val="95"/>
                <w:rtl/>
                <w:lang w:bidi="ar-SA"/>
              </w:rPr>
            </w:pPr>
            <w:r>
              <w:rPr>
                <w:w w:val="95"/>
                <w:rtl/>
                <w:lang w:bidi="ar-SA"/>
              </w:rPr>
              <w:t>ه</w:t>
            </w:r>
            <w:r w:rsidR="00B729B5">
              <w:rPr>
                <w:rFonts w:hint="cs"/>
                <w:w w:val="95"/>
                <w:rtl/>
                <w:lang w:bidi="ar-SA"/>
              </w:rPr>
              <w:t xml:space="preserve"> </w:t>
            </w:r>
            <w:r w:rsidR="00B729B5" w:rsidRPr="003D050B">
              <w:rPr>
                <w:w w:val="95"/>
                <w:rtl/>
                <w:lang w:bidi="ar-SA"/>
              </w:rPr>
              <w:t>2.3 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3119" w:type="dxa"/>
            <w:tcBorders>
              <w:top w:val="nil"/>
              <w:left w:val="nil"/>
              <w:bottom w:val="nil"/>
              <w:right w:val="nil"/>
            </w:tcBorders>
            <w:shd w:val="clear" w:color="auto" w:fill="auto"/>
          </w:tcPr>
          <w:p w:rsidR="00B729B5" w:rsidRPr="008954A8" w:rsidRDefault="00B729B5" w:rsidP="007843AB">
            <w:pPr>
              <w:pStyle w:val="ARSGTableText"/>
              <w:spacing w:line="300" w:lineRule="exact"/>
              <w:rPr>
                <w:rtl/>
                <w:lang w:bidi="ar-SA"/>
              </w:rPr>
            </w:pPr>
            <w:r w:rsidRPr="003D050B">
              <w:rPr>
                <w:rtl/>
                <w:lang w:bidi="ar-SA"/>
              </w:rPr>
              <w:t xml:space="preserve">النسبة المئوية للمشاركين المُدرَّبين </w:t>
            </w:r>
            <w:r>
              <w:rPr>
                <w:rFonts w:hint="cs"/>
                <w:rtl/>
                <w:lang w:bidi="ar-SA"/>
              </w:rPr>
              <w:t>الراضين</w:t>
            </w:r>
            <w:r w:rsidRPr="003D050B">
              <w:rPr>
                <w:rtl/>
                <w:lang w:bidi="ar-SA"/>
              </w:rPr>
              <w:t xml:space="preserve"> عن </w:t>
            </w:r>
            <w:r>
              <w:rPr>
                <w:rFonts w:hint="cs"/>
                <w:rtl/>
                <w:lang w:bidi="ar-SA"/>
              </w:rPr>
              <w:t>فائدة</w:t>
            </w:r>
            <w:r w:rsidRPr="003D050B">
              <w:rPr>
                <w:rtl/>
                <w:lang w:bidi="ar-SA"/>
              </w:rPr>
              <w:t xml:space="preserve"> و</w:t>
            </w:r>
            <w:r>
              <w:rPr>
                <w:rFonts w:hint="cs"/>
                <w:rtl/>
                <w:lang w:bidi="ar-SA"/>
              </w:rPr>
              <w:t>وجاهة</w:t>
            </w:r>
            <w:r w:rsidRPr="003D050B">
              <w:rPr>
                <w:rtl/>
                <w:lang w:bidi="ar-SA"/>
              </w:rPr>
              <w:t xml:space="preserve"> التدريب المُقدَّم من أجل ممارسة واجباتهم المهنية</w:t>
            </w:r>
          </w:p>
        </w:tc>
        <w:tc>
          <w:tcPr>
            <w:tcW w:w="1842" w:type="dxa"/>
            <w:tcBorders>
              <w:top w:val="nil"/>
              <w:left w:val="nil"/>
              <w:bottom w:val="nil"/>
              <w:right w:val="nil"/>
            </w:tcBorders>
            <w:shd w:val="clear" w:color="auto" w:fill="auto"/>
          </w:tcPr>
          <w:p w:rsidR="00B729B5" w:rsidRDefault="00B729B5" w:rsidP="007843AB">
            <w:pPr>
              <w:pStyle w:val="ARProgramTableText"/>
              <w:spacing w:line="300" w:lineRule="exact"/>
              <w:rPr>
                <w:rtl/>
                <w:lang w:bidi="ar-SA"/>
              </w:rPr>
            </w:pPr>
            <w:r w:rsidRPr="003D050B">
              <w:rPr>
                <w:rtl/>
              </w:rPr>
              <w:t>الوجاهة: 90%</w:t>
            </w:r>
            <w:r>
              <w:rPr>
                <w:rtl/>
                <w:lang w:bidi="ar-SA"/>
              </w:rPr>
              <w:br/>
              <w:t>الفائدة: 90%</w:t>
            </w:r>
          </w:p>
          <w:p w:rsidR="00B729B5" w:rsidRPr="008954A8" w:rsidRDefault="00B729B5" w:rsidP="007843AB">
            <w:pPr>
              <w:pStyle w:val="ARProgramTableText"/>
              <w:spacing w:line="300" w:lineRule="exact"/>
              <w:rPr>
                <w:rtl/>
                <w:lang w:bidi="ar-SA"/>
              </w:rPr>
            </w:pPr>
            <w:r>
              <w:rPr>
                <w:rtl/>
                <w:lang w:bidi="ar-SA"/>
              </w:rPr>
              <w:t>(كما في 15 فبراير 2015)</w:t>
            </w:r>
          </w:p>
        </w:tc>
        <w:tc>
          <w:tcPr>
            <w:tcW w:w="1668" w:type="dxa"/>
            <w:tcBorders>
              <w:top w:val="nil"/>
              <w:left w:val="nil"/>
              <w:bottom w:val="nil"/>
              <w:right w:val="single" w:sz="4" w:space="0" w:color="auto"/>
            </w:tcBorders>
            <w:shd w:val="clear" w:color="auto" w:fill="auto"/>
          </w:tcPr>
          <w:p w:rsidR="00B729B5" w:rsidRPr="008954A8" w:rsidRDefault="00B729B5" w:rsidP="007843AB">
            <w:pPr>
              <w:pStyle w:val="ARProgramTableText"/>
              <w:spacing w:line="300" w:lineRule="exact"/>
              <w:rPr>
                <w:rtl/>
              </w:rPr>
            </w:pPr>
            <w:r w:rsidRPr="007A3D52">
              <w:rPr>
                <w:rtl/>
                <w:lang w:bidi="ar-SA"/>
              </w:rPr>
              <w:t>الوجاهة: أكبر من 85%</w:t>
            </w:r>
            <w:r>
              <w:rPr>
                <w:rtl/>
              </w:rPr>
              <w:br/>
            </w:r>
            <w:r w:rsidRPr="007A3D52">
              <w:rPr>
                <w:rtl/>
              </w:rPr>
              <w:t>الفائدة: أكبر 85%</w:t>
            </w:r>
          </w:p>
        </w:tc>
      </w:tr>
      <w:tr w:rsidR="00B729B5" w:rsidRPr="008954A8" w:rsidTr="007843AB">
        <w:tc>
          <w:tcPr>
            <w:tcW w:w="2941" w:type="dxa"/>
            <w:tcBorders>
              <w:top w:val="nil"/>
              <w:left w:val="single" w:sz="4" w:space="0" w:color="auto"/>
              <w:bottom w:val="nil"/>
              <w:right w:val="nil"/>
            </w:tcBorders>
            <w:shd w:val="clear" w:color="auto" w:fill="auto"/>
          </w:tcPr>
          <w:p w:rsidR="00B729B5" w:rsidRPr="008954A8" w:rsidRDefault="009800D4" w:rsidP="007843AB">
            <w:pPr>
              <w:pStyle w:val="ARProgramTableText"/>
              <w:spacing w:line="300" w:lineRule="exact"/>
              <w:rPr>
                <w:rtl/>
                <w:lang w:bidi="ar-SA"/>
              </w:rPr>
            </w:pPr>
            <w:r>
              <w:rPr>
                <w:rtl/>
                <w:lang w:bidi="ar-SA"/>
              </w:rPr>
              <w:t>ه</w:t>
            </w:r>
            <w:r w:rsidR="00B729B5">
              <w:rPr>
                <w:rFonts w:hint="cs"/>
                <w:rtl/>
                <w:lang w:bidi="ar-SA"/>
              </w:rPr>
              <w:t xml:space="preserve"> </w:t>
            </w:r>
            <w:r w:rsidR="00B729B5" w:rsidRPr="007A3D52">
              <w:rPr>
                <w:rtl/>
                <w:lang w:bidi="ar-SA"/>
              </w:rPr>
              <w:t>1.6 تقدّم في الحوار السياسي الدولي بين الدول الأعضاء في الويبو حول إذكاء الاحترام للملكية الفكرية، مع الاسترشاد بالتوصية رقم 45 من جدول أعمال الويبو بشأن التنمية</w:t>
            </w:r>
          </w:p>
        </w:tc>
        <w:tc>
          <w:tcPr>
            <w:tcW w:w="3119" w:type="dxa"/>
            <w:tcBorders>
              <w:top w:val="nil"/>
              <w:left w:val="nil"/>
              <w:bottom w:val="nil"/>
              <w:right w:val="nil"/>
            </w:tcBorders>
            <w:shd w:val="clear" w:color="auto" w:fill="auto"/>
          </w:tcPr>
          <w:p w:rsidR="00B729B5" w:rsidRPr="008954A8" w:rsidRDefault="00B729B5" w:rsidP="007843AB">
            <w:pPr>
              <w:pStyle w:val="ARSGTableText"/>
              <w:spacing w:line="300" w:lineRule="exact"/>
              <w:rPr>
                <w:rtl/>
              </w:rPr>
            </w:pPr>
            <w:r w:rsidRPr="007A3D52">
              <w:rPr>
                <w:rtl/>
              </w:rPr>
              <w:t>استمرار توافق الدول الأعضاء على العمل الجوهري الذي تقوم به لجنة الو</w:t>
            </w:r>
            <w:r>
              <w:rPr>
                <w:rtl/>
              </w:rPr>
              <w:t>يبو الاستشارية المعنية بالإنفاذ</w:t>
            </w:r>
            <w:r w:rsidRPr="007A3D52">
              <w:rPr>
                <w:rtl/>
              </w:rPr>
              <w:t xml:space="preserve"> </w:t>
            </w:r>
            <w:r>
              <w:rPr>
                <w:rFonts w:hint="cs"/>
                <w:rtl/>
              </w:rPr>
              <w:t>و</w:t>
            </w:r>
            <w:r w:rsidRPr="007A3D52">
              <w:rPr>
                <w:rtl/>
              </w:rPr>
              <w:t xml:space="preserve">الرامي إلى </w:t>
            </w:r>
            <w:r>
              <w:rPr>
                <w:rFonts w:hint="cs"/>
                <w:rtl/>
              </w:rPr>
              <w:t>إدراج</w:t>
            </w:r>
            <w:r w:rsidRPr="007A3D52">
              <w:rPr>
                <w:rtl/>
              </w:rPr>
              <w:t xml:space="preserve"> الشواغل الإنمائي</w:t>
            </w:r>
            <w:r>
              <w:rPr>
                <w:rFonts w:hint="cs"/>
                <w:rtl/>
              </w:rPr>
              <w:t>ة</w:t>
            </w:r>
          </w:p>
        </w:tc>
        <w:tc>
          <w:tcPr>
            <w:tcW w:w="1842" w:type="dxa"/>
            <w:tcBorders>
              <w:top w:val="nil"/>
              <w:left w:val="nil"/>
              <w:bottom w:val="nil"/>
              <w:right w:val="nil"/>
            </w:tcBorders>
            <w:shd w:val="clear" w:color="auto" w:fill="auto"/>
          </w:tcPr>
          <w:p w:rsidR="00B729B5" w:rsidRPr="008954A8" w:rsidRDefault="00B729B5" w:rsidP="007843AB">
            <w:pPr>
              <w:pStyle w:val="ARProgramTableText"/>
              <w:spacing w:line="300" w:lineRule="exact"/>
              <w:rPr>
                <w:rtl/>
              </w:rPr>
            </w:pPr>
            <w:r w:rsidRPr="007A3D52">
              <w:rPr>
                <w:rtl/>
              </w:rPr>
              <w:t>الاتفاق على برنامج عمل الدورة العاشرة للجنة</w:t>
            </w:r>
          </w:p>
        </w:tc>
        <w:tc>
          <w:tcPr>
            <w:tcW w:w="1668" w:type="dxa"/>
            <w:tcBorders>
              <w:top w:val="nil"/>
              <w:left w:val="nil"/>
              <w:bottom w:val="nil"/>
              <w:right w:val="single" w:sz="4" w:space="0" w:color="auto"/>
            </w:tcBorders>
            <w:shd w:val="clear" w:color="auto" w:fill="auto"/>
          </w:tcPr>
          <w:p w:rsidR="00B729B5" w:rsidRPr="008954A8" w:rsidRDefault="00B729B5" w:rsidP="007843AB">
            <w:pPr>
              <w:pStyle w:val="ARProgramTableText"/>
              <w:spacing w:line="300" w:lineRule="exact"/>
              <w:rPr>
                <w:rtl/>
                <w:lang w:bidi="ar-SA"/>
              </w:rPr>
            </w:pPr>
            <w:r w:rsidRPr="007A3D52">
              <w:rPr>
                <w:rtl/>
                <w:lang w:bidi="ar-SA"/>
              </w:rPr>
              <w:t>الاتفاق على برنامج عمل الدورة القادمة للجنة</w:t>
            </w:r>
          </w:p>
        </w:tc>
      </w:tr>
      <w:tr w:rsidR="00B729B5" w:rsidRPr="008954A8" w:rsidTr="007843AB">
        <w:tc>
          <w:tcPr>
            <w:tcW w:w="2941" w:type="dxa"/>
            <w:tcBorders>
              <w:top w:val="nil"/>
              <w:left w:val="single" w:sz="4" w:space="0" w:color="auto"/>
              <w:bottom w:val="nil"/>
              <w:right w:val="nil"/>
            </w:tcBorders>
            <w:shd w:val="clear" w:color="auto" w:fill="auto"/>
          </w:tcPr>
          <w:p w:rsidR="00B729B5" w:rsidRPr="008954A8" w:rsidRDefault="009800D4" w:rsidP="007843AB">
            <w:pPr>
              <w:pStyle w:val="ARProgramTableText"/>
              <w:spacing w:line="300" w:lineRule="exact"/>
              <w:rPr>
                <w:rtl/>
                <w:lang w:bidi="ar-SA"/>
              </w:rPr>
            </w:pPr>
            <w:r>
              <w:rPr>
                <w:rtl/>
                <w:lang w:bidi="ar-SA"/>
              </w:rPr>
              <w:t>ه</w:t>
            </w:r>
            <w:r w:rsidR="00B729B5">
              <w:rPr>
                <w:rFonts w:hint="cs"/>
                <w:rtl/>
                <w:lang w:bidi="ar-SA"/>
              </w:rPr>
              <w:t xml:space="preserve"> </w:t>
            </w:r>
            <w:r w:rsidR="00B729B5" w:rsidRPr="007A3D52">
              <w:rPr>
                <w:rtl/>
                <w:lang w:bidi="ar-SA"/>
              </w:rPr>
              <w:t>2.6 تعاون وتنسيق على نحو منتظم وفعال وشفاف بين عمل الويبو وعمل المنظمات الدولية الأخرى في مجال إذكاء الاحترام للملكية الفكرية</w:t>
            </w:r>
          </w:p>
        </w:tc>
        <w:tc>
          <w:tcPr>
            <w:tcW w:w="3119" w:type="dxa"/>
            <w:tcBorders>
              <w:top w:val="nil"/>
              <w:left w:val="nil"/>
              <w:bottom w:val="nil"/>
              <w:right w:val="nil"/>
            </w:tcBorders>
            <w:shd w:val="clear" w:color="auto" w:fill="auto"/>
          </w:tcPr>
          <w:p w:rsidR="00B729B5" w:rsidRPr="008954A8" w:rsidRDefault="00B729B5" w:rsidP="007843AB">
            <w:pPr>
              <w:pStyle w:val="ARSGTableText"/>
              <w:spacing w:line="300" w:lineRule="exact"/>
              <w:rPr>
                <w:rtl/>
                <w:lang w:bidi="ar-SA"/>
              </w:rPr>
            </w:pPr>
            <w:r w:rsidRPr="007A3D52">
              <w:rPr>
                <w:rtl/>
                <w:lang w:bidi="ar-SA"/>
              </w:rPr>
              <w:t>عدد عمليات التعاون الاستراتيجي أو غيرها من الأنشطة المشتركة مع منظمات شريكة بشأن إذكاء الاحترام للملكية الفكرية</w:t>
            </w:r>
          </w:p>
        </w:tc>
        <w:tc>
          <w:tcPr>
            <w:tcW w:w="1842" w:type="dxa"/>
            <w:tcBorders>
              <w:top w:val="nil"/>
              <w:left w:val="nil"/>
              <w:bottom w:val="nil"/>
              <w:right w:val="nil"/>
            </w:tcBorders>
            <w:shd w:val="clear" w:color="auto" w:fill="auto"/>
          </w:tcPr>
          <w:p w:rsidR="00B729B5" w:rsidRPr="008954A8" w:rsidRDefault="00B729B5" w:rsidP="007843AB">
            <w:pPr>
              <w:pStyle w:val="ARProgramTableText"/>
              <w:spacing w:line="300" w:lineRule="exact"/>
              <w:rPr>
                <w:rtl/>
                <w:lang w:bidi="ar-SA"/>
              </w:rPr>
            </w:pPr>
            <w:r w:rsidRPr="007A3D52">
              <w:rPr>
                <w:rtl/>
                <w:lang w:bidi="ar-SA"/>
              </w:rPr>
              <w:t>6 عمليات تعاون استراتيجي، و24 نشاطاً مشتركاً آخر (كما في 15 فبراير 2015)</w:t>
            </w:r>
          </w:p>
        </w:tc>
        <w:tc>
          <w:tcPr>
            <w:tcW w:w="1668" w:type="dxa"/>
            <w:tcBorders>
              <w:top w:val="nil"/>
              <w:left w:val="nil"/>
              <w:bottom w:val="nil"/>
              <w:right w:val="single" w:sz="4" w:space="0" w:color="auto"/>
            </w:tcBorders>
            <w:shd w:val="clear" w:color="auto" w:fill="auto"/>
          </w:tcPr>
          <w:p w:rsidR="00B729B5" w:rsidRPr="008954A8" w:rsidRDefault="00B729B5" w:rsidP="007843AB">
            <w:pPr>
              <w:pStyle w:val="ARProgramTableText"/>
              <w:spacing w:line="300" w:lineRule="exact"/>
              <w:rPr>
                <w:rtl/>
                <w:lang w:bidi="ar-SA"/>
              </w:rPr>
            </w:pPr>
            <w:r w:rsidRPr="007A3D52">
              <w:rPr>
                <w:rtl/>
                <w:lang w:bidi="ar-SA"/>
              </w:rPr>
              <w:t>6 عمليات تعاون استراتيجي، و25 نشاطاً مشتركاً آخر</w:t>
            </w:r>
          </w:p>
        </w:tc>
      </w:tr>
      <w:tr w:rsidR="00B729B5" w:rsidRPr="008954A8" w:rsidTr="007843AB">
        <w:tc>
          <w:tcPr>
            <w:tcW w:w="2941" w:type="dxa"/>
            <w:tcBorders>
              <w:top w:val="nil"/>
              <w:left w:val="single" w:sz="4" w:space="0" w:color="auto"/>
              <w:bottom w:val="single" w:sz="4" w:space="0" w:color="auto"/>
              <w:right w:val="nil"/>
            </w:tcBorders>
            <w:shd w:val="clear" w:color="auto" w:fill="auto"/>
          </w:tcPr>
          <w:p w:rsidR="00B729B5" w:rsidRPr="007A3D52" w:rsidRDefault="009800D4" w:rsidP="007843AB">
            <w:pPr>
              <w:pStyle w:val="ARProgramTableText"/>
              <w:spacing w:line="300" w:lineRule="exact"/>
              <w:rPr>
                <w:rtl/>
                <w:lang w:bidi="ar-SA"/>
              </w:rPr>
            </w:pPr>
            <w:r>
              <w:rPr>
                <w:rtl/>
                <w:lang w:bidi="ar-SA"/>
              </w:rPr>
              <w:t>ه</w:t>
            </w:r>
            <w:r w:rsidR="00B729B5">
              <w:rPr>
                <w:rFonts w:hint="cs"/>
                <w:rtl/>
                <w:lang w:bidi="ar-SA"/>
              </w:rPr>
              <w:t xml:space="preserve"> </w:t>
            </w:r>
            <w:r w:rsidR="00B729B5" w:rsidRPr="002305B7">
              <w:rPr>
                <w:rtl/>
                <w:lang w:bidi="ar-SA"/>
              </w:rPr>
              <w:t>1.8 التواصل بفعالية أكبر مع جمهور واسع بشأن الملكية الفكرية ودور الويبو</w:t>
            </w:r>
          </w:p>
        </w:tc>
        <w:tc>
          <w:tcPr>
            <w:tcW w:w="3119" w:type="dxa"/>
            <w:tcBorders>
              <w:top w:val="nil"/>
              <w:left w:val="nil"/>
              <w:bottom w:val="single" w:sz="4" w:space="0" w:color="auto"/>
              <w:right w:val="nil"/>
            </w:tcBorders>
            <w:shd w:val="clear" w:color="auto" w:fill="auto"/>
          </w:tcPr>
          <w:p w:rsidR="00B729B5" w:rsidRPr="007A3D52" w:rsidRDefault="00B729B5" w:rsidP="007843AB">
            <w:pPr>
              <w:pStyle w:val="ARSGTableText"/>
              <w:spacing w:line="300" w:lineRule="exact"/>
              <w:rPr>
                <w:rtl/>
                <w:lang w:bidi="ar-SA"/>
              </w:rPr>
            </w:pPr>
            <w:r w:rsidRPr="002305B7">
              <w:rPr>
                <w:rtl/>
                <w:lang w:bidi="ar-SA"/>
              </w:rPr>
              <w:t>عدد الدول الأعضاء المشاركة في برنامج جوائز الويبو</w:t>
            </w:r>
          </w:p>
        </w:tc>
        <w:tc>
          <w:tcPr>
            <w:tcW w:w="1842" w:type="dxa"/>
            <w:tcBorders>
              <w:top w:val="nil"/>
              <w:left w:val="nil"/>
              <w:bottom w:val="single" w:sz="4" w:space="0" w:color="auto"/>
              <w:right w:val="nil"/>
            </w:tcBorders>
            <w:shd w:val="clear" w:color="auto" w:fill="auto"/>
          </w:tcPr>
          <w:p w:rsidR="00B729B5" w:rsidRPr="007A3D52" w:rsidRDefault="00B729B5" w:rsidP="007843AB">
            <w:pPr>
              <w:pStyle w:val="ARProgramTableText"/>
              <w:spacing w:line="300" w:lineRule="exact"/>
              <w:rPr>
                <w:rtl/>
                <w:lang w:bidi="ar-SA"/>
              </w:rPr>
            </w:pPr>
            <w:r w:rsidRPr="002305B7">
              <w:rPr>
                <w:rtl/>
                <w:lang w:bidi="ar-SA"/>
              </w:rPr>
              <w:t>38 (في عام 2014)</w:t>
            </w:r>
          </w:p>
        </w:tc>
        <w:tc>
          <w:tcPr>
            <w:tcW w:w="1668" w:type="dxa"/>
            <w:tcBorders>
              <w:top w:val="nil"/>
              <w:left w:val="nil"/>
              <w:bottom w:val="single" w:sz="4" w:space="0" w:color="auto"/>
              <w:right w:val="single" w:sz="4" w:space="0" w:color="auto"/>
            </w:tcBorders>
            <w:shd w:val="clear" w:color="auto" w:fill="auto"/>
          </w:tcPr>
          <w:p w:rsidR="00B729B5" w:rsidRPr="007A3D52" w:rsidRDefault="00B729B5" w:rsidP="007843AB">
            <w:pPr>
              <w:pStyle w:val="ARProgramTableText"/>
              <w:spacing w:line="300" w:lineRule="exact"/>
              <w:rPr>
                <w:rtl/>
                <w:lang w:bidi="ar-SA"/>
              </w:rPr>
            </w:pPr>
            <w:r w:rsidRPr="002305B7">
              <w:rPr>
                <w:rtl/>
                <w:lang w:bidi="ar-SA"/>
              </w:rPr>
              <w:t>45 في 2016/17</w:t>
            </w:r>
          </w:p>
        </w:tc>
      </w:tr>
    </w:tbl>
    <w:p w:rsidR="00B729B5" w:rsidRDefault="00B729B5" w:rsidP="007843AB">
      <w:pPr>
        <w:tabs>
          <w:tab w:val="left" w:pos="714"/>
        </w:tabs>
        <w:spacing w:after="120" w:line="340" w:lineRule="exact"/>
        <w:rPr>
          <w:rFonts w:ascii="Arabic Typesetting" w:hAnsi="Arabic Typesetting" w:cs="Arabic Typesetting"/>
          <w:color w:val="000000"/>
          <w:sz w:val="34"/>
          <w:szCs w:val="34"/>
          <w:rtl/>
        </w:rPr>
      </w:pPr>
    </w:p>
    <w:p w:rsidR="00B729B5" w:rsidRDefault="00B729B5">
      <w:pPr>
        <w:bidi w:val="0"/>
        <w:rPr>
          <w:rFonts w:ascii="Arabic Typesetting" w:hAnsi="Arabic Typesetting" w:cs="Arabic Typesetting"/>
          <w:noProof/>
          <w:snapToGrid w:val="0"/>
          <w:sz w:val="38"/>
          <w:szCs w:val="38"/>
          <w:rtl/>
          <w:lang w:bidi="ar-SA"/>
        </w:rPr>
      </w:pPr>
      <w:r>
        <w:rPr>
          <w:rFonts w:ascii="Arabic Typesetting" w:hAnsi="Arabic Typesetting" w:cs="Arabic Typesetting"/>
          <w:noProof/>
          <w:sz w:val="38"/>
          <w:szCs w:val="38"/>
          <w:rtl/>
        </w:rPr>
        <w:br w:type="page"/>
      </w:r>
    </w:p>
    <w:p w:rsidR="00B729B5" w:rsidRPr="007D3F92" w:rsidRDefault="00B729B5"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7D3F92">
        <w:rPr>
          <w:rFonts w:ascii="Arabic Typesetting" w:hAnsi="Arabic Typesetting" w:cs="Arabic Typesetting" w:hint="cs"/>
          <w:noProof/>
          <w:sz w:val="38"/>
          <w:szCs w:val="38"/>
          <w:rtl/>
        </w:rPr>
        <w:lastRenderedPageBreak/>
        <w:t>الموارد المخصصة للبرنامج 17</w:t>
      </w:r>
    </w:p>
    <w:p w:rsidR="00B729B5" w:rsidRDefault="00B729B5" w:rsidP="00861CFF">
      <w:pPr>
        <w:pStyle w:val="ARNumbered116"/>
        <w:numPr>
          <w:ilvl w:val="0"/>
          <w:numId w:val="30"/>
        </w:numPr>
        <w:spacing w:after="120" w:line="340" w:lineRule="exact"/>
        <w:ind w:left="-6" w:firstLine="0"/>
        <w:rPr>
          <w:rFonts w:ascii="Arabic Typesetting" w:hAnsi="Arabic Typesetting" w:cs="Arabic Typesetting"/>
          <w:sz w:val="34"/>
          <w:szCs w:val="34"/>
        </w:rPr>
      </w:pPr>
      <w:r>
        <w:rPr>
          <w:rFonts w:ascii="Arabic Typesetting" w:hAnsi="Arabic Typesetting" w:cs="Arabic Typesetting" w:hint="cs"/>
          <w:sz w:val="34"/>
          <w:szCs w:val="34"/>
          <w:rtl/>
        </w:rPr>
        <w:t>يظل إجمالي الموارد المخصصة للبرنامج 17 في الثنائية 2016/17 في المستوى ذاته كما في الميزانية المعتمدة 2014/15 (الانخفاض المُسجل مقارنة بميزانية 2014/15 بعد التحويلات يعكس انتداب موظف قانوني بصورة مؤقتة ضمن البرنامج في الثنائية</w:t>
      </w:r>
      <w:r>
        <w:rPr>
          <w:rFonts w:ascii="Arabic Typesetting" w:hAnsi="Arabic Typesetting" w:cs="Arabic Typesetting" w:hint="eastAsia"/>
          <w:sz w:val="34"/>
          <w:szCs w:val="34"/>
          <w:rtl/>
        </w:rPr>
        <w:t> </w:t>
      </w:r>
      <w:r>
        <w:rPr>
          <w:rFonts w:ascii="Arabic Typesetting" w:hAnsi="Arabic Typesetting" w:cs="Arabic Typesetting" w:hint="cs"/>
          <w:sz w:val="34"/>
          <w:szCs w:val="34"/>
          <w:rtl/>
        </w:rPr>
        <w:t>2014/15).</w:t>
      </w:r>
    </w:p>
    <w:p w:rsidR="00B729B5" w:rsidRDefault="00B729B5" w:rsidP="00861CFF">
      <w:pPr>
        <w:pStyle w:val="ARNumbered116"/>
        <w:numPr>
          <w:ilvl w:val="0"/>
          <w:numId w:val="30"/>
        </w:numPr>
        <w:spacing w:after="120" w:line="340" w:lineRule="exact"/>
        <w:ind w:left="-6" w:firstLine="0"/>
        <w:rPr>
          <w:rFonts w:ascii="Arabic Typesetting" w:hAnsi="Arabic Typesetting" w:cs="Arabic Typesetting"/>
          <w:sz w:val="34"/>
          <w:szCs w:val="34"/>
        </w:rPr>
      </w:pPr>
      <w:r>
        <w:rPr>
          <w:rFonts w:ascii="Arabic Typesetting" w:hAnsi="Arabic Typesetting" w:cs="Arabic Typesetting" w:hint="cs"/>
          <w:sz w:val="34"/>
          <w:szCs w:val="34"/>
          <w:rtl/>
        </w:rPr>
        <w:t xml:space="preserve">ويُلاحظ تحويل للموارد من النتيجة المرتقبة </w:t>
      </w:r>
      <w:r w:rsidR="009800D4">
        <w:rPr>
          <w:rFonts w:ascii="Arabic Typesetting" w:hAnsi="Arabic Typesetting" w:cs="Arabic Typesetting"/>
          <w:sz w:val="34"/>
          <w:szCs w:val="34"/>
          <w:rtl/>
          <w:lang w:bidi="ar-SA"/>
        </w:rPr>
        <w:t>ه</w:t>
      </w:r>
      <w:r w:rsidR="009800D4">
        <w:rPr>
          <w:rFonts w:ascii="Arabic Typesetting" w:hAnsi="Arabic Typesetting" w:cs="Arabic Typesetting" w:hint="cs"/>
          <w:sz w:val="34"/>
          <w:szCs w:val="34"/>
          <w:rtl/>
          <w:lang w:bidi="ar-SA"/>
        </w:rPr>
        <w:t xml:space="preserve"> </w:t>
      </w:r>
      <w:r w:rsidRPr="007D3F92">
        <w:rPr>
          <w:rFonts w:ascii="Arabic Typesetting" w:hAnsi="Arabic Typesetting" w:cs="Arabic Typesetting"/>
          <w:sz w:val="34"/>
          <w:szCs w:val="34"/>
          <w:rtl/>
          <w:lang w:bidi="ar-SA"/>
        </w:rPr>
        <w:t>2.3</w:t>
      </w:r>
      <w:r>
        <w:rPr>
          <w:rFonts w:ascii="Arabic Typesetting" w:hAnsi="Arabic Typesetting" w:cs="Arabic Typesetting" w:hint="cs"/>
          <w:sz w:val="34"/>
          <w:szCs w:val="34"/>
          <w:rtl/>
          <w:lang w:bidi="ar-SA"/>
        </w:rPr>
        <w:t xml:space="preserve"> إلى النتيجتين المرتقبتين </w:t>
      </w:r>
      <w:r w:rsidR="009800D4">
        <w:rPr>
          <w:rFonts w:ascii="Arabic Typesetting" w:hAnsi="Arabic Typesetting" w:cs="Arabic Typesetting"/>
          <w:sz w:val="34"/>
          <w:szCs w:val="34"/>
          <w:rtl/>
          <w:lang w:bidi="ar-SA"/>
        </w:rPr>
        <w:t>ه</w:t>
      </w:r>
      <w:r>
        <w:rPr>
          <w:rFonts w:ascii="Arabic Typesetting" w:hAnsi="Arabic Typesetting" w:cs="Arabic Typesetting" w:hint="cs"/>
          <w:sz w:val="34"/>
          <w:szCs w:val="34"/>
          <w:rtl/>
          <w:lang w:bidi="ar-SA"/>
        </w:rPr>
        <w:t xml:space="preserve"> </w:t>
      </w:r>
      <w:r w:rsidRPr="007D3F92">
        <w:rPr>
          <w:rFonts w:ascii="Arabic Typesetting" w:hAnsi="Arabic Typesetting" w:cs="Arabic Typesetting"/>
          <w:sz w:val="34"/>
          <w:szCs w:val="34"/>
          <w:rtl/>
          <w:lang w:bidi="ar-SA"/>
        </w:rPr>
        <w:t>2.</w:t>
      </w:r>
      <w:r>
        <w:rPr>
          <w:rFonts w:ascii="Arabic Typesetting" w:hAnsi="Arabic Typesetting" w:cs="Arabic Typesetting" w:hint="cs"/>
          <w:sz w:val="34"/>
          <w:szCs w:val="34"/>
          <w:rtl/>
          <w:lang w:bidi="ar-SA"/>
        </w:rPr>
        <w:t>1 و</w:t>
      </w:r>
      <w:r w:rsidRPr="00BA0102">
        <w:rPr>
          <w:rFonts w:ascii="Arabic Typesetting" w:hAnsi="Arabic Typesetting" w:cs="Arabic Typesetting"/>
          <w:sz w:val="34"/>
          <w:szCs w:val="34"/>
          <w:rtl/>
          <w:lang w:bidi="ar-SA"/>
        </w:rPr>
        <w:t xml:space="preserve"> </w:t>
      </w:r>
      <w:r w:rsidR="009800D4">
        <w:rPr>
          <w:rFonts w:ascii="Arabic Typesetting" w:hAnsi="Arabic Typesetting" w:cs="Arabic Typesetting"/>
          <w:sz w:val="34"/>
          <w:szCs w:val="34"/>
          <w:rtl/>
          <w:lang w:bidi="ar-SA"/>
        </w:rPr>
        <w:t>ه</w:t>
      </w:r>
      <w:r>
        <w:rPr>
          <w:rFonts w:ascii="Arabic Typesetting" w:hAnsi="Arabic Typesetting" w:cs="Arabic Typesetting" w:hint="cs"/>
          <w:sz w:val="34"/>
          <w:szCs w:val="34"/>
          <w:rtl/>
          <w:lang w:bidi="ar-SA"/>
        </w:rPr>
        <w:t xml:space="preserve"> 1</w:t>
      </w:r>
      <w:r w:rsidRPr="007D3F92">
        <w:rPr>
          <w:rFonts w:ascii="Arabic Typesetting" w:hAnsi="Arabic Typesetting" w:cs="Arabic Typesetting"/>
          <w:sz w:val="34"/>
          <w:szCs w:val="34"/>
          <w:rtl/>
          <w:lang w:bidi="ar-SA"/>
        </w:rPr>
        <w:t>.</w:t>
      </w:r>
      <w:r>
        <w:rPr>
          <w:rFonts w:ascii="Arabic Typesetting" w:hAnsi="Arabic Typesetting" w:cs="Arabic Typesetting" w:hint="cs"/>
          <w:sz w:val="34"/>
          <w:szCs w:val="34"/>
          <w:rtl/>
          <w:lang w:bidi="ar-SA"/>
        </w:rPr>
        <w:t xml:space="preserve">8. ويعكس ذلك توازن أفضل بين مختلف النتائج المرتقبة، من خلال "1" تخصيص موارد لتقديم المساعدة، بناء على طلبات متزايدة من الدول الأعضاء، في المجال التشريعي وفي وضع استراتيجيات وطنية بشأن إذكاء الاحترام للملكية الفكرية، "2" وتخصيص موارد لأغراض برنامج جوائز الويبو ضمن النتيجة المرتقبة </w:t>
      </w:r>
      <w:r w:rsidR="009800D4">
        <w:rPr>
          <w:rFonts w:ascii="Arabic Typesetting" w:hAnsi="Arabic Typesetting" w:cs="Arabic Typesetting"/>
          <w:sz w:val="34"/>
          <w:szCs w:val="34"/>
          <w:rtl/>
          <w:lang w:bidi="ar-SA"/>
        </w:rPr>
        <w:t>ه</w:t>
      </w:r>
      <w:r>
        <w:rPr>
          <w:rFonts w:ascii="Arabic Typesetting" w:hAnsi="Arabic Typesetting" w:cs="Arabic Typesetting" w:hint="cs"/>
          <w:sz w:val="34"/>
          <w:szCs w:val="34"/>
          <w:rtl/>
          <w:lang w:bidi="ar-SA"/>
        </w:rPr>
        <w:t xml:space="preserve"> 1</w:t>
      </w:r>
      <w:r w:rsidRPr="00267A10">
        <w:rPr>
          <w:rFonts w:ascii="Arabic Typesetting" w:hAnsi="Arabic Typesetting" w:cs="Arabic Typesetting"/>
          <w:sz w:val="34"/>
          <w:szCs w:val="34"/>
          <w:rtl/>
          <w:lang w:bidi="ar-SA"/>
        </w:rPr>
        <w:t>.</w:t>
      </w:r>
      <w:r>
        <w:rPr>
          <w:rFonts w:ascii="Arabic Typesetting" w:hAnsi="Arabic Typesetting" w:cs="Arabic Typesetting" w:hint="cs"/>
          <w:sz w:val="34"/>
          <w:szCs w:val="34"/>
          <w:rtl/>
          <w:lang w:bidi="ar-SA"/>
        </w:rPr>
        <w:t xml:space="preserve">8 (بدلا من النتيجة المرتقبة </w:t>
      </w:r>
      <w:r w:rsidR="009800D4">
        <w:rPr>
          <w:rFonts w:ascii="Arabic Typesetting" w:hAnsi="Arabic Typesetting" w:cs="Arabic Typesetting"/>
          <w:sz w:val="34"/>
          <w:szCs w:val="34"/>
          <w:rtl/>
          <w:lang w:bidi="ar-SA"/>
        </w:rPr>
        <w:t>ه</w:t>
      </w:r>
      <w:r>
        <w:rPr>
          <w:rFonts w:ascii="Arabic Typesetting" w:hAnsi="Arabic Typesetting" w:cs="Arabic Typesetting" w:hint="cs"/>
          <w:sz w:val="34"/>
          <w:szCs w:val="34"/>
          <w:rtl/>
          <w:lang w:bidi="ar-SA"/>
        </w:rPr>
        <w:t xml:space="preserve"> </w:t>
      </w:r>
      <w:r w:rsidRPr="007D3F92">
        <w:rPr>
          <w:rFonts w:ascii="Arabic Typesetting" w:hAnsi="Arabic Typesetting" w:cs="Arabic Typesetting"/>
          <w:sz w:val="34"/>
          <w:szCs w:val="34"/>
          <w:rtl/>
          <w:lang w:bidi="ar-SA"/>
        </w:rPr>
        <w:t>2.3</w:t>
      </w:r>
      <w:r>
        <w:rPr>
          <w:rFonts w:ascii="Arabic Typesetting" w:hAnsi="Arabic Typesetting" w:cs="Arabic Typesetting" w:hint="cs"/>
          <w:sz w:val="34"/>
          <w:szCs w:val="34"/>
          <w:rtl/>
          <w:lang w:bidi="ar-SA"/>
        </w:rPr>
        <w:t xml:space="preserve"> في الثنائية 2014/15).</w:t>
      </w:r>
    </w:p>
    <w:p w:rsidR="00B729B5" w:rsidRPr="00A35686" w:rsidRDefault="00B729B5" w:rsidP="007843AB">
      <w:pPr>
        <w:pStyle w:val="ARNormal"/>
        <w:keepNext/>
        <w:spacing w:after="0"/>
        <w:jc w:val="center"/>
        <w:rPr>
          <w:b/>
          <w:bCs/>
          <w:rtl/>
        </w:rPr>
      </w:pPr>
      <w:r w:rsidRPr="00A35686">
        <w:rPr>
          <w:b/>
          <w:bCs/>
          <w:rtl/>
        </w:rPr>
        <w:t xml:space="preserve">البرنامج </w:t>
      </w:r>
      <w:r>
        <w:rPr>
          <w:rFonts w:hint="cs"/>
          <w:b/>
          <w:bCs/>
          <w:rtl/>
        </w:rPr>
        <w:t>17</w:t>
      </w:r>
      <w:r w:rsidRPr="00A35686">
        <w:rPr>
          <w:b/>
          <w:bCs/>
          <w:rtl/>
        </w:rPr>
        <w:t>: الموارد بحسب كل نتيجة</w:t>
      </w:r>
    </w:p>
    <w:p w:rsidR="00B729B5" w:rsidRDefault="00B729B5" w:rsidP="00B729B5">
      <w:pPr>
        <w:pStyle w:val="ARNormal"/>
        <w:ind w:left="720"/>
        <w:jc w:val="center"/>
        <w:rPr>
          <w:i/>
          <w:iCs/>
          <w:rtl/>
        </w:rPr>
      </w:pPr>
      <w:r w:rsidRPr="00A35686">
        <w:rPr>
          <w:i/>
          <w:iCs/>
          <w:rtl/>
        </w:rPr>
        <w:t>(بآلاف الفرنكات السويسرية)</w:t>
      </w:r>
    </w:p>
    <w:p w:rsidR="00B729B5" w:rsidRPr="007B65C1" w:rsidRDefault="00B729B5" w:rsidP="004C5D98">
      <w:pPr>
        <w:pStyle w:val="ARNormal"/>
        <w:spacing w:after="0" w:line="240" w:lineRule="auto"/>
        <w:ind w:left="-2"/>
        <w:jc w:val="center"/>
        <w:rPr>
          <w:rtl/>
        </w:rPr>
      </w:pPr>
      <w:r w:rsidRPr="00B729B5">
        <w:rPr>
          <w:noProof/>
          <w:rtl/>
          <w:lang w:val="en-US"/>
        </w:rPr>
        <w:drawing>
          <wp:inline distT="0" distB="0" distL="0" distR="0" wp14:anchorId="2C887768" wp14:editId="0A599831">
            <wp:extent cx="5676900" cy="3238500"/>
            <wp:effectExtent l="0" t="0" r="0"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676900" cy="3238500"/>
                    </a:xfrm>
                    <a:prstGeom prst="rect">
                      <a:avLst/>
                    </a:prstGeom>
                    <a:noFill/>
                    <a:ln>
                      <a:noFill/>
                    </a:ln>
                  </pic:spPr>
                </pic:pic>
              </a:graphicData>
            </a:graphic>
          </wp:inline>
        </w:drawing>
      </w:r>
    </w:p>
    <w:p w:rsidR="00B729B5" w:rsidRDefault="00B729B5">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B729B5" w:rsidRPr="008954A8" w:rsidRDefault="00B729B5" w:rsidP="007843AB">
      <w:pPr>
        <w:pStyle w:val="ARNormal"/>
        <w:keepNext/>
        <w:spacing w:after="0"/>
        <w:jc w:val="center"/>
        <w:rPr>
          <w:b/>
          <w:bCs/>
          <w:rtl/>
        </w:rPr>
      </w:pPr>
      <w:r w:rsidRPr="008954A8">
        <w:rPr>
          <w:rFonts w:hint="cs"/>
          <w:b/>
          <w:bCs/>
          <w:rtl/>
        </w:rPr>
        <w:lastRenderedPageBreak/>
        <w:t xml:space="preserve">البرنامج </w:t>
      </w:r>
      <w:r>
        <w:rPr>
          <w:rFonts w:hint="cs"/>
          <w:b/>
          <w:bCs/>
          <w:rtl/>
        </w:rPr>
        <w:t>17</w:t>
      </w:r>
      <w:r w:rsidRPr="008954A8">
        <w:rPr>
          <w:rFonts w:hint="cs"/>
          <w:b/>
          <w:bCs/>
          <w:rtl/>
        </w:rPr>
        <w:t>: الموارد بحسب غرض الإنفاق</w:t>
      </w:r>
    </w:p>
    <w:p w:rsidR="00B729B5" w:rsidRDefault="00B729B5" w:rsidP="007843AB">
      <w:pPr>
        <w:pStyle w:val="ARNormal"/>
        <w:spacing w:after="0"/>
        <w:ind w:left="720"/>
        <w:jc w:val="center"/>
        <w:rPr>
          <w:i/>
          <w:iCs/>
          <w:rtl/>
        </w:rPr>
      </w:pPr>
      <w:r w:rsidRPr="008954A8">
        <w:rPr>
          <w:rFonts w:hint="cs"/>
          <w:i/>
          <w:iCs/>
          <w:rtl/>
        </w:rPr>
        <w:t>(بآلاف الفرنكات السويسرية)</w:t>
      </w:r>
    </w:p>
    <w:p w:rsidR="00B729B5" w:rsidRPr="007B65C1" w:rsidRDefault="00B729B5" w:rsidP="00B729B5">
      <w:pPr>
        <w:pStyle w:val="ARNormal"/>
        <w:spacing w:after="0" w:line="240" w:lineRule="auto"/>
        <w:ind w:left="-2"/>
        <w:jc w:val="center"/>
      </w:pPr>
      <w:r w:rsidRPr="00B729B5">
        <w:rPr>
          <w:noProof/>
          <w:rtl/>
          <w:lang w:val="en-US"/>
        </w:rPr>
        <w:drawing>
          <wp:inline distT="0" distB="0" distL="0" distR="0" wp14:anchorId="2A304740" wp14:editId="192A259D">
            <wp:extent cx="5233852" cy="6029325"/>
            <wp:effectExtent l="0" t="0" r="508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33852" cy="6029325"/>
                    </a:xfrm>
                    <a:prstGeom prst="rect">
                      <a:avLst/>
                    </a:prstGeom>
                    <a:noFill/>
                    <a:ln>
                      <a:noFill/>
                    </a:ln>
                  </pic:spPr>
                </pic:pic>
              </a:graphicData>
            </a:graphic>
          </wp:inline>
        </w:drawing>
      </w:r>
    </w:p>
    <w:p w:rsidR="00B729B5" w:rsidRPr="00462891" w:rsidRDefault="00B729B5" w:rsidP="007843AB">
      <w:pPr>
        <w:pStyle w:val="ARNormal"/>
        <w:keepNext/>
        <w:spacing w:after="0"/>
        <w:jc w:val="center"/>
        <w:rPr>
          <w:b/>
          <w:bCs/>
          <w:rtl/>
        </w:rPr>
      </w:pPr>
      <w:r w:rsidRPr="00487D33">
        <w:rPr>
          <w:rFonts w:hint="cs"/>
          <w:b/>
          <w:bCs/>
          <w:rtl/>
        </w:rPr>
        <w:t>الموارد الاستئمانية المحتمل توافرها لأغراض البرامج في</w:t>
      </w:r>
      <w:r w:rsidRPr="00487D33">
        <w:rPr>
          <w:b/>
          <w:bCs/>
          <w:rtl/>
        </w:rPr>
        <w:t xml:space="preserve"> </w:t>
      </w:r>
      <w:r>
        <w:rPr>
          <w:rFonts w:hint="cs"/>
          <w:b/>
          <w:bCs/>
          <w:rtl/>
        </w:rPr>
        <w:t>2016</w:t>
      </w:r>
      <w:r w:rsidRPr="00487D33">
        <w:rPr>
          <w:b/>
          <w:bCs/>
          <w:rtl/>
        </w:rPr>
        <w:t>/</w:t>
      </w:r>
      <w:r>
        <w:rPr>
          <w:rFonts w:hint="cs"/>
          <w:b/>
          <w:bCs/>
          <w:rtl/>
        </w:rPr>
        <w:t>17 (بحسب البرنامج)</w:t>
      </w:r>
      <w:r w:rsidRPr="00487D33">
        <w:rPr>
          <w:rFonts w:hint="cs"/>
          <w:b/>
          <w:bCs/>
          <w:vertAlign w:val="superscript"/>
          <w:rtl/>
        </w:rPr>
        <w:t>1</w:t>
      </w:r>
    </w:p>
    <w:p w:rsidR="00B729B5" w:rsidRPr="00487D33" w:rsidRDefault="00B729B5" w:rsidP="007843AB">
      <w:pPr>
        <w:pStyle w:val="ARNormal"/>
        <w:spacing w:after="0"/>
        <w:ind w:left="720"/>
        <w:jc w:val="center"/>
        <w:rPr>
          <w:i/>
          <w:iCs/>
          <w:rtl/>
        </w:rPr>
      </w:pPr>
      <w:r w:rsidRPr="00487D33">
        <w:rPr>
          <w:i/>
          <w:iCs/>
          <w:rtl/>
        </w:rPr>
        <w:t>(بآلاف الفرنكات السويسرية)</w:t>
      </w:r>
    </w:p>
    <w:p w:rsidR="00B729B5" w:rsidRPr="008954A8" w:rsidRDefault="00B729B5" w:rsidP="00B729B5">
      <w:pPr>
        <w:pStyle w:val="ARNormal"/>
        <w:spacing w:line="240" w:lineRule="auto"/>
        <w:jc w:val="center"/>
        <w:rPr>
          <w:sz w:val="30"/>
          <w:szCs w:val="30"/>
          <w:rtl/>
        </w:rPr>
      </w:pPr>
      <w:r w:rsidRPr="00B729B5">
        <w:rPr>
          <w:noProof/>
          <w:rtl/>
          <w:lang w:val="en-US"/>
        </w:rPr>
        <w:drawing>
          <wp:inline distT="0" distB="0" distL="0" distR="0" wp14:anchorId="00F1B6D4" wp14:editId="53FF9EBC">
            <wp:extent cx="5581650" cy="910952"/>
            <wp:effectExtent l="0" t="0" r="0" b="381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578072" cy="910368"/>
                    </a:xfrm>
                    <a:prstGeom prst="rect">
                      <a:avLst/>
                    </a:prstGeom>
                    <a:noFill/>
                    <a:ln>
                      <a:noFill/>
                    </a:ln>
                  </pic:spPr>
                </pic:pic>
              </a:graphicData>
            </a:graphic>
          </wp:inline>
        </w:drawing>
      </w:r>
    </w:p>
    <w:p w:rsidR="00B729B5" w:rsidRPr="00825509" w:rsidRDefault="00B729B5" w:rsidP="00B729B5">
      <w:pPr>
        <w:adjustRightInd w:val="0"/>
        <w:snapToGrid w:val="0"/>
        <w:spacing w:line="240" w:lineRule="exact"/>
        <w:ind w:left="1242"/>
        <w:jc w:val="both"/>
        <w:rPr>
          <w:rFonts w:ascii="Arabic Typesetting" w:hAnsi="Arabic Typesetting" w:cs="Arabic Typesetting"/>
          <w:i/>
          <w:iCs/>
          <w:sz w:val="24"/>
          <w:rtl/>
        </w:rPr>
      </w:pPr>
      <w:r w:rsidRPr="00825509">
        <w:rPr>
          <w:rFonts w:ascii="Arabic Typesetting" w:hAnsi="Arabic Typesetting" w:cs="Arabic Typesetting" w:hint="cs"/>
          <w:i/>
          <w:iCs/>
          <w:sz w:val="24"/>
          <w:vertAlign w:val="superscript"/>
          <w:rtl/>
        </w:rPr>
        <w:t>1</w:t>
      </w:r>
      <w:r w:rsidRPr="00825509">
        <w:rPr>
          <w:rFonts w:ascii="Arabic Typesetting" w:hAnsi="Arabic Typesetting" w:cs="Arabic Typesetting" w:hint="cs"/>
          <w:i/>
          <w:iCs/>
          <w:sz w:val="24"/>
          <w:rtl/>
        </w:rPr>
        <w:t xml:space="preserve"> </w:t>
      </w:r>
      <w:r w:rsidRPr="00825509">
        <w:rPr>
          <w:rFonts w:ascii="Arabic Typesetting" w:hAnsi="Arabic Typesetting" w:cs="Arabic Typesetting"/>
          <w:i/>
          <w:iCs/>
          <w:sz w:val="24"/>
          <w:rtl/>
        </w:rPr>
        <w:t>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825509">
        <w:rPr>
          <w:rFonts w:ascii="Arabic Typesetting" w:hAnsi="Arabic Typesetting" w:cs="Arabic Typesetting"/>
          <w:i/>
          <w:iCs/>
          <w:sz w:val="24"/>
        </w:rPr>
        <w:t>.</w:t>
      </w:r>
    </w:p>
    <w:p w:rsidR="00B729B5" w:rsidRDefault="00B729B5" w:rsidP="00B729B5">
      <w:pPr>
        <w:adjustRightInd w:val="0"/>
        <w:snapToGrid w:val="0"/>
        <w:spacing w:line="240" w:lineRule="exact"/>
        <w:ind w:left="1242"/>
        <w:jc w:val="both"/>
        <w:rPr>
          <w:rFonts w:ascii="Arabic Typesetting" w:hAnsi="Arabic Typesetting" w:cs="Arabic Typesetting"/>
          <w:i/>
          <w:iCs/>
          <w:sz w:val="24"/>
          <w:rtl/>
        </w:rPr>
      </w:pPr>
      <w:r w:rsidRPr="00487D33">
        <w:rPr>
          <w:rFonts w:ascii="Arabic Typesetting" w:hAnsi="Arabic Typesetting" w:cs="Arabic Typesetting" w:hint="cs"/>
          <w:i/>
          <w:iCs/>
          <w:sz w:val="24"/>
          <w:vertAlign w:val="superscript"/>
          <w:rtl/>
        </w:rPr>
        <w:t>2</w:t>
      </w:r>
      <w:r w:rsidRPr="00487D33">
        <w:rPr>
          <w:rFonts w:ascii="Arabic Typesetting" w:hAnsi="Arabic Typesetting" w:cs="Arabic Typesetting" w:hint="cs"/>
          <w:i/>
          <w:iCs/>
          <w:sz w:val="24"/>
          <w:rtl/>
        </w:rPr>
        <w:t xml:space="preserve"> </w:t>
      </w:r>
      <w:r w:rsidRPr="00487D33">
        <w:rPr>
          <w:rFonts w:ascii="Arabic Typesetting" w:hAnsi="Arabic Typesetting" w:cs="Arabic Typesetting"/>
          <w:i/>
          <w:iCs/>
          <w:sz w:val="24"/>
          <w:rtl/>
        </w:rPr>
        <w:t xml:space="preserve">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87D33">
        <w:rPr>
          <w:rFonts w:ascii="Arabic Typesetting" w:hAnsi="Arabic Typesetting" w:cs="Arabic Typesetting"/>
          <w:i/>
          <w:iCs/>
          <w:sz w:val="24"/>
          <w:rtl/>
        </w:rPr>
        <w:t>الاستئماني</w:t>
      </w:r>
      <w:proofErr w:type="spellEnd"/>
      <w:r w:rsidRPr="00487D33">
        <w:rPr>
          <w:rFonts w:ascii="Arabic Typesetting" w:hAnsi="Arabic Typesetting" w:cs="Arabic Typesetting"/>
          <w:i/>
          <w:iCs/>
          <w:sz w:val="24"/>
          <w:rtl/>
        </w:rPr>
        <w:t xml:space="preserve"> التزاما من هذا القبيل</w:t>
      </w:r>
      <w:r w:rsidRPr="00487D33">
        <w:rPr>
          <w:rFonts w:ascii="Arabic Typesetting" w:hAnsi="Arabic Typesetting" w:cs="Arabic Typesetting"/>
          <w:i/>
          <w:iCs/>
          <w:sz w:val="24"/>
        </w:rPr>
        <w:t>.</w:t>
      </w:r>
    </w:p>
    <w:p w:rsidR="00B729B5" w:rsidRDefault="00B729B5" w:rsidP="002C3C33">
      <w:pPr>
        <w:pStyle w:val="ARNormal"/>
        <w:rPr>
          <w:rtl/>
        </w:rPr>
        <w:sectPr w:rsidR="00B729B5" w:rsidSect="00861CFF">
          <w:pgSz w:w="11906" w:h="16838" w:code="9"/>
          <w:pgMar w:top="1134" w:right="1418" w:bottom="1418" w:left="1134" w:header="510" w:footer="1021" w:gutter="0"/>
          <w:cols w:space="720"/>
          <w:bidi/>
          <w:rtlGutter/>
        </w:sectPr>
      </w:pPr>
    </w:p>
    <w:p w:rsidR="00025AC0" w:rsidRPr="008954A8" w:rsidRDefault="00025AC0" w:rsidP="007843AB">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89" w:name="_Toc358745233"/>
      <w:bookmarkStart w:id="90" w:name="_Toc364355399"/>
      <w:bookmarkStart w:id="91" w:name="_Toc420595523"/>
      <w:r w:rsidRPr="008954A8">
        <w:rPr>
          <w:rFonts w:ascii="Arabic Typesetting" w:hAnsi="Arabic Typesetting" w:cs="Arabic Typesetting" w:hint="cs"/>
          <w:i/>
          <w:iCs w:val="0"/>
          <w:sz w:val="42"/>
          <w:szCs w:val="42"/>
          <w:rtl/>
        </w:rPr>
        <w:lastRenderedPageBreak/>
        <w:t>الهدف الاستراتيجي السابع</w:t>
      </w:r>
      <w:bookmarkStart w:id="92" w:name="_Toc364355400"/>
      <w:bookmarkEnd w:id="89"/>
      <w:bookmarkEnd w:id="90"/>
      <w:r>
        <w:rPr>
          <w:rFonts w:ascii="Arabic Typesetting" w:hAnsi="Arabic Typesetting" w:cs="Arabic Typesetting" w:hint="cs"/>
          <w:i/>
          <w:iCs w:val="0"/>
          <w:sz w:val="42"/>
          <w:szCs w:val="42"/>
          <w:rtl/>
        </w:rPr>
        <w:tab/>
      </w:r>
      <w:r w:rsidRPr="008954A8">
        <w:rPr>
          <w:rFonts w:ascii="Arabic Typesetting" w:hAnsi="Arabic Typesetting" w:cs="Arabic Typesetting" w:hint="cs"/>
          <w:i/>
          <w:iCs w:val="0"/>
          <w:sz w:val="42"/>
          <w:szCs w:val="42"/>
          <w:rtl/>
        </w:rPr>
        <w:t>الملكية الفكرية وقضايا السياسات العامة العالمية</w:t>
      </w:r>
      <w:bookmarkEnd w:id="91"/>
      <w:bookmarkEnd w:id="92"/>
    </w:p>
    <w:p w:rsidR="00025AC0" w:rsidRPr="008954A8" w:rsidRDefault="00025AC0" w:rsidP="000A4900">
      <w:pPr>
        <w:pStyle w:val="ARNormal"/>
        <w:spacing w:after="0"/>
        <w:jc w:val="left"/>
        <w:rPr>
          <w:rtl/>
        </w:rPr>
      </w:pPr>
      <w:r w:rsidRPr="008954A8">
        <w:rPr>
          <w:rFonts w:hint="cs"/>
          <w:rtl/>
        </w:rPr>
        <w:t xml:space="preserve">تتجلى من خلال هذا الهدف الاستراتيجي قدرة الويبو على أن تقوم مقام المحفل الحكومي الدولي القيادي في معالجة قضايا هامش التقاطع بين الملكية الفكرية والابتكار والسياسات العامة العالمية. ويستدعي هذا الهدف العمل </w:t>
      </w:r>
      <w:proofErr w:type="spellStart"/>
      <w:r w:rsidRPr="008954A8">
        <w:rPr>
          <w:rFonts w:hint="cs"/>
          <w:rtl/>
        </w:rPr>
        <w:t>الاستباقي</w:t>
      </w:r>
      <w:proofErr w:type="spellEnd"/>
      <w:r w:rsidRPr="008954A8">
        <w:rPr>
          <w:rFonts w:hint="cs"/>
          <w:rtl/>
        </w:rPr>
        <w:t xml:space="preserve"> والجوهري مع غيرها من منظمات الأمم المتحدة والمنظمات الحكومية الدولية والمنظمات غير الحكومية ليمكن الإسهام في البحث معا عن حلول مشتركة للتحديات الرئيسية التي تواجهها البشرية، بما فيها التحديات المتعلقة بتغير المناخ والأمن الغذائي والصحة العامة وحماية التنوع البيولوجي وتحقيق الأهداف الإنمائية للألفية. وإن الوقع المباشر للعديد من هذه المشكلات العالمية إنما يقع على كاهل البلدان النامية والبلدان الأقل نموا. ولذا فإن البرامج المناطة بهذا الهدف الاستراتيجي ستعمل عن كثب من أجل تحقيق عدد من الأهداف الإنمائية وتوصيات جدول أعمال التنمية.</w:t>
      </w:r>
    </w:p>
    <w:p w:rsidR="00025AC0" w:rsidRPr="008954A8" w:rsidRDefault="00025AC0" w:rsidP="00862268">
      <w:pPr>
        <w:pStyle w:val="ARNormal"/>
        <w:rPr>
          <w:rtl/>
        </w:rPr>
      </w:pP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66"/>
        <w:gridCol w:w="3969"/>
        <w:gridCol w:w="2235"/>
      </w:tblGrid>
      <w:tr w:rsidR="00025AC0" w:rsidRPr="008954A8" w:rsidTr="007843AB">
        <w:trPr>
          <w:tblHeader/>
        </w:trPr>
        <w:tc>
          <w:tcPr>
            <w:tcW w:w="3366" w:type="dxa"/>
            <w:tcBorders>
              <w:top w:val="single" w:sz="4" w:space="0" w:color="auto"/>
              <w:bottom w:val="single" w:sz="4" w:space="0" w:color="auto"/>
            </w:tcBorders>
            <w:shd w:val="clear" w:color="auto" w:fill="C6D9F1"/>
          </w:tcPr>
          <w:p w:rsidR="00025AC0" w:rsidRPr="008954A8" w:rsidRDefault="00025AC0" w:rsidP="007843AB">
            <w:pPr>
              <w:pStyle w:val="ARProgramTableHeading"/>
              <w:spacing w:line="300" w:lineRule="exact"/>
              <w:rPr>
                <w:rtl/>
                <w:lang w:bidi="ar-SA"/>
              </w:rPr>
            </w:pPr>
            <w:r w:rsidRPr="008954A8">
              <w:rPr>
                <w:rtl/>
                <w:lang w:bidi="ar-SA"/>
              </w:rPr>
              <w:t>النتائج المرتقبة</w:t>
            </w:r>
          </w:p>
        </w:tc>
        <w:tc>
          <w:tcPr>
            <w:tcW w:w="3969" w:type="dxa"/>
            <w:tcBorders>
              <w:top w:val="single" w:sz="4" w:space="0" w:color="auto"/>
              <w:bottom w:val="single" w:sz="4" w:space="0" w:color="auto"/>
            </w:tcBorders>
            <w:shd w:val="clear" w:color="auto" w:fill="C6D9F1"/>
          </w:tcPr>
          <w:p w:rsidR="00025AC0" w:rsidRPr="008954A8" w:rsidRDefault="00025AC0" w:rsidP="007843AB">
            <w:pPr>
              <w:pStyle w:val="ARProgramTableHeading"/>
              <w:spacing w:line="300" w:lineRule="exact"/>
              <w:rPr>
                <w:rtl/>
                <w:lang w:bidi="ar-SA"/>
              </w:rPr>
            </w:pPr>
            <w:r w:rsidRPr="008954A8">
              <w:rPr>
                <w:rtl/>
                <w:lang w:bidi="ar-SA"/>
              </w:rPr>
              <w:t>مؤشرات الأداء</w:t>
            </w:r>
          </w:p>
        </w:tc>
        <w:tc>
          <w:tcPr>
            <w:tcW w:w="2235" w:type="dxa"/>
            <w:tcBorders>
              <w:top w:val="single" w:sz="4" w:space="0" w:color="auto"/>
              <w:bottom w:val="single" w:sz="4" w:space="0" w:color="auto"/>
            </w:tcBorders>
            <w:shd w:val="clear" w:color="auto" w:fill="C6D9F1"/>
          </w:tcPr>
          <w:p w:rsidR="00025AC0" w:rsidRPr="008954A8" w:rsidRDefault="00025AC0" w:rsidP="007843AB">
            <w:pPr>
              <w:pStyle w:val="ARProgramTableHeading"/>
              <w:spacing w:line="300" w:lineRule="exact"/>
              <w:rPr>
                <w:rtl/>
                <w:lang w:bidi="ar-SA"/>
              </w:rPr>
            </w:pPr>
            <w:r w:rsidRPr="008954A8">
              <w:rPr>
                <w:rtl/>
                <w:lang w:bidi="ar-SA"/>
              </w:rPr>
              <w:t>البرامج المسؤولة</w:t>
            </w:r>
          </w:p>
        </w:tc>
      </w:tr>
      <w:tr w:rsidR="00025AC0" w:rsidRPr="008954A8" w:rsidTr="000A4900">
        <w:tc>
          <w:tcPr>
            <w:tcW w:w="3366" w:type="dxa"/>
            <w:tcBorders>
              <w:top w:val="single" w:sz="4" w:space="0" w:color="auto"/>
            </w:tcBorders>
          </w:tcPr>
          <w:p w:rsidR="00025AC0" w:rsidRPr="008954A8" w:rsidRDefault="00025AC0" w:rsidP="00936AB7">
            <w:pPr>
              <w:pStyle w:val="ARSGTableText"/>
              <w:spacing w:after="0" w:line="300" w:lineRule="exact"/>
              <w:rPr>
                <w:rtl/>
                <w:lang w:bidi="ar-SA"/>
              </w:rPr>
            </w:pPr>
            <w:r w:rsidRPr="008954A8">
              <w:rPr>
                <w:rFonts w:hint="cs"/>
                <w:rtl/>
                <w:lang w:bidi="ar-SA"/>
              </w:rPr>
              <w:t>ه 2.7</w:t>
            </w:r>
            <w:r w:rsidRPr="008954A8">
              <w:rPr>
                <w:rFonts w:ascii="Tahoma" w:hAnsi="Tahoma" w:cs="Tahoma"/>
                <w:color w:val="000000"/>
                <w:sz w:val="16"/>
                <w:szCs w:val="16"/>
                <w:rtl/>
                <w:lang w:bidi="ar-SA"/>
              </w:rPr>
              <w:t xml:space="preserve"> </w:t>
            </w:r>
            <w:r w:rsidRPr="002A7DE5">
              <w:rPr>
                <w:rtl/>
                <w:lang w:bidi="ar-SA"/>
              </w:rPr>
              <w:t>منصات وأدوات الملكية الفكرية لنقل المعارف وتطويع التكنولوجيا ونشرها من البلدان المتقدمة إلى البلدان النامية، ولا سيما البلدان الأقل نموا، لمواجهة التحديات العالمية</w:t>
            </w:r>
          </w:p>
        </w:tc>
        <w:tc>
          <w:tcPr>
            <w:tcW w:w="3969" w:type="dxa"/>
            <w:tcBorders>
              <w:top w:val="single" w:sz="4" w:space="0" w:color="auto"/>
            </w:tcBorders>
          </w:tcPr>
          <w:p w:rsidR="00025AC0" w:rsidRPr="008954A8" w:rsidRDefault="00025AC0" w:rsidP="007843AB">
            <w:pPr>
              <w:pStyle w:val="ARSGTableText"/>
              <w:spacing w:after="0" w:line="300" w:lineRule="exact"/>
              <w:rPr>
                <w:rtl/>
                <w:lang w:bidi="ar-SA"/>
              </w:rPr>
            </w:pPr>
            <w:r w:rsidRPr="002A7DE5">
              <w:rPr>
                <w:rtl/>
                <w:lang w:bidi="ar-SA"/>
              </w:rPr>
              <w:t xml:space="preserve">ارتفاع عدد الأعضاء المشتركين في </w:t>
            </w:r>
            <w:r w:rsidRPr="002A7DE5">
              <w:rPr>
                <w:rFonts w:hint="cs"/>
                <w:rtl/>
                <w:lang w:bidi="ar-SA"/>
              </w:rPr>
              <w:t>برنامج</w:t>
            </w:r>
            <w:r w:rsidRPr="002A7DE5">
              <w:rPr>
                <w:rtl/>
                <w:lang w:bidi="ar-SA"/>
              </w:rPr>
              <w:t xml:space="preserve"> </w:t>
            </w:r>
            <w:r w:rsidRPr="002A7DE5">
              <w:rPr>
                <w:lang w:bidi="ar-SA"/>
              </w:rPr>
              <w:t>WIPO </w:t>
            </w:r>
            <w:proofErr w:type="spellStart"/>
            <w:r w:rsidRPr="002A7DE5">
              <w:rPr>
                <w:lang w:bidi="ar-SA"/>
              </w:rPr>
              <w:t>Re:Search</w:t>
            </w:r>
            <w:proofErr w:type="spellEnd"/>
            <w:r w:rsidRPr="002A7DE5">
              <w:rPr>
                <w:rtl/>
                <w:lang w:bidi="ar-SA"/>
              </w:rPr>
              <w:t>، بما في ذلك</w:t>
            </w:r>
            <w:r w:rsidRPr="002A7DE5">
              <w:rPr>
                <w:rFonts w:hint="cs"/>
                <w:rtl/>
                <w:lang w:bidi="ar-SA"/>
              </w:rPr>
              <w:t xml:space="preserve"> </w:t>
            </w:r>
            <w:r w:rsidRPr="002A7DE5">
              <w:rPr>
                <w:rtl/>
                <w:lang w:bidi="ar-SA"/>
              </w:rPr>
              <w:t>أعضاء من البلدان النامية والبلدان الأقل نموا</w:t>
            </w:r>
          </w:p>
        </w:tc>
        <w:tc>
          <w:tcPr>
            <w:tcW w:w="2235" w:type="dxa"/>
            <w:tcBorders>
              <w:top w:val="single" w:sz="4" w:space="0" w:color="auto"/>
            </w:tcBorders>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7843AB">
            <w:pPr>
              <w:pStyle w:val="ARSGTableText"/>
              <w:spacing w:after="0" w:line="300" w:lineRule="exact"/>
              <w:rPr>
                <w:rtl/>
                <w:lang w:bidi="ar-SA"/>
              </w:rPr>
            </w:pPr>
            <w:r w:rsidRPr="002A7DE5">
              <w:rPr>
                <w:rtl/>
                <w:lang w:bidi="ar-SA"/>
              </w:rPr>
              <w:t xml:space="preserve">عدد التسجيلات في قاعدة </w:t>
            </w:r>
            <w:r w:rsidRPr="002A7DE5">
              <w:rPr>
                <w:lang w:bidi="ar-SA"/>
              </w:rPr>
              <w:t>WIPO </w:t>
            </w:r>
            <w:proofErr w:type="spellStart"/>
            <w:r w:rsidRPr="002A7DE5">
              <w:rPr>
                <w:lang w:bidi="ar-SA"/>
              </w:rPr>
              <w:t>Re:Search</w:t>
            </w:r>
            <w:proofErr w:type="spellEnd"/>
          </w:p>
        </w:tc>
        <w:tc>
          <w:tcPr>
            <w:tcW w:w="2235" w:type="dxa"/>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7843AB">
            <w:pPr>
              <w:pStyle w:val="ARSGTableText"/>
              <w:spacing w:after="0" w:line="300" w:lineRule="exact"/>
              <w:rPr>
                <w:rtl/>
                <w:lang w:bidi="ar-SA"/>
              </w:rPr>
            </w:pPr>
            <w:r w:rsidRPr="002A7DE5">
              <w:rPr>
                <w:rtl/>
                <w:lang w:bidi="ar-SA"/>
              </w:rPr>
              <w:t xml:space="preserve">تزايد عدد الاتفاقات ضمن </w:t>
            </w:r>
            <w:r w:rsidRPr="002A7DE5">
              <w:rPr>
                <w:rFonts w:hint="cs"/>
                <w:rtl/>
                <w:lang w:bidi="ar-SA"/>
              </w:rPr>
              <w:t>برنامج</w:t>
            </w:r>
            <w:r w:rsidRPr="002A7DE5">
              <w:rPr>
                <w:lang w:bidi="ar-SA"/>
              </w:rPr>
              <w:t xml:space="preserve"> WIPO </w:t>
            </w:r>
            <w:proofErr w:type="spellStart"/>
            <w:r w:rsidRPr="002A7DE5">
              <w:rPr>
                <w:lang w:bidi="ar-SA"/>
              </w:rPr>
              <w:t>Re:Search</w:t>
            </w:r>
            <w:proofErr w:type="spellEnd"/>
            <w:r w:rsidRPr="002A7DE5">
              <w:rPr>
                <w:rtl/>
                <w:lang w:bidi="ar-SA"/>
              </w:rPr>
              <w:t>بما يؤدي إلى القيام بأنشطة بحث وتطوير جديدة أو تسريع الأنشطة القائمة منها في مجال أمراض المناطق المدارية المنسية والملاريا والسل</w:t>
            </w:r>
          </w:p>
        </w:tc>
        <w:tc>
          <w:tcPr>
            <w:tcW w:w="2235" w:type="dxa"/>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7843AB">
            <w:pPr>
              <w:pStyle w:val="ARSGTableText"/>
              <w:spacing w:after="0" w:line="300" w:lineRule="exact"/>
              <w:rPr>
                <w:rtl/>
                <w:lang w:bidi="ar-SA"/>
              </w:rPr>
            </w:pPr>
            <w:r w:rsidRPr="002A7DE5">
              <w:rPr>
                <w:rtl/>
                <w:lang w:bidi="ar-SA"/>
              </w:rPr>
              <w:t xml:space="preserve">عدد الأعضاء المشتركين في </w:t>
            </w:r>
            <w:r w:rsidRPr="002A7DE5">
              <w:rPr>
                <w:rFonts w:hint="cs"/>
                <w:rtl/>
                <w:lang w:bidi="ar-SA"/>
              </w:rPr>
              <w:t>برنامج</w:t>
            </w:r>
            <w:r w:rsidRPr="002A7DE5">
              <w:rPr>
                <w:lang w:bidi="ar-SA"/>
              </w:rPr>
              <w:t xml:space="preserve"> WIPO GREEN</w:t>
            </w:r>
          </w:p>
        </w:tc>
        <w:tc>
          <w:tcPr>
            <w:tcW w:w="2235" w:type="dxa"/>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7843AB">
            <w:pPr>
              <w:pStyle w:val="ARSGTableText"/>
              <w:spacing w:after="0" w:line="300" w:lineRule="exact"/>
              <w:rPr>
                <w:rtl/>
                <w:lang w:bidi="ar-SA"/>
              </w:rPr>
            </w:pPr>
            <w:r w:rsidRPr="005625B0">
              <w:rPr>
                <w:rtl/>
                <w:lang w:bidi="ar-SA"/>
              </w:rPr>
              <w:t>عدد التسجيلات في قاعدة بيانات</w:t>
            </w:r>
            <w:r w:rsidRPr="005625B0">
              <w:rPr>
                <w:rFonts w:hint="cs"/>
                <w:rtl/>
                <w:lang w:bidi="ar-SA"/>
              </w:rPr>
              <w:t xml:space="preserve"> </w:t>
            </w:r>
            <w:r w:rsidRPr="005625B0">
              <w:rPr>
                <w:lang w:bidi="ar-SA"/>
              </w:rPr>
              <w:t>WIPO GREEN</w:t>
            </w:r>
          </w:p>
        </w:tc>
        <w:tc>
          <w:tcPr>
            <w:tcW w:w="2235" w:type="dxa"/>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7843AB">
            <w:pPr>
              <w:pStyle w:val="ARSGTableText"/>
              <w:spacing w:after="0" w:line="300" w:lineRule="exact"/>
              <w:rPr>
                <w:rtl/>
                <w:lang w:bidi="ar-SA"/>
              </w:rPr>
            </w:pPr>
            <w:r w:rsidRPr="005625B0">
              <w:rPr>
                <w:rtl/>
                <w:lang w:bidi="ar-SA"/>
              </w:rPr>
              <w:t xml:space="preserve">عدد الاتفاقات التي حفزها </w:t>
            </w:r>
            <w:r w:rsidRPr="005625B0">
              <w:rPr>
                <w:rFonts w:hint="cs"/>
                <w:rtl/>
                <w:lang w:bidi="ar-SA"/>
              </w:rPr>
              <w:t>برنامج</w:t>
            </w:r>
            <w:r w:rsidRPr="005625B0">
              <w:rPr>
                <w:lang w:bidi="ar-SA"/>
              </w:rPr>
              <w:t xml:space="preserve"> WIPO GREEN</w:t>
            </w:r>
            <w:r w:rsidRPr="005625B0">
              <w:rPr>
                <w:rtl/>
                <w:lang w:bidi="ar-SA"/>
              </w:rPr>
              <w:t>والرامية إلى تيسير نقل المعارف وتطويع التكنولوجيا و/أو نقلها و/أو نشرها</w:t>
            </w:r>
          </w:p>
        </w:tc>
        <w:tc>
          <w:tcPr>
            <w:tcW w:w="2235" w:type="dxa"/>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7843AB">
            <w:pPr>
              <w:pStyle w:val="ARSGTableText"/>
              <w:spacing w:after="0" w:line="300" w:lineRule="exact"/>
              <w:rPr>
                <w:rtl/>
                <w:lang w:bidi="ar-SA"/>
              </w:rPr>
            </w:pPr>
            <w:r w:rsidRPr="005625B0">
              <w:rPr>
                <w:rtl/>
                <w:lang w:bidi="ar-SA"/>
              </w:rPr>
              <w:t>إحراز تقدم بشأن إقامة إطار للتعاون الدولي من أجل إسهام الملكية الفكرية إسهامًا فعالاً في الأمن الغذائي من خلال عملية التشاور</w:t>
            </w:r>
          </w:p>
        </w:tc>
        <w:tc>
          <w:tcPr>
            <w:tcW w:w="2235" w:type="dxa"/>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936AB7">
            <w:pPr>
              <w:pStyle w:val="ARSGTableText"/>
              <w:spacing w:after="0" w:line="300" w:lineRule="exact"/>
              <w:rPr>
                <w:rtl/>
                <w:lang w:bidi="ar-SA"/>
              </w:rPr>
            </w:pPr>
            <w:r w:rsidRPr="008954A8">
              <w:rPr>
                <w:rFonts w:hint="cs"/>
                <w:rtl/>
                <w:lang w:bidi="ar-SA"/>
              </w:rPr>
              <w:t>عدد زائري الموقع الالكتروني للتحديات العالمية</w:t>
            </w:r>
          </w:p>
        </w:tc>
        <w:tc>
          <w:tcPr>
            <w:tcW w:w="2235" w:type="dxa"/>
          </w:tcPr>
          <w:p w:rsidR="00025AC0" w:rsidRPr="008954A8" w:rsidRDefault="00025AC0" w:rsidP="00936AB7">
            <w:pPr>
              <w:pStyle w:val="ARSGTableText"/>
              <w:spacing w:after="0" w:line="300" w:lineRule="exact"/>
              <w:rPr>
                <w:rtl/>
                <w:lang w:bidi="ar-SA"/>
              </w:rPr>
            </w:pPr>
            <w:r w:rsidRPr="008954A8">
              <w:rPr>
                <w:rFonts w:hint="cs"/>
                <w:rtl/>
                <w:lang w:bidi="ar-SA"/>
              </w:rPr>
              <w:t>البرنامج 18</w:t>
            </w:r>
          </w:p>
        </w:tc>
      </w:tr>
      <w:tr w:rsidR="00025AC0" w:rsidRPr="008954A8" w:rsidTr="000A4900">
        <w:tc>
          <w:tcPr>
            <w:tcW w:w="3366" w:type="dxa"/>
          </w:tcPr>
          <w:p w:rsidR="00025AC0" w:rsidRPr="008954A8" w:rsidRDefault="00025AC0" w:rsidP="00936AB7">
            <w:pPr>
              <w:pStyle w:val="ARSGTableText"/>
              <w:spacing w:after="0" w:line="300" w:lineRule="exact"/>
              <w:rPr>
                <w:rtl/>
                <w:lang w:bidi="ar-SA"/>
              </w:rPr>
            </w:pPr>
          </w:p>
        </w:tc>
        <w:tc>
          <w:tcPr>
            <w:tcW w:w="3969" w:type="dxa"/>
          </w:tcPr>
          <w:p w:rsidR="00025AC0" w:rsidRPr="008954A8" w:rsidRDefault="00025AC0" w:rsidP="007843AB">
            <w:pPr>
              <w:pStyle w:val="ARSGTableText"/>
              <w:spacing w:after="0" w:line="300" w:lineRule="exact"/>
              <w:rPr>
                <w:rtl/>
                <w:lang w:bidi="ar-SA"/>
              </w:rPr>
            </w:pPr>
            <w:r w:rsidRPr="006B634D">
              <w:rPr>
                <w:rFonts w:hint="cs"/>
                <w:rtl/>
                <w:lang w:bidi="ar-SA"/>
              </w:rPr>
              <w:t xml:space="preserve">مشاركة أصحاب المصالح في منصات الويبو مثل منصتي </w:t>
            </w:r>
            <w:r w:rsidRPr="006B634D">
              <w:rPr>
                <w:lang w:bidi="ar-SA"/>
              </w:rPr>
              <w:t>WIPO GREEN</w:t>
            </w:r>
            <w:r w:rsidRPr="006B634D">
              <w:rPr>
                <w:rFonts w:hint="cs"/>
                <w:rtl/>
                <w:lang w:bidi="ar-SA"/>
              </w:rPr>
              <w:t xml:space="preserve"> و </w:t>
            </w:r>
            <w:r w:rsidRPr="006B634D">
              <w:rPr>
                <w:lang w:bidi="ar-SA"/>
              </w:rPr>
              <w:t>WIPO Re: Search</w:t>
            </w:r>
          </w:p>
        </w:tc>
        <w:tc>
          <w:tcPr>
            <w:tcW w:w="2235" w:type="dxa"/>
          </w:tcPr>
          <w:p w:rsidR="00025AC0" w:rsidRPr="008954A8" w:rsidRDefault="00025AC0" w:rsidP="00936AB7">
            <w:pPr>
              <w:pStyle w:val="ARSGTableText"/>
              <w:spacing w:after="0" w:line="300" w:lineRule="exact"/>
              <w:rPr>
                <w:rtl/>
                <w:lang w:bidi="ar-SA"/>
              </w:rPr>
            </w:pPr>
            <w:r>
              <w:rPr>
                <w:rFonts w:hint="cs"/>
                <w:rtl/>
                <w:lang w:bidi="ar-SA"/>
              </w:rPr>
              <w:t>البرنامج 20</w:t>
            </w:r>
          </w:p>
        </w:tc>
      </w:tr>
    </w:tbl>
    <w:p w:rsidR="00025AC0" w:rsidRPr="00BB3F5C" w:rsidRDefault="00025AC0" w:rsidP="007843AB">
      <w:pPr>
        <w:pStyle w:val="ARNormal"/>
        <w:rPr>
          <w:rtl/>
        </w:rPr>
      </w:pPr>
    </w:p>
    <w:p w:rsidR="00025AC0" w:rsidRDefault="00025AC0">
      <w:pPr>
        <w:bidi w:val="0"/>
        <w:rPr>
          <w:rFonts w:ascii="Arabic Typesetting" w:hAnsi="Arabic Typesetting" w:cs="Arabic Typesetting"/>
          <w:sz w:val="34"/>
          <w:szCs w:val="34"/>
          <w:rtl/>
          <w:lang w:val="fr-CH" w:bidi="ar-SA"/>
        </w:rPr>
      </w:pPr>
      <w:r>
        <w:rPr>
          <w:rtl/>
        </w:rPr>
        <w:br w:type="page"/>
      </w:r>
    </w:p>
    <w:p w:rsidR="00025AC0" w:rsidRDefault="00025AC0" w:rsidP="007843AB">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93" w:name="_Toc364355401"/>
      <w:bookmarkStart w:id="94" w:name="_Toc420595524"/>
      <w:r w:rsidRPr="00473E38">
        <w:rPr>
          <w:rFonts w:ascii="Arabic Typesetting" w:hAnsi="Arabic Typesetting" w:cs="Arabic Typesetting"/>
          <w:bCs/>
          <w:iCs w:val="0"/>
          <w:noProof/>
          <w:sz w:val="42"/>
          <w:szCs w:val="42"/>
          <w:rtl/>
        </w:rPr>
        <w:lastRenderedPageBreak/>
        <w:t>البرنامج 18</w:t>
      </w:r>
      <w:r w:rsidRPr="00473E38">
        <w:rPr>
          <w:rFonts w:ascii="Arabic Typesetting" w:hAnsi="Arabic Typesetting" w:cs="Arabic Typesetting"/>
          <w:bCs/>
          <w:iCs w:val="0"/>
          <w:noProof/>
          <w:sz w:val="42"/>
          <w:szCs w:val="42"/>
          <w:rtl/>
        </w:rPr>
        <w:tab/>
        <w:t>الملكية الفكرية والتحديات العالمية</w:t>
      </w:r>
      <w:bookmarkEnd w:id="93"/>
      <w:bookmarkEnd w:id="94"/>
    </w:p>
    <w:p w:rsidR="00025AC0" w:rsidRPr="00473E38" w:rsidRDefault="00025AC0" w:rsidP="00EA5693">
      <w:pPr>
        <w:pStyle w:val="StyleHeading3ComplexItalic"/>
        <w:tabs>
          <w:tab w:val="clear" w:pos="1985"/>
          <w:tab w:val="left" w:pos="1331"/>
        </w:tabs>
        <w:bidi/>
        <w:adjustRightInd w:val="0"/>
        <w:snapToGrid w:val="0"/>
        <w:spacing w:after="240" w:line="360" w:lineRule="exact"/>
        <w:outlineLvl w:val="9"/>
        <w:rPr>
          <w:rFonts w:ascii="Arabic Typesetting" w:hAnsi="Arabic Typesetting" w:cs="Arabic Typesetting"/>
          <w:bCs/>
          <w:iCs w:val="0"/>
          <w:noProof/>
          <w:sz w:val="42"/>
          <w:szCs w:val="42"/>
          <w:rtl/>
        </w:rPr>
      </w:pPr>
      <w:r>
        <w:rPr>
          <w:rFonts w:ascii="Arabic Typesetting" w:hAnsi="Arabic Typesetting" w:cs="Arabic Typesetting" w:hint="cs"/>
          <w:bCs/>
          <w:iCs w:val="0"/>
          <w:noProof/>
          <w:sz w:val="42"/>
          <w:szCs w:val="42"/>
          <w:rtl/>
        </w:rPr>
        <w:t>الملكية الفكرية والتحديات العالمية</w:t>
      </w:r>
    </w:p>
    <w:p w:rsidR="00025AC0" w:rsidRPr="00473E38" w:rsidRDefault="00025AC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73E38">
        <w:rPr>
          <w:rFonts w:ascii="Arabic Typesetting" w:hAnsi="Arabic Typesetting" w:cs="Arabic Typesetting"/>
          <w:noProof/>
          <w:sz w:val="38"/>
          <w:szCs w:val="38"/>
          <w:rtl/>
        </w:rPr>
        <w:t>سياق التخطيط</w:t>
      </w:r>
    </w:p>
    <w:p w:rsidR="00025AC0" w:rsidRPr="00473E38" w:rsidRDefault="00025AC0" w:rsidP="00861CFF">
      <w:pPr>
        <w:pStyle w:val="ARNormal"/>
        <w:numPr>
          <w:ilvl w:val="0"/>
          <w:numId w:val="31"/>
        </w:numPr>
        <w:ind w:left="0" w:firstLine="0"/>
      </w:pPr>
      <w:r w:rsidRPr="00473E38">
        <w:rPr>
          <w:rtl/>
        </w:rPr>
        <w:t>يتناول هذا البرنامج الابتكار والملكية الفكرية في هامش التقاطع بين القضايا العالمية المترابطة، ولا سيما قضايا الصحة العالمية وتغير المناخ و ـ بدرجة أقل ـ الأمن الغذائي. ويعكس اختيار الأولويات تركيز الدول الأعضاء (على سبيل المثال في جدول أعمال التنمية ما بعد 2015) واحتمال إتباع حلول قائمة على الابتكار لتحقيق نتائج ملموسة</w:t>
      </w:r>
      <w:r w:rsidRPr="00473E38">
        <w:t>.</w:t>
      </w:r>
    </w:p>
    <w:p w:rsidR="008334C5" w:rsidRDefault="00025AC0" w:rsidP="00861CFF">
      <w:pPr>
        <w:pStyle w:val="ARNormal"/>
        <w:numPr>
          <w:ilvl w:val="0"/>
          <w:numId w:val="31"/>
        </w:numPr>
        <w:ind w:left="0" w:firstLine="0"/>
      </w:pPr>
      <w:r w:rsidRPr="00473E38">
        <w:rPr>
          <w:rtl/>
        </w:rPr>
        <w:t>وإن حلول المشاكل العالمية تعتمد جزئيا على إطلاق العنان للقدرات الابتكارية بشكل يفيد البلدان، مهما كانت درجة تقدمها.</w:t>
      </w:r>
      <w:r w:rsidRPr="00473E38">
        <w:t xml:space="preserve"> </w:t>
      </w:r>
      <w:r w:rsidRPr="00473E38">
        <w:rPr>
          <w:rtl/>
        </w:rPr>
        <w:t>ويجري، بشكل متزايد، تكوين الكفاءات ونقل التكنولوجيا ونشر الأدوات العملية عبر أشكال جديدة للتعاون، تشمل</w:t>
      </w:r>
      <w:r w:rsidR="008334C5">
        <w:rPr>
          <w:rtl/>
        </w:rPr>
        <w:t xml:space="preserve"> مجموعة كبيرة من أصحاب المصالح.</w:t>
      </w:r>
    </w:p>
    <w:p w:rsidR="00025AC0" w:rsidRPr="00473E38" w:rsidRDefault="00025AC0" w:rsidP="00F61E17">
      <w:pPr>
        <w:pStyle w:val="ARNormal"/>
        <w:numPr>
          <w:ilvl w:val="0"/>
          <w:numId w:val="31"/>
        </w:numPr>
        <w:ind w:left="0" w:firstLine="0"/>
      </w:pPr>
      <w:r>
        <w:rPr>
          <w:rtl/>
        </w:rPr>
        <w:t>و</w:t>
      </w:r>
      <w:r w:rsidR="008334C5">
        <w:rPr>
          <w:rFonts w:hint="cs"/>
          <w:rtl/>
        </w:rPr>
        <w:t xml:space="preserve">قد نفّذ </w:t>
      </w:r>
      <w:r>
        <w:rPr>
          <w:rFonts w:hint="cs"/>
          <w:rtl/>
        </w:rPr>
        <w:t>البرنامج</w:t>
      </w:r>
      <w:r w:rsidR="008334C5">
        <w:rPr>
          <w:rFonts w:hint="cs"/>
          <w:rtl/>
        </w:rPr>
        <w:t xml:space="preserve"> </w:t>
      </w:r>
      <w:r w:rsidR="008334C5">
        <w:rPr>
          <w:rtl/>
        </w:rPr>
        <w:t>منصتي</w:t>
      </w:r>
      <w:r w:rsidR="008334C5">
        <w:rPr>
          <w:rFonts w:hint="cs"/>
          <w:rtl/>
        </w:rPr>
        <w:t>ن</w:t>
      </w:r>
      <w:r w:rsidR="008334C5" w:rsidRPr="00473E38">
        <w:rPr>
          <w:rtl/>
        </w:rPr>
        <w:t xml:space="preserve"> تمتازان بتعدد أصحاب المصالح</w:t>
      </w:r>
      <w:r w:rsidR="008334C5">
        <w:rPr>
          <w:rFonts w:hint="cs"/>
          <w:rtl/>
        </w:rPr>
        <w:t>، وهما</w:t>
      </w:r>
      <w:r w:rsidR="008334C5" w:rsidRPr="00473E38">
        <w:rPr>
          <w:rtl/>
        </w:rPr>
        <w:t xml:space="preserve"> </w:t>
      </w:r>
      <w:r w:rsidR="008334C5" w:rsidRPr="002054B2">
        <w:t>WIPO</w:t>
      </w:r>
      <w:r w:rsidR="008334C5">
        <w:t> </w:t>
      </w:r>
      <w:proofErr w:type="spellStart"/>
      <w:r w:rsidR="008334C5" w:rsidRPr="002054B2">
        <w:t>Re:Search</w:t>
      </w:r>
      <w:proofErr w:type="spellEnd"/>
      <w:r w:rsidR="008334C5" w:rsidRPr="002054B2">
        <w:rPr>
          <w:rtl/>
        </w:rPr>
        <w:t xml:space="preserve"> </w:t>
      </w:r>
      <w:r w:rsidR="008334C5">
        <w:rPr>
          <w:rFonts w:hint="cs"/>
          <w:rtl/>
        </w:rPr>
        <w:t xml:space="preserve">(بهدف تيسير النفاذ إلى الملكية الفكرية في سبيل تسريع البحث والتطوير في مجال الأدوية المضادة لأمراض المناطق المدارية المهملة والملاريا والسل) في مجال الصحة العالمية </w:t>
      </w:r>
      <w:r w:rsidR="008334C5">
        <w:rPr>
          <w:rtl/>
        </w:rPr>
        <w:t>و</w:t>
      </w:r>
      <w:r w:rsidR="008334C5" w:rsidRPr="002054B2">
        <w:t>WIPO</w:t>
      </w:r>
      <w:r w:rsidR="008334C5">
        <w:t> </w:t>
      </w:r>
      <w:r w:rsidR="008334C5" w:rsidRPr="002054B2">
        <w:t>Green</w:t>
      </w:r>
      <w:r w:rsidR="008334C5" w:rsidRPr="002054B2">
        <w:rPr>
          <w:rtl/>
        </w:rPr>
        <w:t xml:space="preserve"> </w:t>
      </w:r>
      <w:r w:rsidR="008334C5">
        <w:rPr>
          <w:rFonts w:hint="cs"/>
          <w:rtl/>
        </w:rPr>
        <w:t xml:space="preserve">(بمثابة سوق لتعزيز بيئة الابتكار وتمكين نشر أسرع للتكنولوجيات الخضراء في الوقت نفسه) في مجال تغير المناخ. وعبر </w:t>
      </w:r>
      <w:r w:rsidRPr="00473E38">
        <w:rPr>
          <w:rtl/>
        </w:rPr>
        <w:t>المنصتين</w:t>
      </w:r>
      <w:r w:rsidR="008334C5">
        <w:rPr>
          <w:rFonts w:hint="cs"/>
          <w:rtl/>
        </w:rPr>
        <w:t xml:space="preserve"> كليهما سيتخذ البرنامج</w:t>
      </w:r>
      <w:r>
        <w:rPr>
          <w:rFonts w:hint="cs"/>
          <w:rtl/>
        </w:rPr>
        <w:t xml:space="preserve"> عددا من الخطوات</w:t>
      </w:r>
      <w:r w:rsidR="008334C5">
        <w:rPr>
          <w:rFonts w:hint="cs"/>
          <w:rtl/>
        </w:rPr>
        <w:t xml:space="preserve">، طبقا لوظائف الأمانة على النحو المحدّد في </w:t>
      </w:r>
      <w:r w:rsidR="00DF1A2D">
        <w:rPr>
          <w:rFonts w:hint="cs"/>
          <w:rtl/>
        </w:rPr>
        <w:t>المبادئ التوجيهية لمشروع</w:t>
      </w:r>
      <w:r w:rsidR="00DF1A2D">
        <w:rPr>
          <w:rFonts w:hint="eastAsia"/>
          <w:rtl/>
        </w:rPr>
        <w:t> </w:t>
      </w:r>
      <w:r w:rsidR="00DF1A2D" w:rsidRPr="002054B2">
        <w:t>WIPO</w:t>
      </w:r>
      <w:r w:rsidR="00DF1A2D">
        <w:t> </w:t>
      </w:r>
      <w:proofErr w:type="spellStart"/>
      <w:r w:rsidR="00DF1A2D" w:rsidRPr="002054B2">
        <w:t>Re:Search</w:t>
      </w:r>
      <w:proofErr w:type="spellEnd"/>
      <w:r w:rsidR="00DF1A2D">
        <w:rPr>
          <w:rFonts w:hint="cs"/>
          <w:rtl/>
        </w:rPr>
        <w:t xml:space="preserve"> وميثاق </w:t>
      </w:r>
      <w:r w:rsidR="00DF1A2D" w:rsidRPr="002054B2">
        <w:t>WIPO</w:t>
      </w:r>
      <w:r w:rsidR="00DF1A2D">
        <w:t> </w:t>
      </w:r>
      <w:r w:rsidR="00DF1A2D" w:rsidRPr="002054B2">
        <w:t>Green</w:t>
      </w:r>
      <w:r w:rsidR="00DF1A2D">
        <w:rPr>
          <w:rFonts w:hint="cs"/>
          <w:rtl/>
        </w:rPr>
        <w:t>، ويستمر</w:t>
      </w:r>
      <w:r>
        <w:rPr>
          <w:rFonts w:hint="cs"/>
          <w:rtl/>
        </w:rPr>
        <w:t xml:space="preserve"> في وضع وتنفيذ استراتيجيات للحفاظ </w:t>
      </w:r>
      <w:r w:rsidRPr="00473E38">
        <w:rPr>
          <w:rtl/>
        </w:rPr>
        <w:t xml:space="preserve">على زخم الاتحادات وحشد </w:t>
      </w:r>
      <w:r>
        <w:rPr>
          <w:rFonts w:hint="cs"/>
          <w:rtl/>
        </w:rPr>
        <w:t>قدرات إضافية من أجل توفير الموارد الكافية ل</w:t>
      </w:r>
      <w:r w:rsidRPr="00473E38">
        <w:rPr>
          <w:rtl/>
        </w:rPr>
        <w:t>لأنشطة</w:t>
      </w:r>
      <w:r>
        <w:rPr>
          <w:rtl/>
        </w:rPr>
        <w:t xml:space="preserve"> المخططة وال</w:t>
      </w:r>
      <w:r>
        <w:rPr>
          <w:rFonts w:hint="cs"/>
          <w:rtl/>
        </w:rPr>
        <w:t>جارية</w:t>
      </w:r>
      <w:r w:rsidRPr="00473E38">
        <w:rPr>
          <w:rtl/>
        </w:rPr>
        <w:t>.</w:t>
      </w:r>
    </w:p>
    <w:p w:rsidR="00025AC0" w:rsidRPr="00173DDC" w:rsidRDefault="00025AC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173DDC">
        <w:rPr>
          <w:rFonts w:ascii="Arabic Typesetting" w:hAnsi="Arabic Typesetting" w:cs="Arabic Typesetting"/>
          <w:noProof/>
          <w:sz w:val="38"/>
          <w:szCs w:val="38"/>
          <w:rtl/>
        </w:rPr>
        <w:t>استراتيجيات التنفيذ</w:t>
      </w:r>
    </w:p>
    <w:p w:rsidR="00025AC0" w:rsidRPr="00473E38" w:rsidRDefault="00025AC0" w:rsidP="00861CFF">
      <w:pPr>
        <w:pStyle w:val="ARNormal"/>
        <w:numPr>
          <w:ilvl w:val="0"/>
          <w:numId w:val="31"/>
        </w:numPr>
        <w:ind w:left="0" w:firstLine="0"/>
      </w:pPr>
      <w:r w:rsidRPr="00473E38">
        <w:rPr>
          <w:rtl/>
        </w:rPr>
        <w:t>سيتم اتباع مساهمة فعالة وبناءة في الحلول القائمة على الابتكار وفي حوار السياسات الدولي، من خلال استراتيجية تنفيذ ذات ثلاثة محاور:</w:t>
      </w:r>
    </w:p>
    <w:p w:rsidR="00025AC0" w:rsidRPr="00473E38" w:rsidRDefault="00025AC0" w:rsidP="007843AB">
      <w:pPr>
        <w:pStyle w:val="ARNormal"/>
        <w:rPr>
          <w:u w:val="single"/>
          <w:rtl/>
        </w:rPr>
      </w:pPr>
      <w:r w:rsidRPr="00473E38">
        <w:rPr>
          <w:u w:val="single"/>
          <w:rtl/>
        </w:rPr>
        <w:t>تجهيز منصات وأدوات عملية تقوم على الملكية الفكرية والمحافظة عليها لمواجهة التحديات العالمية</w:t>
      </w:r>
    </w:p>
    <w:p w:rsidR="00025AC0" w:rsidRPr="00473E38" w:rsidRDefault="00025AC0" w:rsidP="00861CFF">
      <w:pPr>
        <w:pStyle w:val="ARNormal"/>
        <w:numPr>
          <w:ilvl w:val="0"/>
          <w:numId w:val="31"/>
        </w:numPr>
        <w:ind w:left="0" w:firstLine="0"/>
      </w:pPr>
      <w:bookmarkStart w:id="95" w:name="OLE_LINK1"/>
      <w:bookmarkStart w:id="96" w:name="OLE_LINK2"/>
      <w:r w:rsidRPr="00473E38">
        <w:rPr>
          <w:rtl/>
        </w:rPr>
        <w:t>يستند العنصر الأساسي لاستراتيجية البرنامج إلى استكمال تنفيذ منصتيه اللتين تمتازان بتعدد أصحاب المصالح واللتين تسهلان الشبكات التعاونية الفعالة ونقل التكنولوجيا بما يناسب الصحة وتغير المناخ، وإلى استدامة هذه البرامج. وستبني المبادرات على الشراكات وأوجه التعاون مستخدمة هياكل الابتكار المفتوحة والابتكار عبر الشبكات وأشكال الشراكات الأخرى، قصد تعجيل أثرها.</w:t>
      </w:r>
      <w:r w:rsidRPr="00473E38">
        <w:t xml:space="preserve"> </w:t>
      </w:r>
      <w:r w:rsidRPr="00473E38">
        <w:rPr>
          <w:rtl/>
        </w:rPr>
        <w:t>وسيتركز الاهتمام أيضا على زيادة أوجه التعاون والشراكات بين الشمال والجنوب وفيما بين بلدان الجنوب، والتي تسهل ترابط المبتكرين في البلدان النامية، على الصعيد العالمي.</w:t>
      </w:r>
      <w:bookmarkEnd w:id="95"/>
      <w:bookmarkEnd w:id="96"/>
    </w:p>
    <w:p w:rsidR="00025AC0" w:rsidRPr="00473E38" w:rsidRDefault="00025AC0" w:rsidP="00861CFF">
      <w:pPr>
        <w:pStyle w:val="ARNormal"/>
        <w:numPr>
          <w:ilvl w:val="0"/>
          <w:numId w:val="31"/>
        </w:numPr>
        <w:ind w:left="0" w:firstLine="0"/>
      </w:pPr>
      <w:r w:rsidRPr="00473E38">
        <w:rPr>
          <w:rtl/>
        </w:rPr>
        <w:t>وفضلا عن استكشاف سبل إقامة شراكات مع شركاء خارجيين، سيزيد استحداث أدوات تقاسم التكنولوجيا التي تيسر نشر التكنولوجيات الصديقة للبيئة والمتعلقة بالصحة، تمشيا مع أهداف جدول أعمال التنمية، وخاصة التوصيات 19 (النفاذ إلى المعرفة والتكنولوجيا) و25 (نقل التكنولوجيا) و30 و42 (التعاون مع المنظمات الحكومية الدولية والمنظمات غير الحكومية الأخرى).</w:t>
      </w:r>
    </w:p>
    <w:p w:rsidR="00025AC0" w:rsidRPr="00473E38" w:rsidRDefault="00025AC0" w:rsidP="00861CFF">
      <w:pPr>
        <w:pStyle w:val="ARNormal"/>
        <w:numPr>
          <w:ilvl w:val="0"/>
          <w:numId w:val="31"/>
        </w:numPr>
        <w:ind w:left="0" w:firstLine="0"/>
        <w:rPr>
          <w:rtl/>
        </w:rPr>
      </w:pPr>
      <w:r w:rsidRPr="00473E38">
        <w:rPr>
          <w:rtl/>
        </w:rPr>
        <w:t>وستوضع أيضًا خلال الثنائية استراتيجية لمواجهة قضايا الملكية الفكرية والأمن الغذائي مستندة إلى أنشطة الويبو السابقة في هذا المجال بالتشاور مع برامج الويبو المعنية، فضلاً عن أصحاب المصلحة الخارجيين، ولا سيما المنظمات الحكومية الدولية والقطاع الخاص والمجتمع المدني.</w:t>
      </w:r>
    </w:p>
    <w:p w:rsidR="00025AC0" w:rsidRPr="00473E38" w:rsidRDefault="00025AC0" w:rsidP="00F61E17">
      <w:pPr>
        <w:pStyle w:val="ARNormal"/>
        <w:keepNext/>
        <w:rPr>
          <w:u w:val="single"/>
          <w:rtl/>
        </w:rPr>
      </w:pPr>
      <w:r>
        <w:rPr>
          <w:rFonts w:hint="cs"/>
          <w:u w:val="single"/>
          <w:rtl/>
        </w:rPr>
        <w:t>ضمان</w:t>
      </w:r>
      <w:r w:rsidRPr="00473E38">
        <w:rPr>
          <w:u w:val="single"/>
          <w:rtl/>
        </w:rPr>
        <w:t xml:space="preserve"> النفاذ المعزز واستخدام معلومات الملكية الفكرية لدعم الدول الأعضاء والمنظمات الحكومية الدولية والقطاع الخاص والمجتمع المدني وأصحاب المصالح الآخرين، ومساعدتهم على تحديد المقاربات المجدية</w:t>
      </w:r>
    </w:p>
    <w:p w:rsidR="00025AC0" w:rsidRPr="00473E38" w:rsidRDefault="00025AC0" w:rsidP="00977170">
      <w:pPr>
        <w:pStyle w:val="ARNormal"/>
        <w:numPr>
          <w:ilvl w:val="0"/>
          <w:numId w:val="31"/>
        </w:numPr>
        <w:ind w:left="0" w:firstLine="0"/>
      </w:pPr>
      <w:r w:rsidRPr="00473E38">
        <w:rPr>
          <w:rtl/>
        </w:rPr>
        <w:t xml:space="preserve">سيواصل البرنامج </w:t>
      </w:r>
      <w:r w:rsidR="00977170">
        <w:rPr>
          <w:rFonts w:hint="cs"/>
          <w:rtl/>
        </w:rPr>
        <w:t xml:space="preserve">الإسهام </w:t>
      </w:r>
      <w:r w:rsidRPr="00473E38">
        <w:rPr>
          <w:rtl/>
        </w:rPr>
        <w:t>في حوار السياسات بشأن الملكية الفكرية والتحديات ا</w:t>
      </w:r>
      <w:r w:rsidR="00977170">
        <w:rPr>
          <w:rtl/>
        </w:rPr>
        <w:t>لعالمية، بغاية تعزيز دور الويبو</w:t>
      </w:r>
      <w:r w:rsidRPr="00473E38">
        <w:rPr>
          <w:rtl/>
        </w:rPr>
        <w:t xml:space="preserve"> باعتبارها مصدرا موثوقا للمعلومات والدراسات القائمة على الوقائع، </w:t>
      </w:r>
      <w:r w:rsidR="00977170">
        <w:rPr>
          <w:rFonts w:hint="cs"/>
          <w:rtl/>
        </w:rPr>
        <w:t>وإتاحة تظاهرات الويبو ك</w:t>
      </w:r>
      <w:r w:rsidR="00977170">
        <w:rPr>
          <w:rtl/>
        </w:rPr>
        <w:t>محفل</w:t>
      </w:r>
      <w:r w:rsidRPr="00473E38">
        <w:rPr>
          <w:rtl/>
        </w:rPr>
        <w:t xml:space="preserve"> </w:t>
      </w:r>
      <w:r w:rsidR="00977170">
        <w:rPr>
          <w:rFonts w:hint="cs"/>
          <w:rtl/>
        </w:rPr>
        <w:t>لمناقشة تلك القضايا.</w:t>
      </w:r>
      <w:r w:rsidRPr="00473E38">
        <w:rPr>
          <w:rtl/>
        </w:rPr>
        <w:t xml:space="preserve"> </w:t>
      </w:r>
      <w:r w:rsidR="00977170">
        <w:rPr>
          <w:rFonts w:hint="cs"/>
          <w:rtl/>
        </w:rPr>
        <w:t xml:space="preserve">وسيسعى البرنامج، </w:t>
      </w:r>
      <w:r w:rsidR="00977170">
        <w:rPr>
          <w:rFonts w:hint="cs"/>
          <w:rtl/>
        </w:rPr>
        <w:lastRenderedPageBreak/>
        <w:t>بالتعاون الوثيق مع البرنامج 20، إلى ضمان استجابة الويبو في الوقت المناسب وبطريقة جيدة لطلبات المعلومات الواردة من الأمم المتحدة والمنظمات الدولية والدول الأعضاء، وذلك بوصفها جزءا من منظومة الأمم المتحدة ومنظمةً مراقبة لمسارات مختلفة من مسارات الأمم المتحدة.</w:t>
      </w:r>
      <w:r w:rsidRPr="00473E38">
        <w:rPr>
          <w:rtl/>
        </w:rPr>
        <w:t xml:space="preserve"> وسيسترشد العمل بارتباط الملكية الفكرية والابتكار بالصحة العالمية وتغير المناخ والأمن الغذائي، وجدول أعمال التنمية وجدول أعمال الأمم المتحدة للتنمية لما بعد سنة 2015.</w:t>
      </w:r>
    </w:p>
    <w:p w:rsidR="00025AC0" w:rsidRPr="00473E38" w:rsidRDefault="00025AC0" w:rsidP="00861CFF">
      <w:pPr>
        <w:pStyle w:val="ARNormal"/>
        <w:numPr>
          <w:ilvl w:val="0"/>
          <w:numId w:val="31"/>
        </w:numPr>
        <w:ind w:left="0" w:firstLine="0"/>
      </w:pPr>
      <w:r w:rsidRPr="00473E38">
        <w:rPr>
          <w:rtl/>
        </w:rPr>
        <w:t xml:space="preserve">وسيستمر إعداد دراسات عن السياسة العامة تتناول موضوعات مثل دور الملكية الفكرية وإدارة الملكية الفكرية في الابتكار ونقل التكنولوجيا ونشر التكنولوجيا لمواجهة التحديات العالمية. وسترمي التحليلات الموضوعية، التي تصدر في شكل تقارير ووثائق إحاطة، إلى تعميق فهم دوافع السياسات العامة والدوافع الاستراتيجية للابتكار؛ وأن توضح بشكل استباقي </w:t>
      </w:r>
      <w:r>
        <w:rPr>
          <w:rFonts w:hint="cs"/>
          <w:rtl/>
        </w:rPr>
        <w:t xml:space="preserve">قيمة </w:t>
      </w:r>
      <w:r w:rsidRPr="00473E38">
        <w:rPr>
          <w:rtl/>
        </w:rPr>
        <w:t xml:space="preserve">الملكية الفكرية </w:t>
      </w:r>
      <w:r>
        <w:rPr>
          <w:rFonts w:hint="cs"/>
          <w:rtl/>
        </w:rPr>
        <w:t>بوصفها أداة من</w:t>
      </w:r>
      <w:r>
        <w:rPr>
          <w:rtl/>
        </w:rPr>
        <w:t xml:space="preserve"> أدوات</w:t>
      </w:r>
      <w:r>
        <w:rPr>
          <w:rFonts w:hint="cs"/>
          <w:rtl/>
        </w:rPr>
        <w:t xml:space="preserve"> التنمية</w:t>
      </w:r>
      <w:r w:rsidRPr="00473E38">
        <w:rPr>
          <w:rtl/>
        </w:rPr>
        <w:t>.</w:t>
      </w:r>
      <w:r w:rsidRPr="00473E38">
        <w:t xml:space="preserve"> </w:t>
      </w:r>
      <w:r>
        <w:rPr>
          <w:rtl/>
        </w:rPr>
        <w:t>و</w:t>
      </w:r>
      <w:r>
        <w:rPr>
          <w:rFonts w:hint="cs"/>
          <w:rtl/>
        </w:rPr>
        <w:t>ي</w:t>
      </w:r>
      <w:r w:rsidRPr="00473E38">
        <w:rPr>
          <w:rtl/>
        </w:rPr>
        <w:t xml:space="preserve">شمل </w:t>
      </w:r>
      <w:r>
        <w:rPr>
          <w:rFonts w:hint="cs"/>
          <w:rtl/>
        </w:rPr>
        <w:t>ذلك</w:t>
      </w:r>
      <w:r w:rsidRPr="00473E38">
        <w:rPr>
          <w:rtl/>
        </w:rPr>
        <w:t xml:space="preserve"> تقاسم الخبرات من المنصتين من خلال دراسات إفرادية تهدف إلى زيادة الوعي بأنشطة البرنامج.</w:t>
      </w:r>
    </w:p>
    <w:p w:rsidR="00025AC0" w:rsidRPr="00473E38" w:rsidRDefault="00025AC0" w:rsidP="00861CFF">
      <w:pPr>
        <w:pStyle w:val="ARNormal"/>
        <w:numPr>
          <w:ilvl w:val="0"/>
          <w:numId w:val="31"/>
        </w:numPr>
        <w:tabs>
          <w:tab w:val="right" w:pos="707"/>
        </w:tabs>
        <w:ind w:left="0" w:firstLine="0"/>
        <w:rPr>
          <w:rtl/>
        </w:rPr>
      </w:pPr>
      <w:r>
        <w:rPr>
          <w:rtl/>
        </w:rPr>
        <w:t>و</w:t>
      </w:r>
      <w:r>
        <w:rPr>
          <w:rFonts w:hint="cs"/>
          <w:rtl/>
        </w:rPr>
        <w:t>تلبية ل</w:t>
      </w:r>
      <w:r w:rsidRPr="00473E38">
        <w:rPr>
          <w:rtl/>
        </w:rPr>
        <w:t xml:space="preserve">طلبات الدول الأعضاء والمنظمات الحكومية الدولية والمجتمع </w:t>
      </w:r>
      <w:r>
        <w:rPr>
          <w:rtl/>
        </w:rPr>
        <w:t xml:space="preserve">المدني وأصحاب المصالح الآخرين، </w:t>
      </w:r>
      <w:r w:rsidRPr="00473E38">
        <w:rPr>
          <w:rtl/>
        </w:rPr>
        <w:t>سيسهم البرنامج حسب الاقتضاء في المحافل المتعلقة بالقضايا الجوهرية للبرنامج.</w:t>
      </w:r>
      <w:r w:rsidRPr="00473E38">
        <w:t xml:space="preserve"> </w:t>
      </w:r>
      <w:r w:rsidRPr="00473E38">
        <w:rPr>
          <w:rtl/>
        </w:rPr>
        <w:t>ولعل ضمان مشاركة الويبو البناءة في مناقشات السياسة العامة سيقدم الدعم إلى الجهات الفاعلة الأخرى، ويساعد على ترسيخ مكانة الويبو باعتبارها محفلا ومرجعا لشؤون الملكية الفكرية فيما يتعلق بقضايا السياسات العامة العالمية.</w:t>
      </w:r>
      <w:r w:rsidRPr="00473E38">
        <w:t xml:space="preserve"> </w:t>
      </w:r>
      <w:r w:rsidRPr="00473E38">
        <w:rPr>
          <w:rtl/>
        </w:rPr>
        <w:t>ومن العناصر الجوهرية لهذا الهدف التعاون الثلاثي الأطراف المستمر والناجح بين البرنامج ومنظمة الصحة العالمية ومنظمة التجارة العالمية.</w:t>
      </w:r>
    </w:p>
    <w:p w:rsidR="00025AC0" w:rsidRPr="00473E38" w:rsidRDefault="00025AC0" w:rsidP="007843AB">
      <w:pPr>
        <w:pStyle w:val="ARNormal"/>
        <w:rPr>
          <w:u w:val="single"/>
          <w:rtl/>
        </w:rPr>
      </w:pPr>
      <w:r w:rsidRPr="00473E38">
        <w:rPr>
          <w:u w:val="single"/>
          <w:rtl/>
        </w:rPr>
        <w:t>تعزيز كفاءات الموارد البشرية بشأن العلاقة بين التحديات العالمية والابتكار ونقل التكنولوجيا</w:t>
      </w:r>
    </w:p>
    <w:p w:rsidR="00025AC0" w:rsidRDefault="00025AC0" w:rsidP="00861CFF">
      <w:pPr>
        <w:pStyle w:val="ARNormal"/>
        <w:numPr>
          <w:ilvl w:val="0"/>
          <w:numId w:val="31"/>
        </w:numPr>
        <w:tabs>
          <w:tab w:val="right" w:pos="707"/>
        </w:tabs>
        <w:ind w:left="0" w:firstLine="0"/>
      </w:pPr>
      <w:r w:rsidRPr="00473E38">
        <w:rPr>
          <w:rtl/>
        </w:rPr>
        <w:t xml:space="preserve">وسيكون استكشاف أوجه التآزر مع </w:t>
      </w:r>
      <w:r>
        <w:rPr>
          <w:rFonts w:hint="cs"/>
          <w:rtl/>
        </w:rPr>
        <w:t>برامج</w:t>
      </w:r>
      <w:r w:rsidRPr="00473E38">
        <w:rPr>
          <w:rtl/>
        </w:rPr>
        <w:t xml:space="preserve"> الويبو</w:t>
      </w:r>
      <w:r>
        <w:rPr>
          <w:rFonts w:hint="cs"/>
          <w:rtl/>
        </w:rPr>
        <w:t xml:space="preserve"> الأخرى</w:t>
      </w:r>
      <w:r w:rsidRPr="00473E38">
        <w:rPr>
          <w:rtl/>
        </w:rPr>
        <w:t xml:space="preserve"> أحد الجوانب الرئيسية لهذا العمل. ويمكن على سبيل المثال أن تستفيد مؤسسات الدول النامية على نحو متزايد من المنصات الموضوعية التي طُورت كنقاط دخول من أجل النفاذ إلى ما </w:t>
      </w:r>
      <w:proofErr w:type="spellStart"/>
      <w:r w:rsidRPr="00473E38">
        <w:rPr>
          <w:rtl/>
        </w:rPr>
        <w:t>يفيدها</w:t>
      </w:r>
      <w:proofErr w:type="spellEnd"/>
      <w:r w:rsidRPr="00473E38">
        <w:rPr>
          <w:rtl/>
        </w:rPr>
        <w:t xml:space="preserve"> من خدمات الويبو وبرامج التدريب التي تقدمها، والتي تسهل النفاذ إلى المعلومات التقنية بشأن الملكية الفكرية (مثلا: قواعد بيانات البراءات). وستستمر المشروعات الممولة من الصناديق الاستئمانية وستبني على الإنجازات السابقة للثنائيات الفائتة.</w:t>
      </w:r>
    </w:p>
    <w:p w:rsidR="00025AC0" w:rsidRDefault="00025AC0" w:rsidP="00861CFF">
      <w:pPr>
        <w:pStyle w:val="ARNormal"/>
        <w:numPr>
          <w:ilvl w:val="0"/>
          <w:numId w:val="31"/>
        </w:numPr>
        <w:ind w:left="0" w:firstLine="0"/>
      </w:pPr>
      <w:r>
        <w:rPr>
          <w:rFonts w:hint="cs"/>
          <w:rtl/>
        </w:rPr>
        <w:t>ويتعاون البرنامج 18 في الأساس مع البرامج الأخرى على النحو المبيّن أدناه:</w:t>
      </w:r>
    </w:p>
    <w:p w:rsidR="00025AC0" w:rsidRDefault="00025AC0" w:rsidP="007843AB">
      <w:pPr>
        <w:pStyle w:val="ARNormal"/>
        <w:spacing w:line="240" w:lineRule="auto"/>
        <w:rPr>
          <w:rtl/>
        </w:rPr>
      </w:pPr>
      <w:r w:rsidRPr="00B619BE">
        <w:rPr>
          <w:rFonts w:ascii="Arial" w:hAnsi="Arial" w:cs="Arial"/>
          <w:noProof/>
          <w:lang w:val="en-US"/>
        </w:rPr>
        <w:drawing>
          <wp:inline distT="0" distB="0" distL="0" distR="0" wp14:anchorId="27A1B34C" wp14:editId="0168304C">
            <wp:extent cx="5939790" cy="1411969"/>
            <wp:effectExtent l="0" t="0" r="0" b="0"/>
            <wp:docPr id="989" name="Diagram 9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3" r:lo="rId184" r:qs="rId185" r:cs="rId186"/>
              </a:graphicData>
            </a:graphic>
          </wp:inline>
        </w:drawing>
      </w:r>
    </w:p>
    <w:p w:rsidR="00025AC0" w:rsidRPr="00415B82" w:rsidRDefault="00025AC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15B82">
        <w:rPr>
          <w:rFonts w:ascii="Arabic Typesetting" w:hAnsi="Arabic Typesetting" w:cs="Arabic Typesetting"/>
          <w:noProof/>
          <w:sz w:val="38"/>
          <w:szCs w:val="38"/>
          <w:rtl/>
        </w:rPr>
        <w:t>المخاطر الرئيسية واستراتيجيات التخفيف منها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025AC0" w:rsidRPr="00473E38" w:rsidTr="007843AB">
        <w:trPr>
          <w:tblHeader/>
        </w:trPr>
        <w:tc>
          <w:tcPr>
            <w:tcW w:w="4784" w:type="dxa"/>
            <w:tcBorders>
              <w:top w:val="single" w:sz="4" w:space="0" w:color="auto"/>
              <w:bottom w:val="single" w:sz="4" w:space="0" w:color="auto"/>
            </w:tcBorders>
            <w:shd w:val="clear" w:color="auto" w:fill="C6D9F1"/>
          </w:tcPr>
          <w:p w:rsidR="00025AC0" w:rsidRPr="00473E38" w:rsidRDefault="00025AC0" w:rsidP="007843AB">
            <w:pPr>
              <w:pStyle w:val="ARProgramTableHeading"/>
              <w:spacing w:line="300" w:lineRule="exact"/>
              <w:rPr>
                <w:rtl/>
                <w:lang w:bidi="ar-SA"/>
              </w:rPr>
            </w:pPr>
            <w:r w:rsidRPr="00473E38">
              <w:rPr>
                <w:rtl/>
                <w:lang w:bidi="ar-SA"/>
              </w:rPr>
              <w:t>المخاطر</w:t>
            </w:r>
          </w:p>
        </w:tc>
        <w:tc>
          <w:tcPr>
            <w:tcW w:w="4786" w:type="dxa"/>
            <w:tcBorders>
              <w:top w:val="single" w:sz="4" w:space="0" w:color="auto"/>
              <w:bottom w:val="single" w:sz="4" w:space="0" w:color="auto"/>
            </w:tcBorders>
            <w:shd w:val="clear" w:color="auto" w:fill="C6D9F1"/>
          </w:tcPr>
          <w:p w:rsidR="00025AC0" w:rsidRPr="00473E38" w:rsidRDefault="00025AC0" w:rsidP="007843AB">
            <w:pPr>
              <w:pStyle w:val="ARProgramTableHeading"/>
              <w:spacing w:line="300" w:lineRule="exact"/>
              <w:rPr>
                <w:rtl/>
              </w:rPr>
            </w:pPr>
            <w:r w:rsidRPr="00473E38">
              <w:rPr>
                <w:rtl/>
              </w:rPr>
              <w:t>التخفيف منها</w:t>
            </w:r>
          </w:p>
        </w:tc>
      </w:tr>
      <w:tr w:rsidR="00025AC0" w:rsidRPr="00473E38" w:rsidTr="007843AB">
        <w:tc>
          <w:tcPr>
            <w:tcW w:w="4784" w:type="dxa"/>
            <w:tcBorders>
              <w:top w:val="single" w:sz="4" w:space="0" w:color="auto"/>
            </w:tcBorders>
          </w:tcPr>
          <w:p w:rsidR="00025AC0" w:rsidRPr="00DA7F7F" w:rsidRDefault="00025AC0">
            <w:pPr>
              <w:rPr>
                <w:rFonts w:ascii="Arabic Typesetting" w:hAnsi="Arabic Typesetting" w:cs="Arabic Typesetting"/>
                <w:sz w:val="30"/>
                <w:szCs w:val="30"/>
              </w:rPr>
            </w:pPr>
            <w:r w:rsidRPr="00DA7F7F">
              <w:rPr>
                <w:rFonts w:ascii="Arabic Typesetting" w:hAnsi="Arabic Typesetting" w:cs="Arabic Typesetting"/>
                <w:sz w:val="30"/>
                <w:szCs w:val="30"/>
                <w:rtl/>
              </w:rPr>
              <w:t xml:space="preserve">إن نقص الالتزام من طرف الأعضاء أو الشركاء فيما يخص برنامج </w:t>
            </w:r>
            <w:r w:rsidRPr="00DA7F7F">
              <w:rPr>
                <w:rFonts w:ascii="Arabic Typesetting" w:hAnsi="Arabic Typesetting" w:cs="Arabic Typesetting"/>
                <w:sz w:val="30"/>
                <w:szCs w:val="30"/>
              </w:rPr>
              <w:t xml:space="preserve">WIPO </w:t>
            </w:r>
            <w:proofErr w:type="spellStart"/>
            <w:r w:rsidRPr="00DA7F7F">
              <w:rPr>
                <w:rFonts w:ascii="Arabic Typesetting" w:hAnsi="Arabic Typesetting" w:cs="Arabic Typesetting"/>
                <w:sz w:val="30"/>
                <w:szCs w:val="30"/>
              </w:rPr>
              <w:t>Re:Search</w:t>
            </w:r>
            <w:proofErr w:type="spellEnd"/>
            <w:r w:rsidRPr="00DA7F7F">
              <w:rPr>
                <w:rFonts w:ascii="Arabic Typesetting" w:hAnsi="Arabic Typesetting" w:cs="Arabic Typesetting"/>
                <w:sz w:val="30"/>
                <w:szCs w:val="30"/>
                <w:rtl/>
              </w:rPr>
              <w:t xml:space="preserve"> وبرنامج </w:t>
            </w:r>
            <w:r w:rsidRPr="00DA7F7F">
              <w:rPr>
                <w:rFonts w:ascii="Arabic Typesetting" w:hAnsi="Arabic Typesetting" w:cs="Arabic Typesetting"/>
                <w:sz w:val="30"/>
                <w:szCs w:val="30"/>
              </w:rPr>
              <w:t>WIPO Green</w:t>
            </w:r>
            <w:r w:rsidRPr="00DA7F7F">
              <w:rPr>
                <w:rFonts w:ascii="Arabic Typesetting" w:hAnsi="Arabic Typesetting" w:cs="Arabic Typesetting"/>
                <w:sz w:val="30"/>
                <w:szCs w:val="30"/>
                <w:rtl/>
              </w:rPr>
              <w:t xml:space="preserve"> قد ينجم عنه عدم كفاية التسجيلات ومن ثم الانتقاص من مصداقية المنصات.</w:t>
            </w:r>
          </w:p>
        </w:tc>
        <w:tc>
          <w:tcPr>
            <w:tcW w:w="4786" w:type="dxa"/>
            <w:tcBorders>
              <w:top w:val="single" w:sz="4" w:space="0" w:color="auto"/>
            </w:tcBorders>
          </w:tcPr>
          <w:p w:rsidR="00025AC0" w:rsidRPr="00473E38" w:rsidRDefault="00025AC0" w:rsidP="007843AB">
            <w:pPr>
              <w:pStyle w:val="ARProgramTableText"/>
              <w:spacing w:line="300" w:lineRule="exact"/>
              <w:rPr>
                <w:rtl/>
                <w:lang w:bidi="ar-SA"/>
              </w:rPr>
            </w:pPr>
            <w:r w:rsidRPr="00473E38">
              <w:rPr>
                <w:lang w:bidi="ar-SA"/>
              </w:rPr>
              <w:t xml:space="preserve">WIPO </w:t>
            </w:r>
            <w:proofErr w:type="spellStart"/>
            <w:r w:rsidRPr="00473E38">
              <w:rPr>
                <w:lang w:bidi="ar-SA"/>
              </w:rPr>
              <w:t>Re:Search</w:t>
            </w:r>
            <w:proofErr w:type="spellEnd"/>
            <w:r w:rsidRPr="00473E38">
              <w:rPr>
                <w:rtl/>
                <w:lang w:bidi="ar-SA"/>
              </w:rPr>
              <w:t>: زيادة الجهود لتعزيز موارد مركز الشراكات وأنشطته.</w:t>
            </w:r>
          </w:p>
        </w:tc>
      </w:tr>
      <w:tr w:rsidR="00025AC0" w:rsidRPr="00473E38" w:rsidTr="007843AB">
        <w:tc>
          <w:tcPr>
            <w:tcW w:w="4784" w:type="dxa"/>
          </w:tcPr>
          <w:p w:rsidR="00025AC0" w:rsidRPr="00473E38" w:rsidRDefault="00025AC0" w:rsidP="007843AB">
            <w:pPr>
              <w:rPr>
                <w:rFonts w:ascii="Arabic Typesetting" w:hAnsi="Arabic Typesetting" w:cs="Arabic Typesetting"/>
              </w:rPr>
            </w:pPr>
          </w:p>
        </w:tc>
        <w:tc>
          <w:tcPr>
            <w:tcW w:w="4786" w:type="dxa"/>
          </w:tcPr>
          <w:p w:rsidR="00025AC0" w:rsidRPr="00473E38" w:rsidRDefault="00025AC0" w:rsidP="007843AB">
            <w:pPr>
              <w:pStyle w:val="ARProgramTableText"/>
              <w:spacing w:line="300" w:lineRule="exact"/>
              <w:rPr>
                <w:rtl/>
                <w:lang w:bidi="ar-SA"/>
              </w:rPr>
            </w:pPr>
            <w:r w:rsidRPr="00473E38">
              <w:rPr>
                <w:lang w:bidi="ar-SA"/>
              </w:rPr>
              <w:t>WIPO GREEN</w:t>
            </w:r>
            <w:r w:rsidRPr="00473E38">
              <w:rPr>
                <w:rtl/>
                <w:lang w:bidi="ar-SA"/>
              </w:rPr>
              <w:t>: ضمان تماشي الخدمات المقدمة مع احتياجات العملاء والتسويق الفعال والمحافظة على وثاقة التعاون مع الشركاء/أصحاب المصالح الحاليين.</w:t>
            </w:r>
          </w:p>
        </w:tc>
      </w:tr>
    </w:tbl>
    <w:p w:rsidR="00025AC0" w:rsidRDefault="00025AC0" w:rsidP="007843AB">
      <w:pPr>
        <w:pStyle w:val="ARNormal"/>
        <w:rPr>
          <w:rtl/>
        </w:rPr>
      </w:pPr>
    </w:p>
    <w:p w:rsidR="00025AC0" w:rsidRDefault="00025AC0">
      <w:pPr>
        <w:bidi w:val="0"/>
        <w:rPr>
          <w:rFonts w:ascii="Arabic Typesetting" w:hAnsi="Arabic Typesetting" w:cs="Arabic Typesetting"/>
          <w:sz w:val="34"/>
          <w:szCs w:val="34"/>
          <w:rtl/>
        </w:rPr>
      </w:pPr>
      <w:r>
        <w:rPr>
          <w:rtl/>
        </w:rPr>
        <w:br w:type="page"/>
      </w:r>
    </w:p>
    <w:p w:rsidR="00025AC0" w:rsidRPr="00473E38" w:rsidRDefault="00025AC0" w:rsidP="007843AB">
      <w:pPr>
        <w:pStyle w:val="ARProgramHeading2"/>
        <w:rPr>
          <w:rtl/>
        </w:rPr>
      </w:pPr>
      <w:r w:rsidRPr="00473E38">
        <w:rPr>
          <w:rtl/>
        </w:rPr>
        <w:lastRenderedPageBreak/>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00"/>
        <w:gridCol w:w="3082"/>
        <w:gridCol w:w="1937"/>
        <w:gridCol w:w="1651"/>
      </w:tblGrid>
      <w:tr w:rsidR="00025AC0" w:rsidRPr="00473E38" w:rsidTr="007843AB">
        <w:trPr>
          <w:tblHeader/>
        </w:trPr>
        <w:tc>
          <w:tcPr>
            <w:tcW w:w="2900" w:type="dxa"/>
            <w:tcBorders>
              <w:top w:val="single" w:sz="4" w:space="0" w:color="auto"/>
              <w:bottom w:val="single" w:sz="4" w:space="0" w:color="auto"/>
            </w:tcBorders>
            <w:shd w:val="clear" w:color="auto" w:fill="C6D9F1"/>
          </w:tcPr>
          <w:p w:rsidR="00025AC0" w:rsidRPr="00473E38" w:rsidRDefault="00025AC0" w:rsidP="007843AB">
            <w:pPr>
              <w:pStyle w:val="ARProgramTableHeading"/>
              <w:spacing w:line="300" w:lineRule="exact"/>
              <w:rPr>
                <w:rtl/>
                <w:lang w:bidi="ar-SA"/>
              </w:rPr>
            </w:pPr>
            <w:r w:rsidRPr="00473E38">
              <w:rPr>
                <w:rtl/>
                <w:lang w:bidi="ar-SA"/>
              </w:rPr>
              <w:t>النتائج المرتقبة</w:t>
            </w:r>
          </w:p>
        </w:tc>
        <w:tc>
          <w:tcPr>
            <w:tcW w:w="3082" w:type="dxa"/>
            <w:tcBorders>
              <w:top w:val="single" w:sz="4" w:space="0" w:color="auto"/>
              <w:bottom w:val="single" w:sz="4" w:space="0" w:color="auto"/>
            </w:tcBorders>
            <w:shd w:val="clear" w:color="auto" w:fill="C6D9F1"/>
          </w:tcPr>
          <w:p w:rsidR="00025AC0" w:rsidRPr="00473E38" w:rsidRDefault="00025AC0" w:rsidP="007843AB">
            <w:pPr>
              <w:pStyle w:val="ARProgramTableHeading"/>
              <w:spacing w:line="300" w:lineRule="exact"/>
              <w:rPr>
                <w:rtl/>
                <w:lang w:bidi="ar-SA"/>
              </w:rPr>
            </w:pPr>
            <w:r w:rsidRPr="00473E38">
              <w:rPr>
                <w:rtl/>
                <w:lang w:bidi="ar-SA"/>
              </w:rPr>
              <w:t>مؤشرات الأداء</w:t>
            </w:r>
          </w:p>
        </w:tc>
        <w:tc>
          <w:tcPr>
            <w:tcW w:w="1937" w:type="dxa"/>
            <w:tcBorders>
              <w:top w:val="single" w:sz="4" w:space="0" w:color="auto"/>
              <w:bottom w:val="single" w:sz="4" w:space="0" w:color="auto"/>
            </w:tcBorders>
            <w:shd w:val="clear" w:color="auto" w:fill="C6D9F1"/>
          </w:tcPr>
          <w:p w:rsidR="00025AC0" w:rsidRPr="00473E38" w:rsidRDefault="00025AC0" w:rsidP="007843AB">
            <w:pPr>
              <w:pStyle w:val="ARProgramTableHeading"/>
              <w:spacing w:line="300" w:lineRule="exact"/>
              <w:rPr>
                <w:rtl/>
                <w:lang w:bidi="ar-SA"/>
              </w:rPr>
            </w:pPr>
            <w:r w:rsidRPr="00473E38">
              <w:rPr>
                <w:rtl/>
                <w:lang w:bidi="ar-SA"/>
              </w:rPr>
              <w:t>أسس المقارنة</w:t>
            </w:r>
          </w:p>
        </w:tc>
        <w:tc>
          <w:tcPr>
            <w:tcW w:w="1651" w:type="dxa"/>
            <w:tcBorders>
              <w:top w:val="single" w:sz="4" w:space="0" w:color="auto"/>
              <w:bottom w:val="single" w:sz="4" w:space="0" w:color="auto"/>
            </w:tcBorders>
            <w:shd w:val="clear" w:color="auto" w:fill="C6D9F1"/>
          </w:tcPr>
          <w:p w:rsidR="00025AC0" w:rsidRPr="00473E38" w:rsidRDefault="00025AC0" w:rsidP="007843AB">
            <w:pPr>
              <w:pStyle w:val="ARProgramTableHeading"/>
              <w:spacing w:line="300" w:lineRule="exact"/>
              <w:rPr>
                <w:rtl/>
                <w:lang w:bidi="ar-SA"/>
              </w:rPr>
            </w:pPr>
            <w:r w:rsidRPr="00473E38">
              <w:rPr>
                <w:rtl/>
                <w:lang w:bidi="ar-SA"/>
              </w:rPr>
              <w:t>الأهداف</w:t>
            </w:r>
          </w:p>
        </w:tc>
      </w:tr>
      <w:tr w:rsidR="002420E2" w:rsidRPr="00473E38" w:rsidTr="002420E2">
        <w:tc>
          <w:tcPr>
            <w:tcW w:w="2900" w:type="dxa"/>
            <w:tcBorders>
              <w:top w:val="single" w:sz="4" w:space="0" w:color="auto"/>
              <w:bottom w:val="nil"/>
            </w:tcBorders>
          </w:tcPr>
          <w:p w:rsidR="002420E2" w:rsidRPr="00473E38" w:rsidRDefault="00112035" w:rsidP="007843AB">
            <w:pPr>
              <w:pStyle w:val="ARProgramTableText"/>
              <w:spacing w:line="300" w:lineRule="exact"/>
              <w:rPr>
                <w:rtl/>
                <w:lang w:bidi="ar-SA"/>
              </w:rPr>
            </w:pPr>
            <w:r w:rsidRPr="004E1A0D">
              <w:rPr>
                <w:rFonts w:hint="cs"/>
                <w:rtl/>
              </w:rPr>
              <w:t>ه 2.1</w:t>
            </w:r>
            <w:r w:rsidRPr="004E1A0D">
              <w:rPr>
                <w:rtl/>
              </w:rPr>
              <w:t xml:space="preserve"> </w:t>
            </w:r>
            <w:r w:rsidRPr="00F86E17">
              <w:rPr>
                <w:rtl/>
              </w:rPr>
              <w:t>أطر تشريعية وتنظيمية وسياسية مكيّفة ومتوازنة في مجال الملكية الفكرية</w:t>
            </w:r>
          </w:p>
        </w:tc>
        <w:tc>
          <w:tcPr>
            <w:tcW w:w="3082" w:type="dxa"/>
            <w:tcBorders>
              <w:top w:val="single" w:sz="4" w:space="0" w:color="auto"/>
              <w:bottom w:val="nil"/>
            </w:tcBorders>
          </w:tcPr>
          <w:p w:rsidR="002420E2" w:rsidRPr="00473E38" w:rsidRDefault="00112035" w:rsidP="007843AB">
            <w:pPr>
              <w:pStyle w:val="ARProgramTableText"/>
              <w:spacing w:line="300" w:lineRule="exact"/>
              <w:rPr>
                <w:rtl/>
                <w:lang w:bidi="ar-SA"/>
              </w:rPr>
            </w:pPr>
            <w:r w:rsidRPr="002D5889">
              <w:rPr>
                <w:rtl/>
              </w:rPr>
              <w:t>عدد البلدان التي تلتمس مساهمات خصوصية من الويبو بشأن الملكية الفكرية فيما يتعلق بالقضايا المتعلقة بسياسة المنافسة</w:t>
            </w:r>
          </w:p>
        </w:tc>
        <w:tc>
          <w:tcPr>
            <w:tcW w:w="1937" w:type="dxa"/>
            <w:tcBorders>
              <w:top w:val="single" w:sz="4" w:space="0" w:color="auto"/>
              <w:bottom w:val="nil"/>
            </w:tcBorders>
          </w:tcPr>
          <w:p w:rsidR="002420E2" w:rsidRPr="00473E38" w:rsidRDefault="00112035" w:rsidP="007843AB">
            <w:pPr>
              <w:pStyle w:val="ARProgramTableText"/>
              <w:spacing w:line="300" w:lineRule="exact"/>
              <w:rPr>
                <w:rtl/>
                <w:lang w:bidi="ar-SA"/>
              </w:rPr>
            </w:pPr>
            <w:r>
              <w:rPr>
                <w:rFonts w:hint="cs"/>
                <w:rtl/>
                <w:lang w:bidi="ar-SA"/>
              </w:rPr>
              <w:t>12 بلدا (2014)</w:t>
            </w:r>
          </w:p>
        </w:tc>
        <w:tc>
          <w:tcPr>
            <w:tcW w:w="1651" w:type="dxa"/>
            <w:tcBorders>
              <w:top w:val="single" w:sz="4" w:space="0" w:color="auto"/>
              <w:bottom w:val="nil"/>
            </w:tcBorders>
          </w:tcPr>
          <w:p w:rsidR="002420E2" w:rsidRPr="00473E38" w:rsidRDefault="00112035" w:rsidP="007843AB">
            <w:pPr>
              <w:pStyle w:val="ARProgramTableText"/>
              <w:spacing w:line="300" w:lineRule="exact"/>
              <w:rPr>
                <w:rtl/>
                <w:lang w:bidi="ar-SA"/>
              </w:rPr>
            </w:pPr>
            <w:r>
              <w:rPr>
                <w:rFonts w:hint="cs"/>
                <w:rtl/>
                <w:lang w:bidi="ar-SA"/>
              </w:rPr>
              <w:t>12 بلدا في 2016/17</w:t>
            </w:r>
          </w:p>
        </w:tc>
      </w:tr>
      <w:tr w:rsidR="002420E2" w:rsidRPr="00473E38" w:rsidTr="002420E2">
        <w:tc>
          <w:tcPr>
            <w:tcW w:w="2900" w:type="dxa"/>
            <w:tcBorders>
              <w:top w:val="nil"/>
              <w:left w:val="single" w:sz="4" w:space="0" w:color="auto"/>
              <w:bottom w:val="nil"/>
            </w:tcBorders>
          </w:tcPr>
          <w:p w:rsidR="002420E2" w:rsidRPr="00473E38" w:rsidRDefault="002420E2" w:rsidP="007843AB">
            <w:pPr>
              <w:pStyle w:val="ARProgramTableText"/>
              <w:spacing w:line="300" w:lineRule="exact"/>
              <w:rPr>
                <w:rtl/>
                <w:lang w:bidi="ar-SA"/>
              </w:rPr>
            </w:pPr>
          </w:p>
        </w:tc>
        <w:tc>
          <w:tcPr>
            <w:tcW w:w="3082" w:type="dxa"/>
            <w:tcBorders>
              <w:top w:val="nil"/>
              <w:bottom w:val="nil"/>
            </w:tcBorders>
          </w:tcPr>
          <w:p w:rsidR="002420E2" w:rsidRPr="00473E38" w:rsidRDefault="00112035" w:rsidP="007843AB">
            <w:pPr>
              <w:pStyle w:val="ARProgramTableText"/>
              <w:spacing w:line="300" w:lineRule="exact"/>
              <w:rPr>
                <w:rtl/>
                <w:lang w:bidi="ar-SA"/>
              </w:rPr>
            </w:pPr>
            <w:r w:rsidRPr="002D5889">
              <w:rPr>
                <w:rtl/>
              </w:rPr>
              <w:t>عدد أصحاب المصالح (مكاتب الملكية الفكرية والسلطات المعنية بالمنافسة والمنظمات الحكومية الدولية والمنظمات غير الحكومية الوجيهة) الذين يخوضون حوارا مع الويبو، ومدى تنوعهم</w:t>
            </w:r>
          </w:p>
        </w:tc>
        <w:tc>
          <w:tcPr>
            <w:tcW w:w="1937" w:type="dxa"/>
            <w:tcBorders>
              <w:top w:val="nil"/>
              <w:bottom w:val="nil"/>
            </w:tcBorders>
          </w:tcPr>
          <w:p w:rsidR="002420E2" w:rsidRPr="00473E38" w:rsidRDefault="00112035" w:rsidP="009C04D7">
            <w:pPr>
              <w:pStyle w:val="ARProgramTableText"/>
              <w:spacing w:line="300" w:lineRule="exact"/>
              <w:rPr>
                <w:rtl/>
                <w:lang w:bidi="ar-SA"/>
              </w:rPr>
            </w:pPr>
            <w:r>
              <w:rPr>
                <w:rFonts w:hint="cs"/>
                <w:rtl/>
                <w:lang w:bidi="ar-SA"/>
              </w:rPr>
              <w:t>64 سلطة وطنية معنية بالملكية الفكرية/ المنافسة و5 منظمات حكومية دولية/منظمات غير حكومية (تراكمي)</w:t>
            </w:r>
          </w:p>
        </w:tc>
        <w:tc>
          <w:tcPr>
            <w:tcW w:w="1651" w:type="dxa"/>
            <w:tcBorders>
              <w:top w:val="nil"/>
              <w:bottom w:val="nil"/>
            </w:tcBorders>
          </w:tcPr>
          <w:p w:rsidR="002420E2" w:rsidRPr="00473E38" w:rsidRDefault="009C04D7" w:rsidP="009C04D7">
            <w:pPr>
              <w:pStyle w:val="ARProgramTableText"/>
              <w:spacing w:line="300" w:lineRule="exact"/>
              <w:rPr>
                <w:rtl/>
                <w:lang w:bidi="ar-SA"/>
              </w:rPr>
            </w:pPr>
            <w:r>
              <w:rPr>
                <w:rFonts w:hint="cs"/>
                <w:rtl/>
                <w:lang w:bidi="ar-SA"/>
              </w:rPr>
              <w:t>26 سلطة وطنية إضافية معنية بالملكية الفكرية/ المنافسة و5</w:t>
            </w:r>
            <w:r>
              <w:rPr>
                <w:rFonts w:hint="eastAsia"/>
                <w:rtl/>
                <w:lang w:bidi="ar-SA"/>
              </w:rPr>
              <w:t> </w:t>
            </w:r>
            <w:r>
              <w:rPr>
                <w:rFonts w:hint="cs"/>
                <w:rtl/>
                <w:lang w:bidi="ar-SA"/>
              </w:rPr>
              <w:t>منظمات حكومية دولية/منظمات غير حكومية</w:t>
            </w:r>
          </w:p>
        </w:tc>
      </w:tr>
      <w:tr w:rsidR="00025AC0" w:rsidRPr="00473E38" w:rsidTr="002420E2">
        <w:tc>
          <w:tcPr>
            <w:tcW w:w="2900" w:type="dxa"/>
            <w:tcBorders>
              <w:top w:val="nil"/>
              <w:left w:val="single" w:sz="4" w:space="0" w:color="auto"/>
              <w:bottom w:val="nil"/>
            </w:tcBorders>
          </w:tcPr>
          <w:p w:rsidR="00025AC0" w:rsidRPr="00473E38" w:rsidRDefault="00025AC0" w:rsidP="007843AB">
            <w:pPr>
              <w:pStyle w:val="ARProgramTableText"/>
              <w:spacing w:line="300" w:lineRule="exact"/>
              <w:rPr>
                <w:rtl/>
                <w:lang w:bidi="ar-SA"/>
              </w:rPr>
            </w:pPr>
            <w:r w:rsidRPr="00473E38">
              <w:rPr>
                <w:rtl/>
                <w:lang w:bidi="ar-SA"/>
              </w:rPr>
              <w:t>ه 2.3 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3082" w:type="dxa"/>
            <w:tcBorders>
              <w:top w:val="nil"/>
              <w:bottom w:val="nil"/>
            </w:tcBorders>
          </w:tcPr>
          <w:p w:rsidR="00025AC0" w:rsidRPr="00473E38" w:rsidRDefault="00025AC0" w:rsidP="007843AB">
            <w:pPr>
              <w:pStyle w:val="ARProgramTableText"/>
              <w:spacing w:line="300" w:lineRule="exact"/>
              <w:rPr>
                <w:rtl/>
                <w:lang w:bidi="ar-SA"/>
              </w:rPr>
            </w:pPr>
            <w:r w:rsidRPr="00473E38">
              <w:rPr>
                <w:rtl/>
                <w:lang w:bidi="ar-SA"/>
              </w:rPr>
              <w:t>عدد ترتيبات استقبال علماء من البلدان النامية</w:t>
            </w:r>
          </w:p>
          <w:p w:rsidR="00025AC0" w:rsidRPr="00473E38" w:rsidRDefault="00025AC0" w:rsidP="007843AB">
            <w:pPr>
              <w:pStyle w:val="ARProgramTableText"/>
              <w:spacing w:line="300" w:lineRule="exact"/>
              <w:rPr>
                <w:rtl/>
                <w:lang w:bidi="ar-SA"/>
              </w:rPr>
            </w:pPr>
          </w:p>
          <w:p w:rsidR="00025AC0" w:rsidRPr="00473E38" w:rsidRDefault="00025AC0" w:rsidP="007843AB">
            <w:pPr>
              <w:pStyle w:val="ARProgramTableText"/>
              <w:spacing w:line="300" w:lineRule="exact"/>
              <w:rPr>
                <w:rtl/>
                <w:lang w:bidi="ar-SA"/>
              </w:rPr>
            </w:pPr>
            <w:r w:rsidRPr="00473E38">
              <w:rPr>
                <w:rtl/>
                <w:lang w:bidi="ar-SA"/>
              </w:rPr>
              <w:t xml:space="preserve">النسبة المئوية للمشاركين في </w:t>
            </w:r>
            <w:r>
              <w:rPr>
                <w:rFonts w:hint="cs"/>
                <w:rtl/>
                <w:lang w:bidi="ar-SA"/>
              </w:rPr>
              <w:t>دورة</w:t>
            </w:r>
            <w:r w:rsidRPr="00473E38">
              <w:rPr>
                <w:rtl/>
                <w:lang w:bidi="ar-SA"/>
              </w:rPr>
              <w:t xml:space="preserve"> الملكية الفكرية والصحة وفق نظام التعليم عن بعد الذين أكدوا استخدام الملكة الفكرية في</w:t>
            </w:r>
            <w:r>
              <w:rPr>
                <w:rFonts w:hint="cs"/>
                <w:rtl/>
                <w:lang w:bidi="ar-SA"/>
              </w:rPr>
              <w:t xml:space="preserve"> سبيل</w:t>
            </w:r>
            <w:r w:rsidRPr="00473E38">
              <w:rPr>
                <w:rtl/>
                <w:lang w:bidi="ar-SA"/>
              </w:rPr>
              <w:t xml:space="preserve"> التنمية من خلال نقل التكنولوجيا وخلق المهارات</w:t>
            </w:r>
          </w:p>
        </w:tc>
        <w:tc>
          <w:tcPr>
            <w:tcW w:w="1937" w:type="dxa"/>
            <w:tcBorders>
              <w:top w:val="nil"/>
              <w:bottom w:val="nil"/>
            </w:tcBorders>
          </w:tcPr>
          <w:p w:rsidR="00025AC0" w:rsidRPr="00473E38" w:rsidRDefault="00025AC0" w:rsidP="007843AB">
            <w:pPr>
              <w:pStyle w:val="ARProgramTableText"/>
              <w:spacing w:line="300" w:lineRule="exact"/>
              <w:rPr>
                <w:rtl/>
                <w:lang w:bidi="ar-SA"/>
              </w:rPr>
            </w:pPr>
            <w:r w:rsidRPr="00473E38">
              <w:rPr>
                <w:rtl/>
                <w:lang w:bidi="ar-SA"/>
              </w:rPr>
              <w:t>5</w:t>
            </w:r>
          </w:p>
          <w:p w:rsidR="00025AC0" w:rsidRPr="00473E38" w:rsidRDefault="00025AC0" w:rsidP="007843AB">
            <w:pPr>
              <w:pStyle w:val="ARProgramTableText"/>
              <w:spacing w:line="300" w:lineRule="exact"/>
              <w:rPr>
                <w:rtl/>
                <w:lang w:bidi="ar-SA"/>
              </w:rPr>
            </w:pPr>
          </w:p>
          <w:p w:rsidR="00025AC0" w:rsidRPr="00473E38" w:rsidRDefault="00025AC0" w:rsidP="007843AB">
            <w:pPr>
              <w:pStyle w:val="ARProgramTableText"/>
              <w:spacing w:line="300" w:lineRule="exact"/>
              <w:rPr>
                <w:rtl/>
                <w:lang w:bidi="ar-SA"/>
              </w:rPr>
            </w:pPr>
          </w:p>
          <w:p w:rsidR="00025AC0" w:rsidRPr="00473E38" w:rsidRDefault="00025AC0" w:rsidP="007843AB">
            <w:pPr>
              <w:pStyle w:val="ARProgramTableText"/>
              <w:spacing w:line="300" w:lineRule="exact"/>
              <w:rPr>
                <w:rtl/>
                <w:lang w:bidi="ar-SA"/>
              </w:rPr>
            </w:pPr>
            <w:r w:rsidRPr="00473E38">
              <w:rPr>
                <w:rtl/>
                <w:lang w:bidi="ar-SA"/>
              </w:rPr>
              <w:t>غير متاحة</w:t>
            </w:r>
          </w:p>
          <w:p w:rsidR="00025AC0" w:rsidRPr="00473E38" w:rsidRDefault="00025AC0" w:rsidP="007843AB">
            <w:pPr>
              <w:pStyle w:val="ARProgramTableText"/>
              <w:spacing w:line="300" w:lineRule="exact"/>
              <w:rPr>
                <w:rtl/>
                <w:lang w:bidi="ar-SA"/>
              </w:rPr>
            </w:pPr>
          </w:p>
          <w:p w:rsidR="00025AC0" w:rsidRPr="00473E38" w:rsidRDefault="00025AC0" w:rsidP="007843AB">
            <w:pPr>
              <w:pStyle w:val="ARProgramTableText"/>
              <w:spacing w:line="300" w:lineRule="exact"/>
              <w:rPr>
                <w:rtl/>
                <w:lang w:bidi="ar-SA"/>
              </w:rPr>
            </w:pPr>
          </w:p>
          <w:p w:rsidR="00025AC0" w:rsidRPr="00473E38" w:rsidRDefault="00025AC0" w:rsidP="007843AB">
            <w:pPr>
              <w:pStyle w:val="ARProgramTableText"/>
              <w:spacing w:line="300" w:lineRule="exact"/>
              <w:rPr>
                <w:rtl/>
                <w:lang w:bidi="ar-SA"/>
              </w:rPr>
            </w:pPr>
          </w:p>
        </w:tc>
        <w:tc>
          <w:tcPr>
            <w:tcW w:w="1651" w:type="dxa"/>
            <w:tcBorders>
              <w:top w:val="nil"/>
              <w:bottom w:val="nil"/>
              <w:right w:val="single" w:sz="4" w:space="0" w:color="auto"/>
            </w:tcBorders>
          </w:tcPr>
          <w:p w:rsidR="00025AC0" w:rsidRPr="00473E38" w:rsidRDefault="00025AC0" w:rsidP="007843AB">
            <w:pPr>
              <w:pStyle w:val="ARProgramTableText"/>
              <w:spacing w:line="300" w:lineRule="exact"/>
              <w:rPr>
                <w:rtl/>
                <w:lang w:bidi="ar-SA"/>
              </w:rPr>
            </w:pPr>
            <w:r w:rsidRPr="00473E38">
              <w:rPr>
                <w:rtl/>
                <w:lang w:bidi="ar-SA"/>
              </w:rPr>
              <w:t>ترتيبا استقبال إضافيان آخران</w:t>
            </w:r>
          </w:p>
        </w:tc>
      </w:tr>
      <w:tr w:rsidR="00025AC0" w:rsidRPr="00473E38" w:rsidTr="002420E2">
        <w:tc>
          <w:tcPr>
            <w:tcW w:w="2900" w:type="dxa"/>
            <w:tcBorders>
              <w:top w:val="nil"/>
              <w:left w:val="single" w:sz="4" w:space="0" w:color="auto"/>
              <w:bottom w:val="nil"/>
            </w:tcBorders>
          </w:tcPr>
          <w:p w:rsidR="00025AC0" w:rsidRPr="00473E38" w:rsidRDefault="00025AC0" w:rsidP="007843AB">
            <w:pPr>
              <w:pStyle w:val="ARProgramTableText"/>
              <w:spacing w:line="300" w:lineRule="exact"/>
              <w:rPr>
                <w:rtl/>
                <w:lang w:bidi="ar-SA"/>
              </w:rPr>
            </w:pPr>
            <w:r w:rsidRPr="00473E38">
              <w:rPr>
                <w:rtl/>
                <w:lang w:bidi="ar-SA"/>
              </w:rPr>
              <w:t>ه 2.7 منصات وأدوات الملكية الفكرية لنقل المعارف وتطويع التكنولوجيا ونشرها من البلدان المتقدمة إلى البلدان النامية، ولا سيما البلدان الأقل نموا، لمواجهة التحديات العالمية</w:t>
            </w:r>
          </w:p>
        </w:tc>
        <w:tc>
          <w:tcPr>
            <w:tcW w:w="3082" w:type="dxa"/>
            <w:tcBorders>
              <w:top w:val="nil"/>
              <w:bottom w:val="nil"/>
            </w:tcBorders>
          </w:tcPr>
          <w:p w:rsidR="00025AC0" w:rsidRDefault="00025AC0" w:rsidP="007843AB">
            <w:pPr>
              <w:pStyle w:val="ARSGTableText"/>
              <w:spacing w:line="300" w:lineRule="exact"/>
              <w:rPr>
                <w:rtl/>
                <w:lang w:bidi="ar-SA"/>
              </w:rPr>
            </w:pPr>
            <w:r w:rsidRPr="00473E38">
              <w:rPr>
                <w:rtl/>
                <w:lang w:bidi="ar-SA"/>
              </w:rPr>
              <w:t xml:space="preserve">ارتفاع عدد الأعضاء المشتركين في </w:t>
            </w:r>
            <w:r>
              <w:rPr>
                <w:rFonts w:hint="cs"/>
                <w:rtl/>
                <w:lang w:bidi="ar-SA"/>
              </w:rPr>
              <w:t>برنامج</w:t>
            </w:r>
            <w:r w:rsidRPr="00473E38">
              <w:rPr>
                <w:rtl/>
                <w:lang w:bidi="ar-SA"/>
              </w:rPr>
              <w:t xml:space="preserve"> </w:t>
            </w:r>
            <w:r w:rsidRPr="00473E38">
              <w:rPr>
                <w:lang w:bidi="ar-SA"/>
              </w:rPr>
              <w:t>WIPO</w:t>
            </w:r>
            <w:r>
              <w:rPr>
                <w:lang w:bidi="ar-SA"/>
              </w:rPr>
              <w:t> </w:t>
            </w:r>
            <w:proofErr w:type="spellStart"/>
            <w:r w:rsidRPr="00473E38">
              <w:rPr>
                <w:lang w:bidi="ar-SA"/>
              </w:rPr>
              <w:t>Re:Search</w:t>
            </w:r>
            <w:proofErr w:type="spellEnd"/>
            <w:r w:rsidRPr="00473E38">
              <w:rPr>
                <w:rtl/>
                <w:lang w:bidi="ar-SA"/>
              </w:rPr>
              <w:t>، بما في ذلك</w:t>
            </w:r>
            <w:r>
              <w:rPr>
                <w:rFonts w:hint="cs"/>
                <w:rtl/>
                <w:lang w:bidi="ar-SA"/>
              </w:rPr>
              <w:t xml:space="preserve"> </w:t>
            </w:r>
            <w:r w:rsidRPr="00473E38">
              <w:rPr>
                <w:rtl/>
                <w:lang w:bidi="ar-SA"/>
              </w:rPr>
              <w:t>أعضاء من البلدان النامية والبلدان الأقل نموا</w:t>
            </w:r>
          </w:p>
          <w:p w:rsidR="00025AC0" w:rsidRDefault="00025AC0" w:rsidP="007843AB">
            <w:pPr>
              <w:pStyle w:val="ARSGTableText"/>
              <w:spacing w:line="300" w:lineRule="exact"/>
              <w:rPr>
                <w:rtl/>
                <w:lang w:bidi="ar-SA"/>
              </w:rPr>
            </w:pPr>
          </w:p>
          <w:p w:rsidR="00025AC0" w:rsidRDefault="00025AC0" w:rsidP="007843AB">
            <w:pPr>
              <w:pStyle w:val="ARSGTableText"/>
              <w:spacing w:line="300" w:lineRule="exact"/>
              <w:rPr>
                <w:rtl/>
                <w:lang w:bidi="ar-SA"/>
              </w:rPr>
            </w:pPr>
            <w:r w:rsidRPr="00473E38">
              <w:rPr>
                <w:rtl/>
                <w:lang w:bidi="ar-SA"/>
              </w:rPr>
              <w:t xml:space="preserve">عدد التسجيلات في قاعدة </w:t>
            </w:r>
            <w:r w:rsidRPr="00473E38">
              <w:rPr>
                <w:lang w:bidi="ar-SA"/>
              </w:rPr>
              <w:t>WIPO</w:t>
            </w:r>
            <w:r>
              <w:rPr>
                <w:lang w:bidi="ar-SA"/>
              </w:rPr>
              <w:t> </w:t>
            </w:r>
            <w:proofErr w:type="spellStart"/>
            <w:r w:rsidRPr="00473E38">
              <w:rPr>
                <w:lang w:bidi="ar-SA"/>
              </w:rPr>
              <w:t>Re:Search</w:t>
            </w:r>
            <w:proofErr w:type="spellEnd"/>
          </w:p>
          <w:p w:rsidR="00025AC0" w:rsidRDefault="00025AC0" w:rsidP="007843AB">
            <w:pPr>
              <w:pStyle w:val="ARSGTableText"/>
              <w:spacing w:line="300" w:lineRule="exact"/>
              <w:rPr>
                <w:rtl/>
                <w:lang w:bidi="ar-SA"/>
              </w:rPr>
            </w:pPr>
          </w:p>
          <w:p w:rsidR="00025AC0" w:rsidRDefault="00025AC0" w:rsidP="007843AB">
            <w:pPr>
              <w:pStyle w:val="ARSGTableText"/>
              <w:spacing w:line="300" w:lineRule="exact"/>
              <w:rPr>
                <w:rtl/>
                <w:lang w:bidi="ar-SA"/>
              </w:rPr>
            </w:pPr>
          </w:p>
          <w:p w:rsidR="00025AC0" w:rsidRPr="00473E38" w:rsidRDefault="00025AC0" w:rsidP="007843AB">
            <w:pPr>
              <w:pStyle w:val="ARSGTableText"/>
              <w:spacing w:line="300" w:lineRule="exact"/>
              <w:rPr>
                <w:rtl/>
                <w:lang w:bidi="ar-SA"/>
              </w:rPr>
            </w:pPr>
            <w:r w:rsidRPr="00473E38">
              <w:rPr>
                <w:rtl/>
                <w:lang w:bidi="ar-SA"/>
              </w:rPr>
              <w:t xml:space="preserve">تزايد عدد الاتفاقات ضمن </w:t>
            </w:r>
            <w:r>
              <w:rPr>
                <w:rFonts w:hint="cs"/>
                <w:rtl/>
                <w:lang w:bidi="ar-SA"/>
              </w:rPr>
              <w:t>برنامج</w:t>
            </w:r>
            <w:r w:rsidRPr="00473E38">
              <w:rPr>
                <w:lang w:bidi="ar-SA"/>
              </w:rPr>
              <w:t xml:space="preserve"> WIPO</w:t>
            </w:r>
            <w:r>
              <w:rPr>
                <w:lang w:bidi="ar-SA"/>
              </w:rPr>
              <w:t> </w:t>
            </w:r>
            <w:proofErr w:type="spellStart"/>
            <w:r w:rsidRPr="00473E38">
              <w:rPr>
                <w:lang w:bidi="ar-SA"/>
              </w:rPr>
              <w:t>Re:Search</w:t>
            </w:r>
            <w:proofErr w:type="spellEnd"/>
            <w:r>
              <w:rPr>
                <w:rFonts w:hint="cs"/>
                <w:rtl/>
                <w:lang w:bidi="ar-SA"/>
              </w:rPr>
              <w:t xml:space="preserve"> </w:t>
            </w:r>
            <w:r w:rsidRPr="00473E38">
              <w:rPr>
                <w:rtl/>
                <w:lang w:bidi="ar-SA"/>
              </w:rPr>
              <w:t>بما يؤدي إلى القيام بأنشطة بحث وتطوير جديدة أو تسريع الأنشطة القائمة منها في مجال أمراض المناطق المدارية المنسية والملاريا والسل</w:t>
            </w:r>
          </w:p>
        </w:tc>
        <w:tc>
          <w:tcPr>
            <w:tcW w:w="1937" w:type="dxa"/>
            <w:tcBorders>
              <w:top w:val="nil"/>
              <w:bottom w:val="nil"/>
            </w:tcBorders>
          </w:tcPr>
          <w:p w:rsidR="00025AC0" w:rsidRDefault="00025AC0" w:rsidP="007843AB">
            <w:pPr>
              <w:pStyle w:val="ARSGTableText"/>
              <w:spacing w:after="0" w:line="300" w:lineRule="exact"/>
              <w:rPr>
                <w:rtl/>
                <w:lang w:bidi="ar-SA"/>
              </w:rPr>
            </w:pPr>
            <w:r w:rsidRPr="00473E38">
              <w:rPr>
                <w:rtl/>
                <w:lang w:bidi="ar-SA"/>
              </w:rPr>
              <w:t xml:space="preserve">96 </w:t>
            </w:r>
            <w:r>
              <w:rPr>
                <w:rFonts w:hint="cs"/>
                <w:rtl/>
                <w:lang w:bidi="ar-SA"/>
              </w:rPr>
              <w:t xml:space="preserve">عضوا؛ 27 </w:t>
            </w:r>
            <w:r w:rsidRPr="00473E38">
              <w:rPr>
                <w:rtl/>
                <w:lang w:bidi="ar-SA"/>
              </w:rPr>
              <w:t>من البلدان النامية</w:t>
            </w:r>
            <w:r>
              <w:rPr>
                <w:rtl/>
                <w:lang w:bidi="ar-SA"/>
              </w:rPr>
              <w:br/>
              <w:t>(</w:t>
            </w:r>
            <w:r>
              <w:rPr>
                <w:rFonts w:hint="cs"/>
                <w:rtl/>
                <w:lang w:bidi="ar-SA"/>
              </w:rPr>
              <w:t xml:space="preserve">كما في </w:t>
            </w:r>
            <w:r w:rsidRPr="00473E38">
              <w:rPr>
                <w:rtl/>
                <w:lang w:bidi="ar-SA"/>
              </w:rPr>
              <w:t>نهاية ديسمبر</w:t>
            </w:r>
            <w:r>
              <w:rPr>
                <w:rFonts w:hint="cs"/>
                <w:rtl/>
                <w:lang w:bidi="ar-SA"/>
              </w:rPr>
              <w:t> </w:t>
            </w:r>
            <w:r w:rsidRPr="00473E38">
              <w:rPr>
                <w:rtl/>
                <w:lang w:bidi="ar-SA"/>
              </w:rPr>
              <w:t>2014)</w:t>
            </w:r>
          </w:p>
          <w:p w:rsidR="00025AC0" w:rsidRDefault="00025AC0" w:rsidP="007843AB">
            <w:pPr>
              <w:pStyle w:val="ARSGTableText"/>
              <w:spacing w:before="0" w:line="300" w:lineRule="exact"/>
              <w:rPr>
                <w:rtl/>
                <w:lang w:bidi="ar-SA"/>
              </w:rPr>
            </w:pPr>
          </w:p>
          <w:p w:rsidR="00025AC0" w:rsidRDefault="00025AC0" w:rsidP="007843AB">
            <w:pPr>
              <w:pStyle w:val="ARSGTableText"/>
              <w:spacing w:before="0" w:line="300" w:lineRule="exact"/>
              <w:rPr>
                <w:rtl/>
                <w:lang w:bidi="ar-SA"/>
              </w:rPr>
            </w:pPr>
          </w:p>
          <w:p w:rsidR="00025AC0" w:rsidRPr="00473E38" w:rsidRDefault="00025AC0" w:rsidP="007843AB">
            <w:pPr>
              <w:pStyle w:val="ARSGTableText"/>
              <w:spacing w:line="300" w:lineRule="exact"/>
              <w:rPr>
                <w:lang w:bidi="ar-SA"/>
              </w:rPr>
            </w:pPr>
            <w:r>
              <w:rPr>
                <w:rtl/>
                <w:lang w:bidi="ar-SA"/>
              </w:rPr>
              <w:t>186 تسجيلا</w:t>
            </w:r>
            <w:r w:rsidRPr="00473E38">
              <w:rPr>
                <w:rtl/>
                <w:lang w:bidi="ar-SA"/>
              </w:rPr>
              <w:t xml:space="preserve"> في قاعدة البيانات</w:t>
            </w:r>
            <w:r>
              <w:rPr>
                <w:rtl/>
                <w:lang w:bidi="ar-SA"/>
              </w:rPr>
              <w:br/>
            </w:r>
            <w:r w:rsidRPr="00473E38">
              <w:rPr>
                <w:rtl/>
                <w:lang w:bidi="ar-SA"/>
              </w:rPr>
              <w:t>(في 24 إبريل 2015)</w:t>
            </w:r>
          </w:p>
          <w:p w:rsidR="00025AC0" w:rsidRDefault="00025AC0" w:rsidP="007843AB">
            <w:pPr>
              <w:pStyle w:val="ARSGTableText"/>
              <w:spacing w:line="300" w:lineRule="exact"/>
              <w:rPr>
                <w:rtl/>
                <w:lang w:bidi="ar-SA"/>
              </w:rPr>
            </w:pPr>
          </w:p>
          <w:p w:rsidR="00025AC0" w:rsidRPr="00473E38" w:rsidRDefault="00025AC0" w:rsidP="007843AB">
            <w:pPr>
              <w:pStyle w:val="ARSGTableText"/>
              <w:spacing w:line="300" w:lineRule="exact"/>
              <w:rPr>
                <w:rtl/>
                <w:lang w:bidi="ar-SA"/>
              </w:rPr>
            </w:pPr>
            <w:r w:rsidRPr="00473E38">
              <w:rPr>
                <w:rtl/>
                <w:lang w:bidi="ar-SA"/>
              </w:rPr>
              <w:t>90 اتفاقًا (في 9 إبريل 2015)</w:t>
            </w:r>
          </w:p>
        </w:tc>
        <w:tc>
          <w:tcPr>
            <w:tcW w:w="1651" w:type="dxa"/>
            <w:tcBorders>
              <w:top w:val="nil"/>
            </w:tcBorders>
          </w:tcPr>
          <w:p w:rsidR="00025AC0" w:rsidRDefault="00025AC0" w:rsidP="007843AB">
            <w:pPr>
              <w:pStyle w:val="ARProgramTableText"/>
              <w:spacing w:line="300" w:lineRule="exact"/>
              <w:rPr>
                <w:rtl/>
                <w:lang w:bidi="ar-SA"/>
              </w:rPr>
            </w:pPr>
            <w:r>
              <w:rPr>
                <w:rFonts w:hint="cs"/>
                <w:rtl/>
                <w:lang w:bidi="ar-SA"/>
              </w:rPr>
              <w:t>8</w:t>
            </w:r>
            <w:r w:rsidRPr="00473E38">
              <w:rPr>
                <w:rtl/>
                <w:lang w:bidi="ar-SA"/>
              </w:rPr>
              <w:t xml:space="preserve"> </w:t>
            </w:r>
            <w:r>
              <w:rPr>
                <w:rFonts w:hint="cs"/>
                <w:rtl/>
                <w:lang w:bidi="ar-SA"/>
              </w:rPr>
              <w:t>أعضاء جدد</w:t>
            </w:r>
            <w:r w:rsidRPr="00473E38">
              <w:rPr>
                <w:rtl/>
                <w:lang w:bidi="ar-SA"/>
              </w:rPr>
              <w:t>؛ 7 من البلدان النامية</w:t>
            </w:r>
          </w:p>
          <w:p w:rsidR="00025AC0" w:rsidRDefault="00025AC0" w:rsidP="007843AB">
            <w:pPr>
              <w:pStyle w:val="ARProgramTableText"/>
              <w:spacing w:line="300" w:lineRule="exact"/>
              <w:rPr>
                <w:rtl/>
                <w:lang w:bidi="ar-SA"/>
              </w:rPr>
            </w:pPr>
          </w:p>
          <w:p w:rsidR="00025AC0" w:rsidRDefault="00025AC0" w:rsidP="007843AB">
            <w:pPr>
              <w:pStyle w:val="ARProgramTableText"/>
              <w:spacing w:line="300" w:lineRule="exact"/>
              <w:rPr>
                <w:rtl/>
                <w:lang w:bidi="ar-SA"/>
              </w:rPr>
            </w:pPr>
          </w:p>
          <w:p w:rsidR="00025AC0" w:rsidRPr="00473E38" w:rsidRDefault="00025AC0" w:rsidP="007843AB">
            <w:pPr>
              <w:pStyle w:val="ARProgramTableText"/>
              <w:spacing w:line="300" w:lineRule="exact"/>
              <w:rPr>
                <w:lang w:bidi="ar-SA"/>
              </w:rPr>
            </w:pPr>
            <w:r w:rsidRPr="00473E38">
              <w:rPr>
                <w:rtl/>
                <w:lang w:bidi="ar-SA"/>
              </w:rPr>
              <w:t xml:space="preserve">300 تسجيل في قاعدة البيانات إجمالاً </w:t>
            </w:r>
          </w:p>
          <w:p w:rsidR="00025AC0" w:rsidRPr="00473E38" w:rsidRDefault="00025AC0" w:rsidP="007843AB">
            <w:pPr>
              <w:pStyle w:val="ARProgramTableText"/>
              <w:spacing w:line="300" w:lineRule="exact"/>
              <w:rPr>
                <w:lang w:bidi="ar-SA"/>
              </w:rPr>
            </w:pPr>
          </w:p>
          <w:p w:rsidR="00025AC0" w:rsidRPr="00473E38" w:rsidRDefault="00025AC0" w:rsidP="007843AB">
            <w:pPr>
              <w:pStyle w:val="ARProgramTableText"/>
              <w:spacing w:line="300" w:lineRule="exact"/>
              <w:rPr>
                <w:lang w:bidi="ar-SA"/>
              </w:rPr>
            </w:pPr>
          </w:p>
          <w:p w:rsidR="00025AC0" w:rsidRPr="00473E38" w:rsidRDefault="00025AC0" w:rsidP="007843AB">
            <w:pPr>
              <w:pStyle w:val="ARProgramTableText"/>
              <w:spacing w:line="300" w:lineRule="exact"/>
              <w:rPr>
                <w:rtl/>
                <w:lang w:bidi="ar-SA"/>
              </w:rPr>
            </w:pPr>
            <w:r w:rsidRPr="00473E38">
              <w:rPr>
                <w:rtl/>
                <w:lang w:bidi="ar-SA"/>
              </w:rPr>
              <w:t>30 اتفاق جديد منها 20 اتفاق مكمّل</w:t>
            </w:r>
          </w:p>
        </w:tc>
      </w:tr>
      <w:tr w:rsidR="00025AC0" w:rsidRPr="00473E38" w:rsidTr="002420E2">
        <w:tc>
          <w:tcPr>
            <w:tcW w:w="2900" w:type="dxa"/>
            <w:tcBorders>
              <w:top w:val="nil"/>
            </w:tcBorders>
          </w:tcPr>
          <w:p w:rsidR="00025AC0" w:rsidRPr="00473E38" w:rsidRDefault="00025AC0" w:rsidP="007843AB">
            <w:pPr>
              <w:pStyle w:val="ARProgramTableText"/>
              <w:spacing w:line="300" w:lineRule="exact"/>
              <w:rPr>
                <w:rtl/>
                <w:lang w:bidi="ar-SA"/>
              </w:rPr>
            </w:pPr>
          </w:p>
        </w:tc>
        <w:tc>
          <w:tcPr>
            <w:tcW w:w="3082" w:type="dxa"/>
            <w:tcBorders>
              <w:top w:val="nil"/>
            </w:tcBorders>
          </w:tcPr>
          <w:p w:rsidR="00025AC0" w:rsidRDefault="00025AC0" w:rsidP="007843AB">
            <w:pPr>
              <w:pStyle w:val="ARSGTableText"/>
              <w:spacing w:line="300" w:lineRule="exact"/>
              <w:rPr>
                <w:rtl/>
                <w:lang w:bidi="ar-SA"/>
              </w:rPr>
            </w:pPr>
            <w:r w:rsidRPr="00473E38">
              <w:rPr>
                <w:rtl/>
                <w:lang w:bidi="ar-SA"/>
              </w:rPr>
              <w:t xml:space="preserve">عدد الأعضاء المشتركين في </w:t>
            </w:r>
            <w:r>
              <w:rPr>
                <w:rFonts w:hint="cs"/>
                <w:rtl/>
                <w:lang w:bidi="ar-SA"/>
              </w:rPr>
              <w:t>برنامج</w:t>
            </w:r>
            <w:r w:rsidRPr="00473E38">
              <w:rPr>
                <w:lang w:bidi="ar-SA"/>
              </w:rPr>
              <w:t xml:space="preserve"> WIPO</w:t>
            </w:r>
            <w:r>
              <w:rPr>
                <w:lang w:bidi="ar-SA"/>
              </w:rPr>
              <w:t> </w:t>
            </w:r>
            <w:r w:rsidRPr="00473E38">
              <w:rPr>
                <w:lang w:bidi="ar-SA"/>
              </w:rPr>
              <w:t xml:space="preserve">GREEN </w:t>
            </w:r>
          </w:p>
          <w:p w:rsidR="00025AC0" w:rsidRDefault="00025AC0" w:rsidP="007843AB">
            <w:pPr>
              <w:pStyle w:val="ARSGTableText"/>
              <w:spacing w:line="300" w:lineRule="exact"/>
              <w:rPr>
                <w:rtl/>
                <w:lang w:bidi="ar-SA"/>
              </w:rPr>
            </w:pPr>
          </w:p>
          <w:p w:rsidR="00025AC0" w:rsidRDefault="00025AC0" w:rsidP="007843AB">
            <w:pPr>
              <w:pStyle w:val="ARSGTableText"/>
              <w:spacing w:line="300" w:lineRule="exact"/>
              <w:rPr>
                <w:rtl/>
                <w:lang w:bidi="ar-SA"/>
              </w:rPr>
            </w:pPr>
          </w:p>
          <w:p w:rsidR="00025AC0" w:rsidRPr="00473E38" w:rsidRDefault="00025AC0" w:rsidP="007843AB">
            <w:pPr>
              <w:pStyle w:val="ARSGTableText"/>
              <w:spacing w:line="300" w:lineRule="exact"/>
              <w:rPr>
                <w:rtl/>
                <w:lang w:bidi="ar-SA"/>
              </w:rPr>
            </w:pPr>
            <w:r w:rsidRPr="00473E38">
              <w:rPr>
                <w:rtl/>
                <w:lang w:bidi="ar-SA"/>
              </w:rPr>
              <w:t>عدد التسجيلات في قاعدة بيانات</w:t>
            </w:r>
            <w:r>
              <w:rPr>
                <w:rFonts w:hint="cs"/>
                <w:rtl/>
                <w:lang w:bidi="ar-SA"/>
              </w:rPr>
              <w:t xml:space="preserve"> </w:t>
            </w:r>
            <w:r w:rsidRPr="00473E38">
              <w:rPr>
                <w:lang w:bidi="ar-SA"/>
              </w:rPr>
              <w:t>WIPO</w:t>
            </w:r>
            <w:r>
              <w:rPr>
                <w:lang w:bidi="ar-SA"/>
              </w:rPr>
              <w:t> </w:t>
            </w:r>
            <w:r w:rsidRPr="00473E38">
              <w:rPr>
                <w:lang w:bidi="ar-SA"/>
              </w:rPr>
              <w:t>GREEN</w:t>
            </w:r>
          </w:p>
          <w:p w:rsidR="00025AC0" w:rsidRPr="00473E38" w:rsidRDefault="00025AC0" w:rsidP="007843AB">
            <w:pPr>
              <w:pStyle w:val="ARSGTableText"/>
              <w:spacing w:line="300" w:lineRule="exact"/>
              <w:rPr>
                <w:rtl/>
                <w:lang w:bidi="ar-SA"/>
              </w:rPr>
            </w:pPr>
          </w:p>
          <w:p w:rsidR="00025AC0" w:rsidRPr="00473E38" w:rsidRDefault="00025AC0" w:rsidP="007843AB">
            <w:pPr>
              <w:pStyle w:val="ARSGTableText"/>
              <w:spacing w:line="300" w:lineRule="exact"/>
              <w:rPr>
                <w:rtl/>
                <w:lang w:bidi="ar-SA"/>
              </w:rPr>
            </w:pPr>
          </w:p>
          <w:p w:rsidR="00025AC0" w:rsidRPr="00473E38" w:rsidRDefault="00025AC0" w:rsidP="007843AB">
            <w:pPr>
              <w:pStyle w:val="ARSGTableText"/>
              <w:spacing w:line="300" w:lineRule="exact"/>
              <w:rPr>
                <w:rtl/>
                <w:lang w:bidi="ar-SA"/>
              </w:rPr>
            </w:pPr>
            <w:r w:rsidRPr="00473E38">
              <w:rPr>
                <w:rtl/>
                <w:lang w:bidi="ar-SA"/>
              </w:rPr>
              <w:t xml:space="preserve">عدد الاتفاقات التي حفزها </w:t>
            </w:r>
            <w:r>
              <w:rPr>
                <w:rFonts w:hint="cs"/>
                <w:rtl/>
                <w:lang w:bidi="ar-SA"/>
              </w:rPr>
              <w:t>برنامج</w:t>
            </w:r>
            <w:r w:rsidRPr="00473E38">
              <w:rPr>
                <w:lang w:bidi="ar-SA"/>
              </w:rPr>
              <w:t xml:space="preserve"> </w:t>
            </w:r>
            <w:r w:rsidRPr="00473E38">
              <w:rPr>
                <w:lang w:bidi="ar-SA"/>
              </w:rPr>
              <w:lastRenderedPageBreak/>
              <w:t>WIPO</w:t>
            </w:r>
            <w:r>
              <w:rPr>
                <w:lang w:bidi="ar-SA"/>
              </w:rPr>
              <w:t> </w:t>
            </w:r>
            <w:r w:rsidRPr="00473E38">
              <w:rPr>
                <w:lang w:bidi="ar-SA"/>
              </w:rPr>
              <w:t>GREEN</w:t>
            </w:r>
            <w:r>
              <w:rPr>
                <w:rFonts w:hint="cs"/>
                <w:rtl/>
                <w:lang w:bidi="ar-SA"/>
              </w:rPr>
              <w:t xml:space="preserve"> </w:t>
            </w:r>
            <w:r w:rsidRPr="00473E38">
              <w:rPr>
                <w:rtl/>
                <w:lang w:bidi="ar-SA"/>
              </w:rPr>
              <w:t>والرامية إلى تيسير نقل المعارف وتطويع التكنولوجيا و/أو نقلها و/أو نشرها</w:t>
            </w:r>
          </w:p>
        </w:tc>
        <w:tc>
          <w:tcPr>
            <w:tcW w:w="1937" w:type="dxa"/>
            <w:tcBorders>
              <w:top w:val="nil"/>
            </w:tcBorders>
          </w:tcPr>
          <w:p w:rsidR="00025AC0" w:rsidRDefault="00025AC0" w:rsidP="007843AB">
            <w:pPr>
              <w:pStyle w:val="ARSGTableText"/>
              <w:spacing w:line="300" w:lineRule="exact"/>
              <w:rPr>
                <w:rtl/>
                <w:lang w:bidi="ar-SA"/>
              </w:rPr>
            </w:pPr>
            <w:r w:rsidRPr="00473E38">
              <w:rPr>
                <w:rtl/>
                <w:lang w:bidi="ar-SA"/>
              </w:rPr>
              <w:lastRenderedPageBreak/>
              <w:t xml:space="preserve">57 شريكًا؛ و430 مستخدمًا </w:t>
            </w:r>
            <w:r>
              <w:rPr>
                <w:rFonts w:hint="cs"/>
                <w:rtl/>
                <w:lang w:bidi="ar-SA"/>
              </w:rPr>
              <w:br/>
            </w:r>
            <w:r w:rsidRPr="00473E38">
              <w:rPr>
                <w:rtl/>
                <w:lang w:bidi="ar-SA"/>
              </w:rPr>
              <w:t xml:space="preserve">(في 24 إبريل 2015) </w:t>
            </w:r>
          </w:p>
          <w:p w:rsidR="00025AC0" w:rsidRDefault="00025AC0" w:rsidP="007843AB">
            <w:pPr>
              <w:pStyle w:val="ARSGTableText"/>
              <w:spacing w:line="300" w:lineRule="exact"/>
              <w:rPr>
                <w:rtl/>
                <w:lang w:bidi="ar-SA"/>
              </w:rPr>
            </w:pPr>
          </w:p>
          <w:p w:rsidR="00025AC0" w:rsidRDefault="00025AC0" w:rsidP="007843AB">
            <w:pPr>
              <w:pStyle w:val="ARSGTableText"/>
              <w:spacing w:line="300" w:lineRule="exact"/>
              <w:rPr>
                <w:rtl/>
                <w:lang w:bidi="ar-SA"/>
              </w:rPr>
            </w:pPr>
            <w:r w:rsidRPr="00473E38">
              <w:rPr>
                <w:rtl/>
                <w:lang w:bidi="ar-SA"/>
              </w:rPr>
              <w:t xml:space="preserve">2050 تسجيلاً </w:t>
            </w:r>
            <w:r>
              <w:rPr>
                <w:rFonts w:hint="cs"/>
                <w:rtl/>
                <w:lang w:bidi="ar-SA"/>
              </w:rPr>
              <w:br/>
            </w:r>
            <w:r w:rsidRPr="00473E38">
              <w:rPr>
                <w:rtl/>
                <w:lang w:bidi="ar-SA"/>
              </w:rPr>
              <w:t xml:space="preserve">(في 24 إبريل 2015) </w:t>
            </w:r>
          </w:p>
          <w:p w:rsidR="00025AC0" w:rsidRDefault="00025AC0" w:rsidP="007843AB">
            <w:pPr>
              <w:pStyle w:val="ARSGTableText"/>
              <w:spacing w:line="300" w:lineRule="exact"/>
              <w:rPr>
                <w:rtl/>
                <w:lang w:bidi="ar-SA"/>
              </w:rPr>
            </w:pPr>
          </w:p>
          <w:p w:rsidR="00025AC0" w:rsidRDefault="00025AC0" w:rsidP="007843AB">
            <w:pPr>
              <w:pStyle w:val="ARSGTableText"/>
              <w:spacing w:line="300" w:lineRule="exact"/>
              <w:rPr>
                <w:rtl/>
                <w:lang w:bidi="ar-SA"/>
              </w:rPr>
            </w:pPr>
          </w:p>
          <w:p w:rsidR="00025AC0" w:rsidRPr="00473E38" w:rsidRDefault="00025AC0" w:rsidP="007843AB">
            <w:pPr>
              <w:pStyle w:val="ARSGTableText"/>
              <w:spacing w:line="300" w:lineRule="exact"/>
              <w:rPr>
                <w:rtl/>
                <w:lang w:bidi="ar-SA"/>
              </w:rPr>
            </w:pPr>
            <w:r w:rsidRPr="00473E38">
              <w:rPr>
                <w:rtl/>
                <w:lang w:bidi="ar-SA"/>
              </w:rPr>
              <w:t>7</w:t>
            </w:r>
            <w:r>
              <w:rPr>
                <w:rFonts w:hint="cs"/>
                <w:rtl/>
                <w:lang w:bidi="ar-SA"/>
              </w:rPr>
              <w:t> </w:t>
            </w:r>
            <w:r w:rsidRPr="00473E38">
              <w:rPr>
                <w:rtl/>
                <w:lang w:bidi="ar-SA"/>
              </w:rPr>
              <w:t xml:space="preserve">اتفاقات (جمعية مديري </w:t>
            </w:r>
            <w:r w:rsidRPr="00473E38">
              <w:rPr>
                <w:rtl/>
                <w:lang w:bidi="ar-SA"/>
              </w:rPr>
              <w:lastRenderedPageBreak/>
              <w:t xml:space="preserve">التكنولوجيا في الجامعات </w:t>
            </w:r>
            <w:r w:rsidRPr="00190E7E">
              <w:rPr>
                <w:sz w:val="24"/>
                <w:szCs w:val="24"/>
                <w:rtl/>
                <w:lang w:bidi="ar-SA"/>
              </w:rPr>
              <w:t>(</w:t>
            </w:r>
            <w:r w:rsidRPr="00190E7E">
              <w:rPr>
                <w:sz w:val="24"/>
                <w:szCs w:val="24"/>
                <w:lang w:bidi="ar-SA"/>
              </w:rPr>
              <w:t>AUTM</w:t>
            </w:r>
            <w:r w:rsidRPr="00190E7E">
              <w:rPr>
                <w:sz w:val="24"/>
                <w:szCs w:val="24"/>
                <w:rtl/>
                <w:lang w:bidi="ar-SA"/>
              </w:rPr>
              <w:t xml:space="preserve">) </w:t>
            </w:r>
            <w:r w:rsidRPr="00473E38">
              <w:rPr>
                <w:rtl/>
                <w:lang w:bidi="ar-SA"/>
              </w:rPr>
              <w:t xml:space="preserve">ومكتب الدانمرك للبراءات والعلامات التجارية </w:t>
            </w:r>
            <w:r w:rsidRPr="00190E7E">
              <w:rPr>
                <w:sz w:val="24"/>
                <w:szCs w:val="24"/>
                <w:rtl/>
                <w:lang w:bidi="ar-SA"/>
              </w:rPr>
              <w:t>(</w:t>
            </w:r>
            <w:r w:rsidRPr="00190E7E">
              <w:rPr>
                <w:sz w:val="24"/>
                <w:szCs w:val="24"/>
                <w:lang w:bidi="ar-SA"/>
              </w:rPr>
              <w:t>DKPTO</w:t>
            </w:r>
            <w:r w:rsidRPr="00190E7E">
              <w:rPr>
                <w:sz w:val="24"/>
                <w:szCs w:val="24"/>
                <w:rtl/>
                <w:lang w:bidi="ar-SA"/>
              </w:rPr>
              <w:t>)</w:t>
            </w:r>
            <w:r w:rsidRPr="00473E38">
              <w:rPr>
                <w:rtl/>
                <w:lang w:bidi="ar-SA"/>
              </w:rPr>
              <w:t xml:space="preserve"> وشبكة شرق أفريقيا للابتكار في مجال المناخ </w:t>
            </w:r>
            <w:r w:rsidRPr="00190E7E">
              <w:rPr>
                <w:sz w:val="24"/>
                <w:szCs w:val="24"/>
                <w:rtl/>
                <w:lang w:bidi="ar-SA"/>
              </w:rPr>
              <w:t>(</w:t>
            </w:r>
            <w:r w:rsidRPr="00190E7E">
              <w:rPr>
                <w:sz w:val="24"/>
                <w:szCs w:val="24"/>
                <w:lang w:bidi="ar-SA"/>
              </w:rPr>
              <w:t>EACIN</w:t>
            </w:r>
            <w:r w:rsidRPr="00190E7E">
              <w:rPr>
                <w:sz w:val="24"/>
                <w:szCs w:val="24"/>
                <w:rtl/>
                <w:lang w:bidi="ar-SA"/>
              </w:rPr>
              <w:t xml:space="preserve">) </w:t>
            </w:r>
            <w:r w:rsidRPr="00473E38">
              <w:rPr>
                <w:rtl/>
                <w:lang w:bidi="ar-SA"/>
              </w:rPr>
              <w:t xml:space="preserve">ومشاعات البراءات المفيدة للبيئة </w:t>
            </w:r>
            <w:r w:rsidRPr="00190E7E">
              <w:rPr>
                <w:sz w:val="24"/>
                <w:szCs w:val="24"/>
                <w:rtl/>
                <w:lang w:bidi="ar-SA"/>
              </w:rPr>
              <w:t>(</w:t>
            </w:r>
            <w:r w:rsidRPr="00190E7E">
              <w:rPr>
                <w:sz w:val="24"/>
                <w:szCs w:val="24"/>
                <w:lang w:bidi="ar-SA"/>
              </w:rPr>
              <w:t>Eco-patent commons</w:t>
            </w:r>
            <w:r w:rsidRPr="00190E7E">
              <w:rPr>
                <w:sz w:val="24"/>
                <w:szCs w:val="24"/>
                <w:rtl/>
                <w:lang w:bidi="ar-SA"/>
              </w:rPr>
              <w:t>)</w:t>
            </w:r>
            <w:r w:rsidRPr="00473E38">
              <w:rPr>
                <w:rtl/>
                <w:lang w:bidi="ar-SA"/>
              </w:rPr>
              <w:t xml:space="preserve"> ومؤسسة تمويل التكنولوجيا الكورية </w:t>
            </w:r>
            <w:r w:rsidRPr="00190E7E">
              <w:rPr>
                <w:sz w:val="24"/>
                <w:szCs w:val="24"/>
                <w:rtl/>
                <w:lang w:bidi="ar-SA"/>
              </w:rPr>
              <w:t>(</w:t>
            </w:r>
            <w:r w:rsidRPr="00190E7E">
              <w:rPr>
                <w:sz w:val="24"/>
                <w:szCs w:val="24"/>
                <w:lang w:bidi="ar-SA"/>
              </w:rPr>
              <w:t>KOTEC</w:t>
            </w:r>
            <w:r w:rsidRPr="00190E7E">
              <w:rPr>
                <w:sz w:val="24"/>
                <w:szCs w:val="24"/>
                <w:rtl/>
                <w:lang w:bidi="ar-SA"/>
              </w:rPr>
              <w:t>) و</w:t>
            </w:r>
            <w:proofErr w:type="spellStart"/>
            <w:r w:rsidRPr="00190E7E">
              <w:rPr>
                <w:sz w:val="24"/>
                <w:szCs w:val="24"/>
                <w:lang w:bidi="ar-SA"/>
              </w:rPr>
              <w:t>TechnologieAllianz</w:t>
            </w:r>
            <w:proofErr w:type="spellEnd"/>
            <w:r w:rsidRPr="00473E38">
              <w:rPr>
                <w:rtl/>
                <w:lang w:bidi="ar-SA"/>
              </w:rPr>
              <w:t xml:space="preserve"> وكتب الأمم المتحدة للتعاون فيما بين بلدان الجنوب (</w:t>
            </w:r>
            <w:proofErr w:type="spellStart"/>
            <w:r w:rsidRPr="00473E38">
              <w:rPr>
                <w:lang w:bidi="ar-SA"/>
              </w:rPr>
              <w:t>UNOSSC</w:t>
            </w:r>
            <w:proofErr w:type="spellEnd"/>
            <w:r>
              <w:rPr>
                <w:rtl/>
                <w:lang w:bidi="ar-SA"/>
              </w:rPr>
              <w:t xml:space="preserve">) </w:t>
            </w:r>
            <w:r>
              <w:rPr>
                <w:rFonts w:hint="cs"/>
                <w:rtl/>
                <w:lang w:bidi="ar-SA"/>
              </w:rPr>
              <w:br/>
            </w:r>
            <w:r>
              <w:rPr>
                <w:rtl/>
                <w:lang w:bidi="ar-SA"/>
              </w:rPr>
              <w:t>(في 24 إبريل 2015)</w:t>
            </w:r>
          </w:p>
        </w:tc>
        <w:tc>
          <w:tcPr>
            <w:tcW w:w="1651" w:type="dxa"/>
          </w:tcPr>
          <w:p w:rsidR="00025AC0" w:rsidRDefault="00025AC0" w:rsidP="007843AB">
            <w:pPr>
              <w:pStyle w:val="ARProgramTableText"/>
              <w:spacing w:line="300" w:lineRule="exact"/>
              <w:rPr>
                <w:rtl/>
              </w:rPr>
            </w:pPr>
            <w:r w:rsidRPr="00473E38">
              <w:rPr>
                <w:rtl/>
                <w:lang w:bidi="ar-SA"/>
              </w:rPr>
              <w:lastRenderedPageBreak/>
              <w:t xml:space="preserve">14 شريكًا إضافيًا؛ </w:t>
            </w:r>
          </w:p>
          <w:p w:rsidR="00025AC0" w:rsidRDefault="00025AC0" w:rsidP="007843AB">
            <w:pPr>
              <w:pStyle w:val="ARProgramTableText"/>
              <w:spacing w:before="0" w:after="0" w:line="300" w:lineRule="exact"/>
              <w:rPr>
                <w:rtl/>
              </w:rPr>
            </w:pPr>
          </w:p>
          <w:p w:rsidR="00025AC0" w:rsidRDefault="00025AC0" w:rsidP="007843AB">
            <w:pPr>
              <w:pStyle w:val="ARProgramTableText"/>
              <w:spacing w:before="0" w:after="0" w:line="300" w:lineRule="exact"/>
              <w:rPr>
                <w:rtl/>
              </w:rPr>
            </w:pPr>
          </w:p>
          <w:p w:rsidR="00025AC0" w:rsidRDefault="00025AC0" w:rsidP="007843AB">
            <w:pPr>
              <w:pStyle w:val="ARProgramTableText"/>
              <w:spacing w:before="0" w:after="0" w:line="300" w:lineRule="exact"/>
              <w:rPr>
                <w:rtl/>
              </w:rPr>
            </w:pPr>
          </w:p>
          <w:p w:rsidR="00025AC0" w:rsidRPr="00473E38" w:rsidRDefault="00025AC0" w:rsidP="007843AB">
            <w:pPr>
              <w:pStyle w:val="ARProgramTableText"/>
              <w:spacing w:line="300" w:lineRule="exact"/>
              <w:rPr>
                <w:rtl/>
                <w:lang w:bidi="ar-SA"/>
              </w:rPr>
            </w:pPr>
            <w:r>
              <w:rPr>
                <w:rFonts w:hint="cs"/>
                <w:rtl/>
                <w:lang w:bidi="ar-SA"/>
              </w:rPr>
              <w:t>200 1</w:t>
            </w:r>
            <w:r w:rsidRPr="00473E38">
              <w:rPr>
                <w:rtl/>
                <w:lang w:bidi="ar-SA"/>
              </w:rPr>
              <w:t xml:space="preserve"> مستخدم إضافي تسجيل إضافي 10 اتفاقات</w:t>
            </w:r>
          </w:p>
        </w:tc>
      </w:tr>
      <w:tr w:rsidR="00025AC0" w:rsidRPr="00473E38" w:rsidTr="007843AB">
        <w:tc>
          <w:tcPr>
            <w:tcW w:w="2900" w:type="dxa"/>
          </w:tcPr>
          <w:p w:rsidR="00025AC0" w:rsidRPr="00473E38" w:rsidRDefault="00025AC0" w:rsidP="007843AB">
            <w:pPr>
              <w:pStyle w:val="ARProgramTableText"/>
              <w:spacing w:line="300" w:lineRule="exact"/>
              <w:rPr>
                <w:rtl/>
                <w:lang w:bidi="ar-SA"/>
              </w:rPr>
            </w:pPr>
          </w:p>
        </w:tc>
        <w:tc>
          <w:tcPr>
            <w:tcW w:w="3082" w:type="dxa"/>
          </w:tcPr>
          <w:p w:rsidR="00025AC0" w:rsidRPr="00473E38" w:rsidRDefault="00025AC0" w:rsidP="007843AB">
            <w:pPr>
              <w:pStyle w:val="ARSGTableText"/>
              <w:spacing w:line="300" w:lineRule="exact"/>
              <w:rPr>
                <w:rtl/>
                <w:lang w:bidi="ar-SA"/>
              </w:rPr>
            </w:pPr>
            <w:r w:rsidRPr="00473E38">
              <w:rPr>
                <w:rtl/>
                <w:lang w:bidi="ar-SA"/>
              </w:rPr>
              <w:t>إحراز تقدم بشأن إقامة إطار للتعاون الدولي من أجل إسهام الملكية الفكرية إسهامًا فعالاً في الأمن الغذائي من خلال عملية التشاور</w:t>
            </w:r>
          </w:p>
        </w:tc>
        <w:tc>
          <w:tcPr>
            <w:tcW w:w="1937" w:type="dxa"/>
          </w:tcPr>
          <w:p w:rsidR="00025AC0" w:rsidRPr="00473E38" w:rsidRDefault="00025AC0" w:rsidP="007843AB">
            <w:pPr>
              <w:pStyle w:val="ARSGTableText"/>
              <w:spacing w:line="300" w:lineRule="exact"/>
              <w:rPr>
                <w:rtl/>
                <w:lang w:bidi="ar-SA"/>
              </w:rPr>
            </w:pPr>
            <w:r w:rsidRPr="00473E38">
              <w:rPr>
                <w:rtl/>
                <w:lang w:bidi="ar-SA"/>
              </w:rPr>
              <w:t>غير متاحة</w:t>
            </w:r>
          </w:p>
          <w:p w:rsidR="00025AC0" w:rsidRPr="00473E38" w:rsidRDefault="00025AC0" w:rsidP="007843AB">
            <w:pPr>
              <w:pStyle w:val="ARSGTableText"/>
              <w:spacing w:line="300" w:lineRule="exact"/>
              <w:rPr>
                <w:rtl/>
                <w:lang w:bidi="ar-SA"/>
              </w:rPr>
            </w:pPr>
          </w:p>
        </w:tc>
        <w:tc>
          <w:tcPr>
            <w:tcW w:w="1651" w:type="dxa"/>
          </w:tcPr>
          <w:p w:rsidR="00025AC0" w:rsidRPr="00473E38" w:rsidRDefault="00025AC0" w:rsidP="007843AB">
            <w:pPr>
              <w:pStyle w:val="ARProgramTableText"/>
              <w:spacing w:line="300" w:lineRule="exact"/>
              <w:rPr>
                <w:rtl/>
                <w:lang w:bidi="ar-SA"/>
              </w:rPr>
            </w:pPr>
            <w:r w:rsidRPr="00473E38">
              <w:rPr>
                <w:rtl/>
                <w:lang w:bidi="ar-SA"/>
              </w:rPr>
              <w:t>صيغ مشروع إطار شامل</w:t>
            </w:r>
          </w:p>
        </w:tc>
      </w:tr>
      <w:tr w:rsidR="00025AC0" w:rsidRPr="00473E38" w:rsidTr="007843AB">
        <w:tc>
          <w:tcPr>
            <w:tcW w:w="2900" w:type="dxa"/>
          </w:tcPr>
          <w:p w:rsidR="00025AC0" w:rsidRPr="00473E38" w:rsidRDefault="00025AC0" w:rsidP="007843AB">
            <w:pPr>
              <w:pStyle w:val="ARProgramTableText"/>
              <w:spacing w:line="300" w:lineRule="exact"/>
              <w:rPr>
                <w:rtl/>
                <w:lang w:bidi="ar-SA"/>
              </w:rPr>
            </w:pPr>
          </w:p>
        </w:tc>
        <w:tc>
          <w:tcPr>
            <w:tcW w:w="3082" w:type="dxa"/>
          </w:tcPr>
          <w:p w:rsidR="00025AC0" w:rsidRPr="00473E38" w:rsidRDefault="00025AC0" w:rsidP="007843AB">
            <w:pPr>
              <w:pStyle w:val="ARSGTableText"/>
              <w:spacing w:line="300" w:lineRule="exact"/>
              <w:rPr>
                <w:rtl/>
                <w:lang w:bidi="ar-SA"/>
              </w:rPr>
            </w:pPr>
            <w:r w:rsidRPr="00473E38">
              <w:rPr>
                <w:rtl/>
                <w:lang w:bidi="ar-SA"/>
              </w:rPr>
              <w:t>عدد زائري الموقع الإلكتروني للتحديات العالمية</w:t>
            </w:r>
          </w:p>
        </w:tc>
        <w:tc>
          <w:tcPr>
            <w:tcW w:w="1937" w:type="dxa"/>
          </w:tcPr>
          <w:p w:rsidR="00025AC0" w:rsidRPr="009428A7" w:rsidRDefault="00025AC0" w:rsidP="007843AB">
            <w:pPr>
              <w:pStyle w:val="ARSGTableText"/>
              <w:spacing w:line="300" w:lineRule="exact"/>
              <w:rPr>
                <w:lang w:bidi="ar-SA"/>
              </w:rPr>
            </w:pPr>
            <w:r w:rsidRPr="00473E38">
              <w:rPr>
                <w:rtl/>
                <w:lang w:bidi="ar-SA"/>
              </w:rPr>
              <w:t xml:space="preserve">عدد زيارات الصفحات: </w:t>
            </w:r>
            <w:r>
              <w:rPr>
                <w:rFonts w:hint="cs"/>
                <w:rtl/>
                <w:lang w:bidi="ar-SA"/>
              </w:rPr>
              <w:br/>
            </w:r>
            <w:r w:rsidRPr="00473E38">
              <w:rPr>
                <w:rtl/>
                <w:lang w:bidi="ar-SA"/>
              </w:rPr>
              <w:t>ـ شعبة التحديات العالمية:</w:t>
            </w:r>
            <w:r w:rsidRPr="00473E38">
              <w:rPr>
                <w:lang w:bidi="ar-SA"/>
              </w:rPr>
              <w:t xml:space="preserve"> </w:t>
            </w:r>
            <w:r w:rsidRPr="00473E38">
              <w:rPr>
                <w:rtl/>
                <w:lang w:bidi="ar-SA"/>
              </w:rPr>
              <w:t>1353</w:t>
            </w:r>
            <w:r>
              <w:rPr>
                <w:rFonts w:hint="cs"/>
                <w:rtl/>
                <w:lang w:bidi="ar-SA"/>
              </w:rPr>
              <w:br/>
            </w:r>
            <w:r w:rsidRPr="00473E38">
              <w:rPr>
                <w:rtl/>
                <w:lang w:bidi="ar-SA"/>
              </w:rPr>
              <w:t>ـ الصحة العالمية والملكية الفكرية:</w:t>
            </w:r>
            <w:r w:rsidRPr="00473E38">
              <w:rPr>
                <w:lang w:bidi="ar-SA"/>
              </w:rPr>
              <w:t xml:space="preserve"> </w:t>
            </w:r>
            <w:r w:rsidRPr="00473E38">
              <w:rPr>
                <w:rtl/>
                <w:lang w:bidi="ar-SA"/>
              </w:rPr>
              <w:t xml:space="preserve">4778 </w:t>
            </w:r>
            <w:r>
              <w:rPr>
                <w:rFonts w:hint="cs"/>
                <w:rtl/>
                <w:lang w:bidi="ar-SA"/>
              </w:rPr>
              <w:br/>
            </w:r>
            <w:r w:rsidRPr="00473E38">
              <w:rPr>
                <w:rtl/>
                <w:lang w:bidi="ar-SA"/>
              </w:rPr>
              <w:t xml:space="preserve">ـ تغير المناخ والملكية الفكرية: </w:t>
            </w:r>
            <w:r>
              <w:rPr>
                <w:rFonts w:hint="cs"/>
                <w:color w:val="000000"/>
                <w:rtl/>
                <w:lang w:bidi="ar-SA"/>
              </w:rPr>
              <w:t>462 2</w:t>
            </w:r>
          </w:p>
          <w:p w:rsidR="00025AC0" w:rsidRPr="00473E38" w:rsidRDefault="00025AC0" w:rsidP="007843AB">
            <w:pPr>
              <w:pStyle w:val="ARSGTableText"/>
              <w:spacing w:line="300" w:lineRule="exact"/>
              <w:rPr>
                <w:rtl/>
              </w:rPr>
            </w:pPr>
            <w:r w:rsidRPr="00473E38">
              <w:rPr>
                <w:rtl/>
                <w:lang w:bidi="ar-SA"/>
              </w:rPr>
              <w:t>ـ</w:t>
            </w:r>
            <w:r>
              <w:rPr>
                <w:lang w:bidi="ar-SA"/>
              </w:rPr>
              <w:t>WIPO </w:t>
            </w:r>
            <w:proofErr w:type="spellStart"/>
            <w:r>
              <w:rPr>
                <w:lang w:bidi="ar-SA"/>
              </w:rPr>
              <w:t>Re:Search</w:t>
            </w:r>
            <w:proofErr w:type="spellEnd"/>
            <w:r w:rsidRPr="00473E38">
              <w:rPr>
                <w:lang w:bidi="ar-SA"/>
              </w:rPr>
              <w:t xml:space="preserve"> </w:t>
            </w:r>
            <w:r>
              <w:rPr>
                <w:rFonts w:hint="cs"/>
                <w:rtl/>
              </w:rPr>
              <w:t xml:space="preserve"> 852 38</w:t>
            </w:r>
          </w:p>
          <w:p w:rsidR="00025AC0" w:rsidRPr="00473E38" w:rsidRDefault="00025AC0" w:rsidP="007843AB">
            <w:pPr>
              <w:pStyle w:val="ARSGTableText"/>
              <w:spacing w:line="300" w:lineRule="exact"/>
              <w:rPr>
                <w:rtl/>
                <w:lang w:bidi="ar-SA"/>
              </w:rPr>
            </w:pPr>
            <w:r w:rsidRPr="00473E38">
              <w:rPr>
                <w:rtl/>
                <w:lang w:bidi="ar-SA"/>
              </w:rPr>
              <w:t>ـ</w:t>
            </w:r>
            <w:r w:rsidRPr="00473E38">
              <w:rPr>
                <w:lang w:bidi="ar-SA"/>
              </w:rPr>
              <w:t xml:space="preserve"> WIPO</w:t>
            </w:r>
            <w:r>
              <w:rPr>
                <w:lang w:bidi="ar-SA"/>
              </w:rPr>
              <w:t> </w:t>
            </w:r>
            <w:r w:rsidRPr="00473E38">
              <w:rPr>
                <w:lang w:bidi="ar-SA"/>
              </w:rPr>
              <w:t xml:space="preserve">GREEN </w:t>
            </w:r>
            <w:r>
              <w:rPr>
                <w:rFonts w:hint="cs"/>
                <w:rtl/>
                <w:lang w:bidi="ar-SA"/>
              </w:rPr>
              <w:t>752 77</w:t>
            </w:r>
          </w:p>
        </w:tc>
        <w:tc>
          <w:tcPr>
            <w:tcW w:w="1651" w:type="dxa"/>
          </w:tcPr>
          <w:p w:rsidR="00025AC0" w:rsidRPr="00473E38" w:rsidRDefault="00025AC0" w:rsidP="007843AB">
            <w:pPr>
              <w:pStyle w:val="ARProgramTableText"/>
              <w:spacing w:line="300" w:lineRule="exact"/>
              <w:rPr>
                <w:rtl/>
                <w:lang w:bidi="ar-SA"/>
              </w:rPr>
            </w:pPr>
            <w:r w:rsidRPr="00473E38">
              <w:rPr>
                <w:rtl/>
                <w:lang w:bidi="ar-SA"/>
              </w:rPr>
              <w:t>زيادة بنسبة 10%</w:t>
            </w:r>
          </w:p>
        </w:tc>
      </w:tr>
    </w:tbl>
    <w:p w:rsidR="00025AC0" w:rsidRDefault="00025AC0" w:rsidP="007843AB">
      <w:pPr>
        <w:pStyle w:val="ARNormal"/>
        <w:rPr>
          <w:rtl/>
        </w:rPr>
      </w:pPr>
    </w:p>
    <w:p w:rsidR="00025AC0" w:rsidRPr="00B1466B" w:rsidRDefault="00025AC0" w:rsidP="00EA5693">
      <w:pPr>
        <w:pStyle w:val="StyleHeading3ComplexItalic"/>
        <w:tabs>
          <w:tab w:val="clear" w:pos="1985"/>
          <w:tab w:val="left" w:pos="1331"/>
        </w:tabs>
        <w:bidi/>
        <w:adjustRightInd w:val="0"/>
        <w:snapToGrid w:val="0"/>
        <w:spacing w:after="240" w:line="360" w:lineRule="exact"/>
        <w:outlineLvl w:val="9"/>
        <w:rPr>
          <w:rFonts w:ascii="Arabic Typesetting" w:hAnsi="Arabic Typesetting" w:cs="Arabic Typesetting"/>
          <w:bCs/>
          <w:iCs w:val="0"/>
          <w:noProof/>
          <w:sz w:val="42"/>
          <w:szCs w:val="42"/>
        </w:rPr>
      </w:pPr>
      <w:r w:rsidRPr="00B1466B">
        <w:rPr>
          <w:rFonts w:ascii="Arabic Typesetting" w:hAnsi="Arabic Typesetting" w:cs="Arabic Typesetting"/>
          <w:bCs/>
          <w:iCs w:val="0"/>
          <w:noProof/>
          <w:sz w:val="42"/>
          <w:szCs w:val="42"/>
          <w:rtl/>
        </w:rPr>
        <w:t>الملكية الفكرية وسياسة المنافسة</w:t>
      </w:r>
    </w:p>
    <w:p w:rsidR="00025AC0" w:rsidRPr="00473E38" w:rsidRDefault="00025AC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73E38">
        <w:rPr>
          <w:rFonts w:ascii="Arabic Typesetting" w:hAnsi="Arabic Typesetting" w:cs="Arabic Typesetting"/>
          <w:noProof/>
          <w:sz w:val="38"/>
          <w:szCs w:val="38"/>
          <w:rtl/>
        </w:rPr>
        <w:t>سياق التخطيط</w:t>
      </w:r>
    </w:p>
    <w:p w:rsidR="00025AC0" w:rsidRPr="00473E38" w:rsidRDefault="00025AC0" w:rsidP="00861CFF">
      <w:pPr>
        <w:pStyle w:val="ARNormal"/>
        <w:numPr>
          <w:ilvl w:val="0"/>
          <w:numId w:val="31"/>
        </w:numPr>
        <w:tabs>
          <w:tab w:val="right" w:pos="707"/>
        </w:tabs>
        <w:ind w:left="0" w:firstLine="0"/>
      </w:pPr>
      <w:r w:rsidRPr="00473E38">
        <w:rPr>
          <w:rtl/>
        </w:rPr>
        <w:t>يرتبط عمل الويبو فيما يخص الملكية الفكرية وسياسة المناقشة بالهدفين الاستراتيجيين الأول والثالث.</w:t>
      </w:r>
      <w:r w:rsidRPr="00473E38">
        <w:t xml:space="preserve"> </w:t>
      </w:r>
      <w:r w:rsidRPr="00473E38">
        <w:rPr>
          <w:rtl/>
        </w:rPr>
        <w:t>ومن ناحية الهدف الاستراتيجي الأول، فإن العمل يرمي إلى تزويد الدول الأعضاء بالويبو بالأدوات اللازمة لإنشاء إطار متوازن من القواعد والمعايير على الصعيد الوطني يضمن بقاء الملكية الفكرية إطارًا قانونيًا للأسواق الحرة والمفتوحة.</w:t>
      </w:r>
      <w:r w:rsidRPr="00473E38">
        <w:t xml:space="preserve"> </w:t>
      </w:r>
      <w:r w:rsidRPr="00473E38">
        <w:rPr>
          <w:rtl/>
        </w:rPr>
        <w:t>وفي الوقت نفسه، فإن ضمان حرية الأسواق يعد حافزًا قويًا للتنمية.</w:t>
      </w:r>
    </w:p>
    <w:p w:rsidR="00025AC0" w:rsidRPr="00473E38" w:rsidRDefault="00025AC0" w:rsidP="00861CFF">
      <w:pPr>
        <w:pStyle w:val="ARNormal"/>
        <w:numPr>
          <w:ilvl w:val="0"/>
          <w:numId w:val="31"/>
        </w:numPr>
        <w:tabs>
          <w:tab w:val="right" w:pos="707"/>
        </w:tabs>
        <w:ind w:left="0" w:firstLine="0"/>
      </w:pPr>
      <w:r w:rsidRPr="00473E38">
        <w:rPr>
          <w:rtl/>
        </w:rPr>
        <w:t>وستواصل الويبو القيام بدورها كمحفل لتقاسم الخبرات بين الدول الأعضاء حول الملكية الفكرية وسياسة المنافسة من خلال زيادة التوعية ونشر المعارف مع إيلاء عناية خاصة للب</w:t>
      </w:r>
      <w:r>
        <w:rPr>
          <w:rtl/>
        </w:rPr>
        <w:t>لدان النامية والبلدان الأقل نمو</w:t>
      </w:r>
      <w:r w:rsidRPr="00473E38">
        <w:rPr>
          <w:rtl/>
        </w:rPr>
        <w:t>ا.</w:t>
      </w:r>
    </w:p>
    <w:p w:rsidR="00025AC0" w:rsidRPr="00473E38" w:rsidRDefault="00025AC0" w:rsidP="007843AB">
      <w:pPr>
        <w:pStyle w:val="ARNormal"/>
      </w:pPr>
    </w:p>
    <w:p w:rsidR="00025AC0" w:rsidRPr="00EF6D7E" w:rsidRDefault="00025AC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EF6D7E">
        <w:rPr>
          <w:rFonts w:ascii="Arabic Typesetting" w:hAnsi="Arabic Typesetting" w:cs="Arabic Typesetting"/>
          <w:noProof/>
          <w:sz w:val="38"/>
          <w:szCs w:val="38"/>
          <w:rtl/>
        </w:rPr>
        <w:t>استراتيجيات التنفيذ</w:t>
      </w:r>
    </w:p>
    <w:p w:rsidR="00025AC0" w:rsidRPr="00473E38" w:rsidRDefault="00025AC0" w:rsidP="00861CFF">
      <w:pPr>
        <w:pStyle w:val="ARNormal"/>
        <w:numPr>
          <w:ilvl w:val="0"/>
          <w:numId w:val="31"/>
        </w:numPr>
        <w:tabs>
          <w:tab w:val="right" w:pos="707"/>
        </w:tabs>
        <w:ind w:left="0" w:firstLine="0"/>
      </w:pPr>
      <w:r w:rsidRPr="00473E38">
        <w:rPr>
          <w:rtl/>
        </w:rPr>
        <w:t>ستواصل الويبو، خلال الثنائية 2016/17، إجراء الأنشطة المتعلقة بتبادل التجارب ومساعدة الدول الأعضاء في تناول العلاقة بين الملكية الفكرية وسياسة المنافسة. وستشمل هذه الأنشطة دراسة استخدام عدد من الدول الأعضاء قواعد الحماية من المنافسة غير المشروعة كآليات مكملة لإنفاذ قانون المنافسة، وتحليل هذا الاستخدام.</w:t>
      </w:r>
    </w:p>
    <w:p w:rsidR="00025AC0" w:rsidRDefault="00025AC0" w:rsidP="00861CFF">
      <w:pPr>
        <w:pStyle w:val="ARNormal"/>
        <w:numPr>
          <w:ilvl w:val="0"/>
          <w:numId w:val="31"/>
        </w:numPr>
        <w:tabs>
          <w:tab w:val="right" w:pos="707"/>
        </w:tabs>
        <w:ind w:left="0" w:firstLine="0"/>
      </w:pPr>
      <w:r w:rsidRPr="00473E38">
        <w:rPr>
          <w:rtl/>
        </w:rPr>
        <w:t>فضلاً عن ذلك، لضمان عدم تكرار الجهود مع المنظمات الحكومية الدولية الأخرى، ستستمر الويبو في التنسيق بانتظام مع منظمة التعاون والتنمية في الميدان الاقتصادي (</w:t>
      </w:r>
      <w:r w:rsidRPr="00473E38">
        <w:t>OECD</w:t>
      </w:r>
      <w:r w:rsidRPr="00473E38">
        <w:rPr>
          <w:rtl/>
        </w:rPr>
        <w:t>) ومنظمة التجارة العالمية ومؤتمر الأمم المتحدة للتجارة والتنمية (</w:t>
      </w:r>
      <w:r w:rsidRPr="00473E38">
        <w:t>UNCTAD</w:t>
      </w:r>
      <w:r w:rsidRPr="00473E38">
        <w:rPr>
          <w:rtl/>
        </w:rPr>
        <w:t>) وعند الاقتضاء، مع شبكة المنافسة الدولية (</w:t>
      </w:r>
      <w:r w:rsidRPr="00473E38">
        <w:t>ICN</w:t>
      </w:r>
      <w:r w:rsidRPr="00473E38">
        <w:rPr>
          <w:rtl/>
        </w:rPr>
        <w:t>).</w:t>
      </w:r>
    </w:p>
    <w:p w:rsidR="00025AC0" w:rsidRDefault="00025AC0" w:rsidP="007843AB">
      <w:pPr>
        <w:pStyle w:val="ARNormal"/>
      </w:pPr>
    </w:p>
    <w:p w:rsidR="00025AC0" w:rsidRPr="008604AF" w:rsidRDefault="00025AC0" w:rsidP="007843AB">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604AF">
        <w:rPr>
          <w:rFonts w:ascii="Arabic Typesetting" w:hAnsi="Arabic Typesetting" w:cs="Arabic Typesetting" w:hint="cs"/>
          <w:noProof/>
          <w:sz w:val="38"/>
          <w:szCs w:val="38"/>
          <w:rtl/>
        </w:rPr>
        <w:t>الموارد المخصصة للبرنامج 18</w:t>
      </w:r>
    </w:p>
    <w:p w:rsidR="00025AC0" w:rsidRDefault="00025AC0" w:rsidP="00861CFF">
      <w:pPr>
        <w:pStyle w:val="ARNormal"/>
        <w:numPr>
          <w:ilvl w:val="0"/>
          <w:numId w:val="31"/>
        </w:numPr>
        <w:tabs>
          <w:tab w:val="right" w:pos="707"/>
        </w:tabs>
        <w:ind w:left="0" w:firstLine="0"/>
      </w:pPr>
      <w:r>
        <w:rPr>
          <w:rFonts w:hint="cs"/>
          <w:rtl/>
        </w:rPr>
        <w:t>يُلاحظ انخفاض طفيف في إجمالي الموارد المخصصة للبرنامج 18 في الثنائية 2016/17 مقارنة بميزانية 2014/15 بعد التحويلات. ويُعزى ذلك إلى انخفاض في الموارد خلاف موارد الموظفين المخصصة للملكية الفكرية وسياسة المنافسة وانخفاض في موارد الموظفين المخصصة للبرنامج في الثنائية 2016/17 نتيجة تغير منهجية حساب التكاليف الخاصة بموارد الموظفين في الثنائية</w:t>
      </w:r>
      <w:r>
        <w:rPr>
          <w:rFonts w:hint="eastAsia"/>
          <w:rtl/>
        </w:rPr>
        <w:t> </w:t>
      </w:r>
      <w:r>
        <w:rPr>
          <w:rFonts w:hint="cs"/>
          <w:rtl/>
        </w:rPr>
        <w:t>2016/17 استنادا إلى المبالغ الفعلية.</w:t>
      </w:r>
    </w:p>
    <w:p w:rsidR="00025AC0" w:rsidRDefault="00025AC0" w:rsidP="00861CFF">
      <w:pPr>
        <w:pStyle w:val="ARNormal"/>
        <w:numPr>
          <w:ilvl w:val="0"/>
          <w:numId w:val="31"/>
        </w:numPr>
        <w:tabs>
          <w:tab w:val="right" w:pos="707"/>
        </w:tabs>
        <w:ind w:left="0" w:firstLine="0"/>
      </w:pPr>
      <w:r>
        <w:rPr>
          <w:rFonts w:hint="cs"/>
          <w:rtl/>
        </w:rPr>
        <w:t xml:space="preserve">وتم دمج النتيجة المرتقبة </w:t>
      </w:r>
      <w:r w:rsidRPr="009325FF">
        <w:rPr>
          <w:rtl/>
        </w:rPr>
        <w:t xml:space="preserve">ه </w:t>
      </w:r>
      <w:r>
        <w:rPr>
          <w:rFonts w:hint="cs"/>
          <w:rtl/>
        </w:rPr>
        <w:t>3</w:t>
      </w:r>
      <w:r w:rsidRPr="009325FF">
        <w:rPr>
          <w:rtl/>
        </w:rPr>
        <w:t>.</w:t>
      </w:r>
      <w:r>
        <w:rPr>
          <w:rFonts w:hint="cs"/>
          <w:rtl/>
        </w:rPr>
        <w:t xml:space="preserve">7 مع النتيجة المرتقبة </w:t>
      </w:r>
      <w:r w:rsidRPr="00473E38">
        <w:rPr>
          <w:rtl/>
        </w:rPr>
        <w:t>ه 2.</w:t>
      </w:r>
      <w:r>
        <w:rPr>
          <w:rFonts w:hint="cs"/>
          <w:rtl/>
        </w:rPr>
        <w:t xml:space="preserve">1 في الثنائية 2016/17 مما أدى إلى تحويل للموارد من النتيجة المرتقبة </w:t>
      </w:r>
      <w:r w:rsidRPr="00473E38">
        <w:rPr>
          <w:rtl/>
        </w:rPr>
        <w:t xml:space="preserve">ه </w:t>
      </w:r>
      <w:r>
        <w:rPr>
          <w:rFonts w:hint="cs"/>
          <w:rtl/>
        </w:rPr>
        <w:t>3</w:t>
      </w:r>
      <w:r w:rsidRPr="00473E38">
        <w:rPr>
          <w:rtl/>
        </w:rPr>
        <w:t>.</w:t>
      </w:r>
      <w:r>
        <w:rPr>
          <w:rFonts w:hint="cs"/>
          <w:rtl/>
        </w:rPr>
        <w:t xml:space="preserve">7 في الثنائية 2014/15 إلى النتيجة المرتقبة </w:t>
      </w:r>
      <w:r w:rsidRPr="00473E38">
        <w:rPr>
          <w:rtl/>
        </w:rPr>
        <w:t>ه 2.</w:t>
      </w:r>
      <w:r>
        <w:rPr>
          <w:rFonts w:hint="cs"/>
          <w:rtl/>
        </w:rPr>
        <w:t>1 في الثنائية 2016/17.</w:t>
      </w:r>
    </w:p>
    <w:p w:rsidR="00025AC0" w:rsidRDefault="00025AC0" w:rsidP="00861CFF">
      <w:pPr>
        <w:pStyle w:val="ARNormal"/>
        <w:numPr>
          <w:ilvl w:val="0"/>
          <w:numId w:val="31"/>
        </w:numPr>
        <w:tabs>
          <w:tab w:val="right" w:pos="707"/>
        </w:tabs>
        <w:ind w:left="0" w:firstLine="0"/>
      </w:pPr>
      <w:r>
        <w:rPr>
          <w:rFonts w:hint="cs"/>
          <w:rtl/>
        </w:rPr>
        <w:t xml:space="preserve">وتم ربط الموارد الخاصة بالأنشطة ذات الصلة بالصحة العالمية بالنتيجة المرتقبة </w:t>
      </w:r>
      <w:r w:rsidRPr="00473E38">
        <w:rPr>
          <w:rtl/>
        </w:rPr>
        <w:t xml:space="preserve">ه </w:t>
      </w:r>
      <w:r>
        <w:rPr>
          <w:rFonts w:hint="cs"/>
          <w:rtl/>
        </w:rPr>
        <w:t>5</w:t>
      </w:r>
      <w:r w:rsidRPr="00473E38">
        <w:rPr>
          <w:rtl/>
        </w:rPr>
        <w:t>.</w:t>
      </w:r>
      <w:r>
        <w:rPr>
          <w:rFonts w:hint="cs"/>
          <w:rtl/>
        </w:rPr>
        <w:t>8 في الثنائية 2016/17 من أجل تحسين بلورة التعاون الثلاثي مع منظمة الصحة العالمية ومنظمة التجارة العالمية. وذلك يعوّضه تحويل للموارد المرتبطة بالنتيجة المرتقبة</w:t>
      </w:r>
      <w:r>
        <w:rPr>
          <w:rFonts w:hint="eastAsia"/>
          <w:rtl/>
        </w:rPr>
        <w:t> </w:t>
      </w:r>
      <w:r w:rsidRPr="00473E38">
        <w:rPr>
          <w:rtl/>
        </w:rPr>
        <w:t>ه 2.</w:t>
      </w:r>
      <w:r>
        <w:rPr>
          <w:rFonts w:hint="cs"/>
          <w:rtl/>
        </w:rPr>
        <w:t>4.</w:t>
      </w:r>
    </w:p>
    <w:p w:rsidR="00025AC0" w:rsidRDefault="00025AC0" w:rsidP="00861CFF">
      <w:pPr>
        <w:pStyle w:val="ARNormal"/>
        <w:numPr>
          <w:ilvl w:val="0"/>
          <w:numId w:val="31"/>
        </w:numPr>
        <w:tabs>
          <w:tab w:val="right" w:pos="707"/>
        </w:tabs>
        <w:ind w:left="0" w:firstLine="0"/>
      </w:pPr>
      <w:r>
        <w:rPr>
          <w:rFonts w:hint="cs"/>
          <w:rtl/>
        </w:rPr>
        <w:t xml:space="preserve">وتعكس الموارد المرتبطة بالنتائج المرتقبة </w:t>
      </w:r>
      <w:r w:rsidRPr="00473E38">
        <w:rPr>
          <w:rtl/>
        </w:rPr>
        <w:t xml:space="preserve">ه </w:t>
      </w:r>
      <w:r>
        <w:rPr>
          <w:rFonts w:hint="cs"/>
          <w:rtl/>
        </w:rPr>
        <w:t>1</w:t>
      </w:r>
      <w:r w:rsidRPr="00473E38">
        <w:rPr>
          <w:rtl/>
        </w:rPr>
        <w:t>.</w:t>
      </w:r>
      <w:r>
        <w:rPr>
          <w:rFonts w:hint="cs"/>
          <w:rtl/>
        </w:rPr>
        <w:t>1 و</w:t>
      </w:r>
      <w:r w:rsidRPr="005B10C6">
        <w:rPr>
          <w:rtl/>
        </w:rPr>
        <w:t xml:space="preserve"> </w:t>
      </w:r>
      <w:r w:rsidRPr="00473E38">
        <w:rPr>
          <w:rtl/>
        </w:rPr>
        <w:t xml:space="preserve">ه </w:t>
      </w:r>
      <w:r>
        <w:rPr>
          <w:rFonts w:hint="cs"/>
          <w:rtl/>
        </w:rPr>
        <w:t>1</w:t>
      </w:r>
      <w:r w:rsidRPr="00473E38">
        <w:rPr>
          <w:rtl/>
        </w:rPr>
        <w:t>.</w:t>
      </w:r>
      <w:r>
        <w:rPr>
          <w:rFonts w:hint="cs"/>
          <w:rtl/>
        </w:rPr>
        <w:t>6 و</w:t>
      </w:r>
      <w:r w:rsidRPr="005B10C6">
        <w:rPr>
          <w:rtl/>
        </w:rPr>
        <w:t xml:space="preserve"> </w:t>
      </w:r>
      <w:r w:rsidRPr="00473E38">
        <w:rPr>
          <w:rtl/>
        </w:rPr>
        <w:t xml:space="preserve">ه </w:t>
      </w:r>
      <w:r>
        <w:rPr>
          <w:rFonts w:hint="cs"/>
          <w:rtl/>
        </w:rPr>
        <w:t>2</w:t>
      </w:r>
      <w:r w:rsidRPr="00473E38">
        <w:rPr>
          <w:rtl/>
        </w:rPr>
        <w:t>.</w:t>
      </w:r>
      <w:r>
        <w:rPr>
          <w:rFonts w:hint="cs"/>
          <w:rtl/>
        </w:rPr>
        <w:t>6 و</w:t>
      </w:r>
      <w:r w:rsidRPr="005B10C6">
        <w:rPr>
          <w:rtl/>
        </w:rPr>
        <w:t xml:space="preserve"> </w:t>
      </w:r>
      <w:r w:rsidRPr="00473E38">
        <w:rPr>
          <w:rtl/>
        </w:rPr>
        <w:t xml:space="preserve">ه </w:t>
      </w:r>
      <w:r>
        <w:rPr>
          <w:rFonts w:hint="cs"/>
          <w:rtl/>
        </w:rPr>
        <w:t>5</w:t>
      </w:r>
      <w:r w:rsidRPr="00473E38">
        <w:rPr>
          <w:rtl/>
        </w:rPr>
        <w:t>.</w:t>
      </w:r>
      <w:r>
        <w:rPr>
          <w:rFonts w:hint="cs"/>
          <w:rtl/>
        </w:rPr>
        <w:t>8 ضمن هذا البرنامج الجهود التي يكرسّها مكتب مساعد المدير العام المسؤول عن قطاع القضايا العالمية لأنشطة البرامج 4 و17 و20 على التوالي.</w:t>
      </w:r>
    </w:p>
    <w:p w:rsidR="00025AC0" w:rsidRPr="00A35686" w:rsidRDefault="00025AC0" w:rsidP="00025AC0">
      <w:pPr>
        <w:pStyle w:val="ARNormal"/>
        <w:keepNext/>
        <w:spacing w:after="0"/>
        <w:jc w:val="center"/>
        <w:rPr>
          <w:b/>
          <w:bCs/>
          <w:rtl/>
        </w:rPr>
      </w:pPr>
      <w:r w:rsidRPr="00A35686">
        <w:rPr>
          <w:b/>
          <w:bCs/>
          <w:rtl/>
        </w:rPr>
        <w:lastRenderedPageBreak/>
        <w:t xml:space="preserve">البرنامج </w:t>
      </w:r>
      <w:r>
        <w:rPr>
          <w:rFonts w:hint="cs"/>
          <w:b/>
          <w:bCs/>
          <w:rtl/>
        </w:rPr>
        <w:t>18</w:t>
      </w:r>
      <w:r w:rsidRPr="00A35686">
        <w:rPr>
          <w:b/>
          <w:bCs/>
          <w:rtl/>
        </w:rPr>
        <w:t>: الموارد بحسب كل نتيجة</w:t>
      </w:r>
    </w:p>
    <w:p w:rsidR="00025AC0" w:rsidRDefault="00025AC0" w:rsidP="00025AC0">
      <w:pPr>
        <w:pStyle w:val="ARNormal"/>
        <w:keepNext/>
        <w:spacing w:after="0"/>
        <w:jc w:val="center"/>
        <w:rPr>
          <w:i/>
          <w:iCs/>
          <w:rtl/>
        </w:rPr>
      </w:pPr>
      <w:r w:rsidRPr="00A35686">
        <w:rPr>
          <w:i/>
          <w:iCs/>
          <w:rtl/>
        </w:rPr>
        <w:t>(بآلاف الفرنكات السويسرية)</w:t>
      </w:r>
    </w:p>
    <w:p w:rsidR="00025AC0" w:rsidRDefault="00025AC0" w:rsidP="00025AC0">
      <w:pPr>
        <w:pStyle w:val="ARNormal"/>
        <w:spacing w:line="240" w:lineRule="auto"/>
        <w:jc w:val="center"/>
        <w:rPr>
          <w:rtl/>
        </w:rPr>
      </w:pPr>
      <w:r w:rsidRPr="00025AC0">
        <w:rPr>
          <w:noProof/>
          <w:rtl/>
          <w:lang w:val="en-US"/>
        </w:rPr>
        <w:drawing>
          <wp:inline distT="0" distB="0" distL="0" distR="0" wp14:anchorId="1511843E" wp14:editId="5C0AED94">
            <wp:extent cx="5676900" cy="5210175"/>
            <wp:effectExtent l="0" t="0" r="0" b="9525"/>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76900" cy="5210175"/>
                    </a:xfrm>
                    <a:prstGeom prst="rect">
                      <a:avLst/>
                    </a:prstGeom>
                    <a:noFill/>
                    <a:ln>
                      <a:noFill/>
                    </a:ln>
                  </pic:spPr>
                </pic:pic>
              </a:graphicData>
            </a:graphic>
          </wp:inline>
        </w:drawing>
      </w:r>
    </w:p>
    <w:p w:rsidR="00025AC0" w:rsidRDefault="00025AC0">
      <w:pPr>
        <w:bidi w:val="0"/>
        <w:rPr>
          <w:rFonts w:ascii="Arabic Typesetting" w:hAnsi="Arabic Typesetting" w:cs="Arabic Typesetting"/>
          <w:sz w:val="34"/>
          <w:szCs w:val="34"/>
          <w:rtl/>
        </w:rPr>
      </w:pPr>
      <w:r>
        <w:rPr>
          <w:rtl/>
        </w:rPr>
        <w:br w:type="page"/>
      </w:r>
    </w:p>
    <w:p w:rsidR="00025AC0" w:rsidRPr="008954A8" w:rsidRDefault="00025AC0" w:rsidP="007843AB">
      <w:pPr>
        <w:pStyle w:val="ARNormal"/>
        <w:keepNext/>
        <w:spacing w:after="0"/>
        <w:jc w:val="center"/>
        <w:rPr>
          <w:b/>
          <w:bCs/>
          <w:rtl/>
        </w:rPr>
      </w:pPr>
      <w:r w:rsidRPr="008954A8">
        <w:rPr>
          <w:rFonts w:hint="cs"/>
          <w:b/>
          <w:bCs/>
          <w:rtl/>
        </w:rPr>
        <w:lastRenderedPageBreak/>
        <w:t xml:space="preserve">البرنامج </w:t>
      </w:r>
      <w:r>
        <w:rPr>
          <w:rFonts w:hint="cs"/>
          <w:b/>
          <w:bCs/>
          <w:rtl/>
        </w:rPr>
        <w:t>18</w:t>
      </w:r>
      <w:r w:rsidRPr="008954A8">
        <w:rPr>
          <w:rFonts w:hint="cs"/>
          <w:b/>
          <w:bCs/>
          <w:rtl/>
        </w:rPr>
        <w:t>: الموارد بحسب غرض الإنفاق</w:t>
      </w:r>
    </w:p>
    <w:p w:rsidR="00025AC0" w:rsidRDefault="00025AC0" w:rsidP="007843AB">
      <w:pPr>
        <w:pStyle w:val="ARNormal"/>
        <w:spacing w:after="0"/>
        <w:ind w:left="720"/>
        <w:jc w:val="center"/>
        <w:rPr>
          <w:i/>
          <w:iCs/>
          <w:rtl/>
        </w:rPr>
      </w:pPr>
      <w:r w:rsidRPr="008954A8">
        <w:rPr>
          <w:rFonts w:hint="cs"/>
          <w:i/>
          <w:iCs/>
          <w:rtl/>
        </w:rPr>
        <w:t>(بآلاف الفرنكات السويسرية)</w:t>
      </w:r>
    </w:p>
    <w:p w:rsidR="00025AC0" w:rsidRPr="007B65C1" w:rsidRDefault="00025AC0" w:rsidP="00025AC0">
      <w:pPr>
        <w:pStyle w:val="ARNormal"/>
        <w:spacing w:line="240" w:lineRule="auto"/>
        <w:jc w:val="center"/>
      </w:pPr>
      <w:r w:rsidRPr="00025AC0">
        <w:rPr>
          <w:noProof/>
          <w:rtl/>
          <w:lang w:val="en-US"/>
        </w:rPr>
        <w:drawing>
          <wp:inline distT="0" distB="0" distL="0" distR="0" wp14:anchorId="2A492ECE" wp14:editId="54956382">
            <wp:extent cx="5514975" cy="6353175"/>
            <wp:effectExtent l="0" t="0" r="9525" b="9525"/>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025AC0" w:rsidRPr="009C0333" w:rsidRDefault="00025AC0" w:rsidP="007843AB">
      <w:pPr>
        <w:pStyle w:val="ARNormal"/>
        <w:tabs>
          <w:tab w:val="right" w:pos="707"/>
        </w:tabs>
        <w:rPr>
          <w:rtl/>
        </w:rPr>
      </w:pPr>
    </w:p>
    <w:p w:rsidR="00025AC0" w:rsidRDefault="00025AC0" w:rsidP="002C3C33">
      <w:pPr>
        <w:pStyle w:val="ARNormal"/>
        <w:rPr>
          <w:rtl/>
        </w:rPr>
        <w:sectPr w:rsidR="00025AC0" w:rsidSect="00861CFF">
          <w:pgSz w:w="11906" w:h="16838" w:code="9"/>
          <w:pgMar w:top="1134" w:right="1418" w:bottom="1418" w:left="1134" w:header="510" w:footer="1021" w:gutter="0"/>
          <w:cols w:space="720"/>
          <w:bidi/>
          <w:rtlGutter/>
        </w:sectPr>
      </w:pPr>
    </w:p>
    <w:p w:rsidR="00921057" w:rsidRPr="008954A8" w:rsidRDefault="00921057" w:rsidP="007843AB">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97" w:name="_Toc358745236"/>
      <w:bookmarkStart w:id="98" w:name="_Toc364355402"/>
      <w:bookmarkStart w:id="99" w:name="_Toc420595525"/>
      <w:r w:rsidRPr="008954A8">
        <w:rPr>
          <w:rFonts w:ascii="Arabic Typesetting" w:hAnsi="Arabic Typesetting" w:cs="Arabic Typesetting" w:hint="cs"/>
          <w:i/>
          <w:iCs w:val="0"/>
          <w:sz w:val="42"/>
          <w:szCs w:val="42"/>
          <w:rtl/>
        </w:rPr>
        <w:lastRenderedPageBreak/>
        <w:t>الهدف الاستراتيجي الثامن</w:t>
      </w:r>
      <w:bookmarkStart w:id="100" w:name="_Toc364355403"/>
      <w:bookmarkEnd w:id="97"/>
      <w:bookmarkEnd w:id="98"/>
      <w:r>
        <w:rPr>
          <w:rFonts w:ascii="Arabic Typesetting" w:hAnsi="Arabic Typesetting" w:cs="Arabic Typesetting" w:hint="cs"/>
          <w:i/>
          <w:iCs w:val="0"/>
          <w:sz w:val="42"/>
          <w:szCs w:val="42"/>
          <w:rtl/>
        </w:rPr>
        <w:t>:</w:t>
      </w:r>
      <w:r>
        <w:rPr>
          <w:rFonts w:ascii="Arabic Typesetting" w:hAnsi="Arabic Typesetting" w:cs="Arabic Typesetting"/>
          <w:i/>
          <w:iCs w:val="0"/>
          <w:sz w:val="42"/>
          <w:szCs w:val="42"/>
          <w:rtl/>
        </w:rPr>
        <w:tab/>
      </w:r>
      <w:r w:rsidRPr="008954A8">
        <w:rPr>
          <w:rFonts w:ascii="Arabic Typesetting" w:hAnsi="Arabic Typesetting" w:cs="Arabic Typesetting" w:hint="cs"/>
          <w:i/>
          <w:iCs w:val="0"/>
          <w:sz w:val="42"/>
          <w:szCs w:val="42"/>
          <w:rtl/>
        </w:rPr>
        <w:t>آلية تواصل متجاوب بين الويبو والأعضاء وجميع أصحاب المصالح</w:t>
      </w:r>
      <w:bookmarkEnd w:id="99"/>
      <w:bookmarkEnd w:id="100"/>
    </w:p>
    <w:p w:rsidR="00921057" w:rsidRPr="008954A8" w:rsidRDefault="00921057" w:rsidP="00862268">
      <w:pPr>
        <w:pStyle w:val="ARNormal"/>
        <w:jc w:val="left"/>
        <w:rPr>
          <w:rtl/>
        </w:rPr>
      </w:pPr>
      <w:r w:rsidRPr="008954A8">
        <w:rPr>
          <w:rFonts w:hint="cs"/>
          <w:rtl/>
        </w:rPr>
        <w:t>يشير هذا الهدف الاستراتيجي إلى الأولوية الكبيرة التي توليها أمانة الويبو إلى التواصل الفعلي باعتباره دافعا أساسيا للنجاح في كل جانب من جوانب عملها وإلى الخدمات باعتبارها قيمة مؤسسية جوهرية. وتقدم الويبو خدمات مختلفة لطائفة واسعة من أصحاب المصالح والدول الأعضاء في المقام الأول، باعتبارها وكالة متخصصة من وكالات الأمم المتحدة. وتشمل هذه الخدمات دعم اللجان في أنشطتها المرتبطة بوضع القواعد والمعايير وخدمات تكوين كفاءات البلدان النامية وخدمات المعلومات والخدمات التقنية والتسجيل العالمي للملكية الفكرية وخدمات إيداع الطلبات وتسوية المنازعات.</w:t>
      </w:r>
    </w:p>
    <w:p w:rsidR="00921057" w:rsidRPr="008954A8" w:rsidRDefault="00921057" w:rsidP="00862268">
      <w:pPr>
        <w:pStyle w:val="ARNormal"/>
        <w:rPr>
          <w:rtl/>
        </w:rPr>
      </w:pP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66"/>
        <w:gridCol w:w="3969"/>
        <w:gridCol w:w="2235"/>
      </w:tblGrid>
      <w:tr w:rsidR="00921057" w:rsidRPr="008954A8" w:rsidTr="007843AB">
        <w:trPr>
          <w:tblHeader/>
        </w:trPr>
        <w:tc>
          <w:tcPr>
            <w:tcW w:w="3366" w:type="dxa"/>
            <w:tcBorders>
              <w:top w:val="single" w:sz="4" w:space="0" w:color="auto"/>
              <w:bottom w:val="single" w:sz="4" w:space="0" w:color="auto"/>
            </w:tcBorders>
            <w:shd w:val="clear" w:color="auto" w:fill="C6D9F1"/>
          </w:tcPr>
          <w:p w:rsidR="00921057" w:rsidRPr="008954A8" w:rsidRDefault="00921057" w:rsidP="00862268">
            <w:pPr>
              <w:pStyle w:val="ARSGTableHeading"/>
              <w:spacing w:line="300" w:lineRule="exact"/>
              <w:rPr>
                <w:rtl/>
                <w:lang w:bidi="ar-SA"/>
              </w:rPr>
            </w:pPr>
            <w:r w:rsidRPr="008954A8">
              <w:rPr>
                <w:rtl/>
                <w:lang w:bidi="ar-SA"/>
              </w:rPr>
              <w:t>النتائج المرتقبة</w:t>
            </w:r>
          </w:p>
        </w:tc>
        <w:tc>
          <w:tcPr>
            <w:tcW w:w="3969" w:type="dxa"/>
            <w:tcBorders>
              <w:top w:val="single" w:sz="4" w:space="0" w:color="auto"/>
              <w:bottom w:val="single" w:sz="4" w:space="0" w:color="auto"/>
            </w:tcBorders>
            <w:shd w:val="clear" w:color="auto" w:fill="C6D9F1"/>
          </w:tcPr>
          <w:p w:rsidR="00921057" w:rsidRPr="008954A8" w:rsidRDefault="00921057" w:rsidP="00862268">
            <w:pPr>
              <w:pStyle w:val="ARSGTableHeading"/>
              <w:spacing w:line="300" w:lineRule="exact"/>
              <w:rPr>
                <w:rtl/>
                <w:lang w:bidi="ar-SA"/>
              </w:rPr>
            </w:pPr>
            <w:r w:rsidRPr="008954A8">
              <w:rPr>
                <w:rtl/>
                <w:lang w:bidi="ar-SA"/>
              </w:rPr>
              <w:t>مؤشرات الأداء</w:t>
            </w:r>
          </w:p>
        </w:tc>
        <w:tc>
          <w:tcPr>
            <w:tcW w:w="2235" w:type="dxa"/>
            <w:tcBorders>
              <w:top w:val="single" w:sz="4" w:space="0" w:color="auto"/>
              <w:bottom w:val="single" w:sz="4" w:space="0" w:color="auto"/>
            </w:tcBorders>
            <w:shd w:val="clear" w:color="auto" w:fill="C6D9F1"/>
          </w:tcPr>
          <w:p w:rsidR="00921057" w:rsidRPr="008954A8" w:rsidRDefault="00921057" w:rsidP="00862268">
            <w:pPr>
              <w:pStyle w:val="ARSGTableHeading"/>
              <w:spacing w:line="300" w:lineRule="exact"/>
              <w:rPr>
                <w:rtl/>
                <w:lang w:bidi="ar-SA"/>
              </w:rPr>
            </w:pPr>
            <w:r w:rsidRPr="008954A8">
              <w:rPr>
                <w:rtl/>
                <w:lang w:bidi="ar-SA"/>
              </w:rPr>
              <w:t>البرامج المسؤولة</w:t>
            </w:r>
          </w:p>
        </w:tc>
      </w:tr>
      <w:tr w:rsidR="00921057" w:rsidRPr="008954A8" w:rsidTr="001A5368">
        <w:tc>
          <w:tcPr>
            <w:tcW w:w="3366" w:type="dxa"/>
            <w:tcBorders>
              <w:top w:val="single" w:sz="4" w:space="0" w:color="auto"/>
            </w:tcBorders>
            <w:vAlign w:val="center"/>
          </w:tcPr>
          <w:p w:rsidR="00921057" w:rsidRPr="008954A8" w:rsidRDefault="00921057" w:rsidP="00862268">
            <w:pPr>
              <w:pStyle w:val="ARNormal"/>
              <w:spacing w:before="60" w:after="60" w:line="300" w:lineRule="exact"/>
              <w:jc w:val="left"/>
              <w:rPr>
                <w:sz w:val="30"/>
                <w:szCs w:val="30"/>
              </w:rPr>
            </w:pPr>
            <w:r w:rsidRPr="008954A8">
              <w:rPr>
                <w:rFonts w:hint="cs"/>
                <w:sz w:val="30"/>
                <w:szCs w:val="30"/>
                <w:rtl/>
              </w:rPr>
              <w:t xml:space="preserve">ه 1.8 </w:t>
            </w:r>
            <w:r w:rsidRPr="00857A2A">
              <w:rPr>
                <w:sz w:val="30"/>
                <w:szCs w:val="30"/>
                <w:rtl/>
              </w:rPr>
              <w:t>التواصل بفعالية أكبر مع جمهور واسع بشأن الملكية الفكرية ودور الويبو</w:t>
            </w:r>
          </w:p>
        </w:tc>
        <w:tc>
          <w:tcPr>
            <w:tcW w:w="3969" w:type="dxa"/>
            <w:tcBorders>
              <w:top w:val="single" w:sz="4" w:space="0" w:color="auto"/>
            </w:tcBorders>
          </w:tcPr>
          <w:p w:rsidR="00921057" w:rsidRPr="008954A8" w:rsidRDefault="00921057" w:rsidP="007843AB">
            <w:pPr>
              <w:pStyle w:val="ARSGTableText"/>
              <w:spacing w:line="300" w:lineRule="exact"/>
              <w:rPr>
                <w:rtl/>
                <w:lang w:bidi="ar-SA"/>
              </w:rPr>
            </w:pPr>
            <w:r w:rsidRPr="00857A2A">
              <w:rPr>
                <w:rtl/>
                <w:lang w:bidi="ar-SA"/>
              </w:rPr>
              <w:t>عدد الدول الأعضاء المشاركة في برنامج جوائز الويبو</w:t>
            </w:r>
          </w:p>
        </w:tc>
        <w:tc>
          <w:tcPr>
            <w:tcW w:w="2235" w:type="dxa"/>
            <w:tcBorders>
              <w:top w:val="single" w:sz="4" w:space="0" w:color="auto"/>
            </w:tcBorders>
          </w:tcPr>
          <w:p w:rsidR="00921057" w:rsidRPr="008954A8" w:rsidRDefault="00921057" w:rsidP="007843AB">
            <w:pPr>
              <w:pStyle w:val="ARSGTableText"/>
              <w:spacing w:line="300" w:lineRule="exact"/>
              <w:rPr>
                <w:rtl/>
                <w:lang w:bidi="ar-SA"/>
              </w:rPr>
            </w:pPr>
            <w:r w:rsidRPr="008954A8">
              <w:rPr>
                <w:rFonts w:hint="cs"/>
                <w:rtl/>
                <w:lang w:bidi="ar-SA"/>
              </w:rPr>
              <w:t xml:space="preserve">البرنامج </w:t>
            </w:r>
            <w:r>
              <w:rPr>
                <w:rFonts w:hint="cs"/>
                <w:rtl/>
                <w:lang w:bidi="ar-SA"/>
              </w:rPr>
              <w:t>17</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00716E">
              <w:rPr>
                <w:rtl/>
                <w:lang w:bidi="ar-SA"/>
              </w:rPr>
              <w:t>تصور أصحاب المصالح الإيجابي لسمعة الويبو، وزيادة تعرفهم على السمة التجارية للو</w:t>
            </w:r>
            <w:r w:rsidRPr="0000716E">
              <w:rPr>
                <w:rFonts w:hint="cs"/>
                <w:rtl/>
                <w:lang w:bidi="ar-SA"/>
              </w:rPr>
              <w:t>ي</w:t>
            </w:r>
            <w:r w:rsidRPr="0000716E">
              <w:rPr>
                <w:rtl/>
                <w:lang w:bidi="ar-SA"/>
              </w:rPr>
              <w:t>بو</w:t>
            </w:r>
          </w:p>
        </w:tc>
        <w:tc>
          <w:tcPr>
            <w:tcW w:w="2235" w:type="dxa"/>
          </w:tcPr>
          <w:p w:rsidR="00921057" w:rsidRPr="008954A8" w:rsidRDefault="00921057" w:rsidP="007843AB">
            <w:pPr>
              <w:pStyle w:val="ARSGTableText"/>
              <w:spacing w:line="300" w:lineRule="exact"/>
              <w:rPr>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00716E">
              <w:rPr>
                <w:rtl/>
                <w:lang w:bidi="ar-SA"/>
              </w:rPr>
              <w:t xml:space="preserve">عدد الأشخاص الذين يشاهدون محتوى عن </w:t>
            </w:r>
            <w:r w:rsidRPr="0000716E">
              <w:rPr>
                <w:rFonts w:hint="cs"/>
                <w:rtl/>
                <w:lang w:bidi="ar-SA"/>
              </w:rPr>
              <w:t>تظاهرات</w:t>
            </w:r>
            <w:r w:rsidRPr="0000716E">
              <w:rPr>
                <w:rtl/>
                <w:lang w:bidi="ar-SA"/>
              </w:rPr>
              <w:t xml:space="preserve"> الويبو وإنجازاتها وأنشطتها الرئيسية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00716E">
              <w:rPr>
                <w:rtl/>
                <w:lang w:bidi="ar-SA"/>
              </w:rPr>
              <w:t>المشاركة العالمية في حملة اليوم العالمي للملكية الفكرية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00716E" w:rsidRDefault="00921057" w:rsidP="007843AB">
            <w:pPr>
              <w:pStyle w:val="ARSGTableText"/>
              <w:spacing w:line="300" w:lineRule="exact"/>
              <w:rPr>
                <w:rtl/>
                <w:lang w:bidi="ar-SA"/>
              </w:rPr>
            </w:pPr>
            <w:r w:rsidRPr="0000716E">
              <w:rPr>
                <w:rtl/>
                <w:lang w:bidi="ar-SA"/>
              </w:rPr>
              <w:t>عدد زيارات موقع منشورات الويبو وموقع مجلة الويبو</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00716E">
              <w:rPr>
                <w:rtl/>
              </w:rPr>
              <w:t>عدد زيارات المحتوى الإخباري والفيد</w:t>
            </w:r>
            <w:r w:rsidRPr="0000716E">
              <w:rPr>
                <w:rFonts w:hint="cs"/>
                <w:rtl/>
              </w:rPr>
              <w:t>ي</w:t>
            </w:r>
            <w:r w:rsidRPr="0000716E">
              <w:rPr>
                <w:rtl/>
              </w:rPr>
              <w:t>و والصور على موقع الويبو</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00716E">
              <w:rPr>
                <w:rtl/>
              </w:rPr>
              <w:t>عدد أقل من المستخدمين الذين يغادرون موقع الويبو الإلكتروني مباشرةً من صفحة الدخول وصفحات البوابة الرئيسية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00716E">
              <w:rPr>
                <w:rtl/>
              </w:rPr>
              <w:t>تأثير الويبو على وسائل التواصل الاجتماعي وإشراك أصحاب المصالح</w:t>
            </w:r>
            <w:r w:rsidRPr="0000716E">
              <w:rPr>
                <w:rFonts w:hint="cs"/>
                <w:rtl/>
              </w:rPr>
              <w:t xml:space="preserve"> فيها</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00716E">
              <w:rPr>
                <w:rtl/>
                <w:lang w:bidi="ar-SA"/>
              </w:rPr>
              <w:t>تنامي عدد زيارات الموقع الالكتروني لمكاتب الويبو الخارجية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20</w:t>
            </w:r>
          </w:p>
        </w:tc>
      </w:tr>
      <w:tr w:rsidR="00921057" w:rsidRPr="008954A8" w:rsidTr="001A5368">
        <w:tc>
          <w:tcPr>
            <w:tcW w:w="3366" w:type="dxa"/>
            <w:vAlign w:val="center"/>
          </w:tcPr>
          <w:p w:rsidR="00921057" w:rsidRPr="008954A8" w:rsidRDefault="00921057" w:rsidP="00862268">
            <w:pPr>
              <w:pStyle w:val="ARNormal"/>
              <w:spacing w:before="60" w:after="60" w:line="300" w:lineRule="exact"/>
              <w:jc w:val="left"/>
              <w:rPr>
                <w:sz w:val="30"/>
                <w:szCs w:val="30"/>
              </w:rPr>
            </w:pPr>
            <w:r w:rsidRPr="008954A8">
              <w:rPr>
                <w:rFonts w:hint="cs"/>
                <w:sz w:val="30"/>
                <w:szCs w:val="30"/>
                <w:rtl/>
              </w:rPr>
              <w:t xml:space="preserve">ه 2.8 </w:t>
            </w:r>
            <w:r w:rsidRPr="0000716E">
              <w:rPr>
                <w:sz w:val="30"/>
                <w:szCs w:val="30"/>
                <w:rtl/>
              </w:rPr>
              <w:t>توجّه أكبر نحو تقديم الخدمات واستجابة أفضل للاستفسارات</w:t>
            </w:r>
          </w:p>
        </w:tc>
        <w:tc>
          <w:tcPr>
            <w:tcW w:w="3969" w:type="dxa"/>
          </w:tcPr>
          <w:p w:rsidR="00921057" w:rsidRPr="008954A8" w:rsidRDefault="00921057" w:rsidP="007843AB">
            <w:pPr>
              <w:pStyle w:val="ARSGTableText"/>
              <w:spacing w:line="300" w:lineRule="exact"/>
              <w:rPr>
                <w:rtl/>
                <w:lang w:bidi="ar-SA"/>
              </w:rPr>
            </w:pPr>
            <w:r w:rsidRPr="00642717">
              <w:rPr>
                <w:rFonts w:hint="cs"/>
                <w:rtl/>
                <w:lang w:bidi="ar-SA"/>
              </w:rPr>
              <w:t>رضا المستخدمين عن خدمات المكتبة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642717">
              <w:rPr>
                <w:rFonts w:hint="cs"/>
                <w:rtl/>
                <w:lang w:bidi="ar-SA"/>
              </w:rPr>
              <w:t>نسبة رضا الزبائن/أصحاب المصالح</w:t>
            </w:r>
          </w:p>
        </w:tc>
        <w:tc>
          <w:tcPr>
            <w:tcW w:w="2235" w:type="dxa"/>
          </w:tcPr>
          <w:p w:rsidR="00921057" w:rsidRPr="008954A8" w:rsidRDefault="00921057" w:rsidP="007843AB">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642717">
              <w:rPr>
                <w:rtl/>
                <w:lang w:bidi="ar-SA"/>
              </w:rPr>
              <w:t>معايير الخدمات في مركز الويبو لخدمة الزبائن</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19</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642717">
              <w:rPr>
                <w:rFonts w:hint="cs"/>
                <w:rtl/>
                <w:lang w:bidi="ar-SA"/>
              </w:rPr>
              <w:t>الوقت المستغرق لمعالجة الاستفسارات</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20</w:t>
            </w:r>
          </w:p>
        </w:tc>
      </w:tr>
      <w:tr w:rsidR="00921057" w:rsidRPr="008954A8" w:rsidTr="001A5368">
        <w:tc>
          <w:tcPr>
            <w:tcW w:w="3366" w:type="dxa"/>
            <w:vAlign w:val="center"/>
          </w:tcPr>
          <w:p w:rsidR="00921057" w:rsidRPr="008954A8" w:rsidRDefault="00921057" w:rsidP="006C1F53">
            <w:pPr>
              <w:pStyle w:val="ARNormal"/>
              <w:spacing w:before="60" w:after="60" w:line="300" w:lineRule="exact"/>
              <w:rPr>
                <w:sz w:val="30"/>
                <w:szCs w:val="30"/>
              </w:rPr>
            </w:pPr>
            <w:r w:rsidRPr="008954A8">
              <w:rPr>
                <w:rFonts w:hint="cs"/>
                <w:sz w:val="30"/>
                <w:szCs w:val="30"/>
                <w:rtl/>
              </w:rPr>
              <w:t xml:space="preserve">ه 3.8 </w:t>
            </w:r>
            <w:r>
              <w:rPr>
                <w:rFonts w:hint="cs"/>
                <w:sz w:val="30"/>
                <w:szCs w:val="30"/>
                <w:rtl/>
              </w:rPr>
              <w:t>التزام فعال مع الدول الأعضاء</w:t>
            </w:r>
          </w:p>
        </w:tc>
        <w:tc>
          <w:tcPr>
            <w:tcW w:w="3969" w:type="dxa"/>
          </w:tcPr>
          <w:p w:rsidR="00921057" w:rsidRPr="008954A8" w:rsidRDefault="00921057" w:rsidP="007843AB">
            <w:pPr>
              <w:pStyle w:val="ARSGTableText"/>
              <w:spacing w:line="300" w:lineRule="exact"/>
              <w:rPr>
                <w:rtl/>
                <w:lang w:bidi="ar-SA"/>
              </w:rPr>
            </w:pPr>
            <w:r w:rsidRPr="00642717">
              <w:rPr>
                <w:rtl/>
              </w:rPr>
              <w:t>النسبة المئوية من اجتماعات اللجان التي عقدت من أجلها اجتماعات إعلامية للدول الأعضاء قبل اجتماع اللجنة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21</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642717">
              <w:rPr>
                <w:rtl/>
              </w:rPr>
              <w:t xml:space="preserve">النسبة المئوية </w:t>
            </w:r>
            <w:proofErr w:type="spellStart"/>
            <w:r w:rsidRPr="00642717">
              <w:rPr>
                <w:rtl/>
              </w:rPr>
              <w:t>لإخطارات</w:t>
            </w:r>
            <w:proofErr w:type="spellEnd"/>
            <w:r w:rsidRPr="00642717">
              <w:rPr>
                <w:rtl/>
              </w:rPr>
              <w:t xml:space="preserve"> الانضمام وغيرها من التدابير المتعلقة بالمعاهدات والمعالجة في الوقت المناسب</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21</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642717">
              <w:rPr>
                <w:rtl/>
              </w:rPr>
              <w:t>نشر وثائق الجمعيات في الوقت المحدد</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21</w:t>
            </w:r>
          </w:p>
        </w:tc>
      </w:tr>
      <w:tr w:rsidR="00921057" w:rsidRPr="008954A8" w:rsidTr="001A5368">
        <w:tc>
          <w:tcPr>
            <w:tcW w:w="3366" w:type="dxa"/>
            <w:vAlign w:val="center"/>
          </w:tcPr>
          <w:p w:rsidR="00921057" w:rsidRPr="008954A8" w:rsidRDefault="00921057" w:rsidP="00862268">
            <w:pPr>
              <w:pStyle w:val="ARNormal"/>
              <w:spacing w:before="60" w:after="60" w:line="300" w:lineRule="exact"/>
              <w:jc w:val="left"/>
              <w:rPr>
                <w:sz w:val="30"/>
                <w:szCs w:val="30"/>
              </w:rPr>
            </w:pPr>
          </w:p>
        </w:tc>
        <w:tc>
          <w:tcPr>
            <w:tcW w:w="3969" w:type="dxa"/>
          </w:tcPr>
          <w:p w:rsidR="00921057" w:rsidRPr="008954A8" w:rsidRDefault="00921057" w:rsidP="007843AB">
            <w:pPr>
              <w:pStyle w:val="ARSGTableText"/>
              <w:spacing w:line="300" w:lineRule="exact"/>
              <w:rPr>
                <w:rtl/>
                <w:lang w:bidi="ar-SA"/>
              </w:rPr>
            </w:pPr>
            <w:r w:rsidRPr="008E002F">
              <w:rPr>
                <w:rtl/>
              </w:rPr>
              <w:t>مستويات رضا الدول الأعضاء وأصحاب المصالح عن تنظيم ال</w:t>
            </w:r>
            <w:r w:rsidRPr="008E002F">
              <w:rPr>
                <w:rFonts w:hint="cs"/>
                <w:rtl/>
              </w:rPr>
              <w:t>تظاهرات</w:t>
            </w:r>
          </w:p>
        </w:tc>
        <w:tc>
          <w:tcPr>
            <w:tcW w:w="2235" w:type="dxa"/>
          </w:tcPr>
          <w:p w:rsidR="00921057" w:rsidRPr="008954A8" w:rsidRDefault="00921057" w:rsidP="007843AB">
            <w:pPr>
              <w:pStyle w:val="ARSGTableText"/>
              <w:spacing w:line="300" w:lineRule="exact"/>
              <w:rPr>
                <w:rtl/>
                <w:lang w:bidi="ar-SA"/>
              </w:rPr>
            </w:pPr>
            <w:r w:rsidRPr="008954A8">
              <w:rPr>
                <w:rFonts w:hint="cs"/>
                <w:rtl/>
                <w:lang w:bidi="ar-SA"/>
              </w:rPr>
              <w:t xml:space="preserve">البرنامج </w:t>
            </w:r>
            <w:r>
              <w:rPr>
                <w:rFonts w:hint="cs"/>
                <w:rtl/>
                <w:lang w:bidi="ar-SA"/>
              </w:rPr>
              <w:t>21</w:t>
            </w:r>
          </w:p>
        </w:tc>
      </w:tr>
      <w:tr w:rsidR="00921057" w:rsidRPr="008954A8" w:rsidTr="001A5368">
        <w:tc>
          <w:tcPr>
            <w:tcW w:w="3366" w:type="dxa"/>
            <w:vAlign w:val="center"/>
          </w:tcPr>
          <w:p w:rsidR="00921057" w:rsidRPr="008954A8" w:rsidRDefault="00921057" w:rsidP="00862268">
            <w:pPr>
              <w:pStyle w:val="ARNormal"/>
              <w:spacing w:before="60" w:after="60" w:line="300" w:lineRule="exact"/>
              <w:jc w:val="left"/>
              <w:rPr>
                <w:sz w:val="30"/>
                <w:szCs w:val="30"/>
              </w:rPr>
            </w:pPr>
          </w:p>
        </w:tc>
        <w:tc>
          <w:tcPr>
            <w:tcW w:w="3969" w:type="dxa"/>
          </w:tcPr>
          <w:p w:rsidR="00921057" w:rsidRPr="008954A8" w:rsidRDefault="00921057" w:rsidP="007843AB">
            <w:pPr>
              <w:pStyle w:val="ARSGTableText"/>
              <w:spacing w:line="300" w:lineRule="exact"/>
              <w:rPr>
                <w:rtl/>
                <w:lang w:bidi="ar-SA"/>
              </w:rPr>
            </w:pPr>
            <w:r w:rsidRPr="008E002F">
              <w:rPr>
                <w:rtl/>
              </w:rPr>
              <w:t>مستويات رضاء الوفود عن تنظيم الجمعيات</w:t>
            </w:r>
          </w:p>
        </w:tc>
        <w:tc>
          <w:tcPr>
            <w:tcW w:w="2235" w:type="dxa"/>
          </w:tcPr>
          <w:p w:rsidR="00921057" w:rsidRPr="008954A8" w:rsidRDefault="00921057" w:rsidP="007843AB">
            <w:pPr>
              <w:pStyle w:val="ARSGTableText"/>
              <w:spacing w:line="300" w:lineRule="exact"/>
              <w:rPr>
                <w:rtl/>
                <w:lang w:bidi="ar-SA"/>
              </w:rPr>
            </w:pPr>
            <w:r w:rsidRPr="008954A8">
              <w:rPr>
                <w:rFonts w:hint="cs"/>
                <w:rtl/>
                <w:lang w:bidi="ar-SA"/>
              </w:rPr>
              <w:t xml:space="preserve">البرنامج </w:t>
            </w:r>
            <w:r>
              <w:rPr>
                <w:rFonts w:hint="cs"/>
                <w:rtl/>
                <w:lang w:bidi="ar-SA"/>
              </w:rPr>
              <w:t>21</w:t>
            </w:r>
          </w:p>
        </w:tc>
      </w:tr>
      <w:tr w:rsidR="00921057" w:rsidRPr="008954A8" w:rsidTr="001A5368">
        <w:tc>
          <w:tcPr>
            <w:tcW w:w="3366" w:type="dxa"/>
            <w:vAlign w:val="center"/>
          </w:tcPr>
          <w:p w:rsidR="00921057" w:rsidRPr="008954A8" w:rsidRDefault="00921057" w:rsidP="007843AB">
            <w:pPr>
              <w:pStyle w:val="ARNormal"/>
              <w:spacing w:before="60" w:after="60" w:line="300" w:lineRule="exact"/>
              <w:rPr>
                <w:sz w:val="30"/>
                <w:szCs w:val="30"/>
                <w:rtl/>
              </w:rPr>
            </w:pPr>
            <w:r>
              <w:rPr>
                <w:sz w:val="30"/>
                <w:szCs w:val="30"/>
                <w:rtl/>
                <w:lang w:bidi="ar-EG"/>
              </w:rPr>
              <w:t>ه</w:t>
            </w:r>
            <w:r>
              <w:rPr>
                <w:rFonts w:hint="cs"/>
                <w:sz w:val="30"/>
                <w:szCs w:val="30"/>
                <w:rtl/>
                <w:lang w:bidi="ar-EG"/>
              </w:rPr>
              <w:t xml:space="preserve"> </w:t>
            </w:r>
            <w:r w:rsidRPr="008E002F">
              <w:rPr>
                <w:rFonts w:hint="cs"/>
                <w:sz w:val="30"/>
                <w:szCs w:val="30"/>
                <w:rtl/>
                <w:lang w:bidi="ar-EG"/>
              </w:rPr>
              <w:t>4</w:t>
            </w:r>
            <w:r w:rsidRPr="008E002F">
              <w:rPr>
                <w:sz w:val="30"/>
                <w:szCs w:val="30"/>
                <w:rtl/>
                <w:lang w:bidi="ar-EG"/>
              </w:rPr>
              <w:t>.8</w:t>
            </w:r>
            <w:r w:rsidRPr="008E002F">
              <w:rPr>
                <w:rFonts w:hint="cs"/>
                <w:sz w:val="30"/>
                <w:szCs w:val="30"/>
                <w:rtl/>
                <w:lang w:bidi="ar-EG"/>
              </w:rPr>
              <w:t xml:space="preserve"> </w:t>
            </w:r>
            <w:r w:rsidRPr="008E002F">
              <w:rPr>
                <w:sz w:val="30"/>
                <w:szCs w:val="30"/>
                <w:rtl/>
                <w:lang w:bidi="ar-EG"/>
              </w:rPr>
              <w:t>تفاعل منفتح وشفاف ومتجاوب مع أصحاب المصلحة غير الحكوميين</w:t>
            </w:r>
          </w:p>
        </w:tc>
        <w:tc>
          <w:tcPr>
            <w:tcW w:w="3969" w:type="dxa"/>
          </w:tcPr>
          <w:p w:rsidR="00921057" w:rsidRPr="008954A8" w:rsidRDefault="00921057" w:rsidP="007843AB">
            <w:pPr>
              <w:pStyle w:val="ARSGTableText"/>
              <w:spacing w:line="300" w:lineRule="exact"/>
              <w:rPr>
                <w:rtl/>
                <w:lang w:bidi="ar-SA"/>
              </w:rPr>
            </w:pPr>
            <w:r>
              <w:rPr>
                <w:rFonts w:hint="cs"/>
                <w:rtl/>
              </w:rPr>
              <w:t>عدد المنظمات غير الحكومية</w:t>
            </w:r>
            <w:r w:rsidRPr="008E002F">
              <w:rPr>
                <w:rFonts w:hint="cs"/>
                <w:rtl/>
              </w:rPr>
              <w:t xml:space="preserve"> التي تمتلك صفة المراقب الدائم وتشارك في عمل الويبو وتشارك الويبو في عملها</w:t>
            </w:r>
          </w:p>
        </w:tc>
        <w:tc>
          <w:tcPr>
            <w:tcW w:w="2235" w:type="dxa"/>
          </w:tcPr>
          <w:p w:rsidR="00921057" w:rsidRPr="008954A8" w:rsidRDefault="00921057" w:rsidP="007843AB">
            <w:pPr>
              <w:pStyle w:val="ARSGTableText"/>
              <w:spacing w:line="300" w:lineRule="exact"/>
              <w:rPr>
                <w:rtl/>
                <w:lang w:bidi="ar-SA"/>
              </w:rPr>
            </w:pPr>
            <w:r w:rsidRPr="008954A8">
              <w:rPr>
                <w:rFonts w:hint="cs"/>
                <w:rtl/>
                <w:lang w:bidi="ar-SA"/>
              </w:rPr>
              <w:t xml:space="preserve">البرنامج </w:t>
            </w:r>
            <w:r>
              <w:rPr>
                <w:rFonts w:hint="cs"/>
                <w:rtl/>
                <w:lang w:bidi="ar-SA"/>
              </w:rPr>
              <w:t>21</w:t>
            </w:r>
          </w:p>
        </w:tc>
      </w:tr>
      <w:tr w:rsidR="00921057" w:rsidRPr="008954A8" w:rsidTr="001A5368">
        <w:tc>
          <w:tcPr>
            <w:tcW w:w="3366" w:type="dxa"/>
            <w:vAlign w:val="center"/>
          </w:tcPr>
          <w:p w:rsidR="00921057" w:rsidRPr="008954A8" w:rsidRDefault="009800D4" w:rsidP="007843AB">
            <w:pPr>
              <w:pStyle w:val="ARNormal"/>
              <w:spacing w:before="60" w:after="60" w:line="300" w:lineRule="exact"/>
              <w:rPr>
                <w:sz w:val="30"/>
                <w:szCs w:val="30"/>
                <w:rtl/>
              </w:rPr>
            </w:pPr>
            <w:r>
              <w:rPr>
                <w:sz w:val="30"/>
                <w:szCs w:val="30"/>
                <w:rtl/>
                <w:lang w:bidi="ar-EG"/>
              </w:rPr>
              <w:t>ه</w:t>
            </w:r>
            <w:r w:rsidR="00921057" w:rsidRPr="008E002F">
              <w:rPr>
                <w:rFonts w:hint="cs"/>
                <w:sz w:val="30"/>
                <w:szCs w:val="30"/>
                <w:rtl/>
                <w:lang w:bidi="ar-EG"/>
              </w:rPr>
              <w:t xml:space="preserve"> </w:t>
            </w:r>
            <w:r w:rsidR="00921057" w:rsidRPr="008E002F">
              <w:rPr>
                <w:sz w:val="30"/>
                <w:szCs w:val="30"/>
                <w:rtl/>
                <w:lang w:bidi="ar-EG"/>
              </w:rPr>
              <w:t>5.8 تفاعل الويبو وتشاركها بفعالية مع مسارات ومفاوضات الأمم المتحدة وسائر المنظمات الحكومية الدولية</w:t>
            </w:r>
          </w:p>
        </w:tc>
        <w:tc>
          <w:tcPr>
            <w:tcW w:w="3969" w:type="dxa"/>
          </w:tcPr>
          <w:p w:rsidR="00921057" w:rsidRPr="008954A8" w:rsidRDefault="00921057" w:rsidP="007843AB">
            <w:pPr>
              <w:pStyle w:val="ARSGTableText"/>
              <w:spacing w:line="300" w:lineRule="exact"/>
              <w:rPr>
                <w:rtl/>
                <w:lang w:bidi="ar-SA"/>
              </w:rPr>
            </w:pPr>
            <w:r w:rsidRPr="0049524D">
              <w:rPr>
                <w:rFonts w:hint="cs"/>
                <w:rtl/>
                <w:lang w:bidi="ar-SA"/>
              </w:rPr>
              <w:t>إسهامات الويبو المبيّنة في تقارير الأمم المتحدة والمنظمات الحكومية الدولية وقراراتها ووثائقها المنبثقة عن العمليات الهادفة ذات الصلة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20</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49524D">
              <w:rPr>
                <w:rFonts w:hint="cs"/>
                <w:rtl/>
                <w:lang w:bidi="ar-SA"/>
              </w:rPr>
              <w:t>عدد المبادرات التي تقودها الويبو بالتشارك مع الأمم المتحدة وسائر المنظمات الحكومية الدولية من أجل تنفيذ أهداف التنمية المستدامة</w:t>
            </w:r>
          </w:p>
        </w:tc>
        <w:tc>
          <w:tcPr>
            <w:tcW w:w="2235" w:type="dxa"/>
          </w:tcPr>
          <w:p w:rsidR="00921057" w:rsidRPr="008954A8" w:rsidRDefault="00921057" w:rsidP="007843AB">
            <w:pPr>
              <w:pStyle w:val="ARSGTableText"/>
              <w:spacing w:line="300" w:lineRule="exact"/>
              <w:rPr>
                <w:rtl/>
                <w:lang w:bidi="ar-SA"/>
              </w:rPr>
            </w:pPr>
            <w:r w:rsidRPr="008954A8">
              <w:rPr>
                <w:rFonts w:hint="cs"/>
                <w:rtl/>
                <w:lang w:bidi="ar-SA"/>
              </w:rPr>
              <w:t xml:space="preserve">البرنامج </w:t>
            </w:r>
            <w:r>
              <w:rPr>
                <w:rFonts w:hint="cs"/>
                <w:rtl/>
                <w:lang w:bidi="ar-SA"/>
              </w:rPr>
              <w:t>20</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1F14CA">
              <w:rPr>
                <w:rFonts w:hint="cs"/>
                <w:rtl/>
                <w:lang w:bidi="ar-SA"/>
              </w:rPr>
              <w:t xml:space="preserve">عدد الأنشطة المشتركة مع أمانة </w:t>
            </w:r>
            <w:r w:rsidRPr="001F14CA">
              <w:rPr>
                <w:rtl/>
                <w:lang w:bidi="ar-SA"/>
              </w:rPr>
              <w:t>رابطة أمم جنوب شرق آسيا (</w:t>
            </w:r>
            <w:r w:rsidRPr="001F14CA">
              <w:rPr>
                <w:lang w:bidi="ar-SA"/>
              </w:rPr>
              <w:t>ASEAN</w:t>
            </w:r>
            <w:r w:rsidRPr="001F14CA">
              <w:rPr>
                <w:rtl/>
                <w:lang w:bidi="ar-SA"/>
              </w:rPr>
              <w:t>)</w:t>
            </w:r>
            <w:r w:rsidRPr="001F14CA">
              <w:rPr>
                <w:rFonts w:hint="cs"/>
                <w:rtl/>
                <w:lang w:bidi="ar-SA"/>
              </w:rPr>
              <w:t>، و</w:t>
            </w:r>
            <w:r w:rsidRPr="001F14CA">
              <w:rPr>
                <w:rFonts w:hint="cs"/>
                <w:rtl/>
              </w:rPr>
              <w:t>ا</w:t>
            </w:r>
            <w:r w:rsidRPr="001F14CA">
              <w:rPr>
                <w:rtl/>
                <w:lang w:bidi="ar-SA"/>
              </w:rPr>
              <w:t>لمشروع المشترك بين الاتحاد الأوروبي ورابطة أمم جنوب شرق آسيا بشأن حماية حقوق الملكية الفكرية الذي يشرف عليه مكتب مواءمة السوق الداخلية</w:t>
            </w:r>
            <w:r w:rsidRPr="001F14CA">
              <w:rPr>
                <w:rFonts w:hint="cs"/>
                <w:rtl/>
                <w:lang w:bidi="ar-SA"/>
              </w:rPr>
              <w:t xml:space="preserve"> (</w:t>
            </w:r>
            <w:r w:rsidRPr="001F14CA">
              <w:rPr>
                <w:lang w:bidi="ar-SA"/>
              </w:rPr>
              <w:t>ECAP/OHIM</w:t>
            </w:r>
            <w:r w:rsidRPr="001F14CA">
              <w:rPr>
                <w:rFonts w:hint="cs"/>
                <w:rtl/>
                <w:lang w:bidi="ar-SA"/>
              </w:rPr>
              <w:t>)، ومؤسسة آسيا/أوروبا، و</w:t>
            </w:r>
            <w:r w:rsidRPr="001F14CA">
              <w:rPr>
                <w:rtl/>
                <w:lang w:bidi="ar-SA"/>
              </w:rPr>
              <w:t>اتفاق التبادل الحر بين رابطة أمم جنوب شرق آسيا وأستراليا ونيوزيلاندا (</w:t>
            </w:r>
            <w:r w:rsidRPr="001F14CA">
              <w:rPr>
                <w:cs/>
                <w:lang w:bidi="ar-SA"/>
              </w:rPr>
              <w:t>‎</w:t>
            </w:r>
            <w:r w:rsidRPr="001F14CA">
              <w:rPr>
                <w:lang w:bidi="ar-SA"/>
              </w:rPr>
              <w:t>AANZFTA</w:t>
            </w:r>
            <w:r w:rsidRPr="001F14CA">
              <w:rPr>
                <w:rtl/>
                <w:lang w:bidi="ar-SA"/>
              </w:rPr>
              <w:t>‏)</w:t>
            </w:r>
          </w:p>
        </w:tc>
        <w:tc>
          <w:tcPr>
            <w:tcW w:w="2235" w:type="dxa"/>
          </w:tcPr>
          <w:p w:rsidR="00921057" w:rsidRPr="008954A8" w:rsidRDefault="00921057" w:rsidP="007843AB">
            <w:pPr>
              <w:pStyle w:val="ARSGTableText"/>
              <w:spacing w:line="300" w:lineRule="exact"/>
              <w:rPr>
                <w:rtl/>
                <w:lang w:bidi="ar-SA"/>
              </w:rPr>
            </w:pPr>
            <w:r w:rsidRPr="008954A8">
              <w:rPr>
                <w:rFonts w:hint="cs"/>
                <w:rtl/>
                <w:lang w:bidi="ar-SA"/>
              </w:rPr>
              <w:t xml:space="preserve">البرنامج </w:t>
            </w:r>
            <w:r>
              <w:rPr>
                <w:rFonts w:hint="cs"/>
                <w:rtl/>
                <w:lang w:bidi="ar-SA"/>
              </w:rPr>
              <w:t>20</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21667F">
              <w:rPr>
                <w:rtl/>
              </w:rPr>
              <w:t>مبادرات جديدة مشتركة مع الوكالات الأخرى التابعة للأمم المتحدة/المنظمات الحكومية الدولية</w:t>
            </w:r>
          </w:p>
        </w:tc>
        <w:tc>
          <w:tcPr>
            <w:tcW w:w="2235" w:type="dxa"/>
          </w:tcPr>
          <w:p w:rsidR="00921057" w:rsidRPr="008954A8" w:rsidRDefault="00921057" w:rsidP="007843AB">
            <w:pPr>
              <w:pStyle w:val="ARSGTableText"/>
              <w:spacing w:line="300" w:lineRule="exact"/>
              <w:rPr>
                <w:rtl/>
                <w:lang w:bidi="ar-SA"/>
              </w:rPr>
            </w:pPr>
            <w:r w:rsidRPr="008954A8">
              <w:rPr>
                <w:rFonts w:hint="cs"/>
                <w:rtl/>
                <w:lang w:bidi="ar-SA"/>
              </w:rPr>
              <w:t xml:space="preserve">البرنامج </w:t>
            </w:r>
            <w:r>
              <w:rPr>
                <w:rFonts w:hint="cs"/>
                <w:rtl/>
                <w:lang w:bidi="ar-SA"/>
              </w:rPr>
              <w:t>21</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tl/>
              </w:rPr>
            </w:pPr>
          </w:p>
        </w:tc>
        <w:tc>
          <w:tcPr>
            <w:tcW w:w="3969" w:type="dxa"/>
          </w:tcPr>
          <w:p w:rsidR="00921057" w:rsidRPr="008954A8" w:rsidRDefault="00921057" w:rsidP="007843AB">
            <w:pPr>
              <w:pStyle w:val="ARSGTableText"/>
              <w:spacing w:line="300" w:lineRule="exact"/>
              <w:rPr>
                <w:rtl/>
                <w:lang w:bidi="ar-SA"/>
              </w:rPr>
            </w:pPr>
            <w:r w:rsidRPr="0021667F">
              <w:rPr>
                <w:rtl/>
              </w:rPr>
              <w:t>النسبة المئوية للسلع والخدمات ذات المصدر المحلي مقارنة</w:t>
            </w:r>
            <w:r w:rsidRPr="0021667F">
              <w:rPr>
                <w:rFonts w:hint="cs"/>
                <w:rtl/>
              </w:rPr>
              <w:t>ً</w:t>
            </w:r>
            <w:r w:rsidRPr="0021667F">
              <w:rPr>
                <w:rtl/>
              </w:rPr>
              <w:t xml:space="preserve"> بإجمالي المبلغ المخصص لنشاط التنمية</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24</w:t>
            </w:r>
          </w:p>
        </w:tc>
      </w:tr>
      <w:tr w:rsidR="00921057" w:rsidRPr="008954A8" w:rsidTr="001A5368">
        <w:tc>
          <w:tcPr>
            <w:tcW w:w="3366" w:type="dxa"/>
            <w:vAlign w:val="center"/>
          </w:tcPr>
          <w:p w:rsidR="00921057" w:rsidRPr="008954A8" w:rsidRDefault="00921057" w:rsidP="00862268">
            <w:pPr>
              <w:pStyle w:val="ARNormal"/>
              <w:spacing w:before="60" w:after="60" w:line="300" w:lineRule="exact"/>
              <w:rPr>
                <w:sz w:val="30"/>
                <w:szCs w:val="30"/>
              </w:rPr>
            </w:pPr>
          </w:p>
        </w:tc>
        <w:tc>
          <w:tcPr>
            <w:tcW w:w="3969" w:type="dxa"/>
          </w:tcPr>
          <w:p w:rsidR="00921057" w:rsidRPr="008954A8" w:rsidRDefault="00921057" w:rsidP="007843AB">
            <w:pPr>
              <w:pStyle w:val="ARSGTableText"/>
              <w:spacing w:line="300" w:lineRule="exact"/>
              <w:rPr>
                <w:rtl/>
                <w:lang w:bidi="ar-SA"/>
              </w:rPr>
            </w:pPr>
            <w:r w:rsidRPr="0021667F">
              <w:rPr>
                <w:rtl/>
              </w:rPr>
              <w:t>النسبة المئوية للنفقات الخاضعة لعمليات التحسين التي تجريها الأمم المتحدة (سواء العطاء المشترك أو الاقتداء)</w:t>
            </w:r>
          </w:p>
        </w:tc>
        <w:tc>
          <w:tcPr>
            <w:tcW w:w="2235" w:type="dxa"/>
          </w:tcPr>
          <w:p w:rsidR="00921057" w:rsidRPr="008954A8" w:rsidRDefault="00921057" w:rsidP="00862268">
            <w:pPr>
              <w:pStyle w:val="ARSGTableText"/>
              <w:spacing w:line="300" w:lineRule="exact"/>
              <w:rPr>
                <w:rtl/>
                <w:lang w:bidi="ar-SA"/>
              </w:rPr>
            </w:pPr>
            <w:r w:rsidRPr="008954A8">
              <w:rPr>
                <w:rFonts w:hint="cs"/>
                <w:rtl/>
                <w:lang w:bidi="ar-SA"/>
              </w:rPr>
              <w:t>البرنامج 24</w:t>
            </w:r>
          </w:p>
        </w:tc>
      </w:tr>
    </w:tbl>
    <w:p w:rsidR="00921057" w:rsidRPr="008954A8" w:rsidRDefault="00921057" w:rsidP="00862268">
      <w:pPr>
        <w:pStyle w:val="ARNormal"/>
        <w:rPr>
          <w:rtl/>
        </w:rPr>
      </w:pPr>
    </w:p>
    <w:p w:rsidR="00921057" w:rsidRDefault="00921057">
      <w:pPr>
        <w:bidi w:val="0"/>
        <w:rPr>
          <w:rFonts w:ascii="Arabic Typesetting" w:hAnsi="Arabic Typesetting" w:cs="Arabic Typesetting"/>
          <w:sz w:val="34"/>
          <w:szCs w:val="34"/>
          <w:rtl/>
          <w:lang w:val="fr-CH" w:bidi="ar-SA"/>
        </w:rPr>
      </w:pPr>
      <w:r>
        <w:rPr>
          <w:rtl/>
        </w:rPr>
        <w:br w:type="page"/>
      </w:r>
    </w:p>
    <w:p w:rsidR="00BD0653" w:rsidRPr="00EB30FA" w:rsidRDefault="00BD0653" w:rsidP="007843AB">
      <w:pPr>
        <w:keepNext/>
        <w:tabs>
          <w:tab w:val="left" w:pos="1331"/>
        </w:tabs>
        <w:adjustRightInd w:val="0"/>
        <w:snapToGrid w:val="0"/>
        <w:spacing w:after="240" w:line="360" w:lineRule="exact"/>
        <w:outlineLvl w:val="2"/>
        <w:rPr>
          <w:rFonts w:ascii="Arabic Typesetting" w:hAnsi="Arabic Typesetting" w:cs="Arabic Typesetting"/>
          <w:b/>
          <w:bCs/>
          <w:caps/>
          <w:noProof/>
          <w:snapToGrid w:val="0"/>
          <w:sz w:val="42"/>
          <w:szCs w:val="42"/>
          <w:rtl/>
          <w:lang w:bidi="ar-SA"/>
        </w:rPr>
      </w:pPr>
      <w:bookmarkStart w:id="101" w:name="_Toc364355404"/>
      <w:bookmarkStart w:id="102" w:name="_Toc420595526"/>
      <w:r w:rsidRPr="00EB30FA">
        <w:rPr>
          <w:rFonts w:ascii="Arabic Typesetting" w:hAnsi="Arabic Typesetting" w:cs="Arabic Typesetting"/>
          <w:b/>
          <w:bCs/>
          <w:caps/>
          <w:noProof/>
          <w:snapToGrid w:val="0"/>
          <w:sz w:val="42"/>
          <w:szCs w:val="42"/>
          <w:rtl/>
          <w:lang w:bidi="ar-SA"/>
        </w:rPr>
        <w:lastRenderedPageBreak/>
        <w:t>البرنامج</w:t>
      </w:r>
      <w:r w:rsidRPr="00EB30FA">
        <w:rPr>
          <w:rFonts w:ascii="Arabic Typesetting" w:hAnsi="Arabic Typesetting" w:cs="Arabic Typesetting" w:hint="cs"/>
          <w:b/>
          <w:bCs/>
          <w:caps/>
          <w:noProof/>
          <w:snapToGrid w:val="0"/>
          <w:sz w:val="42"/>
          <w:szCs w:val="42"/>
          <w:rtl/>
          <w:lang w:bidi="ar-SA"/>
        </w:rPr>
        <w:t xml:space="preserve"> </w:t>
      </w:r>
      <w:r>
        <w:rPr>
          <w:rFonts w:ascii="Arabic Typesetting" w:hAnsi="Arabic Typesetting" w:cs="Arabic Typesetting" w:hint="cs"/>
          <w:b/>
          <w:bCs/>
          <w:caps/>
          <w:noProof/>
          <w:snapToGrid w:val="0"/>
          <w:sz w:val="42"/>
          <w:szCs w:val="42"/>
          <w:rtl/>
          <w:lang w:bidi="ar-SA"/>
        </w:rPr>
        <w:t>19</w:t>
      </w:r>
      <w:r w:rsidRPr="00EB30FA">
        <w:rPr>
          <w:rFonts w:ascii="Arabic Typesetting" w:hAnsi="Arabic Typesetting" w:cs="Arabic Typesetting" w:hint="cs"/>
          <w:b/>
          <w:bCs/>
          <w:caps/>
          <w:noProof/>
          <w:snapToGrid w:val="0"/>
          <w:sz w:val="42"/>
          <w:szCs w:val="42"/>
          <w:rtl/>
          <w:lang w:bidi="ar-SA"/>
        </w:rPr>
        <w:tab/>
        <w:t>التواصل</w:t>
      </w:r>
      <w:bookmarkEnd w:id="101"/>
      <w:bookmarkEnd w:id="102"/>
    </w:p>
    <w:p w:rsidR="00BD0653" w:rsidRPr="00EB30FA" w:rsidRDefault="00BD0653" w:rsidP="007843AB">
      <w:pPr>
        <w:keepNext/>
        <w:adjustRightInd w:val="0"/>
        <w:snapToGrid w:val="0"/>
        <w:spacing w:after="240" w:line="360" w:lineRule="exact"/>
        <w:jc w:val="both"/>
        <w:rPr>
          <w:rFonts w:ascii="Arabic Typesetting" w:hAnsi="Arabic Typesetting" w:cs="Arabic Typesetting"/>
          <w:noProof/>
          <w:snapToGrid w:val="0"/>
          <w:sz w:val="38"/>
          <w:szCs w:val="38"/>
          <w:rtl/>
        </w:rPr>
      </w:pPr>
      <w:r w:rsidRPr="00EB30FA">
        <w:rPr>
          <w:rFonts w:ascii="Arabic Typesetting" w:hAnsi="Arabic Typesetting" w:cs="Arabic Typesetting" w:hint="cs"/>
          <w:noProof/>
          <w:snapToGrid w:val="0"/>
          <w:sz w:val="38"/>
          <w:szCs w:val="38"/>
          <w:rtl/>
          <w:lang w:bidi="ar-SA"/>
        </w:rPr>
        <w:t>سياق التخطيط</w:t>
      </w:r>
    </w:p>
    <w:p w:rsidR="00BD0653" w:rsidRPr="00EB30FA" w:rsidRDefault="00BD0653" w:rsidP="00861CFF">
      <w:pPr>
        <w:numPr>
          <w:ilvl w:val="0"/>
          <w:numId w:val="32"/>
        </w:numPr>
        <w:spacing w:after="120" w:line="340" w:lineRule="exact"/>
        <w:ind w:left="-6" w:firstLine="0"/>
        <w:rPr>
          <w:rFonts w:ascii="Arabic Typesetting" w:hAnsi="Arabic Typesetting" w:cs="Arabic Typesetting"/>
          <w:sz w:val="34"/>
          <w:szCs w:val="34"/>
          <w:lang w:bidi="ar-SA"/>
        </w:rPr>
      </w:pPr>
      <w:r w:rsidRPr="00E019E0">
        <w:rPr>
          <w:rFonts w:ascii="Arabic Typesetting" w:hAnsi="Arabic Typesetting" w:cs="Arabic Typesetting"/>
          <w:sz w:val="34"/>
          <w:szCs w:val="34"/>
          <w:rtl/>
          <w:lang w:bidi="ar-SA"/>
        </w:rPr>
        <w:t>الويبو منظمةٌ متشعبةٌ تتعامل مع كثير من الأنشطة والموضوعات المعقدة. ويتمثل تحدي التواصل في اختراق هذا التعقُّد والتواصل مع الجماهير المتنوعة في جميع أنحاء العالم. ول</w:t>
      </w:r>
      <w:r>
        <w:rPr>
          <w:rFonts w:ascii="Arabic Typesetting" w:hAnsi="Arabic Typesetting" w:cs="Arabic Typesetting" w:hint="cs"/>
          <w:sz w:val="34"/>
          <w:szCs w:val="34"/>
          <w:rtl/>
          <w:lang w:bidi="ar-SA"/>
        </w:rPr>
        <w:t xml:space="preserve">إيجاد </w:t>
      </w:r>
      <w:r w:rsidRPr="00E019E0">
        <w:rPr>
          <w:rFonts w:ascii="Arabic Typesetting" w:hAnsi="Arabic Typesetting" w:cs="Arabic Typesetting"/>
          <w:sz w:val="34"/>
          <w:szCs w:val="34"/>
          <w:rtl/>
          <w:lang w:bidi="ar-SA"/>
        </w:rPr>
        <w:t xml:space="preserve">التفاهم والمشاركة والثقة اللازمة لتنفيذ ولاية المنظمة، يجب على الويبو أن </w:t>
      </w:r>
      <w:r>
        <w:rPr>
          <w:rFonts w:ascii="Arabic Typesetting" w:hAnsi="Arabic Typesetting" w:cs="Arabic Typesetting" w:hint="cs"/>
          <w:sz w:val="34"/>
          <w:szCs w:val="34"/>
          <w:rtl/>
          <w:lang w:bidi="ar-SA"/>
        </w:rPr>
        <w:t>تنقل</w:t>
      </w:r>
      <w:r w:rsidRPr="00E019E0">
        <w:rPr>
          <w:rFonts w:ascii="Arabic Typesetting" w:hAnsi="Arabic Typesetting" w:cs="Arabic Typesetting"/>
          <w:sz w:val="34"/>
          <w:szCs w:val="34"/>
          <w:rtl/>
          <w:lang w:bidi="ar-SA"/>
        </w:rPr>
        <w:t xml:space="preserve"> بوضوح غرضها، وقيمها، وما تقوم به </w:t>
      </w:r>
      <w:r>
        <w:rPr>
          <w:rFonts w:ascii="Arabic Typesetting" w:hAnsi="Arabic Typesetting" w:cs="Arabic Typesetting" w:hint="cs"/>
          <w:sz w:val="34"/>
          <w:szCs w:val="34"/>
          <w:rtl/>
          <w:lang w:bidi="ar-SA"/>
        </w:rPr>
        <w:t xml:space="preserve">لجعل </w:t>
      </w:r>
      <w:r w:rsidRPr="00E019E0">
        <w:rPr>
          <w:rFonts w:ascii="Arabic Typesetting" w:hAnsi="Arabic Typesetting" w:cs="Arabic Typesetting"/>
          <w:sz w:val="34"/>
          <w:szCs w:val="34"/>
          <w:rtl/>
          <w:lang w:bidi="ar-SA"/>
        </w:rPr>
        <w:t>الملكية الفكرية مفيدة</w:t>
      </w:r>
      <w:r>
        <w:rPr>
          <w:rFonts w:ascii="Arabic Typesetting" w:hAnsi="Arabic Typesetting" w:cs="Arabic Typesetting" w:hint="cs"/>
          <w:sz w:val="34"/>
          <w:szCs w:val="34"/>
          <w:rtl/>
          <w:lang w:bidi="ar-SA"/>
        </w:rPr>
        <w:t>ً</w:t>
      </w:r>
      <w:r w:rsidRPr="00E019E0">
        <w:rPr>
          <w:rFonts w:ascii="Arabic Typesetting" w:hAnsi="Arabic Typesetting" w:cs="Arabic Typesetting"/>
          <w:sz w:val="34"/>
          <w:szCs w:val="34"/>
          <w:rtl/>
          <w:lang w:bidi="ar-SA"/>
        </w:rPr>
        <w:t xml:space="preserve"> للابتكار والإبداع. ويجب أن تُعزِّز الإقرار ب</w:t>
      </w:r>
      <w:r>
        <w:rPr>
          <w:rFonts w:ascii="Arabic Typesetting" w:hAnsi="Arabic Typesetting" w:cs="Arabic Typesetting" w:hint="cs"/>
          <w:sz w:val="34"/>
          <w:szCs w:val="34"/>
          <w:rtl/>
          <w:lang w:bidi="ar-SA"/>
        </w:rPr>
        <w:t>مكانتها</w:t>
      </w:r>
      <w:r w:rsidRPr="00E019E0">
        <w:rPr>
          <w:rFonts w:ascii="Arabic Typesetting" w:hAnsi="Arabic Typesetting" w:cs="Arabic Typesetting"/>
          <w:sz w:val="34"/>
          <w:szCs w:val="34"/>
          <w:rtl/>
          <w:lang w:bidi="ar-SA"/>
        </w:rPr>
        <w:t xml:space="preserve"> الفريد</w:t>
      </w:r>
      <w:r>
        <w:rPr>
          <w:rFonts w:ascii="Arabic Typesetting" w:hAnsi="Arabic Typesetting" w:cs="Arabic Typesetting" w:hint="cs"/>
          <w:sz w:val="34"/>
          <w:szCs w:val="34"/>
          <w:rtl/>
          <w:lang w:bidi="ar-SA"/>
        </w:rPr>
        <w:t>ة</w:t>
      </w:r>
      <w:r w:rsidRPr="00E019E0">
        <w:rPr>
          <w:rFonts w:ascii="Arabic Typesetting" w:hAnsi="Arabic Typesetting" w:cs="Arabic Typesetting"/>
          <w:sz w:val="34"/>
          <w:szCs w:val="34"/>
          <w:rtl/>
          <w:lang w:bidi="ar-SA"/>
        </w:rPr>
        <w:t xml:space="preserve"> </w:t>
      </w:r>
      <w:r>
        <w:rPr>
          <w:rFonts w:ascii="Arabic Typesetting" w:hAnsi="Arabic Typesetting" w:cs="Arabic Typesetting" w:hint="cs"/>
          <w:sz w:val="34"/>
          <w:szCs w:val="34"/>
          <w:rtl/>
          <w:lang w:bidi="ar-SA"/>
        </w:rPr>
        <w:t>ك</w:t>
      </w:r>
      <w:r w:rsidRPr="00E019E0">
        <w:rPr>
          <w:rFonts w:ascii="Arabic Typesetting" w:hAnsi="Arabic Typesetting" w:cs="Arabic Typesetting"/>
          <w:sz w:val="34"/>
          <w:szCs w:val="34"/>
          <w:rtl/>
          <w:lang w:bidi="ar-SA"/>
        </w:rPr>
        <w:t>منتدى عالمي للملكية الفكرية، وأن تُعزِّز الطلب على أدوات</w:t>
      </w:r>
      <w:r>
        <w:rPr>
          <w:rFonts w:ascii="Arabic Typesetting" w:hAnsi="Arabic Typesetting" w:cs="Arabic Typesetting" w:hint="cs"/>
          <w:sz w:val="34"/>
          <w:szCs w:val="34"/>
          <w:rtl/>
          <w:lang w:bidi="ar-SA"/>
        </w:rPr>
        <w:t>ها</w:t>
      </w:r>
      <w:r w:rsidRPr="00E019E0">
        <w:rPr>
          <w:rFonts w:ascii="Arabic Typesetting" w:hAnsi="Arabic Typesetting" w:cs="Arabic Typesetting"/>
          <w:sz w:val="34"/>
          <w:szCs w:val="34"/>
          <w:rtl/>
          <w:lang w:bidi="ar-SA"/>
        </w:rPr>
        <w:t xml:space="preserve"> وخدماتها في مجال الملكية الفكرية.</w:t>
      </w:r>
    </w:p>
    <w:p w:rsidR="00BD0653" w:rsidRPr="00EB30FA" w:rsidRDefault="00BD0653" w:rsidP="00861CFF">
      <w:pPr>
        <w:numPr>
          <w:ilvl w:val="0"/>
          <w:numId w:val="32"/>
        </w:numPr>
        <w:spacing w:after="120" w:line="340" w:lineRule="exact"/>
        <w:ind w:left="-6" w:firstLine="0"/>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والملكية الفكرية مجالٌ مزدحِمٌ </w:t>
      </w:r>
      <w:r>
        <w:rPr>
          <w:rFonts w:ascii="Arabic Typesetting" w:hAnsi="Arabic Typesetting" w:cs="Arabic Typesetting" w:hint="cs"/>
          <w:sz w:val="34"/>
          <w:szCs w:val="34"/>
          <w:rtl/>
          <w:lang w:bidi="ar-SA"/>
        </w:rPr>
        <w:t>ت</w:t>
      </w:r>
      <w:r w:rsidRPr="00E019E0">
        <w:rPr>
          <w:rFonts w:ascii="Arabic Typesetting" w:hAnsi="Arabic Typesetting" w:cs="Arabic Typesetting"/>
          <w:sz w:val="34"/>
          <w:szCs w:val="34"/>
          <w:rtl/>
          <w:lang w:bidi="ar-SA"/>
        </w:rPr>
        <w:t xml:space="preserve">تنافس </w:t>
      </w:r>
      <w:r>
        <w:rPr>
          <w:rFonts w:ascii="Arabic Typesetting" w:hAnsi="Arabic Typesetting" w:cs="Arabic Typesetting" w:hint="cs"/>
          <w:sz w:val="34"/>
          <w:szCs w:val="34"/>
          <w:rtl/>
          <w:lang w:bidi="ar-SA"/>
        </w:rPr>
        <w:t xml:space="preserve">فيه أنشطة التواصل التي تقوم بها </w:t>
      </w:r>
      <w:r w:rsidRPr="00E019E0">
        <w:rPr>
          <w:rFonts w:ascii="Arabic Typesetting" w:hAnsi="Arabic Typesetting" w:cs="Arabic Typesetting"/>
          <w:sz w:val="34"/>
          <w:szCs w:val="34"/>
          <w:rtl/>
          <w:lang w:bidi="ar-SA"/>
        </w:rPr>
        <w:t>الويبو</w:t>
      </w:r>
      <w:r>
        <w:rPr>
          <w:rFonts w:ascii="Arabic Typesetting" w:hAnsi="Arabic Typesetting" w:cs="Arabic Typesetting" w:hint="cs"/>
          <w:sz w:val="34"/>
          <w:szCs w:val="34"/>
          <w:rtl/>
          <w:lang w:bidi="ar-SA"/>
        </w:rPr>
        <w:t xml:space="preserve"> </w:t>
      </w:r>
      <w:r w:rsidRPr="00E019E0">
        <w:rPr>
          <w:rFonts w:ascii="Arabic Typesetting" w:hAnsi="Arabic Typesetting" w:cs="Arabic Typesetting"/>
          <w:sz w:val="34"/>
          <w:szCs w:val="34"/>
          <w:rtl/>
          <w:lang w:bidi="ar-SA"/>
        </w:rPr>
        <w:t>لتسويق وت</w:t>
      </w:r>
      <w:r>
        <w:rPr>
          <w:rFonts w:ascii="Arabic Typesetting" w:hAnsi="Arabic Typesetting" w:cs="Arabic Typesetting"/>
          <w:sz w:val="34"/>
          <w:szCs w:val="34"/>
          <w:rtl/>
          <w:lang w:bidi="ar-SA"/>
        </w:rPr>
        <w:t>رويج خدماتها ومنتجاتها و</w:t>
      </w:r>
      <w:r>
        <w:rPr>
          <w:rFonts w:ascii="Arabic Typesetting" w:hAnsi="Arabic Typesetting" w:cs="Arabic Typesetting" w:hint="cs"/>
          <w:sz w:val="34"/>
          <w:szCs w:val="34"/>
          <w:rtl/>
          <w:lang w:bidi="ar-SA"/>
        </w:rPr>
        <w:t xml:space="preserve">تظاهراتها </w:t>
      </w:r>
      <w:r w:rsidRPr="00E019E0">
        <w:rPr>
          <w:rFonts w:ascii="Arabic Typesetting" w:hAnsi="Arabic Typesetting" w:cs="Arabic Typesetting"/>
          <w:sz w:val="34"/>
          <w:szCs w:val="34"/>
          <w:rtl/>
          <w:lang w:bidi="ar-SA"/>
        </w:rPr>
        <w:t>وإنجازاتها من أجل جذب اهتمام أصحاب المصالح. ولتحقيق أقصى قدر من التأثير، سوف يلزم وجود مزيد من التنسيق الداخلي المتكامل، وينبغي أن يزداد الاستغلال المنهجي للشراكات الخارجية، ويجب أن تكون اتصالات الويبو مبتكرةً ومُيسَّرةً وجَذّابةً ومُركَّزةً على المستخدم، مع التركيز القوي على أهمية الملكية الفكرية للأشخاص والاقتصادات في جميع أنحاء العالم. ولكي تكون المنظمةُ قادرةً على مواكبة بيئة الاتصالات الرقمية العالمية التي تتطور بسرعة، وعلى استغلال الفرص التي تتيحها التكنولوجيات الجديدة، سيستمر التركيز على بناء مهارات الوسائط المتعددة في إنشاء المحتوى الرقمي وإدارته، وعلى تسريع الانتقال من النشر التقليدي إلى النشر "في نسق رقمي من البداية".</w:t>
      </w:r>
    </w:p>
    <w:p w:rsidR="00BD0653" w:rsidRPr="00EB30FA" w:rsidRDefault="00BD0653" w:rsidP="00861CFF">
      <w:pPr>
        <w:numPr>
          <w:ilvl w:val="0"/>
          <w:numId w:val="32"/>
        </w:numPr>
        <w:spacing w:after="120" w:line="340" w:lineRule="exact"/>
        <w:ind w:left="-6" w:firstLine="0"/>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ويُعد التواصل الجيد والتجاوب عنصراً أساسياً في تقديم الخدمات الداخلية والخارجية على حد سواء. ويجب أن تواصل الويبو تحسين فهمها لاحتياجات شتى أصحاب المصالح الكثيرين وتوقعاتهم، وأن تتبنّى ثقافة التوجه نحو تقديم الخدمات على نطاق المنظمة، وأن تدعم ذلك بتحسين الأدوات والتطبيقات التقنية.</w:t>
      </w:r>
    </w:p>
    <w:p w:rsidR="00BD0653" w:rsidRPr="00EB30FA" w:rsidRDefault="00BD0653" w:rsidP="007843AB">
      <w:pPr>
        <w:spacing w:after="120" w:line="340" w:lineRule="exact"/>
        <w:jc w:val="both"/>
        <w:rPr>
          <w:rFonts w:ascii="Arabic Typesetting" w:hAnsi="Arabic Typesetting" w:cs="Arabic Typesetting"/>
          <w:sz w:val="34"/>
          <w:szCs w:val="34"/>
          <w:rtl/>
          <w:lang w:val="fr-CH" w:bidi="ar-SA"/>
        </w:rPr>
      </w:pPr>
    </w:p>
    <w:p w:rsidR="00BD0653" w:rsidRPr="00CC3A66" w:rsidRDefault="00BD0653" w:rsidP="007843AB">
      <w:pPr>
        <w:keepNext/>
        <w:adjustRightInd w:val="0"/>
        <w:snapToGrid w:val="0"/>
        <w:spacing w:after="240" w:line="360" w:lineRule="exact"/>
        <w:jc w:val="both"/>
        <w:rPr>
          <w:rFonts w:ascii="Arabic Typesetting" w:hAnsi="Arabic Typesetting" w:cs="Arabic Typesetting"/>
          <w:noProof/>
          <w:snapToGrid w:val="0"/>
          <w:sz w:val="38"/>
          <w:szCs w:val="38"/>
          <w:rtl/>
          <w:lang w:bidi="ar-SA"/>
        </w:rPr>
      </w:pPr>
      <w:r w:rsidRPr="00CC3A66">
        <w:rPr>
          <w:rFonts w:ascii="Arabic Typesetting" w:hAnsi="Arabic Typesetting" w:cs="Arabic Typesetting" w:hint="cs"/>
          <w:noProof/>
          <w:snapToGrid w:val="0"/>
          <w:sz w:val="38"/>
          <w:szCs w:val="38"/>
          <w:rtl/>
          <w:lang w:bidi="ar-SA"/>
        </w:rPr>
        <w:t>استراتيجيات التنفيذ</w:t>
      </w:r>
    </w:p>
    <w:p w:rsidR="00BD0653" w:rsidRDefault="00BD0653" w:rsidP="00861CFF">
      <w:pPr>
        <w:numPr>
          <w:ilvl w:val="0"/>
          <w:numId w:val="32"/>
        </w:numPr>
        <w:spacing w:after="120" w:line="340" w:lineRule="exact"/>
        <w:ind w:left="-6" w:firstLine="0"/>
        <w:rPr>
          <w:rFonts w:ascii="Arabic Typesetting" w:hAnsi="Arabic Typesetting" w:cs="Arabic Typesetting"/>
          <w:sz w:val="34"/>
          <w:szCs w:val="34"/>
          <w:lang w:bidi="ar-SA"/>
        </w:rPr>
      </w:pPr>
      <w:r w:rsidRPr="00E019E0">
        <w:rPr>
          <w:rFonts w:ascii="Arabic Typesetting" w:hAnsi="Arabic Typesetting" w:cs="Arabic Typesetting"/>
          <w:sz w:val="34"/>
          <w:szCs w:val="34"/>
          <w:rtl/>
          <w:lang w:bidi="ar-SA"/>
        </w:rPr>
        <w:t>ينبغي أن يؤدي عمل البرنامج 19 في الثنائية 2016/17 إلى التواصل الفعال بشأن الملكية الفكرية والويبو. وسيُقاس مدى نجاح المساهمات التي قدمها البرنامج من خلال مدى زيادة الوصول إلى المحتوى الإعلامي العام، بما في ذلك المنشورات والفيديو والصور والمواد الإعلامية والموارد الإلكترونية على شبكة الإنترنت، وأيضاً من خلال تعزيز إشراك أصحاب المصالح على منصات وسائل ال</w:t>
      </w:r>
      <w:r>
        <w:rPr>
          <w:rFonts w:ascii="Arabic Typesetting" w:hAnsi="Arabic Typesetting" w:cs="Arabic Typesetting"/>
          <w:sz w:val="34"/>
          <w:szCs w:val="34"/>
          <w:rtl/>
          <w:lang w:bidi="ar-SA"/>
        </w:rPr>
        <w:t>تواصل الاجتماعي وفي ال</w:t>
      </w:r>
      <w:r>
        <w:rPr>
          <w:rFonts w:ascii="Arabic Typesetting" w:hAnsi="Arabic Typesetting" w:cs="Arabic Typesetting" w:hint="cs"/>
          <w:sz w:val="34"/>
          <w:szCs w:val="34"/>
          <w:rtl/>
          <w:lang w:bidi="ar-SA"/>
        </w:rPr>
        <w:t>تظاهرات</w:t>
      </w:r>
      <w:r w:rsidRPr="00E019E0">
        <w:rPr>
          <w:rFonts w:ascii="Arabic Typesetting" w:hAnsi="Arabic Typesetting" w:cs="Arabic Typesetting"/>
          <w:sz w:val="34"/>
          <w:szCs w:val="34"/>
          <w:rtl/>
          <w:lang w:bidi="ar-SA"/>
        </w:rPr>
        <w:t xml:space="preserve">. </w:t>
      </w:r>
      <w:r>
        <w:rPr>
          <w:rFonts w:ascii="Arabic Typesetting" w:hAnsi="Arabic Typesetting" w:cs="Arabic Typesetting" w:hint="cs"/>
          <w:sz w:val="34"/>
          <w:szCs w:val="34"/>
          <w:rtl/>
          <w:lang w:bidi="ar-SA"/>
        </w:rPr>
        <w:t>والنقل</w:t>
      </w:r>
      <w:r>
        <w:rPr>
          <w:rFonts w:ascii="Arabic Typesetting" w:hAnsi="Arabic Typesetting" w:cs="Arabic Typesetting"/>
          <w:sz w:val="34"/>
          <w:szCs w:val="34"/>
          <w:rtl/>
          <w:lang w:bidi="ar-SA"/>
        </w:rPr>
        <w:t xml:space="preserve"> الناجح لل</w:t>
      </w:r>
      <w:r>
        <w:rPr>
          <w:rFonts w:ascii="Arabic Typesetting" w:hAnsi="Arabic Typesetting" w:cs="Arabic Typesetting" w:hint="cs"/>
          <w:sz w:val="34"/>
          <w:szCs w:val="34"/>
          <w:rtl/>
          <w:lang w:bidi="ar-SA"/>
        </w:rPr>
        <w:t>تظاهرات</w:t>
      </w:r>
      <w:r w:rsidRPr="00E019E0">
        <w:rPr>
          <w:rFonts w:ascii="Arabic Typesetting" w:hAnsi="Arabic Typesetting" w:cs="Arabic Typesetting"/>
          <w:sz w:val="34"/>
          <w:szCs w:val="34"/>
          <w:rtl/>
          <w:lang w:bidi="ar-SA"/>
        </w:rPr>
        <w:t xml:space="preserve"> والإنجازات الرئيسية سيؤدي إلى زيادة الظهور في وسائل الإعلام الدولية، وإلى إقرار أصحاب المصالح الإيجابي بدور الويبو وسمعتها. وسيؤدي تحس</w:t>
      </w:r>
      <w:r>
        <w:rPr>
          <w:rFonts w:ascii="Arabic Typesetting" w:hAnsi="Arabic Typesetting" w:cs="Arabic Typesetting" w:hint="cs"/>
          <w:sz w:val="34"/>
          <w:szCs w:val="34"/>
          <w:rtl/>
          <w:lang w:bidi="ar-SA"/>
        </w:rPr>
        <w:t>ُّ</w:t>
      </w:r>
      <w:r w:rsidRPr="00E019E0">
        <w:rPr>
          <w:rFonts w:ascii="Arabic Typesetting" w:hAnsi="Arabic Typesetting" w:cs="Arabic Typesetting"/>
          <w:sz w:val="34"/>
          <w:szCs w:val="34"/>
          <w:rtl/>
          <w:lang w:bidi="ar-SA"/>
        </w:rPr>
        <w:t>ن التجاوب في معالجة الاستفسارات الخارجية إلى ارتفاع معدل رضا أصحاب المصالح. وستظل استراتيجيات تحقيق هذه النتائج تشمل ما يلي:</w:t>
      </w:r>
    </w:p>
    <w:p w:rsidR="00BD0653"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"1" </w:t>
      </w:r>
      <w:r w:rsidRPr="00F716E3">
        <w:rPr>
          <w:rFonts w:ascii="Arabic Typesetting" w:hAnsi="Arabic Typesetting" w:cs="Arabic Typesetting"/>
          <w:i/>
          <w:iCs/>
          <w:sz w:val="34"/>
          <w:szCs w:val="34"/>
          <w:rtl/>
          <w:lang w:bidi="ar-SA"/>
        </w:rPr>
        <w:t>تحديد الأولويات</w:t>
      </w:r>
      <w:r w:rsidRPr="00E019E0">
        <w:rPr>
          <w:rFonts w:ascii="Arabic Typesetting" w:hAnsi="Arabic Typesetting" w:cs="Arabic Typesetting"/>
          <w:sz w:val="34"/>
          <w:szCs w:val="34"/>
          <w:rtl/>
          <w:lang w:bidi="ar-SA"/>
        </w:rPr>
        <w:t>: سوف يزداد التركيز على إنتاج المحتوى دعماً للأهداف العليا للمنظمة. وسوف يُحدَّ</w:t>
      </w:r>
      <w:r>
        <w:rPr>
          <w:rFonts w:ascii="Arabic Typesetting" w:hAnsi="Arabic Typesetting" w:cs="Arabic Typesetting"/>
          <w:sz w:val="34"/>
          <w:szCs w:val="34"/>
          <w:rtl/>
          <w:lang w:bidi="ar-SA"/>
        </w:rPr>
        <w:t xml:space="preserve">د في كل عام عددٌ محدودٌ من </w:t>
      </w:r>
      <w:r>
        <w:rPr>
          <w:rFonts w:ascii="Arabic Typesetting" w:hAnsi="Arabic Typesetting" w:cs="Arabic Typesetting" w:hint="cs"/>
          <w:sz w:val="34"/>
          <w:szCs w:val="34"/>
          <w:rtl/>
          <w:lang w:bidi="ar-SA"/>
        </w:rPr>
        <w:t>تظاهرات</w:t>
      </w:r>
      <w:r w:rsidRPr="00E019E0">
        <w:rPr>
          <w:rFonts w:ascii="Arabic Typesetting" w:hAnsi="Arabic Typesetting" w:cs="Arabic Typesetting"/>
          <w:sz w:val="34"/>
          <w:szCs w:val="34"/>
          <w:rtl/>
          <w:lang w:bidi="ar-SA"/>
        </w:rPr>
        <w:t xml:space="preserve"> الويبو ومنتجاتها وإنجازاتها الرئيسية بوصفها الأولويات الاستراتيجية للتواصل والتسويق. وستحظى هذه الأولويات بظهور إعلامي أكبر، مع وضع خطط تواصل مُصمَّمة خصيصاً كوسيلة لتعبئة الموارد المتاحة من أجل زيادة التأثير والانتشار. وستُقام شراكات إعلامي</w:t>
      </w:r>
      <w:r>
        <w:rPr>
          <w:rFonts w:ascii="Arabic Typesetting" w:hAnsi="Arabic Typesetting" w:cs="Arabic Typesetting"/>
          <w:sz w:val="34"/>
          <w:szCs w:val="34"/>
          <w:rtl/>
          <w:lang w:bidi="ar-SA"/>
        </w:rPr>
        <w:t>ة استراتيجية لزيادة ظهور ال</w:t>
      </w:r>
      <w:r>
        <w:rPr>
          <w:rFonts w:ascii="Arabic Typesetting" w:hAnsi="Arabic Typesetting" w:cs="Arabic Typesetting" w:hint="cs"/>
          <w:sz w:val="34"/>
          <w:szCs w:val="34"/>
          <w:rtl/>
          <w:lang w:bidi="ar-SA"/>
        </w:rPr>
        <w:t>تظاهرات</w:t>
      </w:r>
      <w:r w:rsidRPr="00E019E0">
        <w:rPr>
          <w:rFonts w:ascii="Arabic Typesetting" w:hAnsi="Arabic Typesetting" w:cs="Arabic Typesetting"/>
          <w:sz w:val="34"/>
          <w:szCs w:val="34"/>
          <w:rtl/>
          <w:lang w:bidi="ar-SA"/>
        </w:rPr>
        <w:t xml:space="preserve"> البارزة وانتشارها. وستُساعد أدواتُ التسويق المطورة حديثاً، مثل قاعدة بيانات الاتصال المركزية ومنصة نشرة البريد الإلكتروني، على ضمان وصول</w:t>
      </w:r>
      <w:r>
        <w:rPr>
          <w:rFonts w:ascii="Arabic Typesetting" w:hAnsi="Arabic Typesetting" w:cs="Arabic Typesetting" w:hint="cs"/>
          <w:sz w:val="34"/>
          <w:szCs w:val="34"/>
          <w:rtl/>
          <w:lang w:bidi="ar-SA"/>
        </w:rPr>
        <w:t xml:space="preserve"> الاتصالات الترويجية</w:t>
      </w:r>
      <w:r w:rsidRPr="00E019E0">
        <w:rPr>
          <w:rFonts w:ascii="Arabic Typesetting" w:hAnsi="Arabic Typesetting" w:cs="Arabic Typesetting"/>
          <w:sz w:val="34"/>
          <w:szCs w:val="34"/>
          <w:rtl/>
          <w:lang w:bidi="ar-SA"/>
        </w:rPr>
        <w:t xml:space="preserve"> إلى الجمهور المقصود.</w:t>
      </w:r>
    </w:p>
    <w:p w:rsidR="00BD0653"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"2" </w:t>
      </w:r>
      <w:r w:rsidRPr="003B48E2">
        <w:rPr>
          <w:rFonts w:ascii="Arabic Typesetting" w:hAnsi="Arabic Typesetting" w:cs="Arabic Typesetting"/>
          <w:i/>
          <w:iCs/>
          <w:sz w:val="34"/>
          <w:szCs w:val="34"/>
          <w:rtl/>
          <w:lang w:bidi="ar-SA"/>
        </w:rPr>
        <w:t>المحتوى والتقديم المُركِّزان على المستخدم</w:t>
      </w:r>
      <w:r w:rsidRPr="00E019E0">
        <w:rPr>
          <w:rFonts w:ascii="Arabic Typesetting" w:hAnsi="Arabic Typesetting" w:cs="Arabic Typesetting"/>
          <w:sz w:val="34"/>
          <w:szCs w:val="34"/>
          <w:rtl/>
          <w:lang w:bidi="ar-SA"/>
        </w:rPr>
        <w:t xml:space="preserve">: سوف يُنشأ محتوى عالي الجودة – بدءاً من المنتجات الإعلامية القائمة على البيانات وصولاً إلى قصص الملكية الفكرية – وسوف يُصمَّم </w:t>
      </w:r>
      <w:r>
        <w:rPr>
          <w:rFonts w:ascii="Arabic Typesetting" w:hAnsi="Arabic Typesetting" w:cs="Arabic Typesetting" w:hint="cs"/>
          <w:sz w:val="34"/>
          <w:szCs w:val="34"/>
          <w:rtl/>
          <w:lang w:bidi="ar-SA"/>
        </w:rPr>
        <w:t xml:space="preserve">هذا المحتوى </w:t>
      </w:r>
      <w:r w:rsidRPr="00E019E0">
        <w:rPr>
          <w:rFonts w:ascii="Arabic Typesetting" w:hAnsi="Arabic Typesetting" w:cs="Arabic Typesetting"/>
          <w:sz w:val="34"/>
          <w:szCs w:val="34"/>
          <w:rtl/>
          <w:lang w:bidi="ar-SA"/>
        </w:rPr>
        <w:t>خصيصاً ويُنشَر من خلال قنوات متنوعة لتلبية احتياجات ومصالح شتى الجماهير وشتى مستويات المعرفة بالملكية الفكرية. وسوف يستمر إيلاء الاهتمام البالغ بالاعتبارات الجغرافية والتوازن بين الجنسين</w:t>
      </w:r>
      <w:r>
        <w:rPr>
          <w:rFonts w:ascii="Arabic Typesetting" w:hAnsi="Arabic Typesetting" w:cs="Arabic Typesetting" w:hint="cs"/>
          <w:sz w:val="34"/>
          <w:szCs w:val="34"/>
          <w:rtl/>
          <w:lang w:bidi="ar-SA"/>
        </w:rPr>
        <w:t>،</w:t>
      </w:r>
      <w:r w:rsidRPr="00E019E0">
        <w:rPr>
          <w:rFonts w:ascii="Arabic Typesetting" w:hAnsi="Arabic Typesetting" w:cs="Arabic Typesetting"/>
          <w:sz w:val="34"/>
          <w:szCs w:val="34"/>
          <w:rtl/>
          <w:lang w:bidi="ar-SA"/>
        </w:rPr>
        <w:t xml:space="preserve"> وبسرد قصص تحكي كيف ينتفع المبدعون في كل أنحاء العالم بالملكية الفكرية لتحسين معيشتهم. كما أن النشرة الإخبارية النصف شهرية الجديدة المسماة </w:t>
      </w:r>
      <w:r w:rsidRPr="003B48E2">
        <w:rPr>
          <w:rFonts w:ascii="Arabic Typesetting" w:hAnsi="Arabic Typesetting" w:cs="Arabic Typesetting"/>
          <w:i/>
          <w:iCs/>
          <w:sz w:val="34"/>
          <w:szCs w:val="34"/>
          <w:lang w:bidi="ar-SA"/>
        </w:rPr>
        <w:t>WIPO Wire</w:t>
      </w:r>
      <w:r w:rsidRPr="00E019E0">
        <w:rPr>
          <w:rFonts w:ascii="Arabic Typesetting" w:hAnsi="Arabic Typesetting" w:cs="Arabic Typesetting"/>
          <w:sz w:val="34"/>
          <w:szCs w:val="34"/>
          <w:rtl/>
          <w:lang w:bidi="ar-SA"/>
        </w:rPr>
        <w:t xml:space="preserve"> ستساعد أصحاب المصالح على أن يظلوا على اطلاع بأحدث أخبار الويبو ومواردها، والمنصة البريدية الجديدة ستجعل كل نشرات الويبو الإخبارية والتنبيهات </w:t>
      </w:r>
      <w:r w:rsidRPr="00E019E0">
        <w:rPr>
          <w:rFonts w:ascii="Arabic Typesetting" w:hAnsi="Arabic Typesetting" w:cs="Arabic Typesetting"/>
          <w:sz w:val="34"/>
          <w:szCs w:val="34"/>
          <w:rtl/>
          <w:lang w:bidi="ar-SA"/>
        </w:rPr>
        <w:lastRenderedPageBreak/>
        <w:t xml:space="preserve">الإلكترونية أسهل في الاستخدام. والتحسينات الأخرى على بنية معلومات موقع الويبو الإلكتروني وتصميمه ومحتواه ستساعد شتى المستخدمين على العثور على ما يحتاجون إليه على نحو أسهل. وستُقدِّم الأدوات التحليلية أفكاراً للمساعدة على قياس مدى فعالية </w:t>
      </w:r>
      <w:r>
        <w:rPr>
          <w:rFonts w:ascii="Arabic Typesetting" w:hAnsi="Arabic Typesetting" w:cs="Arabic Typesetting" w:hint="cs"/>
          <w:sz w:val="34"/>
          <w:szCs w:val="34"/>
          <w:rtl/>
          <w:lang w:bidi="ar-SA"/>
        </w:rPr>
        <w:t>التواصل</w:t>
      </w:r>
      <w:r w:rsidRPr="00E019E0">
        <w:rPr>
          <w:rFonts w:ascii="Arabic Typesetting" w:hAnsi="Arabic Typesetting" w:cs="Arabic Typesetting"/>
          <w:sz w:val="34"/>
          <w:szCs w:val="34"/>
          <w:rtl/>
          <w:lang w:bidi="ar-SA"/>
        </w:rPr>
        <w:t xml:space="preserve"> وخدمة مصالح المستخدمين على نحو أفضل.</w:t>
      </w:r>
    </w:p>
    <w:p w:rsidR="00BD0653"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"3" </w:t>
      </w:r>
      <w:r>
        <w:rPr>
          <w:rFonts w:ascii="Arabic Typesetting" w:hAnsi="Arabic Typesetting" w:cs="Arabic Typesetting" w:hint="cs"/>
          <w:i/>
          <w:iCs/>
          <w:sz w:val="34"/>
          <w:szCs w:val="34"/>
          <w:rtl/>
          <w:lang w:bidi="ar-SA"/>
        </w:rPr>
        <w:t>توسيع نطاق</w:t>
      </w:r>
      <w:r w:rsidRPr="00F716E3">
        <w:rPr>
          <w:rFonts w:ascii="Arabic Typesetting" w:hAnsi="Arabic Typesetting" w:cs="Arabic Typesetting"/>
          <w:i/>
          <w:iCs/>
          <w:sz w:val="34"/>
          <w:szCs w:val="34"/>
          <w:rtl/>
          <w:lang w:bidi="ar-SA"/>
        </w:rPr>
        <w:t xml:space="preserve"> النفاذ</w:t>
      </w:r>
      <w:r w:rsidRPr="00E019E0">
        <w:rPr>
          <w:rFonts w:ascii="Arabic Typesetting" w:hAnsi="Arabic Typesetting" w:cs="Arabic Typesetting"/>
          <w:sz w:val="34"/>
          <w:szCs w:val="34"/>
          <w:rtl/>
          <w:lang w:bidi="ar-SA"/>
        </w:rPr>
        <w:t xml:space="preserve">: ستُنشر على الموقع الإلكتروني سياسة الويبو للنفاذ المفتوح، مدعومةً بأدوات ترخيص المشاع الإبداعي. ومنصة النشر على الإنترنت الجديدة الشاملة التي توفر إمكانية البحث عن النصوص (أُطلقت في عام 2015 إلى جانب الطباعة حسب الطلب) ستجعل جميع منشورات الويبو ودراساتها متاحةً مجاناً وبسهولة على شبكة الانترنت، بما في ذلك تيسير النفاذ إلى إصدارات اللغات المختلفة. وستُحوَّل منشورات الويبو المحفوظة في الأرشيف إلى صيغة رقمية ثم تُضاف إلى </w:t>
      </w:r>
      <w:r w:rsidRPr="00B14FF0">
        <w:rPr>
          <w:rFonts w:ascii="Arabic Typesetting" w:hAnsi="Arabic Typesetting" w:cs="Arabic Typesetting"/>
          <w:sz w:val="34"/>
          <w:szCs w:val="34"/>
          <w:rtl/>
          <w:lang w:bidi="ar-SA"/>
        </w:rPr>
        <w:t>المجموعة. وسي</w:t>
      </w:r>
      <w:r w:rsidRPr="00B14FF0">
        <w:rPr>
          <w:rFonts w:ascii="Arabic Typesetting" w:hAnsi="Arabic Typesetting" w:cs="Arabic Typesetting" w:hint="cs"/>
          <w:sz w:val="34"/>
          <w:szCs w:val="34"/>
          <w:rtl/>
          <w:lang w:bidi="ar-SA"/>
        </w:rPr>
        <w:t xml:space="preserve">ُجرى </w:t>
      </w:r>
      <w:r w:rsidRPr="00B14FF0">
        <w:rPr>
          <w:rFonts w:ascii="Arabic Typesetting" w:hAnsi="Arabic Typesetting" w:cs="Arabic Typesetting"/>
          <w:sz w:val="34"/>
          <w:szCs w:val="34"/>
          <w:rtl/>
          <w:lang w:bidi="ar-SA"/>
        </w:rPr>
        <w:t xml:space="preserve">استكشاف أنساق بديلة لمنشورات الويبو الرئيسية من أجل </w:t>
      </w:r>
      <w:r w:rsidRPr="00B14FF0">
        <w:rPr>
          <w:rFonts w:ascii="Arabic Typesetting" w:hAnsi="Arabic Typesetting" w:cs="Arabic Typesetting" w:hint="cs"/>
          <w:sz w:val="34"/>
          <w:szCs w:val="34"/>
          <w:rtl/>
          <w:lang w:bidi="ar-SA"/>
        </w:rPr>
        <w:t xml:space="preserve">زيادة </w:t>
      </w:r>
      <w:r w:rsidRPr="00B14FF0">
        <w:rPr>
          <w:rFonts w:ascii="Arabic Typesetting" w:hAnsi="Arabic Typesetting" w:cs="Arabic Typesetting"/>
          <w:sz w:val="34"/>
          <w:szCs w:val="34"/>
          <w:rtl/>
          <w:lang w:bidi="ar-SA"/>
        </w:rPr>
        <w:t xml:space="preserve">توسيع نطاق النفاذ إليها، </w:t>
      </w:r>
      <w:r w:rsidRPr="00B14FF0">
        <w:rPr>
          <w:rFonts w:ascii="Arabic Typesetting" w:hAnsi="Arabic Typesetting" w:cs="Arabic Typesetting" w:hint="cs"/>
          <w:sz w:val="34"/>
          <w:szCs w:val="34"/>
          <w:rtl/>
          <w:lang w:bidi="ar-SA"/>
        </w:rPr>
        <w:t>ولتعزيز</w:t>
      </w:r>
      <w:r w:rsidRPr="00B14FF0">
        <w:rPr>
          <w:rFonts w:ascii="Arabic Typesetting" w:hAnsi="Arabic Typesetting" w:cs="Arabic Typesetting"/>
          <w:sz w:val="34"/>
          <w:szCs w:val="34"/>
          <w:rtl/>
          <w:lang w:bidi="ar-SA"/>
        </w:rPr>
        <w:t xml:space="preserve"> التزامات الويبو</w:t>
      </w:r>
      <w:r w:rsidRPr="00E019E0">
        <w:rPr>
          <w:rFonts w:ascii="Arabic Typesetting" w:hAnsi="Arabic Typesetting" w:cs="Arabic Typesetting"/>
          <w:sz w:val="34"/>
          <w:szCs w:val="34"/>
          <w:rtl/>
          <w:lang w:bidi="ar-SA"/>
        </w:rPr>
        <w:t xml:space="preserve"> بالنشر المُيسَّر. وفي المكتبة، سوف تُجرى إتاحة أكبر عدد ممكن من الكتب الإلكترونية والمجلات في نسق إلكتروني لموظفي الويبو وللزوار. وسيواصل برنامج مكتبات إيداع منشورات الويبو تلبية الطلبات المقدمة من البلدان النامية للحصول على المواد المرجعية الورقية والرقمية الخاصة بالملكية الفكرية.</w:t>
      </w:r>
    </w:p>
    <w:p w:rsidR="00BD0653"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"4" </w:t>
      </w:r>
      <w:r w:rsidRPr="00F716E3">
        <w:rPr>
          <w:rFonts w:ascii="Arabic Typesetting" w:hAnsi="Arabic Typesetting" w:cs="Arabic Typesetting"/>
          <w:i/>
          <w:iCs/>
          <w:sz w:val="34"/>
          <w:szCs w:val="34"/>
          <w:rtl/>
          <w:lang w:bidi="ar-SA"/>
        </w:rPr>
        <w:t>إشراك أصحاب المصالح</w:t>
      </w:r>
      <w:r w:rsidRPr="00E019E0">
        <w:rPr>
          <w:rFonts w:ascii="Arabic Typesetting" w:hAnsi="Arabic Typesetting" w:cs="Arabic Typesetting"/>
          <w:sz w:val="34"/>
          <w:szCs w:val="34"/>
          <w:rtl/>
          <w:lang w:bidi="ar-SA"/>
        </w:rPr>
        <w:t xml:space="preserve">: سيواصل البرنامج 19 قيادة إدماج أدوات واستراتيجيات وسائل التواصل الاجتماعي وتوسيع </w:t>
      </w:r>
      <w:r>
        <w:rPr>
          <w:rFonts w:ascii="Arabic Typesetting" w:hAnsi="Arabic Typesetting" w:cs="Arabic Typesetting" w:hint="cs"/>
          <w:sz w:val="34"/>
          <w:szCs w:val="34"/>
          <w:rtl/>
          <w:lang w:bidi="ar-SA"/>
        </w:rPr>
        <w:t xml:space="preserve">نطاقها </w:t>
      </w:r>
      <w:r w:rsidRPr="00E019E0">
        <w:rPr>
          <w:rFonts w:ascii="Arabic Typesetting" w:hAnsi="Arabic Typesetting" w:cs="Arabic Typesetting"/>
          <w:sz w:val="34"/>
          <w:szCs w:val="34"/>
          <w:rtl/>
          <w:lang w:bidi="ar-SA"/>
        </w:rPr>
        <w:t>للسماح بالتواصل المتعد</w:t>
      </w:r>
      <w:r>
        <w:rPr>
          <w:rFonts w:ascii="Arabic Typesetting" w:hAnsi="Arabic Typesetting" w:cs="Arabic Typesetting" w:hint="cs"/>
          <w:sz w:val="34"/>
          <w:szCs w:val="34"/>
          <w:rtl/>
          <w:lang w:bidi="ar-SA"/>
        </w:rPr>
        <w:t>د</w:t>
      </w:r>
      <w:r w:rsidRPr="00E019E0">
        <w:rPr>
          <w:rFonts w:ascii="Arabic Typesetting" w:hAnsi="Arabic Typesetting" w:cs="Arabic Typesetting"/>
          <w:sz w:val="34"/>
          <w:szCs w:val="34"/>
          <w:rtl/>
          <w:lang w:bidi="ar-SA"/>
        </w:rPr>
        <w:t xml:space="preserve"> الاتجاهات، وتحسين تجاوب الويبو، وزيادة المشاركة المباشرة لأصحاب المصالح والتعبير عن آرائهم. وسيُنشأ محتوى إعلامي </w:t>
      </w:r>
      <w:r>
        <w:rPr>
          <w:rFonts w:ascii="Arabic Typesetting" w:hAnsi="Arabic Typesetting" w:cs="Arabic Typesetting" w:hint="cs"/>
          <w:sz w:val="34"/>
          <w:szCs w:val="34"/>
          <w:rtl/>
          <w:lang w:bidi="ar-SA"/>
        </w:rPr>
        <w:t xml:space="preserve">قابل للمشاركة، </w:t>
      </w:r>
      <w:r w:rsidRPr="00E019E0">
        <w:rPr>
          <w:rFonts w:ascii="Arabic Typesetting" w:hAnsi="Arabic Typesetting" w:cs="Arabic Typesetting"/>
          <w:sz w:val="34"/>
          <w:szCs w:val="34"/>
          <w:rtl/>
          <w:lang w:bidi="ar-SA"/>
        </w:rPr>
        <w:t xml:space="preserve">وسيُنشَر </w:t>
      </w:r>
      <w:r>
        <w:rPr>
          <w:rFonts w:ascii="Arabic Typesetting" w:hAnsi="Arabic Typesetting" w:cs="Arabic Typesetting" w:hint="cs"/>
          <w:sz w:val="34"/>
          <w:szCs w:val="34"/>
          <w:rtl/>
          <w:lang w:bidi="ar-SA"/>
        </w:rPr>
        <w:t xml:space="preserve">هذا المحتوى </w:t>
      </w:r>
      <w:r w:rsidRPr="00E019E0">
        <w:rPr>
          <w:rFonts w:ascii="Arabic Typesetting" w:hAnsi="Arabic Typesetting" w:cs="Arabic Typesetting"/>
          <w:sz w:val="34"/>
          <w:szCs w:val="34"/>
          <w:rtl/>
          <w:lang w:bidi="ar-SA"/>
        </w:rPr>
        <w:t xml:space="preserve">عبر عدد أكبر من المنصات المتنوعة. وسيتم إطلاق مجلة إلكترونية للويبو تكون تفاعليةً أكثر. </w:t>
      </w:r>
      <w:r w:rsidRPr="009D05FE">
        <w:rPr>
          <w:rFonts w:ascii="Arabic Typesetting" w:hAnsi="Arabic Typesetting" w:cs="Arabic Typesetting"/>
          <w:sz w:val="34"/>
          <w:szCs w:val="34"/>
          <w:rtl/>
          <w:lang w:bidi="ar-SA"/>
        </w:rPr>
        <w:t xml:space="preserve">وسوف </w:t>
      </w:r>
      <w:r>
        <w:rPr>
          <w:rFonts w:ascii="Arabic Typesetting" w:hAnsi="Arabic Typesetting" w:cs="Arabic Typesetting" w:hint="cs"/>
          <w:sz w:val="34"/>
          <w:szCs w:val="34"/>
          <w:rtl/>
          <w:lang w:bidi="ar-SA"/>
        </w:rPr>
        <w:t>تُجرى</w:t>
      </w:r>
      <w:r w:rsidRPr="009D05FE">
        <w:rPr>
          <w:rFonts w:ascii="Arabic Typesetting" w:hAnsi="Arabic Typesetting" w:cs="Arabic Typesetting"/>
          <w:sz w:val="34"/>
          <w:szCs w:val="34"/>
          <w:rtl/>
          <w:lang w:bidi="ar-SA"/>
        </w:rPr>
        <w:t xml:space="preserve"> زيادة توسيع</w:t>
      </w:r>
      <w:r w:rsidRPr="00E019E0">
        <w:rPr>
          <w:rFonts w:ascii="Arabic Typesetting" w:hAnsi="Arabic Typesetting" w:cs="Arabic Typesetting"/>
          <w:sz w:val="34"/>
          <w:szCs w:val="34"/>
          <w:rtl/>
          <w:lang w:bidi="ar-SA"/>
        </w:rPr>
        <w:t xml:space="preserve"> نطاق الحملة السنوية لليوم العالمي للملكية الفكرية بوصفها منصة شعبية للتواصل مع جمهور جديد وتعزيز الرابط الإيجابي بين الملكية الفكرية والابتكار. وسيظل الإشراك الإعلامي أداةً قويةً. ولتعزيز مكانة الويبو بوصفها مرجعاً عالمياً وسلطة موثوق بها في مجال الملكية الفكرية، وللمساعدة على تغيير المفاهيم العامة حيثما يلزم، ستوجد توعية استباقي</w:t>
      </w:r>
      <w:r>
        <w:rPr>
          <w:rFonts w:ascii="Arabic Typesetting" w:hAnsi="Arabic Typesetting" w:cs="Arabic Typesetting" w:hint="cs"/>
          <w:sz w:val="34"/>
          <w:szCs w:val="34"/>
          <w:rtl/>
          <w:lang w:bidi="ar-SA"/>
        </w:rPr>
        <w:t>ة</w:t>
      </w:r>
      <w:r w:rsidRPr="00E019E0">
        <w:rPr>
          <w:rFonts w:ascii="Arabic Typesetting" w:hAnsi="Arabic Typesetting" w:cs="Arabic Typesetting"/>
          <w:sz w:val="34"/>
          <w:szCs w:val="34"/>
          <w:rtl/>
          <w:lang w:bidi="ar-SA"/>
        </w:rPr>
        <w:t xml:space="preserve"> مستمرة للصحف والمدونات ووسائل الإعلام الرقمية المؤثرة الم</w:t>
      </w:r>
      <w:r>
        <w:rPr>
          <w:rFonts w:ascii="Arabic Typesetting" w:hAnsi="Arabic Typesetting" w:cs="Arabic Typesetting" w:hint="cs"/>
          <w:sz w:val="34"/>
          <w:szCs w:val="34"/>
          <w:rtl/>
          <w:lang w:bidi="ar-SA"/>
        </w:rPr>
        <w:t>ُ</w:t>
      </w:r>
      <w:r w:rsidRPr="00E019E0">
        <w:rPr>
          <w:rFonts w:ascii="Arabic Typesetting" w:hAnsi="Arabic Typesetting" w:cs="Arabic Typesetting"/>
          <w:sz w:val="34"/>
          <w:szCs w:val="34"/>
          <w:rtl/>
          <w:lang w:bidi="ar-SA"/>
        </w:rPr>
        <w:t>ستهد</w:t>
      </w:r>
      <w:r>
        <w:rPr>
          <w:rFonts w:ascii="Arabic Typesetting" w:hAnsi="Arabic Typesetting" w:cs="Arabic Typesetting" w:hint="cs"/>
          <w:sz w:val="34"/>
          <w:szCs w:val="34"/>
          <w:rtl/>
          <w:lang w:bidi="ar-SA"/>
        </w:rPr>
        <w:t>َ</w:t>
      </w:r>
      <w:r w:rsidRPr="00E019E0">
        <w:rPr>
          <w:rFonts w:ascii="Arabic Typesetting" w:hAnsi="Arabic Typesetting" w:cs="Arabic Typesetting"/>
          <w:sz w:val="34"/>
          <w:szCs w:val="34"/>
          <w:rtl/>
          <w:lang w:bidi="ar-SA"/>
        </w:rPr>
        <w:t>فة.</w:t>
      </w:r>
    </w:p>
    <w:p w:rsidR="00BD0653"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"5" </w:t>
      </w:r>
      <w:r w:rsidRPr="00F716E3">
        <w:rPr>
          <w:rFonts w:ascii="Arabic Typesetting" w:hAnsi="Arabic Typesetting" w:cs="Arabic Typesetting"/>
          <w:i/>
          <w:iCs/>
          <w:sz w:val="34"/>
          <w:szCs w:val="34"/>
          <w:rtl/>
          <w:lang w:bidi="ar-SA"/>
        </w:rPr>
        <w:t>الفيديو والتواصل المرئي</w:t>
      </w:r>
      <w:r w:rsidRPr="00E019E0">
        <w:rPr>
          <w:rFonts w:ascii="Arabic Typesetting" w:hAnsi="Arabic Typesetting" w:cs="Arabic Typesetting"/>
          <w:sz w:val="34"/>
          <w:szCs w:val="34"/>
          <w:rtl/>
          <w:lang w:bidi="ar-SA"/>
        </w:rPr>
        <w:t>: ستُستخدَم صور ورسومات وتصميمات ذات مغزى استخداماً خلّاقاً عبر وسائل الإعلام القائمة على الإنترنت والرقمية والمطبوعة لتعزيز الأثر البصري والفوري لتواصل الويبو. وسوف يُجرى تكوين كفاءات لزيادة إنتاج رسوم معلوماتية ووسائل إيضاح مرئية عالية الجودة من أجل تعزيز المحتوى الغني بالبيانات ذي القيمة العالية، مثل تقارير الويبو الإحصائية والاقتصادية الفريدة. وسوف يُستغل ميلُ الناس في كل أنحاء العالم إلى مشاهدة الفيديو</w:t>
      </w:r>
      <w:r>
        <w:rPr>
          <w:rFonts w:ascii="Arabic Typesetting" w:hAnsi="Arabic Typesetting" w:cs="Arabic Typesetting" w:hint="cs"/>
          <w:sz w:val="34"/>
          <w:szCs w:val="34"/>
          <w:rtl/>
          <w:lang w:bidi="ar-SA"/>
        </w:rPr>
        <w:t>هات</w:t>
      </w:r>
      <w:r w:rsidRPr="00E019E0">
        <w:rPr>
          <w:rFonts w:ascii="Arabic Typesetting" w:hAnsi="Arabic Typesetting" w:cs="Arabic Typesetting"/>
          <w:sz w:val="34"/>
          <w:szCs w:val="34"/>
          <w:rtl/>
          <w:lang w:bidi="ar-SA"/>
        </w:rPr>
        <w:t xml:space="preserve"> عن طريق زيادة إنتاج مقابلات شخصية، ومحتوى إخباري، وقصص، ورسوم متحركة، وفيديوهات تعليمية، وغير ذلك من المحتوى السمعي البصري الذي يشرح عمل الويبو ومنتجاتها.</w:t>
      </w:r>
    </w:p>
    <w:p w:rsidR="00BD0653"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"6" </w:t>
      </w:r>
      <w:r w:rsidRPr="00F716E3">
        <w:rPr>
          <w:rFonts w:ascii="Arabic Typesetting" w:hAnsi="Arabic Typesetting" w:cs="Arabic Typesetting"/>
          <w:i/>
          <w:iCs/>
          <w:sz w:val="34"/>
          <w:szCs w:val="34"/>
          <w:rtl/>
          <w:lang w:bidi="ar-SA"/>
        </w:rPr>
        <w:t>هوية قوية للويبو</w:t>
      </w:r>
      <w:r w:rsidRPr="00E019E0">
        <w:rPr>
          <w:rFonts w:ascii="Arabic Typesetting" w:hAnsi="Arabic Typesetting" w:cs="Arabic Typesetting"/>
          <w:sz w:val="34"/>
          <w:szCs w:val="34"/>
          <w:rtl/>
          <w:lang w:bidi="ar-SA"/>
        </w:rPr>
        <w:t xml:space="preserve">: سيُعمَّم تعبير سمعي وبصري </w:t>
      </w:r>
      <w:r w:rsidRPr="00B14FF0">
        <w:rPr>
          <w:rFonts w:ascii="Arabic Typesetting" w:hAnsi="Arabic Typesetting" w:cs="Arabic Typesetting"/>
          <w:sz w:val="34"/>
          <w:szCs w:val="34"/>
          <w:rtl/>
          <w:lang w:bidi="ar-SA"/>
        </w:rPr>
        <w:t>مُتَّسِق</w:t>
      </w:r>
      <w:r w:rsidRPr="00E019E0">
        <w:rPr>
          <w:rFonts w:ascii="Arabic Typesetting" w:hAnsi="Arabic Typesetting" w:cs="Arabic Typesetting"/>
          <w:sz w:val="34"/>
          <w:szCs w:val="34"/>
          <w:rtl/>
          <w:lang w:bidi="ar-SA"/>
        </w:rPr>
        <w:t xml:space="preserve"> </w:t>
      </w:r>
      <w:r w:rsidRPr="00B14FF0">
        <w:rPr>
          <w:rFonts w:ascii="Arabic Typesetting" w:hAnsi="Arabic Typesetting" w:cs="Arabic Typesetting"/>
          <w:sz w:val="34"/>
          <w:szCs w:val="34"/>
          <w:rtl/>
          <w:lang w:bidi="ar-SA"/>
        </w:rPr>
        <w:t>لسمة</w:t>
      </w:r>
      <w:r w:rsidRPr="00E019E0">
        <w:rPr>
          <w:rFonts w:ascii="Arabic Typesetting" w:hAnsi="Arabic Typesetting" w:cs="Arabic Typesetting"/>
          <w:sz w:val="34"/>
          <w:szCs w:val="34"/>
          <w:rtl/>
          <w:lang w:bidi="ar-SA"/>
        </w:rPr>
        <w:t xml:space="preserve"> الويبو</w:t>
      </w:r>
      <w:r>
        <w:rPr>
          <w:rFonts w:ascii="Arabic Typesetting" w:hAnsi="Arabic Typesetting" w:cs="Arabic Typesetting" w:hint="cs"/>
          <w:sz w:val="34"/>
          <w:szCs w:val="34"/>
          <w:rtl/>
          <w:lang w:bidi="ar-SA"/>
        </w:rPr>
        <w:t xml:space="preserve"> التجارية</w:t>
      </w:r>
      <w:r w:rsidRPr="00E019E0">
        <w:rPr>
          <w:rFonts w:ascii="Arabic Typesetting" w:hAnsi="Arabic Typesetting" w:cs="Arabic Typesetting"/>
          <w:sz w:val="34"/>
          <w:szCs w:val="34"/>
          <w:rtl/>
          <w:lang w:bidi="ar-SA"/>
        </w:rPr>
        <w:t xml:space="preserve"> – رسالتها وقيمها ودورها – في أنشطة التحرير والتصميم وإنشاء المحت</w:t>
      </w:r>
      <w:r>
        <w:rPr>
          <w:rFonts w:ascii="Arabic Typesetting" w:hAnsi="Arabic Typesetting" w:cs="Arabic Typesetting"/>
          <w:sz w:val="34"/>
          <w:szCs w:val="34"/>
          <w:rtl/>
          <w:lang w:bidi="ar-SA"/>
        </w:rPr>
        <w:t>وى والإعلام والنشر وخدمة ال</w:t>
      </w:r>
      <w:r>
        <w:rPr>
          <w:rFonts w:ascii="Arabic Typesetting" w:hAnsi="Arabic Typesetting" w:cs="Arabic Typesetting" w:hint="cs"/>
          <w:sz w:val="34"/>
          <w:szCs w:val="34"/>
          <w:rtl/>
          <w:lang w:bidi="ar-SA"/>
        </w:rPr>
        <w:t xml:space="preserve">زبائن </w:t>
      </w:r>
      <w:r w:rsidRPr="00E019E0">
        <w:rPr>
          <w:rFonts w:ascii="Arabic Typesetting" w:hAnsi="Arabic Typesetting" w:cs="Arabic Typesetting"/>
          <w:sz w:val="34"/>
          <w:szCs w:val="34"/>
          <w:rtl/>
          <w:lang w:bidi="ar-SA"/>
        </w:rPr>
        <w:t>على نطاق المنظمة. وسوف يُستكمل تنفيذ المظهر المؤسسي المُحدَّث. وستُجرى دراسة استقصائية بشأن تصورات أصحاب المصالح عن صورة الويبو وأدائها فيما يتعلق بالعوامل الرئيسية لتحسين السمعة، وسوف تُستخلص الدروس لتحسين مواطن الضعف.</w:t>
      </w:r>
    </w:p>
    <w:p w:rsidR="00BD0653" w:rsidRPr="00E019E0"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"7" </w:t>
      </w:r>
      <w:r w:rsidRPr="00F716E3">
        <w:rPr>
          <w:rFonts w:ascii="Arabic Typesetting" w:hAnsi="Arabic Typesetting" w:cs="Arabic Typesetting"/>
          <w:i/>
          <w:iCs/>
          <w:sz w:val="34"/>
          <w:szCs w:val="34"/>
          <w:rtl/>
          <w:lang w:bidi="ar-SA"/>
        </w:rPr>
        <w:t>التنسيق الداخلي</w:t>
      </w:r>
      <w:r w:rsidRPr="00E019E0">
        <w:rPr>
          <w:rFonts w:ascii="Arabic Typesetting" w:hAnsi="Arabic Typesetting" w:cs="Arabic Typesetting"/>
          <w:sz w:val="34"/>
          <w:szCs w:val="34"/>
          <w:rtl/>
          <w:lang w:bidi="ar-SA"/>
        </w:rPr>
        <w:t xml:space="preserve">: سوف يستمر </w:t>
      </w:r>
      <w:r>
        <w:rPr>
          <w:rFonts w:ascii="Arabic Typesetting" w:hAnsi="Arabic Typesetting" w:cs="Arabic Typesetting"/>
          <w:sz w:val="34"/>
          <w:szCs w:val="34"/>
          <w:rtl/>
          <w:lang w:bidi="ar-SA"/>
        </w:rPr>
        <w:t>اتباع نهج استراتيجي في الاتصال</w:t>
      </w:r>
      <w:r>
        <w:rPr>
          <w:rFonts w:ascii="Arabic Typesetting" w:hAnsi="Arabic Typesetting" w:cs="Arabic Typesetting" w:hint="cs"/>
          <w:sz w:val="34"/>
          <w:szCs w:val="34"/>
          <w:rtl/>
          <w:lang w:bidi="ar-SA"/>
        </w:rPr>
        <w:t>ات</w:t>
      </w:r>
      <w:r w:rsidRPr="00E019E0">
        <w:rPr>
          <w:rFonts w:ascii="Arabic Typesetting" w:hAnsi="Arabic Typesetting" w:cs="Arabic Typesetting"/>
          <w:sz w:val="34"/>
          <w:szCs w:val="34"/>
          <w:rtl/>
          <w:lang w:bidi="ar-SA"/>
        </w:rPr>
        <w:t xml:space="preserve"> والتسويق في جميع أنحاء المنظمة، وذلك بدعم من التخطيط والتنسيق المنهجيين بين القطاعات. وسيتولى البرنامج 19 قياد</w:t>
      </w:r>
      <w:r>
        <w:rPr>
          <w:rFonts w:ascii="Arabic Typesetting" w:hAnsi="Arabic Typesetting" w:cs="Arabic Typesetting"/>
          <w:sz w:val="34"/>
          <w:szCs w:val="34"/>
          <w:rtl/>
          <w:lang w:bidi="ar-SA"/>
        </w:rPr>
        <w:t>ة المبادرات الرامية إلى تعزي</w:t>
      </w:r>
      <w:r>
        <w:rPr>
          <w:rFonts w:ascii="Arabic Typesetting" w:hAnsi="Arabic Typesetting" w:cs="Arabic Typesetting" w:hint="cs"/>
          <w:sz w:val="34"/>
          <w:szCs w:val="34"/>
          <w:rtl/>
          <w:lang w:bidi="ar-SA"/>
        </w:rPr>
        <w:t>ز</w:t>
      </w:r>
      <w:r>
        <w:rPr>
          <w:rFonts w:ascii="Arabic Typesetting" w:hAnsi="Arabic Typesetting" w:cs="Arabic Typesetting"/>
          <w:sz w:val="34"/>
          <w:szCs w:val="34"/>
          <w:rtl/>
          <w:lang w:bidi="ar-SA"/>
        </w:rPr>
        <w:t xml:space="preserve"> "</w:t>
      </w:r>
      <w:r w:rsidRPr="00E019E0">
        <w:rPr>
          <w:rFonts w:ascii="Arabic Typesetting" w:hAnsi="Arabic Typesetting" w:cs="Arabic Typesetting"/>
          <w:sz w:val="34"/>
          <w:szCs w:val="34"/>
          <w:rtl/>
          <w:lang w:bidi="ar-SA"/>
        </w:rPr>
        <w:t>تناغم" التواصل، و</w:t>
      </w:r>
      <w:r>
        <w:rPr>
          <w:rFonts w:ascii="Arabic Typesetting" w:hAnsi="Arabic Typesetting" w:cs="Arabic Typesetting"/>
          <w:sz w:val="34"/>
          <w:szCs w:val="34"/>
          <w:rtl/>
          <w:lang w:bidi="ar-SA"/>
        </w:rPr>
        <w:t>سيواصل دعم الجهود الرامية إلى تشجيع</w:t>
      </w:r>
      <w:r w:rsidRPr="00E019E0">
        <w:rPr>
          <w:rFonts w:ascii="Arabic Typesetting" w:hAnsi="Arabic Typesetting" w:cs="Arabic Typesetting"/>
          <w:sz w:val="34"/>
          <w:szCs w:val="34"/>
          <w:rtl/>
          <w:lang w:bidi="ar-SA"/>
        </w:rPr>
        <w:t xml:space="preserve"> التواصل الأفقي وتقاسم المعلومات.</w:t>
      </w:r>
    </w:p>
    <w:p w:rsidR="00BD0653" w:rsidRDefault="00BD0653" w:rsidP="007843AB">
      <w:pPr>
        <w:spacing w:after="120" w:line="340" w:lineRule="exact"/>
        <w:ind w:left="534"/>
        <w:rPr>
          <w:rFonts w:ascii="Arabic Typesetting" w:hAnsi="Arabic Typesetting" w:cs="Arabic Typesetting"/>
          <w:sz w:val="34"/>
          <w:szCs w:val="34"/>
          <w:rtl/>
          <w:lang w:bidi="ar-SA"/>
        </w:rPr>
      </w:pPr>
      <w:r w:rsidRPr="00E019E0">
        <w:rPr>
          <w:rFonts w:ascii="Arabic Typesetting" w:hAnsi="Arabic Typesetting" w:cs="Arabic Typesetting"/>
          <w:sz w:val="34"/>
          <w:szCs w:val="34"/>
          <w:rtl/>
          <w:lang w:bidi="ar-SA"/>
        </w:rPr>
        <w:t xml:space="preserve">"8" </w:t>
      </w:r>
      <w:r w:rsidRPr="00F716E3">
        <w:rPr>
          <w:rFonts w:ascii="Arabic Typesetting" w:hAnsi="Arabic Typesetting" w:cs="Arabic Typesetting"/>
          <w:i/>
          <w:iCs/>
          <w:sz w:val="34"/>
          <w:szCs w:val="34"/>
          <w:rtl/>
          <w:lang w:bidi="ar-SA"/>
        </w:rPr>
        <w:t>ثقافة التوجه نحو تقديم الخدمات</w:t>
      </w:r>
      <w:r w:rsidRPr="00E019E0">
        <w:rPr>
          <w:rFonts w:ascii="Arabic Typesetting" w:hAnsi="Arabic Typesetting" w:cs="Arabic Typesetting"/>
          <w:sz w:val="34"/>
          <w:szCs w:val="34"/>
          <w:rtl/>
          <w:lang w:bidi="ar-SA"/>
        </w:rPr>
        <w:t>: سيستمر البرنامج 19 في تعزيز ثقافة تقديم الخدمات لأصحاب المصالح في الويبو والتج</w:t>
      </w:r>
      <w:r>
        <w:rPr>
          <w:rFonts w:ascii="Arabic Typesetting" w:hAnsi="Arabic Typesetting" w:cs="Arabic Typesetting"/>
          <w:sz w:val="34"/>
          <w:szCs w:val="34"/>
          <w:rtl/>
          <w:lang w:bidi="ar-SA"/>
        </w:rPr>
        <w:t>اوب معهم، وفي دعم خدمات ال</w:t>
      </w:r>
      <w:r>
        <w:rPr>
          <w:rFonts w:ascii="Arabic Typesetting" w:hAnsi="Arabic Typesetting" w:cs="Arabic Typesetting" w:hint="cs"/>
          <w:sz w:val="34"/>
          <w:szCs w:val="34"/>
          <w:rtl/>
          <w:lang w:bidi="ar-SA"/>
        </w:rPr>
        <w:t xml:space="preserve">زبائن </w:t>
      </w:r>
      <w:r w:rsidRPr="00E019E0">
        <w:rPr>
          <w:rFonts w:ascii="Arabic Typesetting" w:hAnsi="Arabic Typesetting" w:cs="Arabic Typesetting"/>
          <w:sz w:val="34"/>
          <w:szCs w:val="34"/>
          <w:rtl/>
          <w:lang w:bidi="ar-SA"/>
        </w:rPr>
        <w:t xml:space="preserve">في جميع أنحاء المنظمة. وسيزداد تحسين توجه الموظفين نحو تقديم الخدمات من خلال أنشطة التدريب والتوعية بناءً على ميثاق خدمات الويبو. وسيستمر توفير الأدوات اللازمة لتبسيط معالجة الاستفسارات (قاعدة بيانات الاتصال المركزية، </w:t>
      </w:r>
      <w:r>
        <w:rPr>
          <w:rFonts w:ascii="Arabic Typesetting" w:hAnsi="Arabic Typesetting" w:cs="Arabic Typesetting" w:hint="cs"/>
          <w:sz w:val="34"/>
          <w:szCs w:val="34"/>
          <w:rtl/>
          <w:lang w:bidi="ar-SA"/>
        </w:rPr>
        <w:t>و</w:t>
      </w:r>
      <w:r w:rsidRPr="00E019E0">
        <w:rPr>
          <w:rFonts w:ascii="Arabic Typesetting" w:hAnsi="Arabic Typesetting" w:cs="Arabic Typesetting"/>
          <w:sz w:val="34"/>
          <w:szCs w:val="34"/>
          <w:rtl/>
          <w:lang w:bidi="ar-SA"/>
        </w:rPr>
        <w:t>أنظمة التذاكر، وقياس حجم الاستفسارات، إلخ). وستُرصد التوقعات الخارجية رصداً منهجياً من خل</w:t>
      </w:r>
      <w:r>
        <w:rPr>
          <w:rFonts w:ascii="Arabic Typesetting" w:hAnsi="Arabic Typesetting" w:cs="Arabic Typesetting"/>
          <w:sz w:val="34"/>
          <w:szCs w:val="34"/>
          <w:rtl/>
          <w:lang w:bidi="ar-SA"/>
        </w:rPr>
        <w:t xml:space="preserve">ال المعلومات </w:t>
      </w:r>
      <w:proofErr w:type="spellStart"/>
      <w:r>
        <w:rPr>
          <w:rFonts w:ascii="Arabic Typesetting" w:hAnsi="Arabic Typesetting" w:cs="Arabic Typesetting"/>
          <w:sz w:val="34"/>
          <w:szCs w:val="34"/>
          <w:rtl/>
          <w:lang w:bidi="ar-SA"/>
        </w:rPr>
        <w:t>المستقاة</w:t>
      </w:r>
      <w:proofErr w:type="spellEnd"/>
      <w:r>
        <w:rPr>
          <w:rFonts w:ascii="Arabic Typesetting" w:hAnsi="Arabic Typesetting" w:cs="Arabic Typesetting"/>
          <w:sz w:val="34"/>
          <w:szCs w:val="34"/>
          <w:rtl/>
          <w:lang w:bidi="ar-SA"/>
        </w:rPr>
        <w:t xml:space="preserve"> من ال</w:t>
      </w:r>
      <w:r>
        <w:rPr>
          <w:rFonts w:ascii="Arabic Typesetting" w:hAnsi="Arabic Typesetting" w:cs="Arabic Typesetting" w:hint="cs"/>
          <w:sz w:val="34"/>
          <w:szCs w:val="34"/>
          <w:rtl/>
          <w:lang w:bidi="ar-SA"/>
        </w:rPr>
        <w:t>زبائن</w:t>
      </w:r>
      <w:r w:rsidRPr="00E019E0">
        <w:rPr>
          <w:rFonts w:ascii="Arabic Typesetting" w:hAnsi="Arabic Typesetting" w:cs="Arabic Typesetting"/>
          <w:sz w:val="34"/>
          <w:szCs w:val="34"/>
          <w:rtl/>
          <w:lang w:bidi="ar-SA"/>
        </w:rPr>
        <w:t xml:space="preserve"> والدراسات الاستقصائية من أجل المساعدة على زيادة مستوى رضا ا</w:t>
      </w:r>
      <w:r>
        <w:rPr>
          <w:rFonts w:ascii="Arabic Typesetting" w:hAnsi="Arabic Typesetting" w:cs="Arabic Typesetting"/>
          <w:sz w:val="34"/>
          <w:szCs w:val="34"/>
          <w:rtl/>
          <w:lang w:bidi="ar-SA"/>
        </w:rPr>
        <w:t>ل</w:t>
      </w:r>
      <w:r>
        <w:rPr>
          <w:rFonts w:ascii="Arabic Typesetting" w:hAnsi="Arabic Typesetting" w:cs="Arabic Typesetting" w:hint="cs"/>
          <w:sz w:val="34"/>
          <w:szCs w:val="34"/>
          <w:rtl/>
          <w:lang w:bidi="ar-SA"/>
        </w:rPr>
        <w:t>زبائن</w:t>
      </w:r>
      <w:r w:rsidRPr="00E019E0">
        <w:rPr>
          <w:rFonts w:ascii="Arabic Typesetting" w:hAnsi="Arabic Typesetting" w:cs="Arabic Typesetting"/>
          <w:sz w:val="34"/>
          <w:szCs w:val="34"/>
          <w:rtl/>
          <w:lang w:bidi="ar-SA"/>
        </w:rPr>
        <w:t>.</w:t>
      </w:r>
    </w:p>
    <w:p w:rsidR="00BD0653" w:rsidRPr="00CC3A66" w:rsidRDefault="00BD0653" w:rsidP="007843AB">
      <w:pPr>
        <w:keepNext/>
        <w:adjustRightInd w:val="0"/>
        <w:snapToGrid w:val="0"/>
        <w:spacing w:after="240" w:line="360" w:lineRule="exact"/>
        <w:jc w:val="both"/>
        <w:rPr>
          <w:rFonts w:ascii="Arabic Typesetting" w:hAnsi="Arabic Typesetting" w:cs="Arabic Typesetting"/>
          <w:noProof/>
          <w:snapToGrid w:val="0"/>
          <w:sz w:val="38"/>
          <w:szCs w:val="38"/>
          <w:rtl/>
          <w:lang w:bidi="ar-SA"/>
        </w:rPr>
      </w:pPr>
      <w:r w:rsidRPr="00CC3A66">
        <w:rPr>
          <w:rFonts w:ascii="Arabic Typesetting" w:hAnsi="Arabic Typesetting" w:cs="Arabic Typesetting" w:hint="cs"/>
          <w:noProof/>
          <w:snapToGrid w:val="0"/>
          <w:sz w:val="38"/>
          <w:szCs w:val="38"/>
          <w:rtl/>
          <w:lang w:bidi="ar-SA"/>
        </w:rPr>
        <w:lastRenderedPageBreak/>
        <w:t>المخاطر الرئيسية واستراتيجيات التخفيف منها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BD0653" w:rsidRPr="00EB30FA" w:rsidTr="007843AB">
        <w:trPr>
          <w:tblHeader/>
        </w:trPr>
        <w:tc>
          <w:tcPr>
            <w:tcW w:w="4784" w:type="dxa"/>
            <w:tcBorders>
              <w:top w:val="single" w:sz="4" w:space="0" w:color="auto"/>
              <w:bottom w:val="single" w:sz="4" w:space="0" w:color="auto"/>
            </w:tcBorders>
            <w:shd w:val="clear" w:color="auto" w:fill="C6D9F1"/>
          </w:tcPr>
          <w:p w:rsidR="00BD0653" w:rsidRPr="00EB30FA" w:rsidRDefault="00BD0653" w:rsidP="007843AB">
            <w:pPr>
              <w:spacing w:before="60" w:after="60" w:line="300" w:lineRule="exact"/>
              <w:jc w:val="center"/>
              <w:rPr>
                <w:rFonts w:ascii="Arabic Typesetting" w:hAnsi="Arabic Typesetting" w:cs="Arabic Typesetting"/>
                <w:b/>
                <w:bCs/>
                <w:sz w:val="30"/>
                <w:szCs w:val="30"/>
                <w:rtl/>
                <w:lang w:bidi="ar-SA"/>
              </w:rPr>
            </w:pPr>
            <w:r w:rsidRPr="00EB30FA">
              <w:rPr>
                <w:rFonts w:ascii="Arabic Typesetting" w:hAnsi="Arabic Typesetting" w:cs="Arabic Typesetting" w:hint="cs"/>
                <w:b/>
                <w:bCs/>
                <w:sz w:val="30"/>
                <w:szCs w:val="30"/>
                <w:rtl/>
                <w:lang w:bidi="ar-SA"/>
              </w:rPr>
              <w:t>المخاطر</w:t>
            </w:r>
          </w:p>
        </w:tc>
        <w:tc>
          <w:tcPr>
            <w:tcW w:w="4786" w:type="dxa"/>
            <w:tcBorders>
              <w:top w:val="single" w:sz="4" w:space="0" w:color="auto"/>
              <w:bottom w:val="single" w:sz="4" w:space="0" w:color="auto"/>
            </w:tcBorders>
            <w:shd w:val="clear" w:color="auto" w:fill="C6D9F1"/>
          </w:tcPr>
          <w:p w:rsidR="00BD0653" w:rsidRPr="00EB30FA" w:rsidRDefault="00BD0653" w:rsidP="007843AB">
            <w:pPr>
              <w:spacing w:before="60" w:after="60" w:line="300" w:lineRule="exact"/>
              <w:jc w:val="center"/>
              <w:rPr>
                <w:rFonts w:ascii="Arabic Typesetting" w:hAnsi="Arabic Typesetting" w:cs="Arabic Typesetting"/>
                <w:b/>
                <w:bCs/>
                <w:sz w:val="30"/>
                <w:szCs w:val="30"/>
                <w:rtl/>
              </w:rPr>
            </w:pPr>
            <w:r w:rsidRPr="00EB30FA">
              <w:rPr>
                <w:rFonts w:ascii="Arabic Typesetting" w:hAnsi="Arabic Typesetting" w:cs="Arabic Typesetting" w:hint="cs"/>
                <w:b/>
                <w:bCs/>
                <w:sz w:val="30"/>
                <w:szCs w:val="30"/>
                <w:rtl/>
              </w:rPr>
              <w:t>التخفيف منها</w:t>
            </w:r>
          </w:p>
        </w:tc>
      </w:tr>
      <w:tr w:rsidR="00BD0653" w:rsidRPr="00EB30FA" w:rsidTr="007843AB">
        <w:tc>
          <w:tcPr>
            <w:tcW w:w="4784" w:type="dxa"/>
            <w:tcBorders>
              <w:top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rPr>
            </w:pPr>
            <w:r w:rsidRPr="004B3B3D">
              <w:rPr>
                <w:rFonts w:ascii="Arabic Typesetting" w:hAnsi="Arabic Typesetting" w:cs="Arabic Typesetting"/>
                <w:sz w:val="30"/>
                <w:szCs w:val="30"/>
                <w:rtl/>
                <w:lang w:bidi="ar-SA"/>
              </w:rPr>
              <w:t xml:space="preserve">يجب أن تلتزم الويبو بأعلى معايير الشفافية والمساءلة، ويجب أن تخضع </w:t>
            </w:r>
            <w:r>
              <w:rPr>
                <w:rFonts w:ascii="Arabic Typesetting" w:hAnsi="Arabic Typesetting" w:cs="Arabic Typesetting" w:hint="cs"/>
                <w:sz w:val="30"/>
                <w:szCs w:val="30"/>
                <w:rtl/>
                <w:lang w:bidi="ar-SA"/>
              </w:rPr>
              <w:t>للتمحيص</w:t>
            </w:r>
            <w:r w:rsidRPr="004B3B3D">
              <w:rPr>
                <w:rFonts w:ascii="Arabic Typesetting" w:hAnsi="Arabic Typesetting" w:cs="Arabic Typesetting"/>
                <w:sz w:val="30"/>
                <w:szCs w:val="30"/>
                <w:rtl/>
                <w:lang w:bidi="ar-SA"/>
              </w:rPr>
              <w:t xml:space="preserve"> المستمر من جانب عملائها وأصحاب المصالح والموظفين، فضلاً عن عامة الناس. وقد تتأثر السمعة بوقوع أي حدث ينطوي على خطر ويمكن أن يُسبِّب ذلك ضرراً كبيراً لمصداقية عمل المنظمة.</w:t>
            </w:r>
          </w:p>
        </w:tc>
        <w:tc>
          <w:tcPr>
            <w:tcW w:w="4786" w:type="dxa"/>
            <w:tcBorders>
              <w:top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483666">
              <w:rPr>
                <w:rFonts w:ascii="Arabic Typesetting" w:hAnsi="Arabic Typesetting" w:cs="Arabic Typesetting"/>
                <w:sz w:val="30"/>
                <w:szCs w:val="30"/>
                <w:rtl/>
                <w:lang w:bidi="ar-SA"/>
              </w:rPr>
              <w:t xml:space="preserve">الكشف العلني، والتقديم </w:t>
            </w:r>
            <w:proofErr w:type="spellStart"/>
            <w:r w:rsidRPr="00483666">
              <w:rPr>
                <w:rFonts w:ascii="Arabic Typesetting" w:hAnsi="Arabic Typesetting" w:cs="Arabic Typesetting" w:hint="cs"/>
                <w:sz w:val="30"/>
                <w:szCs w:val="30"/>
                <w:rtl/>
                <w:lang w:bidi="ar-SA"/>
              </w:rPr>
              <w:t>الاستباقي</w:t>
            </w:r>
            <w:proofErr w:type="spellEnd"/>
            <w:r w:rsidRPr="00483666">
              <w:rPr>
                <w:rFonts w:ascii="Arabic Typesetting" w:hAnsi="Arabic Typesetting" w:cs="Arabic Typesetting"/>
                <w:sz w:val="30"/>
                <w:szCs w:val="30"/>
                <w:rtl/>
                <w:lang w:bidi="ar-SA"/>
              </w:rPr>
              <w:t xml:space="preserve"> للمعلومات، والوعي الإعلامي، والصراحة في الرد على الاستفسارات. والمراقبة المستمرة </w:t>
            </w:r>
            <w:r>
              <w:rPr>
                <w:rFonts w:ascii="Arabic Typesetting" w:hAnsi="Arabic Typesetting" w:cs="Arabic Typesetting" w:hint="cs"/>
                <w:sz w:val="30"/>
                <w:szCs w:val="30"/>
                <w:rtl/>
                <w:lang w:bidi="ar-SA"/>
              </w:rPr>
              <w:t>للصحف</w:t>
            </w:r>
            <w:r w:rsidRPr="00483666">
              <w:rPr>
                <w:rFonts w:ascii="Arabic Typesetting" w:hAnsi="Arabic Typesetting" w:cs="Arabic Typesetting"/>
                <w:sz w:val="30"/>
                <w:szCs w:val="30"/>
                <w:rtl/>
                <w:lang w:bidi="ar-SA"/>
              </w:rPr>
              <w:t xml:space="preserve"> و</w:t>
            </w:r>
            <w:r>
              <w:rPr>
                <w:rFonts w:ascii="Arabic Typesetting" w:hAnsi="Arabic Typesetting" w:cs="Arabic Typesetting" w:hint="cs"/>
                <w:sz w:val="30"/>
                <w:szCs w:val="30"/>
                <w:rtl/>
                <w:lang w:bidi="ar-SA"/>
              </w:rPr>
              <w:t xml:space="preserve">وسائل التواصل الاجتماعي </w:t>
            </w:r>
            <w:r w:rsidRPr="00483666">
              <w:rPr>
                <w:rFonts w:ascii="Arabic Typesetting" w:hAnsi="Arabic Typesetting" w:cs="Arabic Typesetting"/>
                <w:sz w:val="30"/>
                <w:szCs w:val="30"/>
                <w:rtl/>
                <w:lang w:bidi="ar-SA"/>
              </w:rPr>
              <w:t>للتمكن من اتخاذ رد الفعل في الوقت المناسب إذا لزم الأمر.</w:t>
            </w:r>
          </w:p>
        </w:tc>
      </w:tr>
      <w:tr w:rsidR="00BD0653" w:rsidRPr="00EB30FA" w:rsidTr="007843AB">
        <w:tc>
          <w:tcPr>
            <w:tcW w:w="4784" w:type="dxa"/>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276B1E">
              <w:rPr>
                <w:rFonts w:ascii="Arabic Typesetting" w:hAnsi="Arabic Typesetting" w:cs="Arabic Typesetting" w:hint="cs"/>
                <w:sz w:val="30"/>
                <w:szCs w:val="30"/>
                <w:rtl/>
                <w:lang w:bidi="ar-SA"/>
              </w:rPr>
              <w:t>حضور</w:t>
            </w:r>
            <w:r>
              <w:rPr>
                <w:rFonts w:ascii="Arabic Typesetting" w:hAnsi="Arabic Typesetting" w:cs="Arabic Typesetting" w:hint="cs"/>
                <w:sz w:val="30"/>
                <w:szCs w:val="30"/>
                <w:rtl/>
                <w:lang w:bidi="ar-SA"/>
              </w:rPr>
              <w:t xml:space="preserve"> الويبو على ساحة </w:t>
            </w:r>
            <w:r w:rsidRPr="00FB0D44">
              <w:rPr>
                <w:rFonts w:ascii="Arabic Typesetting" w:hAnsi="Arabic Typesetting" w:cs="Arabic Typesetting"/>
                <w:sz w:val="30"/>
                <w:szCs w:val="30"/>
                <w:rtl/>
                <w:lang w:bidi="ar-SA"/>
              </w:rPr>
              <w:t>الإنترنت ووسائل التواصل الاجتماعي غير قادر على مواكبة الاتجاهات المتطورة في الاتصالات الرقمية أو مجاراة رغبات أصحاب المصالح.</w:t>
            </w:r>
          </w:p>
        </w:tc>
        <w:tc>
          <w:tcPr>
            <w:tcW w:w="4786" w:type="dxa"/>
          </w:tcPr>
          <w:p w:rsidR="00BD0653" w:rsidRDefault="00BD0653" w:rsidP="007843AB">
            <w:pPr>
              <w:spacing w:before="60" w:after="60" w:line="300" w:lineRule="exact"/>
              <w:rPr>
                <w:rFonts w:ascii="Arabic Typesetting" w:hAnsi="Arabic Typesetting" w:cs="Arabic Typesetting"/>
                <w:sz w:val="30"/>
                <w:szCs w:val="30"/>
                <w:rtl/>
                <w:lang w:bidi="ar-SA"/>
              </w:rPr>
            </w:pPr>
            <w:r w:rsidRPr="00674668">
              <w:rPr>
                <w:rFonts w:ascii="Arabic Typesetting" w:hAnsi="Arabic Typesetting" w:cs="Arabic Typesetting"/>
                <w:sz w:val="30"/>
                <w:szCs w:val="30"/>
                <w:rtl/>
                <w:lang w:bidi="ar-SA"/>
              </w:rPr>
              <w:t>تنفيذ تصميم متجاوب لكل صفحات الموقع الإلكتروني لضمان عرض الموقع في الأجهزة النقالة على أفضل وجه.</w:t>
            </w:r>
          </w:p>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674668">
              <w:rPr>
                <w:rFonts w:ascii="Arabic Typesetting" w:hAnsi="Arabic Typesetting" w:cs="Arabic Typesetting"/>
                <w:sz w:val="30"/>
                <w:szCs w:val="30"/>
                <w:rtl/>
                <w:lang w:bidi="ar-SA"/>
              </w:rPr>
              <w:t>الاستعانة بموارد خارجية وشراكات لزياد</w:t>
            </w:r>
            <w:r>
              <w:rPr>
                <w:rFonts w:ascii="Arabic Typesetting" w:hAnsi="Arabic Typesetting" w:cs="Arabic Typesetting" w:hint="cs"/>
                <w:sz w:val="30"/>
                <w:szCs w:val="30"/>
                <w:rtl/>
                <w:lang w:bidi="ar-SA"/>
              </w:rPr>
              <w:t>ة</w:t>
            </w:r>
            <w:r w:rsidRPr="00674668">
              <w:rPr>
                <w:rFonts w:ascii="Arabic Typesetting" w:hAnsi="Arabic Typesetting" w:cs="Arabic Typesetting"/>
                <w:sz w:val="30"/>
                <w:szCs w:val="30"/>
                <w:rtl/>
                <w:lang w:bidi="ar-SA"/>
              </w:rPr>
              <w:t xml:space="preserve"> الكفاءات الموجودة داخل المنظمة.</w:t>
            </w:r>
          </w:p>
        </w:tc>
      </w:tr>
    </w:tbl>
    <w:p w:rsidR="00BD0653" w:rsidRPr="00EB30FA" w:rsidRDefault="00BD0653" w:rsidP="007843AB">
      <w:pPr>
        <w:tabs>
          <w:tab w:val="left" w:pos="2362"/>
        </w:tabs>
        <w:spacing w:after="120" w:line="340" w:lineRule="exact"/>
        <w:jc w:val="both"/>
        <w:rPr>
          <w:rFonts w:ascii="Arabic Typesetting" w:hAnsi="Arabic Typesetting" w:cs="Arabic Typesetting"/>
          <w:sz w:val="34"/>
          <w:szCs w:val="34"/>
          <w:rtl/>
          <w:lang w:val="fr-CH" w:bidi="ar-SA"/>
        </w:rPr>
      </w:pPr>
    </w:p>
    <w:p w:rsidR="00BD0653" w:rsidRPr="00352D26" w:rsidRDefault="00BD0653" w:rsidP="007843AB">
      <w:pPr>
        <w:keepNext/>
        <w:adjustRightInd w:val="0"/>
        <w:snapToGrid w:val="0"/>
        <w:spacing w:after="240" w:line="360" w:lineRule="exact"/>
        <w:jc w:val="both"/>
        <w:rPr>
          <w:rFonts w:ascii="Arabic Typesetting" w:hAnsi="Arabic Typesetting" w:cs="Arabic Typesetting"/>
          <w:noProof/>
          <w:snapToGrid w:val="0"/>
          <w:sz w:val="38"/>
          <w:szCs w:val="38"/>
          <w:rtl/>
          <w:lang w:bidi="ar-SA"/>
        </w:rPr>
      </w:pPr>
      <w:r w:rsidRPr="00352D26">
        <w:rPr>
          <w:rFonts w:ascii="Arabic Typesetting" w:hAnsi="Arabic Typesetting" w:cs="Arabic Typesetting" w:hint="cs"/>
          <w:noProof/>
          <w:snapToGrid w:val="0"/>
          <w:sz w:val="38"/>
          <w:szCs w:val="38"/>
          <w:rtl/>
          <w:lang w:bidi="ar-SA"/>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890"/>
        <w:gridCol w:w="2430"/>
        <w:gridCol w:w="2974"/>
      </w:tblGrid>
      <w:tr w:rsidR="00BD0653" w:rsidRPr="00EB30FA" w:rsidTr="007843AB">
        <w:trPr>
          <w:tblHeader/>
        </w:trPr>
        <w:tc>
          <w:tcPr>
            <w:tcW w:w="2276" w:type="dxa"/>
            <w:tcBorders>
              <w:bottom w:val="single" w:sz="4" w:space="0" w:color="auto"/>
              <w:right w:val="nil"/>
            </w:tcBorders>
            <w:shd w:val="clear" w:color="auto" w:fill="C6D9F1"/>
            <w:vAlign w:val="center"/>
          </w:tcPr>
          <w:p w:rsidR="00BD0653" w:rsidRPr="00EB30FA" w:rsidRDefault="00BD0653" w:rsidP="007843AB">
            <w:pPr>
              <w:spacing w:before="60" w:after="60" w:line="300" w:lineRule="exact"/>
              <w:jc w:val="center"/>
              <w:rPr>
                <w:rFonts w:ascii="Arabic Typesetting" w:hAnsi="Arabic Typesetting" w:cs="Arabic Typesetting"/>
                <w:b/>
                <w:bCs/>
                <w:sz w:val="30"/>
                <w:szCs w:val="30"/>
                <w:rtl/>
                <w:lang w:bidi="ar-SA"/>
              </w:rPr>
            </w:pPr>
            <w:r w:rsidRPr="00EB30FA">
              <w:rPr>
                <w:rFonts w:ascii="Arabic Typesetting" w:hAnsi="Arabic Typesetting" w:cs="Arabic Typesetting" w:hint="cs"/>
                <w:b/>
                <w:bCs/>
                <w:sz w:val="30"/>
                <w:szCs w:val="30"/>
                <w:rtl/>
                <w:lang w:bidi="ar-SA"/>
              </w:rPr>
              <w:t>النتائج المرتقبة</w:t>
            </w:r>
          </w:p>
        </w:tc>
        <w:tc>
          <w:tcPr>
            <w:tcW w:w="1890" w:type="dxa"/>
            <w:tcBorders>
              <w:left w:val="nil"/>
              <w:bottom w:val="single" w:sz="4" w:space="0" w:color="auto"/>
              <w:right w:val="nil"/>
            </w:tcBorders>
            <w:shd w:val="clear" w:color="auto" w:fill="C6D9F1"/>
            <w:vAlign w:val="center"/>
          </w:tcPr>
          <w:p w:rsidR="00BD0653" w:rsidRPr="00EB30FA" w:rsidRDefault="00BD0653" w:rsidP="007843AB">
            <w:pPr>
              <w:spacing w:before="60" w:after="60" w:line="300" w:lineRule="exact"/>
              <w:jc w:val="center"/>
              <w:rPr>
                <w:rFonts w:ascii="Arabic Typesetting" w:hAnsi="Arabic Typesetting" w:cs="Arabic Typesetting"/>
                <w:b/>
                <w:bCs/>
                <w:sz w:val="30"/>
                <w:szCs w:val="30"/>
                <w:rtl/>
                <w:lang w:bidi="ar-SA"/>
              </w:rPr>
            </w:pPr>
            <w:r w:rsidRPr="00EB30FA">
              <w:rPr>
                <w:rFonts w:ascii="Arabic Typesetting" w:hAnsi="Arabic Typesetting" w:cs="Arabic Typesetting" w:hint="cs"/>
                <w:b/>
                <w:bCs/>
                <w:sz w:val="30"/>
                <w:szCs w:val="30"/>
                <w:rtl/>
                <w:lang w:bidi="ar-SA"/>
              </w:rPr>
              <w:t>مؤشرات الأداء</w:t>
            </w:r>
          </w:p>
        </w:tc>
        <w:tc>
          <w:tcPr>
            <w:tcW w:w="2430" w:type="dxa"/>
            <w:tcBorders>
              <w:left w:val="nil"/>
              <w:bottom w:val="single" w:sz="4" w:space="0" w:color="auto"/>
              <w:right w:val="nil"/>
            </w:tcBorders>
            <w:shd w:val="clear" w:color="auto" w:fill="C6D9F1"/>
            <w:vAlign w:val="center"/>
          </w:tcPr>
          <w:p w:rsidR="00BD0653" w:rsidRPr="00EB30FA" w:rsidRDefault="00BD0653" w:rsidP="007843AB">
            <w:pPr>
              <w:spacing w:before="60" w:after="60" w:line="300" w:lineRule="exact"/>
              <w:jc w:val="center"/>
              <w:rPr>
                <w:rFonts w:ascii="Arabic Typesetting" w:hAnsi="Arabic Typesetting" w:cs="Arabic Typesetting"/>
                <w:b/>
                <w:bCs/>
                <w:sz w:val="30"/>
                <w:szCs w:val="30"/>
                <w:rtl/>
                <w:lang w:bidi="ar-SA"/>
              </w:rPr>
            </w:pPr>
            <w:r w:rsidRPr="00EB30FA">
              <w:rPr>
                <w:rFonts w:ascii="Arabic Typesetting" w:hAnsi="Arabic Typesetting" w:cs="Arabic Typesetting" w:hint="cs"/>
                <w:b/>
                <w:bCs/>
                <w:sz w:val="30"/>
                <w:szCs w:val="30"/>
                <w:rtl/>
                <w:lang w:bidi="ar-SA"/>
              </w:rPr>
              <w:t>أسس المقارنة</w:t>
            </w:r>
          </w:p>
        </w:tc>
        <w:tc>
          <w:tcPr>
            <w:tcW w:w="2974" w:type="dxa"/>
            <w:tcBorders>
              <w:left w:val="nil"/>
              <w:bottom w:val="single" w:sz="4" w:space="0" w:color="auto"/>
            </w:tcBorders>
            <w:shd w:val="clear" w:color="auto" w:fill="C6D9F1"/>
            <w:vAlign w:val="center"/>
          </w:tcPr>
          <w:p w:rsidR="00BD0653" w:rsidRPr="00EB30FA" w:rsidRDefault="00BD0653" w:rsidP="007843AB">
            <w:pPr>
              <w:spacing w:before="60" w:after="60" w:line="300" w:lineRule="exact"/>
              <w:jc w:val="center"/>
              <w:rPr>
                <w:rFonts w:ascii="Arabic Typesetting" w:hAnsi="Arabic Typesetting" w:cs="Arabic Typesetting"/>
                <w:b/>
                <w:bCs/>
                <w:sz w:val="30"/>
                <w:szCs w:val="30"/>
                <w:rtl/>
                <w:lang w:bidi="ar-SA"/>
              </w:rPr>
            </w:pPr>
            <w:r w:rsidRPr="00EB30FA">
              <w:rPr>
                <w:rFonts w:ascii="Arabic Typesetting" w:hAnsi="Arabic Typesetting" w:cs="Arabic Typesetting" w:hint="cs"/>
                <w:b/>
                <w:bCs/>
                <w:sz w:val="30"/>
                <w:szCs w:val="30"/>
                <w:rtl/>
                <w:lang w:bidi="ar-SA"/>
              </w:rPr>
              <w:t>الأهداف</w:t>
            </w:r>
          </w:p>
        </w:tc>
      </w:tr>
      <w:tr w:rsidR="00BD0653" w:rsidRPr="00EB30FA" w:rsidTr="007843AB">
        <w:tc>
          <w:tcPr>
            <w:tcW w:w="2276" w:type="dxa"/>
            <w:tcBorders>
              <w:top w:val="single" w:sz="4" w:space="0" w:color="auto"/>
              <w:left w:val="single" w:sz="4" w:space="0" w:color="auto"/>
              <w:bottom w:val="nil"/>
              <w:right w:val="nil"/>
            </w:tcBorders>
          </w:tcPr>
          <w:p w:rsidR="00BD0653" w:rsidRPr="00EB30FA" w:rsidRDefault="009800D4" w:rsidP="007843AB">
            <w:pPr>
              <w:spacing w:before="60" w:after="60" w:line="300" w:lineRule="exact"/>
              <w:rPr>
                <w:rFonts w:ascii="Arabic Typesetting" w:hAnsi="Arabic Typesetting" w:cs="Arabic Typesetting"/>
                <w:sz w:val="30"/>
                <w:szCs w:val="30"/>
                <w:lang w:val="fr-CH" w:bidi="ar-SA"/>
              </w:rPr>
            </w:pPr>
            <w:r>
              <w:rPr>
                <w:rFonts w:ascii="Arabic Typesetting" w:hAnsi="Arabic Typesetting" w:cs="Arabic Typesetting"/>
                <w:sz w:val="30"/>
                <w:szCs w:val="30"/>
                <w:rtl/>
                <w:lang w:val="fr-CH" w:bidi="ar-SA"/>
              </w:rPr>
              <w:t>ه</w:t>
            </w:r>
            <w:r w:rsidR="00BD0653">
              <w:rPr>
                <w:rFonts w:ascii="Arabic Typesetting" w:hAnsi="Arabic Typesetting" w:cs="Arabic Typesetting" w:hint="cs"/>
                <w:sz w:val="30"/>
                <w:szCs w:val="30"/>
                <w:rtl/>
                <w:lang w:val="fr-CH" w:bidi="ar-SA"/>
              </w:rPr>
              <w:t xml:space="preserve"> </w:t>
            </w:r>
            <w:r w:rsidR="00BD0653" w:rsidRPr="00BF1CB0">
              <w:rPr>
                <w:rFonts w:ascii="Arabic Typesetting" w:hAnsi="Arabic Typesetting" w:cs="Arabic Typesetting"/>
                <w:sz w:val="30"/>
                <w:szCs w:val="30"/>
                <w:rtl/>
                <w:lang w:val="fr-CH" w:bidi="ar-SA"/>
              </w:rPr>
              <w:t>1.8 التواصل بفعالية أكبر مع جمهور واسع بشأن الملكية الفكرية ودور الويبو</w:t>
            </w:r>
          </w:p>
        </w:tc>
        <w:tc>
          <w:tcPr>
            <w:tcW w:w="1890" w:type="dxa"/>
            <w:tcBorders>
              <w:top w:val="single" w:sz="4" w:space="0" w:color="auto"/>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5813DB">
              <w:rPr>
                <w:rFonts w:ascii="Arabic Typesetting" w:hAnsi="Arabic Typesetting" w:cs="Arabic Typesetting"/>
                <w:sz w:val="30"/>
                <w:szCs w:val="30"/>
                <w:rtl/>
                <w:lang w:bidi="ar-SA"/>
              </w:rPr>
              <w:t>تصور أصحاب المصالح الإيجابي لسمعة الويبو، وزيادة تعرفهم على السمة التجارية للو</w:t>
            </w:r>
            <w:r>
              <w:rPr>
                <w:rFonts w:ascii="Arabic Typesetting" w:hAnsi="Arabic Typesetting" w:cs="Arabic Typesetting" w:hint="cs"/>
                <w:sz w:val="30"/>
                <w:szCs w:val="30"/>
                <w:rtl/>
                <w:lang w:bidi="ar-SA"/>
              </w:rPr>
              <w:t>ي</w:t>
            </w:r>
            <w:r w:rsidRPr="005813DB">
              <w:rPr>
                <w:rFonts w:ascii="Arabic Typesetting" w:hAnsi="Arabic Typesetting" w:cs="Arabic Typesetting"/>
                <w:sz w:val="30"/>
                <w:szCs w:val="30"/>
                <w:rtl/>
                <w:lang w:bidi="ar-SA"/>
              </w:rPr>
              <w:t>بو</w:t>
            </w:r>
          </w:p>
        </w:tc>
        <w:tc>
          <w:tcPr>
            <w:tcW w:w="2430" w:type="dxa"/>
            <w:tcBorders>
              <w:top w:val="single" w:sz="4" w:space="0" w:color="auto"/>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F84B90">
              <w:rPr>
                <w:rFonts w:ascii="Arabic Typesetting" w:hAnsi="Arabic Typesetting" w:cs="Arabic Typesetting"/>
                <w:sz w:val="30"/>
                <w:szCs w:val="30"/>
                <w:rtl/>
                <w:lang w:bidi="ar-SA"/>
              </w:rPr>
              <w:t>85.3% من المشاركين في الدراسة الاستقصائية يوافقون أو يوافقون بشدة على أن الويبو تتمتع بسمعة جيدة عموماً. و70.2% من المشاركين ينظرون إلى الويبو على أنها المنتدى العالمي للملكية الفكرية (دراسة الويبو الاستقصائية بشأن تصورات أصحاب المصالح، يونيو 2014)</w:t>
            </w:r>
          </w:p>
        </w:tc>
        <w:tc>
          <w:tcPr>
            <w:tcW w:w="2974" w:type="dxa"/>
            <w:tcBorders>
              <w:top w:val="single" w:sz="4" w:space="0" w:color="auto"/>
              <w:left w:val="nil"/>
              <w:bottom w:val="nil"/>
              <w:right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F84B90">
              <w:rPr>
                <w:rFonts w:ascii="Arabic Typesetting" w:hAnsi="Arabic Typesetting" w:cs="Arabic Typesetting"/>
                <w:sz w:val="30"/>
                <w:szCs w:val="30"/>
                <w:rtl/>
                <w:lang w:bidi="ar-SA"/>
              </w:rPr>
              <w:t>85% لديهم تصور إيجابي عن سمعة الويبو. وإقرار 75% بأن الويبو هي المنتدى العالمي للملكية الفكرية.</w:t>
            </w:r>
          </w:p>
        </w:tc>
      </w:tr>
      <w:tr w:rsidR="00BD0653" w:rsidRPr="00EB30FA" w:rsidTr="007843AB">
        <w:tc>
          <w:tcPr>
            <w:tcW w:w="2276" w:type="dxa"/>
            <w:tcBorders>
              <w:top w:val="nil"/>
              <w:left w:val="single" w:sz="4" w:space="0" w:color="auto"/>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292603">
              <w:rPr>
                <w:rFonts w:ascii="Arabic Typesetting" w:hAnsi="Arabic Typesetting" w:cs="Arabic Typesetting"/>
                <w:sz w:val="30"/>
                <w:szCs w:val="30"/>
                <w:rtl/>
                <w:lang w:bidi="ar-SA"/>
              </w:rPr>
              <w:t xml:space="preserve">عدد الأشخاص </w:t>
            </w:r>
            <w:r>
              <w:rPr>
                <w:rFonts w:ascii="Arabic Typesetting" w:hAnsi="Arabic Typesetting" w:cs="Arabic Typesetting"/>
                <w:sz w:val="30"/>
                <w:szCs w:val="30"/>
                <w:rtl/>
                <w:lang w:bidi="ar-SA"/>
              </w:rPr>
              <w:t xml:space="preserve">الذين يشاهدون محتوى عن </w:t>
            </w:r>
            <w:r>
              <w:rPr>
                <w:rFonts w:ascii="Arabic Typesetting" w:hAnsi="Arabic Typesetting" w:cs="Arabic Typesetting" w:hint="cs"/>
                <w:sz w:val="30"/>
                <w:szCs w:val="30"/>
                <w:rtl/>
                <w:lang w:bidi="ar-SA"/>
              </w:rPr>
              <w:t>تظاهرات</w:t>
            </w:r>
            <w:r w:rsidRPr="00292603">
              <w:rPr>
                <w:rFonts w:ascii="Arabic Typesetting" w:hAnsi="Arabic Typesetting" w:cs="Arabic Typesetting"/>
                <w:sz w:val="30"/>
                <w:szCs w:val="30"/>
                <w:rtl/>
                <w:lang w:bidi="ar-SA"/>
              </w:rPr>
              <w:t xml:space="preserve"> الويبو وإنجازاتها وأنشطتها الرئيسية</w:t>
            </w:r>
          </w:p>
        </w:tc>
        <w:tc>
          <w:tcPr>
            <w:tcW w:w="243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تُحدَّد لاحقاً</w:t>
            </w:r>
          </w:p>
        </w:tc>
        <w:tc>
          <w:tcPr>
            <w:tcW w:w="2974" w:type="dxa"/>
            <w:tcBorders>
              <w:top w:val="nil"/>
              <w:left w:val="nil"/>
              <w:bottom w:val="nil"/>
              <w:right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292603">
              <w:rPr>
                <w:rFonts w:ascii="Arabic Typesetting" w:hAnsi="Arabic Typesetting" w:cs="Arabic Typesetting"/>
                <w:sz w:val="30"/>
                <w:szCs w:val="30"/>
                <w:rtl/>
                <w:lang w:bidi="ar-SA"/>
              </w:rPr>
              <w:t xml:space="preserve">23% مِمَّنْ يتلقون النشرة الإخبارية </w:t>
            </w:r>
            <w:r w:rsidRPr="00292603">
              <w:rPr>
                <w:rFonts w:ascii="Arabic Typesetting" w:hAnsi="Arabic Typesetting" w:cs="Arabic Typesetting"/>
                <w:sz w:val="30"/>
                <w:szCs w:val="30"/>
                <w:lang w:bidi="ar-SA"/>
              </w:rPr>
              <w:t>WIPO Wire</w:t>
            </w:r>
            <w:r w:rsidRPr="00292603">
              <w:rPr>
                <w:rFonts w:ascii="Arabic Typesetting" w:hAnsi="Arabic Typesetting" w:cs="Arabic Typesetting"/>
                <w:sz w:val="30"/>
                <w:szCs w:val="30"/>
                <w:rtl/>
                <w:lang w:bidi="ar-SA"/>
              </w:rPr>
              <w:t xml:space="preserve"> يفتحونها لعرض مضمونها</w:t>
            </w:r>
          </w:p>
        </w:tc>
      </w:tr>
      <w:tr w:rsidR="00BD0653" w:rsidRPr="00EB30FA" w:rsidTr="007843AB">
        <w:tc>
          <w:tcPr>
            <w:tcW w:w="2276" w:type="dxa"/>
            <w:tcBorders>
              <w:top w:val="nil"/>
              <w:left w:val="single" w:sz="4" w:space="0" w:color="auto"/>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CD447D">
              <w:rPr>
                <w:rFonts w:ascii="Arabic Typesetting" w:hAnsi="Arabic Typesetting" w:cs="Arabic Typesetting"/>
                <w:sz w:val="30"/>
                <w:szCs w:val="30"/>
                <w:rtl/>
                <w:lang w:bidi="ar-SA"/>
              </w:rPr>
              <w:t>المشاركة العالمية في حملة اليوم العالمي للملكية الفكرية</w:t>
            </w:r>
          </w:p>
        </w:tc>
        <w:tc>
          <w:tcPr>
            <w:tcW w:w="243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sz w:val="30"/>
                <w:szCs w:val="30"/>
                <w:rtl/>
                <w:lang w:bidi="ar-SA"/>
              </w:rPr>
              <w:t>نُشرت ال</w:t>
            </w:r>
            <w:r>
              <w:rPr>
                <w:rFonts w:ascii="Arabic Typesetting" w:hAnsi="Arabic Typesetting" w:cs="Arabic Typesetting" w:hint="cs"/>
                <w:sz w:val="30"/>
                <w:szCs w:val="30"/>
                <w:rtl/>
                <w:lang w:bidi="ar-SA"/>
              </w:rPr>
              <w:t>تظاهرات</w:t>
            </w:r>
            <w:r>
              <w:rPr>
                <w:rFonts w:ascii="Arabic Typesetting" w:hAnsi="Arabic Typesetting" w:cs="Arabic Typesetting"/>
                <w:sz w:val="30"/>
                <w:szCs w:val="30"/>
                <w:rtl/>
                <w:lang w:bidi="ar-SA"/>
              </w:rPr>
              <w:t xml:space="preserve"> في 110 بلدان على خريطة </w:t>
            </w:r>
            <w:r>
              <w:rPr>
                <w:rFonts w:ascii="Arabic Typesetting" w:hAnsi="Arabic Typesetting" w:cs="Arabic Typesetting" w:hint="cs"/>
                <w:sz w:val="30"/>
                <w:szCs w:val="30"/>
                <w:rtl/>
                <w:lang w:bidi="ar-SA"/>
              </w:rPr>
              <w:t>تظاهرات</w:t>
            </w:r>
            <w:r w:rsidRPr="00CD447D">
              <w:rPr>
                <w:rFonts w:ascii="Arabic Typesetting" w:hAnsi="Arabic Typesetting" w:cs="Arabic Typesetting"/>
                <w:sz w:val="30"/>
                <w:szCs w:val="30"/>
                <w:rtl/>
                <w:lang w:bidi="ar-SA"/>
              </w:rPr>
              <w:t xml:space="preserve"> اليوم العالمي للملكية الفكرية لعام 2014</w:t>
            </w:r>
          </w:p>
        </w:tc>
        <w:tc>
          <w:tcPr>
            <w:tcW w:w="2974" w:type="dxa"/>
            <w:tcBorders>
              <w:top w:val="nil"/>
              <w:left w:val="nil"/>
              <w:bottom w:val="nil"/>
              <w:right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sz w:val="30"/>
                <w:szCs w:val="30"/>
                <w:rtl/>
                <w:lang w:bidi="ar-SA"/>
              </w:rPr>
              <w:t>نشر ال</w:t>
            </w:r>
            <w:r>
              <w:rPr>
                <w:rFonts w:ascii="Arabic Typesetting" w:hAnsi="Arabic Typesetting" w:cs="Arabic Typesetting" w:hint="cs"/>
                <w:sz w:val="30"/>
                <w:szCs w:val="30"/>
                <w:rtl/>
                <w:lang w:bidi="ar-SA"/>
              </w:rPr>
              <w:t>تظاهرات</w:t>
            </w:r>
            <w:r w:rsidRPr="00CD447D">
              <w:rPr>
                <w:rFonts w:ascii="Arabic Typesetting" w:hAnsi="Arabic Typesetting" w:cs="Arabic Typesetting"/>
                <w:sz w:val="30"/>
                <w:szCs w:val="30"/>
                <w:rtl/>
                <w:lang w:bidi="ar-SA"/>
              </w:rPr>
              <w:t xml:space="preserve"> في</w:t>
            </w:r>
            <w:r>
              <w:rPr>
                <w:rFonts w:ascii="Arabic Typesetting" w:hAnsi="Arabic Typesetting" w:cs="Arabic Typesetting"/>
                <w:sz w:val="30"/>
                <w:szCs w:val="30"/>
                <w:rtl/>
                <w:lang w:bidi="ar-SA"/>
              </w:rPr>
              <w:t xml:space="preserve"> 100 بلد أو أكثر على خريطة </w:t>
            </w:r>
            <w:r>
              <w:rPr>
                <w:rFonts w:ascii="Arabic Typesetting" w:hAnsi="Arabic Typesetting" w:cs="Arabic Typesetting" w:hint="cs"/>
                <w:sz w:val="30"/>
                <w:szCs w:val="30"/>
                <w:rtl/>
                <w:lang w:bidi="ar-SA"/>
              </w:rPr>
              <w:t>تظاهرات</w:t>
            </w:r>
            <w:r w:rsidRPr="00CD447D">
              <w:rPr>
                <w:rFonts w:ascii="Arabic Typesetting" w:hAnsi="Arabic Typesetting" w:cs="Arabic Typesetting"/>
                <w:sz w:val="30"/>
                <w:szCs w:val="30"/>
                <w:rtl/>
                <w:lang w:bidi="ar-SA"/>
              </w:rPr>
              <w:t xml:space="preserve"> اليوم العالمي للملكية الفكرية</w:t>
            </w:r>
          </w:p>
        </w:tc>
      </w:tr>
      <w:tr w:rsidR="00BD0653" w:rsidRPr="00EB30FA" w:rsidTr="00D65E82">
        <w:tc>
          <w:tcPr>
            <w:tcW w:w="2276" w:type="dxa"/>
            <w:tcBorders>
              <w:top w:val="nil"/>
              <w:left w:val="single" w:sz="4" w:space="0" w:color="auto"/>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nil"/>
              <w:left w:val="nil"/>
              <w:bottom w:val="nil"/>
              <w:right w:val="nil"/>
            </w:tcBorders>
          </w:tcPr>
          <w:p w:rsidR="00BD0653" w:rsidRPr="00CD447D" w:rsidRDefault="00BD0653" w:rsidP="007843AB">
            <w:pPr>
              <w:spacing w:before="60" w:after="60" w:line="300" w:lineRule="exact"/>
              <w:rPr>
                <w:rFonts w:ascii="Arabic Typesetting" w:hAnsi="Arabic Typesetting" w:cs="Arabic Typesetting"/>
                <w:sz w:val="30"/>
                <w:szCs w:val="30"/>
                <w:rtl/>
              </w:rPr>
            </w:pPr>
            <w:r w:rsidRPr="00843430">
              <w:rPr>
                <w:rFonts w:ascii="Arabic Typesetting" w:hAnsi="Arabic Typesetting" w:cs="Arabic Typesetting"/>
                <w:sz w:val="30"/>
                <w:szCs w:val="30"/>
                <w:rtl/>
                <w:lang w:bidi="ar-SA"/>
              </w:rPr>
              <w:t>عدد زيارات موقع منشورات الويبو وموقع مجلة الويبو</w:t>
            </w:r>
          </w:p>
        </w:tc>
        <w:tc>
          <w:tcPr>
            <w:tcW w:w="2430" w:type="dxa"/>
            <w:tcBorders>
              <w:top w:val="nil"/>
              <w:left w:val="nil"/>
              <w:bottom w:val="nil"/>
              <w:right w:val="nil"/>
            </w:tcBorders>
          </w:tcPr>
          <w:p w:rsidR="00BD0653" w:rsidRPr="00CD447D" w:rsidRDefault="00BD0653" w:rsidP="007843AB">
            <w:pPr>
              <w:spacing w:before="60" w:after="60" w:line="300" w:lineRule="exact"/>
              <w:rPr>
                <w:rFonts w:ascii="Arabic Typesetting" w:hAnsi="Arabic Typesetting" w:cs="Arabic Typesetting"/>
                <w:sz w:val="30"/>
                <w:szCs w:val="30"/>
                <w:rtl/>
                <w:lang w:bidi="ar-SA"/>
              </w:rPr>
            </w:pPr>
            <w:r w:rsidRPr="00843430">
              <w:rPr>
                <w:rFonts w:ascii="Arabic Typesetting" w:hAnsi="Arabic Typesetting" w:cs="Arabic Typesetting"/>
                <w:sz w:val="30"/>
                <w:szCs w:val="30"/>
                <w:rtl/>
                <w:lang w:bidi="ar-SA"/>
              </w:rPr>
              <w:t xml:space="preserve">"1" </w:t>
            </w:r>
            <w:r w:rsidRPr="00276B1E">
              <w:rPr>
                <w:rFonts w:ascii="Arabic Typesetting" w:hAnsi="Arabic Typesetting" w:cs="Arabic Typesetting"/>
                <w:sz w:val="30"/>
                <w:szCs w:val="30"/>
                <w:rtl/>
                <w:lang w:bidi="ar-SA"/>
              </w:rPr>
              <w:t>804 97</w:t>
            </w:r>
            <w:r w:rsidRPr="00843430">
              <w:rPr>
                <w:rFonts w:ascii="Arabic Typesetting" w:hAnsi="Arabic Typesetting" w:cs="Arabic Typesetting"/>
                <w:sz w:val="30"/>
                <w:szCs w:val="30"/>
                <w:rtl/>
                <w:lang w:bidi="ar-SA"/>
              </w:rPr>
              <w:t xml:space="preserve"> زيارات فريدة لموقع المنشورات، </w:t>
            </w:r>
            <w:r>
              <w:rPr>
                <w:rFonts w:ascii="Arabic Typesetting" w:hAnsi="Arabic Typesetting" w:cs="Arabic Typesetting"/>
                <w:sz w:val="30"/>
                <w:szCs w:val="30"/>
                <w:rtl/>
                <w:lang w:bidi="ar-SA"/>
              </w:rPr>
              <w:br/>
            </w:r>
            <w:r w:rsidRPr="00843430">
              <w:rPr>
                <w:rFonts w:ascii="Arabic Typesetting" w:hAnsi="Arabic Typesetting" w:cs="Arabic Typesetting"/>
                <w:sz w:val="30"/>
                <w:szCs w:val="30"/>
                <w:rtl/>
                <w:lang w:bidi="ar-SA"/>
              </w:rPr>
              <w:t xml:space="preserve">"2" </w:t>
            </w:r>
            <w:r w:rsidRPr="008E5B81">
              <w:rPr>
                <w:rFonts w:ascii="Arabic Typesetting" w:hAnsi="Arabic Typesetting" w:cs="Arabic Typesetting"/>
                <w:sz w:val="30"/>
                <w:szCs w:val="30"/>
                <w:rtl/>
                <w:lang w:bidi="ar-SA"/>
              </w:rPr>
              <w:t>342 432</w:t>
            </w:r>
            <w:r w:rsidRPr="00843430">
              <w:rPr>
                <w:rFonts w:ascii="Arabic Typesetting" w:hAnsi="Arabic Typesetting" w:cs="Arabic Typesetting"/>
                <w:sz w:val="30"/>
                <w:szCs w:val="30"/>
                <w:rtl/>
                <w:lang w:bidi="ar-SA"/>
              </w:rPr>
              <w:t xml:space="preserve"> زيارة فريدة لموقع مجلة الويبو في عام 2014</w:t>
            </w:r>
          </w:p>
        </w:tc>
        <w:tc>
          <w:tcPr>
            <w:tcW w:w="2974" w:type="dxa"/>
            <w:tcBorders>
              <w:top w:val="nil"/>
              <w:left w:val="nil"/>
              <w:bottom w:val="nil"/>
              <w:right w:val="single" w:sz="4" w:space="0" w:color="auto"/>
            </w:tcBorders>
          </w:tcPr>
          <w:p w:rsidR="00BD0653" w:rsidRPr="00CD447D" w:rsidRDefault="00BD0653" w:rsidP="007843AB">
            <w:pPr>
              <w:spacing w:before="60" w:after="60" w:line="300" w:lineRule="exact"/>
              <w:rPr>
                <w:rFonts w:ascii="Arabic Typesetting" w:hAnsi="Arabic Typesetting" w:cs="Arabic Typesetting"/>
                <w:sz w:val="30"/>
                <w:szCs w:val="30"/>
                <w:rtl/>
                <w:lang w:bidi="ar-SA"/>
              </w:rPr>
            </w:pPr>
            <w:r w:rsidRPr="00351A58">
              <w:rPr>
                <w:rFonts w:ascii="Arabic Typesetting" w:hAnsi="Arabic Typesetting" w:cs="Arabic Typesetting"/>
                <w:sz w:val="30"/>
                <w:szCs w:val="30"/>
                <w:rtl/>
                <w:lang w:bidi="ar-SA"/>
              </w:rPr>
              <w:t>"1" زيادة عدد الزيارات الفريدة لموقع المنشورات بنسبة 20%، "2" وزيادة عدد زيارات موقع مجلة الويبو بنسبة 10%</w:t>
            </w:r>
          </w:p>
        </w:tc>
      </w:tr>
      <w:tr w:rsidR="00BD0653" w:rsidRPr="00EB30FA" w:rsidTr="00D65E82">
        <w:trPr>
          <w:trHeight w:val="1887"/>
        </w:trPr>
        <w:tc>
          <w:tcPr>
            <w:tcW w:w="2276" w:type="dxa"/>
            <w:tcBorders>
              <w:top w:val="nil"/>
              <w:left w:val="single" w:sz="4" w:space="0" w:color="auto"/>
              <w:bottom w:val="single" w:sz="4" w:space="0" w:color="auto"/>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nil"/>
              <w:left w:val="nil"/>
              <w:bottom w:val="single" w:sz="4" w:space="0" w:color="auto"/>
              <w:right w:val="nil"/>
            </w:tcBorders>
          </w:tcPr>
          <w:p w:rsidR="00BD0653" w:rsidRPr="00843430" w:rsidRDefault="00BD0653" w:rsidP="007843AB">
            <w:pPr>
              <w:spacing w:before="60" w:after="60" w:line="300" w:lineRule="exact"/>
              <w:rPr>
                <w:rFonts w:ascii="Arabic Typesetting" w:hAnsi="Arabic Typesetting" w:cs="Arabic Typesetting"/>
                <w:sz w:val="30"/>
                <w:szCs w:val="30"/>
                <w:rtl/>
              </w:rPr>
            </w:pPr>
            <w:r w:rsidRPr="00D64792">
              <w:rPr>
                <w:rFonts w:ascii="Arabic Typesetting" w:hAnsi="Arabic Typesetting" w:cs="Arabic Typesetting"/>
                <w:sz w:val="30"/>
                <w:szCs w:val="30"/>
                <w:rtl/>
              </w:rPr>
              <w:t>عدد زيارات المحتوى الإخباري والفيد</w:t>
            </w:r>
            <w:r>
              <w:rPr>
                <w:rFonts w:ascii="Arabic Typesetting" w:hAnsi="Arabic Typesetting" w:cs="Arabic Typesetting" w:hint="cs"/>
                <w:sz w:val="30"/>
                <w:szCs w:val="30"/>
                <w:rtl/>
              </w:rPr>
              <w:t>ي</w:t>
            </w:r>
            <w:r w:rsidRPr="00D64792">
              <w:rPr>
                <w:rFonts w:ascii="Arabic Typesetting" w:hAnsi="Arabic Typesetting" w:cs="Arabic Typesetting"/>
                <w:sz w:val="30"/>
                <w:szCs w:val="30"/>
                <w:rtl/>
              </w:rPr>
              <w:t>و والصور على موقع الويبو</w:t>
            </w:r>
          </w:p>
        </w:tc>
        <w:tc>
          <w:tcPr>
            <w:tcW w:w="2430" w:type="dxa"/>
            <w:tcBorders>
              <w:top w:val="nil"/>
              <w:left w:val="nil"/>
              <w:bottom w:val="single" w:sz="4" w:space="0" w:color="auto"/>
              <w:right w:val="nil"/>
            </w:tcBorders>
          </w:tcPr>
          <w:p w:rsidR="00BD0653" w:rsidRPr="00B4480F" w:rsidRDefault="00BD0653" w:rsidP="007843AB">
            <w:pPr>
              <w:spacing w:before="60" w:after="60" w:line="300" w:lineRule="exact"/>
              <w:rPr>
                <w:rFonts w:ascii="Arabic Typesetting" w:hAnsi="Arabic Typesetting" w:cs="Arabic Typesetting"/>
                <w:sz w:val="30"/>
                <w:szCs w:val="30"/>
                <w:rtl/>
              </w:rPr>
            </w:pPr>
            <w:r w:rsidRPr="00B4480F">
              <w:rPr>
                <w:rFonts w:ascii="Arabic Typesetting" w:hAnsi="Arabic Typesetting" w:cs="Arabic Typesetting"/>
                <w:sz w:val="30"/>
                <w:szCs w:val="30"/>
                <w:rtl/>
              </w:rPr>
              <w:t xml:space="preserve">"1" </w:t>
            </w:r>
            <w:r w:rsidRPr="00276B1E">
              <w:rPr>
                <w:rFonts w:ascii="Arabic Typesetting" w:hAnsi="Arabic Typesetting" w:cs="Arabic Typesetting"/>
                <w:sz w:val="30"/>
                <w:szCs w:val="30"/>
                <w:rtl/>
              </w:rPr>
              <w:t xml:space="preserve">000 250 </w:t>
            </w:r>
            <w:r w:rsidRPr="00B4480F">
              <w:rPr>
                <w:rFonts w:ascii="Arabic Typesetting" w:hAnsi="Arabic Typesetting" w:cs="Arabic Typesetting"/>
                <w:sz w:val="30"/>
                <w:szCs w:val="30"/>
                <w:rtl/>
              </w:rPr>
              <w:t>زيارة فريدة لمحتوى موقع المركز الإعلامي (بكل اللغات) في 2014</w:t>
            </w:r>
          </w:p>
          <w:p w:rsidR="00BD0653" w:rsidRPr="00843430" w:rsidRDefault="00BD0653" w:rsidP="007843AB">
            <w:pPr>
              <w:spacing w:before="60" w:after="60" w:line="300" w:lineRule="exact"/>
              <w:rPr>
                <w:rFonts w:ascii="Arabic Typesetting" w:hAnsi="Arabic Typesetting" w:cs="Arabic Typesetting"/>
                <w:sz w:val="30"/>
                <w:szCs w:val="30"/>
                <w:rtl/>
              </w:rPr>
            </w:pPr>
            <w:r w:rsidRPr="00B4480F">
              <w:rPr>
                <w:rFonts w:ascii="Arabic Typesetting" w:hAnsi="Arabic Typesetting" w:cs="Arabic Typesetting"/>
                <w:sz w:val="30"/>
                <w:szCs w:val="30"/>
                <w:rtl/>
              </w:rPr>
              <w:t xml:space="preserve">"2" </w:t>
            </w:r>
            <w:r w:rsidRPr="00276B1E">
              <w:rPr>
                <w:rFonts w:ascii="Arabic Typesetting" w:hAnsi="Arabic Typesetting" w:cs="Arabic Typesetting"/>
                <w:sz w:val="30"/>
                <w:szCs w:val="30"/>
                <w:rtl/>
              </w:rPr>
              <w:t>180 467</w:t>
            </w:r>
            <w:r w:rsidRPr="00B4480F">
              <w:rPr>
                <w:rFonts w:ascii="Arabic Typesetting" w:hAnsi="Arabic Typesetting" w:cs="Arabic Typesetting"/>
                <w:sz w:val="30"/>
                <w:szCs w:val="30"/>
                <w:rtl/>
              </w:rPr>
              <w:t xml:space="preserve"> زيارة لقناة الويبو على موقع اليوتيوب في 2013/14 (باستثناء </w:t>
            </w:r>
            <w:r w:rsidRPr="00AA7AE9">
              <w:rPr>
                <w:rFonts w:ascii="Arabic Typesetting" w:hAnsi="Arabic Typesetting" w:cs="Arabic Typesetting"/>
                <w:sz w:val="30"/>
                <w:szCs w:val="30"/>
                <w:rtl/>
              </w:rPr>
              <w:t>مرحلة ما قبل المدرسة</w:t>
            </w:r>
            <w:r w:rsidRPr="00B4480F">
              <w:rPr>
                <w:rFonts w:ascii="Arabic Typesetting" w:hAnsi="Arabic Typesetting" w:cs="Arabic Typesetting"/>
                <w:sz w:val="30"/>
                <w:szCs w:val="30"/>
                <w:rtl/>
              </w:rPr>
              <w:t>)</w:t>
            </w:r>
          </w:p>
        </w:tc>
        <w:tc>
          <w:tcPr>
            <w:tcW w:w="2974" w:type="dxa"/>
            <w:tcBorders>
              <w:top w:val="nil"/>
              <w:left w:val="nil"/>
              <w:bottom w:val="single" w:sz="4" w:space="0" w:color="auto"/>
              <w:right w:val="single" w:sz="4" w:space="0" w:color="auto"/>
            </w:tcBorders>
          </w:tcPr>
          <w:p w:rsidR="00BD0653" w:rsidRPr="00580567" w:rsidRDefault="00BD0653" w:rsidP="007843AB">
            <w:pPr>
              <w:spacing w:before="60" w:after="60" w:line="300" w:lineRule="exact"/>
              <w:rPr>
                <w:rFonts w:ascii="Arabic Typesetting" w:hAnsi="Arabic Typesetting" w:cs="Arabic Typesetting"/>
                <w:sz w:val="30"/>
                <w:szCs w:val="30"/>
                <w:rtl/>
                <w:lang w:bidi="ar-SA"/>
              </w:rPr>
            </w:pPr>
            <w:r w:rsidRPr="00580567">
              <w:rPr>
                <w:rFonts w:ascii="Arabic Typesetting" w:hAnsi="Arabic Typesetting" w:cs="Arabic Typesetting"/>
                <w:sz w:val="30"/>
                <w:szCs w:val="30"/>
                <w:rtl/>
                <w:lang w:bidi="ar-SA"/>
              </w:rPr>
              <w:t>"1"زيادة بنسبة 10% في عدد الزيارات الفريدة لمحتوى موقع المركز الإعلامي</w:t>
            </w:r>
          </w:p>
          <w:p w:rsidR="00BD0653" w:rsidRPr="00351A58" w:rsidRDefault="00BD0653" w:rsidP="007843AB">
            <w:pPr>
              <w:spacing w:before="60" w:after="60" w:line="300" w:lineRule="exact"/>
              <w:rPr>
                <w:rFonts w:ascii="Arabic Typesetting" w:hAnsi="Arabic Typesetting" w:cs="Arabic Typesetting"/>
                <w:sz w:val="30"/>
                <w:szCs w:val="30"/>
                <w:rtl/>
                <w:lang w:bidi="ar-SA"/>
              </w:rPr>
            </w:pPr>
            <w:r w:rsidRPr="00580567">
              <w:rPr>
                <w:rFonts w:ascii="Arabic Typesetting" w:hAnsi="Arabic Typesetting" w:cs="Arabic Typesetting"/>
                <w:sz w:val="30"/>
                <w:szCs w:val="30"/>
                <w:rtl/>
                <w:lang w:bidi="ar-SA"/>
              </w:rPr>
              <w:t xml:space="preserve">"2" زيادة بنسبة 10% في إجمالي عدد زيارات الفيديوهات المنشورة على قناة الويبو باليوتيوب (باستثناء </w:t>
            </w:r>
            <w:r w:rsidRPr="00AA7AE9">
              <w:rPr>
                <w:rFonts w:ascii="Arabic Typesetting" w:hAnsi="Arabic Typesetting" w:cs="Arabic Typesetting"/>
                <w:sz w:val="30"/>
                <w:szCs w:val="30"/>
                <w:rtl/>
                <w:lang w:bidi="ar-SA"/>
              </w:rPr>
              <w:t>مرحلة ما قبل المدرسة</w:t>
            </w:r>
            <w:r w:rsidRPr="00580567">
              <w:rPr>
                <w:rFonts w:ascii="Arabic Typesetting" w:hAnsi="Arabic Typesetting" w:cs="Arabic Typesetting"/>
                <w:sz w:val="30"/>
                <w:szCs w:val="30"/>
                <w:rtl/>
                <w:lang w:bidi="ar-SA"/>
              </w:rPr>
              <w:t>)</w:t>
            </w:r>
          </w:p>
        </w:tc>
      </w:tr>
      <w:tr w:rsidR="00D65E82" w:rsidRPr="00EB30FA" w:rsidTr="00D65E82">
        <w:trPr>
          <w:trHeight w:val="99"/>
        </w:trPr>
        <w:tc>
          <w:tcPr>
            <w:tcW w:w="2276" w:type="dxa"/>
            <w:tcBorders>
              <w:top w:val="single" w:sz="4" w:space="0" w:color="auto"/>
              <w:left w:val="single" w:sz="4" w:space="0" w:color="auto"/>
              <w:bottom w:val="nil"/>
              <w:right w:val="nil"/>
            </w:tcBorders>
          </w:tcPr>
          <w:p w:rsidR="00D65E82" w:rsidRPr="00EB30FA" w:rsidRDefault="00D65E82"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single" w:sz="4" w:space="0" w:color="auto"/>
              <w:left w:val="nil"/>
              <w:bottom w:val="nil"/>
              <w:right w:val="nil"/>
            </w:tcBorders>
          </w:tcPr>
          <w:p w:rsidR="00D65E82" w:rsidRPr="00D64792" w:rsidRDefault="00D65E82" w:rsidP="007843AB">
            <w:pPr>
              <w:spacing w:before="60" w:after="60" w:line="300" w:lineRule="exact"/>
              <w:rPr>
                <w:rFonts w:ascii="Arabic Typesetting" w:hAnsi="Arabic Typesetting" w:cs="Arabic Typesetting"/>
                <w:sz w:val="30"/>
                <w:szCs w:val="30"/>
                <w:rtl/>
              </w:rPr>
            </w:pPr>
          </w:p>
        </w:tc>
        <w:tc>
          <w:tcPr>
            <w:tcW w:w="2430" w:type="dxa"/>
            <w:tcBorders>
              <w:top w:val="single" w:sz="4" w:space="0" w:color="auto"/>
              <w:left w:val="nil"/>
              <w:bottom w:val="nil"/>
              <w:right w:val="nil"/>
            </w:tcBorders>
          </w:tcPr>
          <w:p w:rsidR="00D65E82" w:rsidRPr="00B4480F" w:rsidRDefault="00D65E82" w:rsidP="007843AB">
            <w:pPr>
              <w:spacing w:before="60" w:after="60" w:line="300" w:lineRule="exact"/>
              <w:rPr>
                <w:rFonts w:ascii="Arabic Typesetting" w:hAnsi="Arabic Typesetting" w:cs="Arabic Typesetting"/>
                <w:sz w:val="30"/>
                <w:szCs w:val="30"/>
                <w:rtl/>
              </w:rPr>
            </w:pPr>
            <w:r w:rsidRPr="00B4480F">
              <w:rPr>
                <w:rFonts w:ascii="Arabic Typesetting" w:hAnsi="Arabic Typesetting" w:cs="Arabic Typesetting"/>
                <w:sz w:val="30"/>
                <w:szCs w:val="30"/>
                <w:rtl/>
              </w:rPr>
              <w:t>"3" 1.44 مليون زيارة إضافية للصور</w:t>
            </w:r>
            <w:r>
              <w:rPr>
                <w:rFonts w:ascii="Arabic Typesetting" w:hAnsi="Arabic Typesetting" w:cs="Arabic Typesetting" w:hint="cs"/>
                <w:sz w:val="30"/>
                <w:szCs w:val="30"/>
                <w:rtl/>
              </w:rPr>
              <w:t xml:space="preserve"> </w:t>
            </w:r>
            <w:r w:rsidRPr="00B4480F">
              <w:rPr>
                <w:rFonts w:ascii="Arabic Typesetting" w:hAnsi="Arabic Typesetting" w:cs="Arabic Typesetting"/>
                <w:sz w:val="30"/>
                <w:szCs w:val="30"/>
                <w:rtl/>
              </w:rPr>
              <w:t>على موقع فليكر في 2014. (</w:t>
            </w:r>
            <w:r w:rsidRPr="00276B1E">
              <w:rPr>
                <w:rFonts w:ascii="Arabic Typesetting" w:hAnsi="Arabic Typesetting" w:cs="Arabic Typesetting"/>
                <w:sz w:val="30"/>
                <w:szCs w:val="30"/>
                <w:rtl/>
              </w:rPr>
              <w:t>إجمالي</w:t>
            </w:r>
            <w:r w:rsidRPr="00B4480F">
              <w:rPr>
                <w:rFonts w:ascii="Arabic Typesetting" w:hAnsi="Arabic Typesetting" w:cs="Arabic Typesetting"/>
                <w:sz w:val="30"/>
                <w:szCs w:val="30"/>
                <w:rtl/>
              </w:rPr>
              <w:t xml:space="preserve"> عدد الزيارات في نهاية 2014: 2.41 مليون)</w:t>
            </w:r>
          </w:p>
        </w:tc>
        <w:tc>
          <w:tcPr>
            <w:tcW w:w="2974" w:type="dxa"/>
            <w:tcBorders>
              <w:top w:val="single" w:sz="4" w:space="0" w:color="auto"/>
              <w:left w:val="nil"/>
              <w:bottom w:val="nil"/>
              <w:right w:val="single" w:sz="4" w:space="0" w:color="auto"/>
            </w:tcBorders>
          </w:tcPr>
          <w:p w:rsidR="00D65E82" w:rsidRPr="00580567" w:rsidRDefault="00D65E82" w:rsidP="007843AB">
            <w:pPr>
              <w:spacing w:before="60" w:after="60" w:line="300" w:lineRule="exact"/>
              <w:rPr>
                <w:rFonts w:ascii="Arabic Typesetting" w:hAnsi="Arabic Typesetting" w:cs="Arabic Typesetting"/>
                <w:sz w:val="30"/>
                <w:szCs w:val="30"/>
                <w:rtl/>
                <w:lang w:bidi="ar-SA"/>
              </w:rPr>
            </w:pPr>
            <w:r w:rsidRPr="00580567">
              <w:rPr>
                <w:rFonts w:ascii="Arabic Typesetting" w:hAnsi="Arabic Typesetting" w:cs="Arabic Typesetting"/>
                <w:sz w:val="30"/>
                <w:szCs w:val="30"/>
                <w:rtl/>
                <w:lang w:bidi="ar-SA"/>
              </w:rPr>
              <w:t>"3" الهدف: مليون زيارة إضافية للصور على موقع فليكر (بحلول عام 2017)</w:t>
            </w:r>
          </w:p>
        </w:tc>
      </w:tr>
      <w:tr w:rsidR="00BD0653" w:rsidRPr="00EB30FA" w:rsidTr="00D65E82">
        <w:tc>
          <w:tcPr>
            <w:tcW w:w="2276" w:type="dxa"/>
            <w:tcBorders>
              <w:top w:val="nil"/>
              <w:left w:val="single" w:sz="4" w:space="0" w:color="auto"/>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nil"/>
              <w:left w:val="nil"/>
              <w:bottom w:val="nil"/>
              <w:right w:val="nil"/>
            </w:tcBorders>
          </w:tcPr>
          <w:p w:rsidR="00BD0653" w:rsidRPr="00843430" w:rsidRDefault="00BD0653" w:rsidP="007843AB">
            <w:pPr>
              <w:spacing w:before="60" w:after="60" w:line="300" w:lineRule="exact"/>
              <w:rPr>
                <w:rFonts w:ascii="Arabic Typesetting" w:hAnsi="Arabic Typesetting" w:cs="Arabic Typesetting"/>
                <w:sz w:val="30"/>
                <w:szCs w:val="30"/>
                <w:rtl/>
              </w:rPr>
            </w:pPr>
            <w:r w:rsidRPr="00DB0BCF">
              <w:rPr>
                <w:rFonts w:ascii="Arabic Typesetting" w:hAnsi="Arabic Typesetting" w:cs="Arabic Typesetting"/>
                <w:sz w:val="30"/>
                <w:szCs w:val="30"/>
                <w:rtl/>
              </w:rPr>
              <w:t>عدد أقل من المستخدمين الذين يغادرون موقع الويبو الإلكتروني مباشرةً من صفحة الدخول وصفحات البوابة الرئيسية</w:t>
            </w:r>
          </w:p>
        </w:tc>
        <w:tc>
          <w:tcPr>
            <w:tcW w:w="2430" w:type="dxa"/>
            <w:tcBorders>
              <w:top w:val="nil"/>
              <w:left w:val="nil"/>
              <w:bottom w:val="nil"/>
              <w:right w:val="nil"/>
            </w:tcBorders>
          </w:tcPr>
          <w:p w:rsidR="00BD0653" w:rsidRPr="00843430" w:rsidRDefault="00BD0653" w:rsidP="007843AB">
            <w:pPr>
              <w:spacing w:before="60" w:after="60" w:line="300" w:lineRule="exact"/>
              <w:rPr>
                <w:rFonts w:ascii="Arabic Typesetting" w:hAnsi="Arabic Typesetting" w:cs="Arabic Typesetting"/>
                <w:sz w:val="30"/>
                <w:szCs w:val="30"/>
                <w:lang w:bidi="ar-SA"/>
              </w:rPr>
            </w:pPr>
            <w:r w:rsidRPr="00DB0BCF">
              <w:rPr>
                <w:rFonts w:ascii="Arabic Typesetting" w:hAnsi="Arabic Typesetting" w:cs="Arabic Typesetting"/>
                <w:sz w:val="30"/>
                <w:szCs w:val="30"/>
                <w:rtl/>
                <w:lang w:bidi="ar-SA"/>
              </w:rPr>
              <w:t>"1" معدل الارتداد من صفحة الدخول 25.1%</w:t>
            </w:r>
            <w:r>
              <w:rPr>
                <w:rFonts w:ascii="Arabic Typesetting" w:hAnsi="Arabic Typesetting" w:cs="Arabic Typesetting" w:hint="cs"/>
                <w:sz w:val="30"/>
                <w:szCs w:val="30"/>
                <w:rtl/>
                <w:lang w:bidi="ar-SA"/>
              </w:rPr>
              <w:t>،</w:t>
            </w:r>
            <w:r w:rsidRPr="00DB0BCF">
              <w:rPr>
                <w:rFonts w:ascii="Arabic Typesetting" w:hAnsi="Arabic Typesetting" w:cs="Arabic Typesetting"/>
                <w:sz w:val="30"/>
                <w:szCs w:val="30"/>
                <w:rtl/>
                <w:lang w:bidi="ar-SA"/>
              </w:rPr>
              <w:t xml:space="preserve"> "2" معدلات الخروج من صفحات "البوابة": الخدمات: 13%، سياسة: 16.9%، التعاون: 15.3%، مراجع: 19.1%؛ عن الملكية الفكرية: 55.1%، داخل الويبو: 23.5%</w:t>
            </w:r>
          </w:p>
        </w:tc>
        <w:tc>
          <w:tcPr>
            <w:tcW w:w="2974" w:type="dxa"/>
            <w:tcBorders>
              <w:top w:val="nil"/>
              <w:left w:val="nil"/>
              <w:bottom w:val="nil"/>
              <w:right w:val="single" w:sz="4" w:space="0" w:color="auto"/>
            </w:tcBorders>
          </w:tcPr>
          <w:p w:rsidR="00BD0653" w:rsidRPr="00351A58" w:rsidRDefault="00BD0653" w:rsidP="007843AB">
            <w:pPr>
              <w:spacing w:before="60" w:after="60" w:line="300" w:lineRule="exact"/>
              <w:rPr>
                <w:rFonts w:ascii="Arabic Typesetting" w:hAnsi="Arabic Typesetting" w:cs="Arabic Typesetting"/>
                <w:sz w:val="30"/>
                <w:szCs w:val="30"/>
                <w:rtl/>
                <w:lang w:bidi="ar-SA"/>
              </w:rPr>
            </w:pPr>
            <w:r w:rsidRPr="000925F7">
              <w:rPr>
                <w:rFonts w:ascii="Arabic Typesetting" w:hAnsi="Arabic Typesetting" w:cs="Arabic Typesetting"/>
                <w:sz w:val="30"/>
                <w:szCs w:val="30"/>
                <w:rtl/>
                <w:lang w:bidi="ar-SA"/>
              </w:rPr>
              <w:t xml:space="preserve">"1" استقرار معدل الارتداد من صفحة الدخول، "2" استقرار معدل الخروج من صفحة "البوابة" لكل من </w:t>
            </w:r>
            <w:r>
              <w:rPr>
                <w:rFonts w:ascii="Arabic Typesetting" w:hAnsi="Arabic Typesetting" w:cs="Arabic Typesetting" w:hint="cs"/>
                <w:sz w:val="30"/>
                <w:szCs w:val="30"/>
                <w:rtl/>
                <w:lang w:bidi="ar-SA"/>
              </w:rPr>
              <w:t>المجالات</w:t>
            </w:r>
            <w:r w:rsidRPr="000925F7">
              <w:rPr>
                <w:rFonts w:ascii="Arabic Typesetting" w:hAnsi="Arabic Typesetting" w:cs="Arabic Typesetting"/>
                <w:sz w:val="30"/>
                <w:szCs w:val="30"/>
                <w:rtl/>
                <w:lang w:bidi="ar-SA"/>
              </w:rPr>
              <w:t xml:space="preserve"> الست الرئيسية للموقع الإلكتروني (خدمات الملكية الفكرية، سياسة، التعاون، مرجع، عن الملكية الفكرية، عن الويبو)</w:t>
            </w:r>
          </w:p>
        </w:tc>
      </w:tr>
      <w:tr w:rsidR="00BD0653" w:rsidRPr="00EB30FA" w:rsidTr="00D65E82">
        <w:tc>
          <w:tcPr>
            <w:tcW w:w="2276" w:type="dxa"/>
            <w:tcBorders>
              <w:top w:val="nil"/>
              <w:left w:val="single" w:sz="4" w:space="0" w:color="auto"/>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nil"/>
              <w:left w:val="nil"/>
              <w:bottom w:val="nil"/>
              <w:right w:val="nil"/>
            </w:tcBorders>
          </w:tcPr>
          <w:p w:rsidR="00BD0653" w:rsidRPr="00DB0BCF" w:rsidRDefault="00BD0653" w:rsidP="007843AB">
            <w:pPr>
              <w:spacing w:before="60" w:after="60" w:line="300" w:lineRule="exact"/>
              <w:rPr>
                <w:rFonts w:ascii="Arabic Typesetting" w:hAnsi="Arabic Typesetting" w:cs="Arabic Typesetting"/>
                <w:sz w:val="30"/>
                <w:szCs w:val="30"/>
                <w:rtl/>
              </w:rPr>
            </w:pPr>
            <w:r w:rsidRPr="00D11CDD">
              <w:rPr>
                <w:rFonts w:ascii="Arabic Typesetting" w:hAnsi="Arabic Typesetting" w:cs="Arabic Typesetting"/>
                <w:sz w:val="30"/>
                <w:szCs w:val="30"/>
                <w:rtl/>
              </w:rPr>
              <w:t>تأثير الويبو على وسائل التواصل الاجتماعي وإشراك أصحاب المصالح</w:t>
            </w:r>
            <w:r>
              <w:rPr>
                <w:rFonts w:ascii="Arabic Typesetting" w:hAnsi="Arabic Typesetting" w:cs="Arabic Typesetting" w:hint="cs"/>
                <w:sz w:val="30"/>
                <w:szCs w:val="30"/>
                <w:rtl/>
              </w:rPr>
              <w:t xml:space="preserve"> فيها</w:t>
            </w:r>
          </w:p>
        </w:tc>
        <w:tc>
          <w:tcPr>
            <w:tcW w:w="2430" w:type="dxa"/>
            <w:tcBorders>
              <w:top w:val="nil"/>
              <w:left w:val="nil"/>
              <w:bottom w:val="nil"/>
              <w:right w:val="nil"/>
            </w:tcBorders>
          </w:tcPr>
          <w:p w:rsidR="00BD0653" w:rsidRPr="00D11CDD" w:rsidRDefault="00BD0653" w:rsidP="007843AB">
            <w:pPr>
              <w:spacing w:before="60" w:after="60" w:line="300" w:lineRule="exact"/>
              <w:rPr>
                <w:rFonts w:ascii="Arabic Typesetting" w:hAnsi="Arabic Typesetting" w:cs="Arabic Typesetting"/>
                <w:sz w:val="30"/>
                <w:szCs w:val="30"/>
                <w:rtl/>
                <w:lang w:bidi="ar-SA"/>
              </w:rPr>
            </w:pPr>
            <w:r w:rsidRPr="00D11CDD">
              <w:rPr>
                <w:rFonts w:ascii="Arabic Typesetting" w:hAnsi="Arabic Typesetting" w:cs="Arabic Typesetting"/>
                <w:sz w:val="30"/>
                <w:szCs w:val="30"/>
                <w:rtl/>
                <w:lang w:bidi="ar-SA"/>
              </w:rPr>
              <w:t xml:space="preserve">"1" عدد </w:t>
            </w:r>
            <w:r w:rsidRPr="00276B1E">
              <w:rPr>
                <w:rFonts w:ascii="Arabic Typesetting" w:hAnsi="Arabic Typesetting" w:cs="Arabic Typesetting"/>
                <w:sz w:val="30"/>
                <w:szCs w:val="30"/>
                <w:rtl/>
                <w:lang w:bidi="ar-SA"/>
              </w:rPr>
              <w:t>المُفضِّلون</w:t>
            </w:r>
            <w:r w:rsidRPr="00D11CDD">
              <w:rPr>
                <w:rFonts w:ascii="Arabic Typesetting" w:hAnsi="Arabic Typesetting" w:cs="Arabic Typesetting"/>
                <w:sz w:val="30"/>
                <w:szCs w:val="30"/>
                <w:rtl/>
                <w:lang w:bidi="ar-SA"/>
              </w:rPr>
              <w:t xml:space="preserve"> (2014 = </w:t>
            </w:r>
            <w:r w:rsidRPr="00276B1E">
              <w:rPr>
                <w:rFonts w:ascii="Arabic Typesetting" w:hAnsi="Arabic Typesetting" w:cs="Arabic Typesetting"/>
                <w:sz w:val="30"/>
                <w:szCs w:val="30"/>
                <w:rtl/>
                <w:lang w:bidi="ar-SA"/>
              </w:rPr>
              <w:t>121 5</w:t>
            </w:r>
            <w:r w:rsidRPr="00D11CDD">
              <w:rPr>
                <w:rFonts w:ascii="Arabic Typesetting" w:hAnsi="Arabic Typesetting" w:cs="Arabic Typesetting"/>
                <w:sz w:val="30"/>
                <w:szCs w:val="30"/>
                <w:rtl/>
                <w:lang w:bidi="ar-SA"/>
              </w:rPr>
              <w:t>)</w:t>
            </w:r>
          </w:p>
          <w:p w:rsidR="00BD0653" w:rsidRPr="00DB0BCF" w:rsidRDefault="00BD0653" w:rsidP="007843AB">
            <w:pPr>
              <w:spacing w:before="60" w:after="60" w:line="300" w:lineRule="exact"/>
              <w:rPr>
                <w:rFonts w:ascii="Arabic Typesetting" w:hAnsi="Arabic Typesetting" w:cs="Arabic Typesetting"/>
                <w:sz w:val="30"/>
                <w:szCs w:val="30"/>
                <w:rtl/>
                <w:lang w:bidi="ar-SA"/>
              </w:rPr>
            </w:pPr>
            <w:r w:rsidRPr="00D11CDD">
              <w:rPr>
                <w:rFonts w:ascii="Arabic Typesetting" w:hAnsi="Arabic Typesetting" w:cs="Arabic Typesetting"/>
                <w:sz w:val="30"/>
                <w:szCs w:val="30"/>
                <w:rtl/>
                <w:lang w:bidi="ar-SA"/>
              </w:rPr>
              <w:t xml:space="preserve">"2" إجمالي عدد مرات إعادة </w:t>
            </w:r>
            <w:r>
              <w:rPr>
                <w:rFonts w:ascii="Arabic Typesetting" w:hAnsi="Arabic Typesetting" w:cs="Arabic Typesetting" w:hint="cs"/>
                <w:sz w:val="30"/>
                <w:szCs w:val="30"/>
                <w:rtl/>
                <w:lang w:bidi="ar-SA"/>
              </w:rPr>
              <w:t xml:space="preserve">نشر </w:t>
            </w:r>
            <w:proofErr w:type="spellStart"/>
            <w:r w:rsidRPr="00D11CDD">
              <w:rPr>
                <w:rFonts w:ascii="Arabic Typesetting" w:hAnsi="Arabic Typesetting" w:cs="Arabic Typesetting"/>
                <w:sz w:val="30"/>
                <w:szCs w:val="30"/>
                <w:rtl/>
                <w:lang w:bidi="ar-SA"/>
              </w:rPr>
              <w:t>التغريد</w:t>
            </w:r>
            <w:r>
              <w:rPr>
                <w:rFonts w:ascii="Arabic Typesetting" w:hAnsi="Arabic Typesetting" w:cs="Arabic Typesetting" w:hint="cs"/>
                <w:sz w:val="30"/>
                <w:szCs w:val="30"/>
                <w:rtl/>
                <w:lang w:bidi="ar-SA"/>
              </w:rPr>
              <w:t>ات</w:t>
            </w:r>
            <w:proofErr w:type="spellEnd"/>
            <w:r w:rsidRPr="00D11CDD">
              <w:rPr>
                <w:rFonts w:ascii="Arabic Typesetting" w:hAnsi="Arabic Typesetting" w:cs="Arabic Typesetting"/>
                <w:sz w:val="30"/>
                <w:szCs w:val="30"/>
                <w:rtl/>
                <w:lang w:bidi="ar-SA"/>
              </w:rPr>
              <w:t xml:space="preserve"> (2014 = </w:t>
            </w:r>
            <w:r w:rsidRPr="00137B05">
              <w:rPr>
                <w:rFonts w:ascii="Arabic Typesetting" w:hAnsi="Arabic Typesetting" w:cs="Arabic Typesetting"/>
                <w:sz w:val="30"/>
                <w:szCs w:val="30"/>
                <w:rtl/>
                <w:lang w:bidi="ar-SA"/>
              </w:rPr>
              <w:t>920 11</w:t>
            </w:r>
            <w:r w:rsidRPr="00D11CDD">
              <w:rPr>
                <w:rFonts w:ascii="Arabic Typesetting" w:hAnsi="Arabic Typesetting" w:cs="Arabic Typesetting"/>
                <w:sz w:val="30"/>
                <w:szCs w:val="30"/>
                <w:rtl/>
                <w:lang w:bidi="ar-SA"/>
              </w:rPr>
              <w:t>)</w:t>
            </w:r>
          </w:p>
        </w:tc>
        <w:tc>
          <w:tcPr>
            <w:tcW w:w="2974" w:type="dxa"/>
            <w:tcBorders>
              <w:top w:val="nil"/>
              <w:left w:val="nil"/>
              <w:bottom w:val="nil"/>
              <w:right w:val="single" w:sz="4" w:space="0" w:color="auto"/>
            </w:tcBorders>
          </w:tcPr>
          <w:p w:rsidR="00BD0653" w:rsidRPr="006A2BE1" w:rsidRDefault="00BD0653" w:rsidP="007843AB">
            <w:pPr>
              <w:spacing w:before="60" w:after="60" w:line="300" w:lineRule="exact"/>
              <w:rPr>
                <w:rFonts w:ascii="Arabic Typesetting" w:hAnsi="Arabic Typesetting" w:cs="Arabic Typesetting"/>
                <w:sz w:val="30"/>
                <w:szCs w:val="30"/>
                <w:rtl/>
                <w:lang w:bidi="ar-SA"/>
              </w:rPr>
            </w:pPr>
            <w:r w:rsidRPr="006A2BE1">
              <w:rPr>
                <w:rFonts w:ascii="Arabic Typesetting" w:hAnsi="Arabic Typesetting" w:cs="Arabic Typesetting"/>
                <w:sz w:val="30"/>
                <w:szCs w:val="30"/>
                <w:rtl/>
                <w:lang w:bidi="ar-SA"/>
              </w:rPr>
              <w:t xml:space="preserve">"1" زيادة بنسبة 25% في العدد السنوي </w:t>
            </w:r>
            <w:proofErr w:type="spellStart"/>
            <w:r w:rsidRPr="006A2BE1">
              <w:rPr>
                <w:rFonts w:ascii="Arabic Typesetting" w:hAnsi="Arabic Typesetting" w:cs="Arabic Typesetting"/>
                <w:sz w:val="30"/>
                <w:szCs w:val="30"/>
                <w:rtl/>
                <w:lang w:bidi="ar-SA"/>
              </w:rPr>
              <w:t>لتغريدات</w:t>
            </w:r>
            <w:proofErr w:type="spellEnd"/>
            <w:r w:rsidRPr="006A2BE1">
              <w:rPr>
                <w:rFonts w:ascii="Arabic Typesetting" w:hAnsi="Arabic Typesetting" w:cs="Arabic Typesetting"/>
                <w:sz w:val="30"/>
                <w:szCs w:val="30"/>
                <w:rtl/>
                <w:lang w:bidi="ar-SA"/>
              </w:rPr>
              <w:t xml:space="preserve"> الويبو "المفضلة"</w:t>
            </w:r>
          </w:p>
          <w:p w:rsidR="00BD0653" w:rsidRPr="000925F7" w:rsidRDefault="00BD0653" w:rsidP="007843AB">
            <w:pPr>
              <w:spacing w:before="60" w:after="60" w:line="300" w:lineRule="exact"/>
              <w:rPr>
                <w:rFonts w:ascii="Arabic Typesetting" w:hAnsi="Arabic Typesetting" w:cs="Arabic Typesetting"/>
                <w:sz w:val="30"/>
                <w:szCs w:val="30"/>
                <w:rtl/>
                <w:lang w:bidi="ar-SA"/>
              </w:rPr>
            </w:pPr>
            <w:r w:rsidRPr="006A2BE1">
              <w:rPr>
                <w:rFonts w:ascii="Arabic Typesetting" w:hAnsi="Arabic Typesetting" w:cs="Arabic Typesetting"/>
                <w:sz w:val="30"/>
                <w:szCs w:val="30"/>
                <w:rtl/>
                <w:lang w:bidi="ar-SA"/>
              </w:rPr>
              <w:t xml:space="preserve">"2" زيادة بنسبة 15% في إجمالي العدد السنوي لإعادة </w:t>
            </w:r>
            <w:r>
              <w:rPr>
                <w:rFonts w:ascii="Arabic Typesetting" w:hAnsi="Arabic Typesetting" w:cs="Arabic Typesetting" w:hint="cs"/>
                <w:sz w:val="30"/>
                <w:szCs w:val="30"/>
                <w:rtl/>
                <w:lang w:bidi="ar-SA"/>
              </w:rPr>
              <w:t xml:space="preserve">نشر </w:t>
            </w:r>
            <w:proofErr w:type="spellStart"/>
            <w:r w:rsidRPr="006A2BE1">
              <w:rPr>
                <w:rFonts w:ascii="Arabic Typesetting" w:hAnsi="Arabic Typesetting" w:cs="Arabic Typesetting"/>
                <w:sz w:val="30"/>
                <w:szCs w:val="30"/>
                <w:rtl/>
                <w:lang w:bidi="ar-SA"/>
              </w:rPr>
              <w:t>التغريد</w:t>
            </w:r>
            <w:r>
              <w:rPr>
                <w:rFonts w:ascii="Arabic Typesetting" w:hAnsi="Arabic Typesetting" w:cs="Arabic Typesetting" w:hint="cs"/>
                <w:sz w:val="30"/>
                <w:szCs w:val="30"/>
                <w:rtl/>
                <w:lang w:bidi="ar-SA"/>
              </w:rPr>
              <w:t>ات</w:t>
            </w:r>
            <w:proofErr w:type="spellEnd"/>
          </w:p>
        </w:tc>
      </w:tr>
      <w:tr w:rsidR="00BD0653" w:rsidRPr="00EB30FA" w:rsidTr="00D65E82">
        <w:tc>
          <w:tcPr>
            <w:tcW w:w="2276" w:type="dxa"/>
            <w:tcBorders>
              <w:top w:val="nil"/>
              <w:left w:val="single" w:sz="4" w:space="0" w:color="auto"/>
              <w:bottom w:val="nil"/>
              <w:right w:val="nil"/>
            </w:tcBorders>
          </w:tcPr>
          <w:p w:rsidR="00BD0653" w:rsidRPr="00EB30FA" w:rsidRDefault="009800D4" w:rsidP="007843AB">
            <w:pPr>
              <w:spacing w:before="60" w:after="60" w:line="300" w:lineRule="exact"/>
              <w:rPr>
                <w:rFonts w:ascii="Arabic Typesetting" w:hAnsi="Arabic Typesetting" w:cs="Arabic Typesetting"/>
                <w:sz w:val="30"/>
                <w:szCs w:val="30"/>
                <w:rtl/>
                <w:lang w:val="fr-CH" w:bidi="ar-SA"/>
              </w:rPr>
            </w:pPr>
            <w:r>
              <w:rPr>
                <w:rFonts w:ascii="Arabic Typesetting" w:hAnsi="Arabic Typesetting" w:cs="Arabic Typesetting"/>
                <w:sz w:val="30"/>
                <w:szCs w:val="30"/>
                <w:rtl/>
                <w:lang w:val="fr-CH" w:bidi="ar-SA"/>
              </w:rPr>
              <w:t>ه</w:t>
            </w:r>
            <w:r w:rsidR="00BD0653">
              <w:rPr>
                <w:rFonts w:ascii="Arabic Typesetting" w:hAnsi="Arabic Typesetting" w:cs="Arabic Typesetting" w:hint="cs"/>
                <w:sz w:val="30"/>
                <w:szCs w:val="30"/>
                <w:rtl/>
                <w:lang w:val="fr-CH" w:bidi="ar-SA"/>
              </w:rPr>
              <w:t xml:space="preserve"> </w:t>
            </w:r>
            <w:r w:rsidR="00BD0653" w:rsidRPr="00E42B26">
              <w:rPr>
                <w:rFonts w:ascii="Arabic Typesetting" w:hAnsi="Arabic Typesetting" w:cs="Arabic Typesetting"/>
                <w:sz w:val="30"/>
                <w:szCs w:val="30"/>
                <w:rtl/>
                <w:lang w:val="fr-CH" w:bidi="ar-SA"/>
              </w:rPr>
              <w:t>2.8 توجّه أكبر نحو تقديم الخدمات واستجابة أفضل للاستفسارات</w:t>
            </w:r>
          </w:p>
        </w:tc>
        <w:tc>
          <w:tcPr>
            <w:tcW w:w="189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رضا ا</w:t>
            </w:r>
            <w:r w:rsidRPr="00EB30FA">
              <w:rPr>
                <w:rFonts w:ascii="Arabic Typesetting" w:hAnsi="Arabic Typesetting" w:cs="Arabic Typesetting" w:hint="cs"/>
                <w:sz w:val="30"/>
                <w:szCs w:val="30"/>
                <w:rtl/>
                <w:lang w:bidi="ar-SA"/>
              </w:rPr>
              <w:t xml:space="preserve">لمستخدمين عن خدمات </w:t>
            </w:r>
            <w:r>
              <w:rPr>
                <w:rFonts w:ascii="Arabic Typesetting" w:hAnsi="Arabic Typesetting" w:cs="Arabic Typesetting" w:hint="cs"/>
                <w:sz w:val="30"/>
                <w:szCs w:val="30"/>
                <w:rtl/>
                <w:lang w:bidi="ar-SA"/>
              </w:rPr>
              <w:t>المكتبة</w:t>
            </w:r>
          </w:p>
        </w:tc>
        <w:tc>
          <w:tcPr>
            <w:tcW w:w="243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BD499C">
              <w:rPr>
                <w:rFonts w:ascii="Arabic Typesetting" w:hAnsi="Arabic Typesetting" w:cs="Arabic Typesetting"/>
                <w:sz w:val="30"/>
                <w:szCs w:val="30"/>
                <w:rtl/>
                <w:lang w:bidi="ar-SA"/>
              </w:rPr>
              <w:t>72% من المُجيبين على الاستبيان الذي وُجِّه إلى مستخدمي خدمات المكتب</w:t>
            </w:r>
            <w:r>
              <w:rPr>
                <w:rFonts w:ascii="Arabic Typesetting" w:hAnsi="Arabic Typesetting" w:cs="Arabic Typesetting" w:hint="cs"/>
                <w:sz w:val="30"/>
                <w:szCs w:val="30"/>
                <w:rtl/>
                <w:lang w:bidi="ar-SA"/>
              </w:rPr>
              <w:t>ة</w:t>
            </w:r>
            <w:r w:rsidRPr="00BD499C">
              <w:rPr>
                <w:rFonts w:ascii="Arabic Typesetting" w:hAnsi="Arabic Typesetting" w:cs="Arabic Typesetting"/>
                <w:sz w:val="30"/>
                <w:szCs w:val="30"/>
                <w:rtl/>
                <w:lang w:bidi="ar-SA"/>
              </w:rPr>
              <w:t xml:space="preserve"> في عام 2014 كانوا راضين للغاية</w:t>
            </w:r>
          </w:p>
        </w:tc>
        <w:tc>
          <w:tcPr>
            <w:tcW w:w="2974" w:type="dxa"/>
            <w:tcBorders>
              <w:top w:val="nil"/>
              <w:left w:val="nil"/>
              <w:bottom w:val="nil"/>
              <w:right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EB30FA">
              <w:rPr>
                <w:rFonts w:ascii="Arabic Typesetting" w:hAnsi="Arabic Typesetting" w:cs="Arabic Typesetting" w:hint="cs"/>
                <w:sz w:val="30"/>
                <w:szCs w:val="30"/>
                <w:rtl/>
                <w:lang w:bidi="ar-SA"/>
              </w:rPr>
              <w:t>70%</w:t>
            </w:r>
            <w:r>
              <w:rPr>
                <w:rFonts w:ascii="Arabic Typesetting" w:hAnsi="Arabic Typesetting" w:cs="Arabic Typesetting" w:hint="cs"/>
                <w:sz w:val="30"/>
                <w:szCs w:val="30"/>
                <w:rtl/>
                <w:lang w:bidi="ar-SA"/>
              </w:rPr>
              <w:t xml:space="preserve"> أو أكثر</w:t>
            </w:r>
            <w:r w:rsidRPr="00EB30FA">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من زوار المكتبة والزبائن</w:t>
            </w:r>
            <w:r w:rsidRPr="00EB30FA">
              <w:rPr>
                <w:rFonts w:ascii="Arabic Typesetting" w:hAnsi="Arabic Typesetting" w:cs="Arabic Typesetting" w:hint="cs"/>
                <w:sz w:val="30"/>
                <w:szCs w:val="30"/>
                <w:rtl/>
                <w:lang w:bidi="ar-SA"/>
              </w:rPr>
              <w:t xml:space="preserve"> على الانترنت </w:t>
            </w:r>
            <w:r>
              <w:rPr>
                <w:rFonts w:ascii="Arabic Typesetting" w:hAnsi="Arabic Typesetting" w:cs="Arabic Typesetting" w:hint="cs"/>
                <w:sz w:val="30"/>
                <w:szCs w:val="30"/>
                <w:rtl/>
                <w:lang w:bidi="ar-SA"/>
              </w:rPr>
              <w:t>راضون للغاية</w:t>
            </w:r>
          </w:p>
        </w:tc>
      </w:tr>
      <w:tr w:rsidR="00BD0653" w:rsidRPr="00EB30FA" w:rsidTr="00D65E82">
        <w:tc>
          <w:tcPr>
            <w:tcW w:w="2276" w:type="dxa"/>
            <w:tcBorders>
              <w:top w:val="nil"/>
              <w:left w:val="single" w:sz="4" w:space="0" w:color="auto"/>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val="fr-CH" w:bidi="ar-SA"/>
              </w:rPr>
            </w:pPr>
          </w:p>
        </w:tc>
        <w:tc>
          <w:tcPr>
            <w:tcW w:w="189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EB30FA">
              <w:rPr>
                <w:rFonts w:ascii="Arabic Typesetting" w:hAnsi="Arabic Typesetting" w:cs="Arabic Typesetting" w:hint="cs"/>
                <w:sz w:val="30"/>
                <w:szCs w:val="30"/>
                <w:rtl/>
                <w:lang w:bidi="ar-SA"/>
              </w:rPr>
              <w:t xml:space="preserve">نسبة رضا </w:t>
            </w:r>
            <w:r>
              <w:rPr>
                <w:rFonts w:ascii="Arabic Typesetting" w:hAnsi="Arabic Typesetting" w:cs="Arabic Typesetting" w:hint="cs"/>
                <w:sz w:val="30"/>
                <w:szCs w:val="30"/>
                <w:rtl/>
                <w:lang w:bidi="ar-SA"/>
              </w:rPr>
              <w:t>الزبائن</w:t>
            </w:r>
            <w:r w:rsidRPr="00EB30FA">
              <w:rPr>
                <w:rFonts w:ascii="Arabic Typesetting" w:hAnsi="Arabic Typesetting" w:cs="Arabic Typesetting" w:hint="cs"/>
                <w:sz w:val="30"/>
                <w:szCs w:val="30"/>
                <w:rtl/>
                <w:lang w:bidi="ar-SA"/>
              </w:rPr>
              <w:t>/أصحاب المصالح</w:t>
            </w:r>
          </w:p>
        </w:tc>
        <w:tc>
          <w:tcPr>
            <w:tcW w:w="2430" w:type="dxa"/>
            <w:tcBorders>
              <w:top w:val="nil"/>
              <w:left w:val="nil"/>
              <w:bottom w:val="nil"/>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86% من زبائن</w:t>
            </w:r>
            <w:r w:rsidRPr="00EB30FA">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نظامي</w:t>
            </w:r>
            <w:r w:rsidRPr="00EB30FA">
              <w:rPr>
                <w:rFonts w:ascii="Arabic Typesetting" w:hAnsi="Arabic Typesetting" w:cs="Arabic Typesetting" w:hint="cs"/>
                <w:sz w:val="30"/>
                <w:szCs w:val="30"/>
                <w:rtl/>
                <w:lang w:bidi="ar-SA"/>
              </w:rPr>
              <w:t xml:space="preserve"> مدريد ولاهاي ر</w:t>
            </w:r>
            <w:r>
              <w:rPr>
                <w:rFonts w:ascii="Arabic Typesetting" w:hAnsi="Arabic Typesetting" w:cs="Arabic Typesetting" w:hint="cs"/>
                <w:sz w:val="30"/>
                <w:szCs w:val="30"/>
                <w:rtl/>
                <w:lang w:bidi="ar-SA"/>
              </w:rPr>
              <w:t>ا</w:t>
            </w:r>
            <w:r w:rsidRPr="00EB30FA">
              <w:rPr>
                <w:rFonts w:ascii="Arabic Typesetting" w:hAnsi="Arabic Typesetting" w:cs="Arabic Typesetting" w:hint="cs"/>
                <w:sz w:val="30"/>
                <w:szCs w:val="30"/>
                <w:rtl/>
                <w:lang w:bidi="ar-SA"/>
              </w:rPr>
              <w:t>ض</w:t>
            </w:r>
            <w:r>
              <w:rPr>
                <w:rFonts w:ascii="Arabic Typesetting" w:hAnsi="Arabic Typesetting" w:cs="Arabic Typesetting" w:hint="cs"/>
                <w:sz w:val="30"/>
                <w:szCs w:val="30"/>
                <w:rtl/>
                <w:lang w:bidi="ar-SA"/>
              </w:rPr>
              <w:t>ون أو راضون للغاية (</w:t>
            </w:r>
            <w:r w:rsidRPr="00EB30FA">
              <w:rPr>
                <w:rFonts w:ascii="Arabic Typesetting" w:hAnsi="Arabic Typesetting" w:cs="Arabic Typesetting" w:hint="cs"/>
                <w:sz w:val="30"/>
                <w:szCs w:val="30"/>
                <w:rtl/>
                <w:lang w:bidi="ar-SA"/>
              </w:rPr>
              <w:t>الدراسة الاستقصائية لسنة 201</w:t>
            </w:r>
            <w:r>
              <w:rPr>
                <w:rFonts w:ascii="Arabic Typesetting" w:hAnsi="Arabic Typesetting" w:cs="Arabic Typesetting" w:hint="cs"/>
                <w:sz w:val="30"/>
                <w:szCs w:val="30"/>
                <w:rtl/>
                <w:lang w:bidi="ar-SA"/>
              </w:rPr>
              <w:t>3)</w:t>
            </w:r>
          </w:p>
        </w:tc>
        <w:tc>
          <w:tcPr>
            <w:tcW w:w="2974" w:type="dxa"/>
            <w:tcBorders>
              <w:top w:val="nil"/>
              <w:left w:val="nil"/>
              <w:bottom w:val="nil"/>
              <w:right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90% أو أكثر راضون أو راضون للغاية</w:t>
            </w:r>
          </w:p>
        </w:tc>
      </w:tr>
      <w:tr w:rsidR="00BD0653" w:rsidRPr="00EB30FA" w:rsidTr="00D65E82">
        <w:tc>
          <w:tcPr>
            <w:tcW w:w="2276" w:type="dxa"/>
            <w:tcBorders>
              <w:top w:val="nil"/>
              <w:left w:val="single" w:sz="4" w:space="0" w:color="auto"/>
              <w:bottom w:val="single" w:sz="4" w:space="0" w:color="auto"/>
              <w:right w:val="nil"/>
            </w:tcBorders>
          </w:tcPr>
          <w:p w:rsidR="00BD0653" w:rsidRPr="003A1249" w:rsidRDefault="00BD0653" w:rsidP="007843AB">
            <w:pPr>
              <w:spacing w:before="60" w:after="60" w:line="300" w:lineRule="exact"/>
              <w:rPr>
                <w:rFonts w:ascii="Arabic Typesetting" w:hAnsi="Arabic Typesetting" w:cs="Arabic Typesetting"/>
                <w:sz w:val="30"/>
                <w:szCs w:val="30"/>
              </w:rPr>
            </w:pPr>
          </w:p>
        </w:tc>
        <w:tc>
          <w:tcPr>
            <w:tcW w:w="1890" w:type="dxa"/>
            <w:tcBorders>
              <w:top w:val="nil"/>
              <w:left w:val="nil"/>
              <w:bottom w:val="single" w:sz="4" w:space="0" w:color="auto"/>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78227F">
              <w:rPr>
                <w:rFonts w:ascii="Arabic Typesetting" w:hAnsi="Arabic Typesetting" w:cs="Arabic Typesetting"/>
                <w:sz w:val="30"/>
                <w:szCs w:val="30"/>
                <w:rtl/>
                <w:lang w:bidi="ar-SA"/>
              </w:rPr>
              <w:t>معايير الخدمات في مركز الويبو لخدمة الزبائن</w:t>
            </w:r>
          </w:p>
        </w:tc>
        <w:tc>
          <w:tcPr>
            <w:tcW w:w="2430" w:type="dxa"/>
            <w:tcBorders>
              <w:top w:val="nil"/>
              <w:left w:val="nil"/>
              <w:bottom w:val="single" w:sz="4" w:space="0" w:color="auto"/>
              <w:right w:val="nil"/>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sidRPr="0078227F">
              <w:rPr>
                <w:rFonts w:ascii="Arabic Typesetting" w:hAnsi="Arabic Typesetting" w:cs="Arabic Typesetting"/>
                <w:sz w:val="30"/>
                <w:szCs w:val="30"/>
                <w:rtl/>
                <w:lang w:bidi="ar-SA"/>
              </w:rPr>
              <w:t xml:space="preserve">معالجة 92% من التذاكر في غضون يوم واحد، </w:t>
            </w:r>
            <w:r>
              <w:rPr>
                <w:rFonts w:ascii="Arabic Typesetting" w:hAnsi="Arabic Typesetting" w:cs="Arabic Typesetting" w:hint="cs"/>
                <w:sz w:val="30"/>
                <w:szCs w:val="30"/>
                <w:rtl/>
                <w:lang w:bidi="ar-SA"/>
              </w:rPr>
              <w:t>و</w:t>
            </w:r>
            <w:r w:rsidRPr="0078227F">
              <w:rPr>
                <w:rFonts w:ascii="Arabic Typesetting" w:hAnsi="Arabic Typesetting" w:cs="Arabic Typesetting"/>
                <w:sz w:val="30"/>
                <w:szCs w:val="30"/>
                <w:rtl/>
                <w:lang w:bidi="ar-SA"/>
              </w:rPr>
              <w:t>معالجة 100% من الشكاوى في غضون 8 ساعات عمل</w:t>
            </w:r>
          </w:p>
        </w:tc>
        <w:tc>
          <w:tcPr>
            <w:tcW w:w="2974" w:type="dxa"/>
            <w:tcBorders>
              <w:top w:val="nil"/>
              <w:left w:val="nil"/>
              <w:bottom w:val="single" w:sz="4" w:space="0" w:color="auto"/>
              <w:right w:val="single" w:sz="4" w:space="0" w:color="auto"/>
            </w:tcBorders>
          </w:tcPr>
          <w:p w:rsidR="00BD0653" w:rsidRPr="00EB30FA" w:rsidRDefault="00BD0653" w:rsidP="007843AB">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"1" </w:t>
            </w:r>
            <w:r w:rsidRPr="00B64BDB">
              <w:rPr>
                <w:rFonts w:ascii="Arabic Typesetting" w:hAnsi="Arabic Typesetting" w:cs="Arabic Typesetting"/>
                <w:sz w:val="30"/>
                <w:szCs w:val="30"/>
                <w:rtl/>
                <w:lang w:bidi="ar-SA"/>
              </w:rPr>
              <w:t xml:space="preserve">معالجة </w:t>
            </w:r>
            <w:r>
              <w:rPr>
                <w:rFonts w:ascii="Arabic Typesetting" w:hAnsi="Arabic Typesetting" w:cs="Arabic Typesetting"/>
                <w:sz w:val="30"/>
                <w:szCs w:val="30"/>
                <w:rtl/>
                <w:lang w:bidi="ar-SA"/>
              </w:rPr>
              <w:t>90% من التذاكر في غضون يوم واحد</w:t>
            </w:r>
            <w:r>
              <w:rPr>
                <w:rFonts w:ascii="Arabic Typesetting" w:hAnsi="Arabic Typesetting" w:cs="Arabic Typesetting" w:hint="cs"/>
                <w:sz w:val="30"/>
                <w:szCs w:val="30"/>
                <w:rtl/>
                <w:lang w:bidi="ar-SA"/>
              </w:rPr>
              <w:t>؛</w:t>
            </w:r>
            <w:r w:rsidRPr="00B64BDB">
              <w:rPr>
                <w:rFonts w:ascii="Arabic Typesetting" w:hAnsi="Arabic Typesetting" w:cs="Arabic Typesetting"/>
                <w:sz w:val="30"/>
                <w:szCs w:val="30"/>
                <w:rtl/>
                <w:lang w:bidi="ar-SA"/>
              </w:rPr>
              <w:t xml:space="preserve"> </w:t>
            </w:r>
            <w:r>
              <w:rPr>
                <w:rFonts w:ascii="Arabic Typesetting" w:hAnsi="Arabic Typesetting" w:cs="Arabic Typesetting" w:hint="cs"/>
                <w:sz w:val="30"/>
                <w:szCs w:val="30"/>
                <w:rtl/>
                <w:lang w:bidi="ar-SA"/>
              </w:rPr>
              <w:t xml:space="preserve">"2" </w:t>
            </w:r>
            <w:r w:rsidRPr="00B64BDB">
              <w:rPr>
                <w:rFonts w:ascii="Arabic Typesetting" w:hAnsi="Arabic Typesetting" w:cs="Arabic Typesetting"/>
                <w:sz w:val="30"/>
                <w:szCs w:val="30"/>
                <w:rtl/>
                <w:lang w:bidi="ar-SA"/>
              </w:rPr>
              <w:t>معالجة 90% من الشكاوى في غضون 8 ساعات عمل</w:t>
            </w:r>
          </w:p>
        </w:tc>
      </w:tr>
    </w:tbl>
    <w:p w:rsidR="00BD0653" w:rsidRPr="00EB30FA" w:rsidRDefault="00BD0653" w:rsidP="007843AB">
      <w:pPr>
        <w:spacing w:after="120" w:line="340" w:lineRule="exact"/>
        <w:jc w:val="both"/>
        <w:rPr>
          <w:rFonts w:ascii="Arabic Typesetting" w:hAnsi="Arabic Typesetting" w:cs="Arabic Typesetting"/>
          <w:i/>
          <w:sz w:val="34"/>
          <w:szCs w:val="34"/>
          <w:rtl/>
          <w:lang w:val="fr-CH" w:bidi="ar-SA"/>
        </w:rPr>
      </w:pPr>
    </w:p>
    <w:p w:rsidR="00BD0653" w:rsidRDefault="00BD0653" w:rsidP="007843AB">
      <w:pPr>
        <w:keepNext/>
        <w:adjustRightInd w:val="0"/>
        <w:snapToGrid w:val="0"/>
        <w:spacing w:after="240" w:line="360" w:lineRule="exact"/>
        <w:jc w:val="both"/>
        <w:rPr>
          <w:rFonts w:ascii="Arabic Typesetting" w:hAnsi="Arabic Typesetting" w:cs="Arabic Typesetting"/>
          <w:noProof/>
          <w:snapToGrid w:val="0"/>
          <w:sz w:val="38"/>
          <w:szCs w:val="38"/>
          <w:rtl/>
          <w:lang w:bidi="ar-SA"/>
        </w:rPr>
      </w:pPr>
      <w:r w:rsidRPr="00352D26">
        <w:rPr>
          <w:rFonts w:ascii="Arabic Typesetting" w:hAnsi="Arabic Typesetting" w:cs="Arabic Typesetting"/>
          <w:noProof/>
          <w:snapToGrid w:val="0"/>
          <w:sz w:val="38"/>
          <w:szCs w:val="38"/>
          <w:rtl/>
          <w:lang w:bidi="ar-SA"/>
        </w:rPr>
        <w:t xml:space="preserve">الموارد المخصصة للبرنامج </w:t>
      </w:r>
      <w:r w:rsidRPr="00352D26">
        <w:rPr>
          <w:rFonts w:ascii="Arabic Typesetting" w:hAnsi="Arabic Typesetting" w:cs="Arabic Typesetting" w:hint="cs"/>
          <w:noProof/>
          <w:snapToGrid w:val="0"/>
          <w:sz w:val="38"/>
          <w:szCs w:val="38"/>
          <w:rtl/>
          <w:lang w:bidi="ar-SA"/>
        </w:rPr>
        <w:t>19</w:t>
      </w:r>
    </w:p>
    <w:p w:rsidR="00BD0653" w:rsidRPr="00902E88" w:rsidRDefault="00BD0653" w:rsidP="00861CFF">
      <w:pPr>
        <w:numPr>
          <w:ilvl w:val="0"/>
          <w:numId w:val="32"/>
        </w:numPr>
        <w:spacing w:after="120" w:line="340" w:lineRule="exact"/>
        <w:ind w:left="-6" w:firstLine="0"/>
        <w:rPr>
          <w:rFonts w:ascii="Arabic Typesetting" w:hAnsi="Arabic Typesetting" w:cs="Arabic Typesetting"/>
          <w:sz w:val="34"/>
          <w:szCs w:val="34"/>
          <w:rtl/>
          <w:lang w:bidi="ar-SA"/>
        </w:rPr>
      </w:pPr>
      <w:r>
        <w:rPr>
          <w:rFonts w:ascii="Arabic Typesetting" w:hAnsi="Arabic Typesetting" w:cs="Arabic Typesetting" w:hint="cs"/>
          <w:sz w:val="34"/>
          <w:szCs w:val="34"/>
          <w:rtl/>
          <w:lang w:bidi="ar-SA"/>
        </w:rPr>
        <w:t>يظل إجمالي الموارد المخصصة للبرنامج 19 في الثنائية 2016/17 في المستوى ذاته كما في ميزانية 2014/15 بعد التحويلات. ويعكس تحويل الموارد على صعيد النتيجتين المرتقبتين زيادة تعزيز الدعم لخدمات الزبائن في المنظمة.</w:t>
      </w:r>
    </w:p>
    <w:p w:rsidR="00BD0653" w:rsidRPr="00EB30FA" w:rsidRDefault="00BD0653" w:rsidP="007843AB">
      <w:pPr>
        <w:keepNext/>
        <w:spacing w:line="340" w:lineRule="exact"/>
        <w:jc w:val="center"/>
        <w:rPr>
          <w:rFonts w:ascii="Arabic Typesetting" w:hAnsi="Arabic Typesetting" w:cs="Arabic Typesetting"/>
          <w:b/>
          <w:bCs/>
          <w:sz w:val="34"/>
          <w:szCs w:val="34"/>
          <w:rtl/>
          <w:lang w:val="fr-CH" w:bidi="ar-SA"/>
        </w:rPr>
      </w:pPr>
      <w:r w:rsidRPr="00EB30FA">
        <w:rPr>
          <w:rFonts w:ascii="Arabic Typesetting" w:hAnsi="Arabic Typesetting" w:cs="Arabic Typesetting" w:hint="cs"/>
          <w:b/>
          <w:bCs/>
          <w:sz w:val="34"/>
          <w:szCs w:val="34"/>
          <w:rtl/>
          <w:lang w:val="fr-CH" w:bidi="ar-SA"/>
        </w:rPr>
        <w:lastRenderedPageBreak/>
        <w:t>البرنامج 19: الموارد بحسب كل نتيجة</w:t>
      </w:r>
    </w:p>
    <w:p w:rsidR="00BD0653" w:rsidRDefault="00BD0653" w:rsidP="00BD0653">
      <w:pPr>
        <w:keepNext/>
        <w:spacing w:line="340" w:lineRule="exact"/>
        <w:jc w:val="center"/>
        <w:rPr>
          <w:rFonts w:ascii="Arabic Typesetting" w:hAnsi="Arabic Typesetting" w:cs="Arabic Typesetting"/>
          <w:i/>
          <w:iCs/>
          <w:sz w:val="34"/>
          <w:szCs w:val="34"/>
          <w:rtl/>
          <w:lang w:val="fr-CH" w:bidi="ar-SA"/>
        </w:rPr>
      </w:pPr>
      <w:r w:rsidRPr="00EB30FA">
        <w:rPr>
          <w:rFonts w:ascii="Arabic Typesetting" w:hAnsi="Arabic Typesetting" w:cs="Arabic Typesetting" w:hint="cs"/>
          <w:i/>
          <w:iCs/>
          <w:sz w:val="34"/>
          <w:szCs w:val="34"/>
          <w:rtl/>
          <w:lang w:val="fr-CH" w:bidi="ar-SA"/>
        </w:rPr>
        <w:t>(بآلاف الفرنكات السويسرية)</w:t>
      </w:r>
    </w:p>
    <w:p w:rsidR="00BD0653" w:rsidRPr="00BD0653" w:rsidRDefault="00BD0653" w:rsidP="00BD0653">
      <w:pPr>
        <w:spacing w:after="120"/>
        <w:jc w:val="center"/>
        <w:rPr>
          <w:rFonts w:ascii="Arabic Typesetting" w:hAnsi="Arabic Typesetting" w:cs="Arabic Typesetting"/>
          <w:sz w:val="34"/>
          <w:szCs w:val="34"/>
          <w:lang w:val="fr-CH" w:bidi="ar-SA"/>
        </w:rPr>
      </w:pPr>
      <w:r w:rsidRPr="00BD0653">
        <w:rPr>
          <w:noProof/>
          <w:szCs w:val="20"/>
          <w:rtl/>
          <w:lang w:bidi="ar-SA"/>
        </w:rPr>
        <w:drawing>
          <wp:inline distT="0" distB="0" distL="0" distR="0" wp14:anchorId="021767CB" wp14:editId="56F589FF">
            <wp:extent cx="5572125" cy="1383682"/>
            <wp:effectExtent l="0" t="0" r="0" b="698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572125" cy="1383682"/>
                    </a:xfrm>
                    <a:prstGeom prst="rect">
                      <a:avLst/>
                    </a:prstGeom>
                    <a:noFill/>
                    <a:ln>
                      <a:noFill/>
                    </a:ln>
                  </pic:spPr>
                </pic:pic>
              </a:graphicData>
            </a:graphic>
          </wp:inline>
        </w:drawing>
      </w:r>
    </w:p>
    <w:p w:rsidR="00BD0653" w:rsidRPr="00EB30FA" w:rsidRDefault="00BD0653" w:rsidP="007843AB">
      <w:pPr>
        <w:keepNext/>
        <w:spacing w:line="340" w:lineRule="exact"/>
        <w:jc w:val="center"/>
        <w:rPr>
          <w:rFonts w:ascii="Arabic Typesetting" w:hAnsi="Arabic Typesetting" w:cs="Arabic Typesetting"/>
          <w:b/>
          <w:bCs/>
          <w:sz w:val="34"/>
          <w:szCs w:val="34"/>
          <w:rtl/>
          <w:lang w:val="fr-CH" w:bidi="ar-SA"/>
        </w:rPr>
      </w:pPr>
      <w:r w:rsidRPr="00EB30FA">
        <w:rPr>
          <w:rFonts w:ascii="Arabic Typesetting" w:hAnsi="Arabic Typesetting" w:cs="Arabic Typesetting" w:hint="cs"/>
          <w:b/>
          <w:bCs/>
          <w:sz w:val="34"/>
          <w:szCs w:val="34"/>
          <w:rtl/>
          <w:lang w:val="fr-CH" w:bidi="ar-SA"/>
        </w:rPr>
        <w:t>البرنامج 19: الموارد بحسب غرض الإنفاق</w:t>
      </w:r>
    </w:p>
    <w:p w:rsidR="00BD0653" w:rsidRPr="00EB30FA" w:rsidRDefault="00BD0653" w:rsidP="00BD0653">
      <w:pPr>
        <w:keepNext/>
        <w:spacing w:line="340" w:lineRule="exact"/>
        <w:jc w:val="center"/>
        <w:rPr>
          <w:rFonts w:ascii="Arabic Typesetting" w:hAnsi="Arabic Typesetting" w:cs="Arabic Typesetting"/>
          <w:i/>
          <w:iCs/>
          <w:sz w:val="34"/>
          <w:szCs w:val="34"/>
          <w:lang w:val="fr-CH" w:bidi="ar-SA"/>
        </w:rPr>
      </w:pPr>
      <w:r w:rsidRPr="00EB30FA">
        <w:rPr>
          <w:rFonts w:ascii="Arabic Typesetting" w:hAnsi="Arabic Typesetting" w:cs="Arabic Typesetting" w:hint="cs"/>
          <w:i/>
          <w:iCs/>
          <w:sz w:val="34"/>
          <w:szCs w:val="34"/>
          <w:rtl/>
          <w:lang w:val="fr-CH" w:bidi="ar-SA"/>
        </w:rPr>
        <w:t>(بآلاف الفرنكات السويسرية)</w:t>
      </w:r>
    </w:p>
    <w:p w:rsidR="00BD0653" w:rsidRPr="006F5611" w:rsidRDefault="00BD0653" w:rsidP="00BD0653">
      <w:pPr>
        <w:spacing w:after="120"/>
        <w:jc w:val="center"/>
        <w:rPr>
          <w:rFonts w:ascii="Arabic Typesetting" w:hAnsi="Arabic Typesetting" w:cs="Arabic Typesetting"/>
          <w:sz w:val="34"/>
          <w:szCs w:val="34"/>
          <w:lang w:bidi="ar-SA"/>
        </w:rPr>
      </w:pPr>
      <w:r w:rsidRPr="00BD0653">
        <w:rPr>
          <w:noProof/>
          <w:szCs w:val="20"/>
          <w:rtl/>
          <w:lang w:bidi="ar-SA"/>
        </w:rPr>
        <w:drawing>
          <wp:inline distT="0" distB="0" distL="0" distR="0" wp14:anchorId="24BBDEC5" wp14:editId="565E01F5">
            <wp:extent cx="5448828" cy="627697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449164" cy="6277362"/>
                    </a:xfrm>
                    <a:prstGeom prst="rect">
                      <a:avLst/>
                    </a:prstGeom>
                    <a:noFill/>
                    <a:ln>
                      <a:noFill/>
                    </a:ln>
                  </pic:spPr>
                </pic:pic>
              </a:graphicData>
            </a:graphic>
          </wp:inline>
        </w:drawing>
      </w:r>
    </w:p>
    <w:p w:rsidR="00A62820" w:rsidRPr="008954A8" w:rsidRDefault="00A62820"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103" w:name="_Toc364355406"/>
      <w:bookmarkStart w:id="104" w:name="_Toc420595527"/>
      <w:r w:rsidRPr="008954A8">
        <w:rPr>
          <w:rFonts w:ascii="Arabic Typesetting" w:hAnsi="Arabic Typesetting" w:cs="Arabic Typesetting"/>
          <w:bCs/>
          <w:iCs w:val="0"/>
          <w:noProof/>
          <w:sz w:val="42"/>
          <w:szCs w:val="42"/>
          <w:rtl/>
        </w:rPr>
        <w:lastRenderedPageBreak/>
        <w:t>البرنامج</w:t>
      </w:r>
      <w:r w:rsidRPr="008954A8">
        <w:rPr>
          <w:rFonts w:ascii="Arabic Typesetting" w:hAnsi="Arabic Typesetting" w:cs="Arabic Typesetting" w:hint="cs"/>
          <w:bCs/>
          <w:iCs w:val="0"/>
          <w:noProof/>
          <w:sz w:val="42"/>
          <w:szCs w:val="42"/>
          <w:rtl/>
        </w:rPr>
        <w:t xml:space="preserve"> 20</w:t>
      </w:r>
      <w:r w:rsidRPr="008954A8">
        <w:rPr>
          <w:rFonts w:ascii="Arabic Typesetting" w:hAnsi="Arabic Typesetting" w:cs="Arabic Typesetting" w:hint="cs"/>
          <w:bCs/>
          <w:iCs w:val="0"/>
          <w:noProof/>
          <w:sz w:val="42"/>
          <w:szCs w:val="42"/>
          <w:rtl/>
        </w:rPr>
        <w:tab/>
        <w:t>العلاقات الخارجية والشراكات والمكاتب الخارجية</w:t>
      </w:r>
      <w:bookmarkEnd w:id="103"/>
      <w:bookmarkEnd w:id="104"/>
    </w:p>
    <w:p w:rsidR="00A62820" w:rsidRPr="008954A8" w:rsidRDefault="00A62820" w:rsidP="00DA5475">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954A8">
        <w:rPr>
          <w:rFonts w:ascii="Arabic Typesetting" w:hAnsi="Arabic Typesetting" w:cs="Arabic Typesetting" w:hint="cs"/>
          <w:noProof/>
          <w:sz w:val="38"/>
          <w:szCs w:val="38"/>
          <w:rtl/>
        </w:rPr>
        <w:t>سياق التخطيط</w:t>
      </w:r>
    </w:p>
    <w:p w:rsidR="00A62820" w:rsidRPr="003F57E0" w:rsidRDefault="00A62820" w:rsidP="00861CFF">
      <w:pPr>
        <w:pStyle w:val="ARNormal"/>
        <w:numPr>
          <w:ilvl w:val="0"/>
          <w:numId w:val="35"/>
        </w:numPr>
        <w:ind w:left="-6" w:firstLine="0"/>
        <w:jc w:val="left"/>
      </w:pPr>
      <w:r w:rsidRPr="003F57E0">
        <w:rPr>
          <w:rtl/>
        </w:rPr>
        <w:t>تبدأ الأمم المتحدة في الثنائية 2016/17 الانتقال من التفاوض إلى التنفيذ لأن عدداً من عمليات التفاوض الرئيسية تتلاقى وتُختتَم في أواخر عام 2015. ومن المتوقع أن تنتهي الدولُ الأعضاء من المفاوضات الخاصة بخطة التنمية لما بعد عام 2015 في قمة الأمم المتحدة في نيويورك في سبتمبر 2015: "إنجاز وتنفيذ خطة إنمائية قادرة على إحداث التغيير في الفترة الموالية لعام 2015". وقبل ذلك، في يوليو 2015، من المتوقع أن تتفق الدول الأعضاء على الوثيقة الختامية للمؤتمر الدولي الثالث لتمويل التنمية (</w:t>
      </w:r>
      <w:proofErr w:type="spellStart"/>
      <w:r w:rsidRPr="003F57E0">
        <w:t>FfD</w:t>
      </w:r>
      <w:proofErr w:type="spellEnd"/>
      <w:r w:rsidRPr="003F57E0">
        <w:rPr>
          <w:rtl/>
        </w:rPr>
        <w:t>). ويرتبط هذا بمناقشات "وسائل التنفيذ" لتحقيق الأهداف الإنمائية المستدامة التي تشمل كلا من التمويل وزيادة الدعم من أجل تكوين الكفاءات الإبداعية والتنمية ونقل التكنولوجيات من أجل التنمية المستدامة. ويرتبط بهذا أيضاً ارتباطاً وثيقاً العملُ على آلية لتسهيل نقل التكنولوجيا، التي تنشأ في الوثيقة الختامية لمؤتمر ريو +20 وعمليات المتابعة اللاحقة. وفي الوقت نفسه، يستمر أيضاً سير المفاوضات سيراً حثيثاً للاتفاق على اتفاقية دولية جديدة بشأن تغير المناخ في إطار اتفاقية الأمم المتحدة الإطارية بشأن تغير المناخ، المقرر اعتمادها في مؤتمر الأطراف الحادي والعشرين للاتفاقية الإطارية في باريس في ديسمبر 2015. وإضافةً إلى ذلك، يتواصل العمل بشأن عدد من عمليات المنظمات الحكومية الدولية الأخرى المهمة للويبو مثل الفجوة الرقمية، والصحة العامة، والأمراض غير المعدية.</w:t>
      </w:r>
    </w:p>
    <w:p w:rsidR="00A62820" w:rsidRPr="003F57E0" w:rsidRDefault="00A62820" w:rsidP="00861CFF">
      <w:pPr>
        <w:pStyle w:val="ARNormal"/>
        <w:numPr>
          <w:ilvl w:val="0"/>
          <w:numId w:val="35"/>
        </w:numPr>
        <w:ind w:left="-6" w:firstLine="0"/>
        <w:jc w:val="left"/>
      </w:pPr>
      <w:r w:rsidRPr="003F57E0">
        <w:rPr>
          <w:rtl/>
        </w:rPr>
        <w:t>ولا تزال التكنولوجيا والابتكار والإبداع والتنمية الثقافية من العناصر المركزية في كل هذه العمليات. وتتطلع الشراكة العالمية لخطة الأمم المتحدة للتنمية لما بعد عام 2015 إلى إقامة تحالفات بين أصحاب المص</w:t>
      </w:r>
      <w:r>
        <w:rPr>
          <w:rFonts w:hint="cs"/>
          <w:rtl/>
        </w:rPr>
        <w:t>ا</w:t>
      </w:r>
      <w:r>
        <w:rPr>
          <w:rtl/>
        </w:rPr>
        <w:t>لح</w:t>
      </w:r>
      <w:r w:rsidRPr="003F57E0">
        <w:rPr>
          <w:rtl/>
        </w:rPr>
        <w:t xml:space="preserve"> المتعددين بشأن القضايا الرئيسية. وستؤدي الويبو دورها كاملاً في تيسير إقامة هذه الشراكات، وستعمل على تعزيز علاقاتها مع الشركاء التقليديين مثل منظمة التجارة العالمية (</w:t>
      </w:r>
      <w:r w:rsidRPr="003F57E0">
        <w:t>WTO</w:t>
      </w:r>
      <w:r w:rsidRPr="003F57E0">
        <w:rPr>
          <w:rtl/>
        </w:rPr>
        <w:t>)، ومنظمة الصحة العالمية (</w:t>
      </w:r>
      <w:r w:rsidRPr="003F57E0">
        <w:t>WHO</w:t>
      </w:r>
      <w:r w:rsidRPr="003F57E0">
        <w:rPr>
          <w:rtl/>
        </w:rPr>
        <w:t>)، ومؤتمر الأمم المتحدة للتجارة والتنمية (الأونكتاد)، وبرنامج الأمم المتحدة للبيئة (</w:t>
      </w:r>
      <w:r w:rsidRPr="003F57E0">
        <w:t>UNEP</w:t>
      </w:r>
      <w:r w:rsidRPr="003F57E0">
        <w:rPr>
          <w:rtl/>
        </w:rPr>
        <w:t>)، ومنظمة الأمم المتحدة للتنمية الصناعية (اليونيدو)، ومنظمة الأمم المتحدة للتربية والعلم والثقافة (اليونسكو)، والاتحاد الدولي للاتصالات (</w:t>
      </w:r>
      <w:r w:rsidRPr="003F57E0">
        <w:t>ITU</w:t>
      </w:r>
      <w:r w:rsidRPr="003F57E0">
        <w:rPr>
          <w:rtl/>
        </w:rPr>
        <w:t>)، واتفاقية الأمم المتحدة الإطارية بشأن تغير المناخ (</w:t>
      </w:r>
      <w:r w:rsidRPr="003F57E0">
        <w:t>UNFCCC</w:t>
      </w:r>
      <w:r w:rsidRPr="003F57E0">
        <w:rPr>
          <w:rtl/>
        </w:rPr>
        <w:t>)، وإدارة الأمم المتحدة للشؤون الاقتصادية والاجتماعية (ديسا)، وكذلك مع لجان الأمم المتحدة الاقتصادية. وسوف يعيد البرنامج 20 أيضاً النظر في كيفية عمل الويبو مع مجموعة كاملة من أصحاب المصالح (المنظمات الحكومية الدولية، والمنظمات غير الحكومية، والقطاع الخاص) على المستويات العالمية والإقليمية والوطنية لضمان زيادة التنسيق والاتساق في تقديم الويبو للمساعدة التقنية المتخصصة. ويجب أن يتم ذلك بطريقة استراتيجية مُركَّزة وأن يفي بولاية الويبو وتوصيات ذات الصلة من توصيات جدول أعمال التنمية (التوصيات 2 و9 و22 و30 و40 و42).</w:t>
      </w:r>
    </w:p>
    <w:p w:rsidR="00A62820" w:rsidRPr="003F57E0" w:rsidRDefault="00A62820" w:rsidP="00861CFF">
      <w:pPr>
        <w:pStyle w:val="ARNormal"/>
        <w:numPr>
          <w:ilvl w:val="0"/>
          <w:numId w:val="35"/>
        </w:numPr>
        <w:ind w:left="-6" w:firstLine="0"/>
        <w:jc w:val="left"/>
      </w:pPr>
      <w:r w:rsidRPr="003F57E0">
        <w:rPr>
          <w:rtl/>
        </w:rPr>
        <w:t>وتسعى الويبو أيضاً إلى المشاركة الاستراتيجية والفعالة مع مجموعة متنوعة من أصحاب المصالح غير الحكوميين – بما في ذلك المنظمات غير الحكومية، والمؤسسات الخاصة، والمجتمع المدني بوجه عام – الذين تساعد رؤاهم وخبرتهم التقنية المتنوعة على إحراز تقدم في تحقيق هذا الهدف. وتستفيد الويبو من المشاركة القوية لمجموعة متنوعة من المنظمات غير الحكومية الدولية والوطنية المعتمدة كمراقبين في اجتماعاتها الرسمية، فضلاً عن مساهماتهم – ومساهمات الدوائر المعنية التي يمثلونها – في برامج الويبو وأحداثها. ويمكن أيضاً لممثلي المؤسسات الخاصة الذين يشاركون مباشرةً في ابتكار المصنفات الإبداعية والابتكارية والانتفاع بها أن يُقدِّموا مساهمةً فريدةً وقيّمةً لعمل الويبو من خلال خبرتهم المباشرة في الانتفاع بالملكية الفكرية في النمو الاقتصادي والتنمية. وستكون زيادة المشاركة الاستراتيجية والفعالة مع جميع أصحاب المصالح غير الحكوميين عنصراً حاسماً في حوار بشأن السياسات يمكن أن يُسهم بحق في استخدام الملكية الفكرية كأداة للتنمية من خلال التعاون الدولي والتعاون مع أصحاب المص</w:t>
      </w:r>
      <w:r>
        <w:rPr>
          <w:rFonts w:hint="cs"/>
          <w:rtl/>
        </w:rPr>
        <w:t>ا</w:t>
      </w:r>
      <w:r>
        <w:rPr>
          <w:rtl/>
        </w:rPr>
        <w:t>لح</w:t>
      </w:r>
      <w:r w:rsidRPr="003F57E0">
        <w:rPr>
          <w:rtl/>
        </w:rPr>
        <w:t xml:space="preserve"> المتعددين.</w:t>
      </w:r>
    </w:p>
    <w:p w:rsidR="00A62820" w:rsidRPr="008954A8" w:rsidRDefault="00A62820" w:rsidP="00DA5475">
      <w:pPr>
        <w:pStyle w:val="ARNormal"/>
        <w:jc w:val="left"/>
        <w:rPr>
          <w:i/>
          <w:rtl/>
        </w:rPr>
      </w:pPr>
    </w:p>
    <w:p w:rsidR="00A62820" w:rsidRPr="00354FC2" w:rsidRDefault="00A62820" w:rsidP="00DA5475">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354FC2">
        <w:rPr>
          <w:rFonts w:ascii="Arabic Typesetting" w:hAnsi="Arabic Typesetting" w:cs="Arabic Typesetting" w:hint="cs"/>
          <w:noProof/>
          <w:sz w:val="38"/>
          <w:szCs w:val="38"/>
          <w:rtl/>
        </w:rPr>
        <w:t>استراتيجيات التنفيذ</w:t>
      </w:r>
    </w:p>
    <w:p w:rsidR="00A62820" w:rsidRPr="008954A8" w:rsidRDefault="00A62820" w:rsidP="00861CFF">
      <w:pPr>
        <w:pStyle w:val="ARNormal"/>
        <w:numPr>
          <w:ilvl w:val="0"/>
          <w:numId w:val="35"/>
        </w:numPr>
        <w:ind w:left="-6" w:firstLine="0"/>
        <w:jc w:val="left"/>
      </w:pPr>
      <w:r w:rsidRPr="000C43D1">
        <w:rPr>
          <w:rtl/>
        </w:rPr>
        <w:t xml:space="preserve">يتمثل الدور الأساسي للبرنامج 20 في التنسيق والمشاركة والرصد والإبلاغ بهدف ضمان توافق مساهمات الويبو في هذه العمليات مع ولاية المنظمة، والتركيز على المواضع التي يمكن أن تحقق فيها خبرتنا المتخصصة أفضل قيمة مضافة. وتتناول استراتيجيات </w:t>
      </w:r>
      <w:r w:rsidRPr="000C43D1">
        <w:rPr>
          <w:rtl/>
        </w:rPr>
        <w:lastRenderedPageBreak/>
        <w:t xml:space="preserve">التنفيذ في الثنائية 2016/17 هذه الأهداف، وإضافةً إلى ذلك سوف يتحول التركيز إلى الطرائق التي يمكن بها للويبو أن تقدم أفضل دعم لتنفيذ </w:t>
      </w:r>
      <w:r>
        <w:rPr>
          <w:rFonts w:hint="cs"/>
          <w:rtl/>
        </w:rPr>
        <w:t>خطة</w:t>
      </w:r>
      <w:r w:rsidRPr="000C43D1">
        <w:rPr>
          <w:rtl/>
        </w:rPr>
        <w:t xml:space="preserve"> التنمية لما بعد عام 2015. وتشمل هذه الطرائق ما يلي:</w:t>
      </w:r>
    </w:p>
    <w:p w:rsidR="00A62820" w:rsidRPr="008954A8" w:rsidRDefault="00A62820" w:rsidP="00861CFF">
      <w:pPr>
        <w:pStyle w:val="ARNormal"/>
        <w:numPr>
          <w:ilvl w:val="0"/>
          <w:numId w:val="33"/>
        </w:numPr>
        <w:jc w:val="left"/>
        <w:rPr>
          <w:rtl/>
        </w:rPr>
      </w:pPr>
      <w:r>
        <w:rPr>
          <w:rtl/>
        </w:rPr>
        <w:t>زيادة تعزيز الشراكات القائمة و</w:t>
      </w:r>
      <w:r>
        <w:rPr>
          <w:rFonts w:hint="cs"/>
          <w:rtl/>
        </w:rPr>
        <w:t>إ</w:t>
      </w:r>
      <w:r w:rsidRPr="000C43D1">
        <w:rPr>
          <w:rtl/>
        </w:rPr>
        <w:t xml:space="preserve">قامة شراكات جديدة ومبتكرة مع أصحاب </w:t>
      </w:r>
      <w:r>
        <w:rPr>
          <w:rFonts w:hint="cs"/>
          <w:rtl/>
        </w:rPr>
        <w:t>المصالح</w:t>
      </w:r>
      <w:r w:rsidRPr="000C43D1">
        <w:rPr>
          <w:rtl/>
        </w:rPr>
        <w:t xml:space="preserve"> المتعددين، وتكوين تحالفات وائتلافات قائمة على المسائل لدعم التنمية المستدامة وتنفيذ </w:t>
      </w:r>
      <w:r>
        <w:rPr>
          <w:rFonts w:hint="cs"/>
          <w:rtl/>
        </w:rPr>
        <w:t>خطة</w:t>
      </w:r>
      <w:r w:rsidRPr="000C43D1">
        <w:rPr>
          <w:rtl/>
        </w:rPr>
        <w:t xml:space="preserve"> التنمية لما بعد عام 2015.</w:t>
      </w:r>
    </w:p>
    <w:p w:rsidR="00A62820" w:rsidRPr="008954A8" w:rsidRDefault="00A62820" w:rsidP="00861CFF">
      <w:pPr>
        <w:pStyle w:val="ARNormal"/>
        <w:numPr>
          <w:ilvl w:val="0"/>
          <w:numId w:val="34"/>
        </w:numPr>
        <w:jc w:val="left"/>
        <w:rPr>
          <w:rtl/>
        </w:rPr>
      </w:pPr>
      <w:r>
        <w:rPr>
          <w:rFonts w:hint="cs"/>
          <w:rtl/>
        </w:rPr>
        <w:t>و</w:t>
      </w:r>
      <w:r w:rsidRPr="000C43D1">
        <w:rPr>
          <w:rtl/>
        </w:rPr>
        <w:t xml:space="preserve">التعاون الوثيق مع </w:t>
      </w:r>
      <w:r>
        <w:rPr>
          <w:rFonts w:hint="cs"/>
          <w:rtl/>
        </w:rPr>
        <w:t>ال</w:t>
      </w:r>
      <w:r w:rsidRPr="000C43D1">
        <w:rPr>
          <w:rtl/>
        </w:rPr>
        <w:t xml:space="preserve">برامج </w:t>
      </w:r>
      <w:r>
        <w:rPr>
          <w:rFonts w:hint="cs"/>
          <w:rtl/>
        </w:rPr>
        <w:t>ال</w:t>
      </w:r>
      <w:r w:rsidRPr="000C43D1">
        <w:rPr>
          <w:rtl/>
        </w:rPr>
        <w:t>أخرى (انظر الرسم البياني أدناه) لتعزيز دمج خبرات الويبو في التعاون والتعاضد على المستويات العالمية والإقليمية والوطنية، والعمل بشكل أوثق مع منظمات الأمم المتحدة الشقيقة، ومنها منظمات الأمم المتحدة الاقتصادية الإقليمية، والمصارف الإنمائية الإقليمية، وأفرقة الأمم المتحدة القطرية.</w:t>
      </w:r>
    </w:p>
    <w:p w:rsidR="00A62820" w:rsidRPr="008954A8" w:rsidRDefault="00A62820" w:rsidP="00861CFF">
      <w:pPr>
        <w:pStyle w:val="ARNormal"/>
        <w:numPr>
          <w:ilvl w:val="0"/>
          <w:numId w:val="34"/>
        </w:numPr>
        <w:jc w:val="left"/>
        <w:rPr>
          <w:rtl/>
        </w:rPr>
      </w:pPr>
      <w:r>
        <w:rPr>
          <w:rFonts w:hint="cs"/>
          <w:rtl/>
        </w:rPr>
        <w:t>و</w:t>
      </w:r>
      <w:r w:rsidRPr="000C43D1">
        <w:rPr>
          <w:rtl/>
        </w:rPr>
        <w:t>تحسين نوعية مساهمات الويبو في آليات الرصد والمراجعة والمساءلة الخاصة ب</w:t>
      </w:r>
      <w:r>
        <w:rPr>
          <w:rFonts w:hint="cs"/>
          <w:rtl/>
        </w:rPr>
        <w:t xml:space="preserve">خطة </w:t>
      </w:r>
      <w:r w:rsidRPr="000C43D1">
        <w:rPr>
          <w:rtl/>
        </w:rPr>
        <w:t>التنمية لما بعد عام 2015.</w:t>
      </w:r>
    </w:p>
    <w:p w:rsidR="00A62820" w:rsidRPr="008954A8" w:rsidRDefault="00A62820" w:rsidP="00861CFF">
      <w:pPr>
        <w:pStyle w:val="ARNormal"/>
        <w:numPr>
          <w:ilvl w:val="0"/>
          <w:numId w:val="34"/>
        </w:numPr>
        <w:jc w:val="left"/>
        <w:rPr>
          <w:rtl/>
        </w:rPr>
      </w:pPr>
      <w:r w:rsidRPr="000C43D1">
        <w:rPr>
          <w:rtl/>
        </w:rPr>
        <w:t>وتقديم الدعم لمسار اتفاقية الأمم المتحدة الإطارية بشأن تغير المناخ، لا سيما الآلية التكنولوجية للاتفاقية الإطارية، بما في ذلك التعاون العملي بين مبادرة ويبو غرين (</w:t>
      </w:r>
      <w:r w:rsidRPr="000C43D1">
        <w:t>WIPO GREEN</w:t>
      </w:r>
      <w:r w:rsidRPr="000C43D1">
        <w:rPr>
          <w:rtl/>
        </w:rPr>
        <w:t>) ومركز وشبكة تكنولوجيا المناخ (</w:t>
      </w:r>
      <w:r w:rsidRPr="000C43D1">
        <w:t>CTCN</w:t>
      </w:r>
      <w:r w:rsidRPr="000C43D1">
        <w:rPr>
          <w:rtl/>
        </w:rPr>
        <w:t>).</w:t>
      </w:r>
    </w:p>
    <w:p w:rsidR="00A62820" w:rsidRPr="008954A8" w:rsidRDefault="00A62820" w:rsidP="00861CFF">
      <w:pPr>
        <w:pStyle w:val="ARNormal"/>
        <w:numPr>
          <w:ilvl w:val="0"/>
          <w:numId w:val="34"/>
        </w:numPr>
        <w:jc w:val="left"/>
        <w:rPr>
          <w:rtl/>
        </w:rPr>
      </w:pPr>
      <w:r w:rsidRPr="000C43D1">
        <w:rPr>
          <w:rtl/>
        </w:rPr>
        <w:t>واستمرار المشاركة في العمل الثلاثي المشترك بين الويبو ومنظمة التجارة العالمية ومنظمة الصحة العالمية بشأن الصحة العامة، وآلية التنسيق العالمي بشأن الأمراض غير المعدية، والقمة العالمية لمجتمع المعلومات (</w:t>
      </w:r>
      <w:r w:rsidRPr="000C43D1">
        <w:t>WSIS+10</w:t>
      </w:r>
      <w:r w:rsidRPr="000C43D1">
        <w:rPr>
          <w:rtl/>
        </w:rPr>
        <w:t>)، ومنتدى إدارة الإنترنت بشأن الفجوة الرقمية.</w:t>
      </w:r>
    </w:p>
    <w:p w:rsidR="00A62820" w:rsidRPr="008954A8" w:rsidRDefault="00A62820" w:rsidP="00861CFF">
      <w:pPr>
        <w:pStyle w:val="ARNormal"/>
        <w:numPr>
          <w:ilvl w:val="0"/>
          <w:numId w:val="33"/>
        </w:numPr>
        <w:jc w:val="left"/>
        <w:rPr>
          <w:rtl/>
        </w:rPr>
      </w:pPr>
      <w:r w:rsidRPr="000C43D1">
        <w:rPr>
          <w:rtl/>
        </w:rPr>
        <w:t>وتعزيز خبرات الويبو ومشاريعها وبرامجها وأدواتها مع الأمم المتحدة وغيرها من المنظمات الحكومية الدولية لتحقيق قدر أكبر من الوعي بخدمات الويبو والاعتراف بها والانتفاع بها.</w:t>
      </w:r>
    </w:p>
    <w:p w:rsidR="00A62820" w:rsidRDefault="00A62820" w:rsidP="00861CFF">
      <w:pPr>
        <w:pStyle w:val="ARNormal"/>
        <w:numPr>
          <w:ilvl w:val="0"/>
          <w:numId w:val="33"/>
        </w:numPr>
        <w:jc w:val="left"/>
      </w:pPr>
      <w:r w:rsidRPr="0059760E">
        <w:rPr>
          <w:sz w:val="36"/>
          <w:szCs w:val="36"/>
          <w:rtl/>
        </w:rPr>
        <w:t xml:space="preserve">وتعزيز جهود توعية </w:t>
      </w:r>
      <w:r>
        <w:rPr>
          <w:rFonts w:hint="cs"/>
          <w:sz w:val="36"/>
          <w:szCs w:val="36"/>
          <w:rtl/>
        </w:rPr>
        <w:t>المانحين</w:t>
      </w:r>
      <w:r w:rsidRPr="0059760E">
        <w:rPr>
          <w:sz w:val="36"/>
          <w:szCs w:val="36"/>
          <w:rtl/>
        </w:rPr>
        <w:t xml:space="preserve"> والشركاء الذين يقدمون الدعم للدول الأعضاء في الويبو وبرامج الويبو الأخرى لزيادة الشراكات وتعبئة الموارد من أجل مشاريع الملكية الفكرية.</w:t>
      </w:r>
    </w:p>
    <w:p w:rsidR="00A62820" w:rsidRDefault="00A62820" w:rsidP="00861CFF">
      <w:pPr>
        <w:pStyle w:val="ARNormal"/>
        <w:numPr>
          <w:ilvl w:val="0"/>
          <w:numId w:val="33"/>
        </w:numPr>
        <w:jc w:val="left"/>
      </w:pPr>
      <w:r w:rsidRPr="0059760E">
        <w:rPr>
          <w:rtl/>
        </w:rPr>
        <w:t xml:space="preserve">ومواصلة وضع ترتيبات مؤسسية وإقامة شراكات عملية مع </w:t>
      </w:r>
      <w:r>
        <w:rPr>
          <w:rFonts w:hint="cs"/>
          <w:rtl/>
        </w:rPr>
        <w:t xml:space="preserve">أصحاب المصالح </w:t>
      </w:r>
      <w:r w:rsidRPr="0059760E">
        <w:rPr>
          <w:rtl/>
        </w:rPr>
        <w:t>غير الحكومي</w:t>
      </w:r>
      <w:r>
        <w:rPr>
          <w:rFonts w:hint="cs"/>
          <w:rtl/>
        </w:rPr>
        <w:t>ين</w:t>
      </w:r>
      <w:r w:rsidRPr="0059760E">
        <w:rPr>
          <w:rtl/>
        </w:rPr>
        <w:t xml:space="preserve"> للاستفادة من قدرات</w:t>
      </w:r>
      <w:r>
        <w:rPr>
          <w:rFonts w:hint="cs"/>
          <w:rtl/>
        </w:rPr>
        <w:t>هم</w:t>
      </w:r>
      <w:r w:rsidRPr="0059760E">
        <w:rPr>
          <w:rtl/>
        </w:rPr>
        <w:t xml:space="preserve"> وخبرات</w:t>
      </w:r>
      <w:r>
        <w:rPr>
          <w:rFonts w:hint="cs"/>
          <w:rtl/>
        </w:rPr>
        <w:t>هم</w:t>
      </w:r>
      <w:r w:rsidRPr="0059760E">
        <w:rPr>
          <w:rtl/>
        </w:rPr>
        <w:t xml:space="preserve"> في إحراز تقدم في تحقيق أهداف الويبو، وكذلك لتعزيز مشاركته</w:t>
      </w:r>
      <w:r>
        <w:rPr>
          <w:rFonts w:hint="cs"/>
          <w:rtl/>
        </w:rPr>
        <w:t>م</w:t>
      </w:r>
      <w:r w:rsidRPr="0059760E">
        <w:rPr>
          <w:rtl/>
        </w:rPr>
        <w:t xml:space="preserve"> الفعالة في أنشطة الويبو</w:t>
      </w:r>
      <w:r>
        <w:rPr>
          <w:rFonts w:hint="cs"/>
          <w:rtl/>
        </w:rPr>
        <w:t xml:space="preserve">، وذلك </w:t>
      </w:r>
      <w:r w:rsidRPr="0059760E">
        <w:rPr>
          <w:rtl/>
        </w:rPr>
        <w:t>بالتنسيق مع البرامج الأخرى.</w:t>
      </w:r>
    </w:p>
    <w:p w:rsidR="00A62820" w:rsidRPr="008C13CE" w:rsidRDefault="00A62820" w:rsidP="00DA5475">
      <w:pPr>
        <w:pStyle w:val="ARNormal"/>
        <w:keepNext/>
        <w:rPr>
          <w:u w:val="single"/>
          <w:rtl/>
        </w:rPr>
      </w:pPr>
      <w:r w:rsidRPr="008C13CE">
        <w:rPr>
          <w:u w:val="single"/>
          <w:rtl/>
        </w:rPr>
        <w:t>مكتب الويبو للتنسيق مع الأمم المتحدة في نيويورك</w:t>
      </w:r>
    </w:p>
    <w:p w:rsidR="00A62820" w:rsidRDefault="00A62820" w:rsidP="001B73F9">
      <w:pPr>
        <w:pStyle w:val="ARNormal"/>
        <w:numPr>
          <w:ilvl w:val="0"/>
          <w:numId w:val="35"/>
        </w:numPr>
        <w:tabs>
          <w:tab w:val="left" w:pos="354"/>
        </w:tabs>
        <w:ind w:left="-6" w:firstLine="0"/>
        <w:jc w:val="left"/>
      </w:pPr>
      <w:r w:rsidRPr="008C13CE">
        <w:rPr>
          <w:rtl/>
        </w:rPr>
        <w:t xml:space="preserve">يقوم مكتب الويبو في نيويورك بالتنسيق بين مقر الويبو </w:t>
      </w:r>
      <w:r>
        <w:rPr>
          <w:rFonts w:hint="cs"/>
          <w:rtl/>
        </w:rPr>
        <w:t xml:space="preserve">الرئيسي </w:t>
      </w:r>
      <w:r w:rsidRPr="008C13CE">
        <w:rPr>
          <w:rtl/>
        </w:rPr>
        <w:t xml:space="preserve">في جنيف والأمم المتحدة، وأصحاب المصالح في نيويورك. ويشارك مكتب الويبو في نيويورك في مجموعة متنوعة من المسارات التي تقودها المنظمات الحكومية الدولية والمجتمع المدني في نيويورك، من أجل </w:t>
      </w:r>
      <w:r w:rsidRPr="008C13CE">
        <w:rPr>
          <w:rFonts w:hint="cs"/>
          <w:rtl/>
        </w:rPr>
        <w:t xml:space="preserve">كل من </w:t>
      </w:r>
      <w:r w:rsidRPr="008C13CE">
        <w:rPr>
          <w:rtl/>
        </w:rPr>
        <w:t xml:space="preserve">المساهمة في نقاش متوازن بشأن قضايا الملكية الفكرية، وتوفير معلومات وتحليلات عن قضايا الملكية الفكرية للأوساط الدبلوماسية ومنظمات منظومة الأمم المتحدة. وبالتعاون الوثيق مع شتى برامج الويبو، يشارك المكتب في توعية الأوساط الدبلوماسية التابعة للأمم المتحدة وإحاطتها بالمعلومات من أجل فهم أكبر لعمل الويبو، ويُروِّج لمعاهدات الويبو وعملياتها وخدماتها ومنصاتها، ويُقدِّم تقارير ومذكرات عن المنتديات التي تُعقد في نيويورك. </w:t>
      </w:r>
      <w:r w:rsidR="001B73F9">
        <w:rPr>
          <w:rFonts w:hint="cs"/>
          <w:rtl/>
        </w:rPr>
        <w:t>وإذ قرّرت الأمانة توسيع النموذج التشغيلي الحالي لمكتب الويبو التنسيقي لدى الأمم المتحدة في نيويورك ليشمل الثنائية 2016/17، فإنها ستواصل البحث عن المزيد من الفعالية في تشغيله.</w:t>
      </w:r>
    </w:p>
    <w:p w:rsidR="00A62820" w:rsidRDefault="00A62820">
      <w:pPr>
        <w:bidi w:val="0"/>
        <w:rPr>
          <w:rFonts w:ascii="Arabic Typesetting" w:hAnsi="Arabic Typesetting" w:cs="Arabic Typesetting"/>
          <w:sz w:val="34"/>
          <w:szCs w:val="34"/>
          <w:rtl/>
        </w:rPr>
      </w:pPr>
      <w:r>
        <w:rPr>
          <w:rtl/>
        </w:rPr>
        <w:br w:type="page"/>
      </w:r>
    </w:p>
    <w:p w:rsidR="00A62820" w:rsidRPr="008954A8" w:rsidRDefault="00A62820" w:rsidP="00DA5475">
      <w:pPr>
        <w:pStyle w:val="ARNormal"/>
        <w:jc w:val="left"/>
      </w:pPr>
      <w:r w:rsidRPr="009047FE">
        <w:rPr>
          <w:rFonts w:ascii="Arial" w:eastAsia="Calibri" w:hAnsi="Arial" w:cs="Arial"/>
          <w:noProof/>
          <w:sz w:val="22"/>
          <w:szCs w:val="22"/>
          <w:lang w:val="en-US"/>
        </w:rPr>
        <w:lastRenderedPageBreak/>
        <w:drawing>
          <wp:anchor distT="0" distB="0" distL="114300" distR="114300" simplePos="0" relativeHeight="251672576" behindDoc="0" locked="0" layoutInCell="1" allowOverlap="1" wp14:anchorId="6F7DFE66" wp14:editId="4F958C8F">
            <wp:simplePos x="0" y="0"/>
            <wp:positionH relativeFrom="column">
              <wp:posOffset>180340</wp:posOffset>
            </wp:positionH>
            <wp:positionV relativeFrom="paragraph">
              <wp:posOffset>310515</wp:posOffset>
            </wp:positionV>
            <wp:extent cx="5759450" cy="2620010"/>
            <wp:effectExtent l="0" t="19050" r="0" b="0"/>
            <wp:wrapTopAndBottom/>
            <wp:docPr id="293" name="Diagram 2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2" r:lo="rId193" r:qs="rId194" r:cs="rId195"/>
              </a:graphicData>
            </a:graphic>
            <wp14:sizeRelH relativeFrom="page">
              <wp14:pctWidth>0</wp14:pctWidth>
            </wp14:sizeRelH>
            <wp14:sizeRelV relativeFrom="page">
              <wp14:pctHeight>0</wp14:pctHeight>
            </wp14:sizeRelV>
          </wp:anchor>
        </w:drawing>
      </w:r>
    </w:p>
    <w:p w:rsidR="00A62820" w:rsidRPr="008954A8" w:rsidRDefault="00A62820" w:rsidP="00DA5475">
      <w:pPr>
        <w:pStyle w:val="ARProgramHeading2"/>
        <w:rPr>
          <w:rtl/>
        </w:rPr>
      </w:pPr>
      <w:r w:rsidRPr="008954A8">
        <w:rPr>
          <w:rFonts w:hint="cs"/>
          <w:rtl/>
        </w:rPr>
        <w:t xml:space="preserve">المخاطر الرئيسية واستراتيجيات </w:t>
      </w:r>
      <w:r>
        <w:rPr>
          <w:rFonts w:hint="cs"/>
          <w:rtl/>
        </w:rPr>
        <w:t>التخفيف منها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A62820" w:rsidRPr="008954A8" w:rsidTr="00A62820">
        <w:trPr>
          <w:tblHeader/>
        </w:trPr>
        <w:tc>
          <w:tcPr>
            <w:tcW w:w="4784" w:type="dxa"/>
            <w:tcBorders>
              <w:bottom w:val="single" w:sz="4" w:space="0" w:color="auto"/>
              <w:right w:val="nil"/>
            </w:tcBorders>
            <w:shd w:val="clear" w:color="auto" w:fill="C6D9F1"/>
          </w:tcPr>
          <w:p w:rsidR="00A62820" w:rsidRPr="008954A8" w:rsidRDefault="00A62820" w:rsidP="00DA5475">
            <w:pPr>
              <w:pStyle w:val="ARProgramTableHeading"/>
              <w:keepNext/>
              <w:spacing w:line="300" w:lineRule="exact"/>
              <w:rPr>
                <w:rtl/>
                <w:lang w:bidi="ar-SA"/>
              </w:rPr>
            </w:pPr>
            <w:r>
              <w:rPr>
                <w:rFonts w:hint="cs"/>
                <w:rtl/>
                <w:lang w:bidi="ar-SA"/>
              </w:rPr>
              <w:t>المخاطر</w:t>
            </w:r>
          </w:p>
        </w:tc>
        <w:tc>
          <w:tcPr>
            <w:tcW w:w="4786" w:type="dxa"/>
            <w:tcBorders>
              <w:left w:val="nil"/>
              <w:bottom w:val="single" w:sz="4" w:space="0" w:color="auto"/>
            </w:tcBorders>
            <w:shd w:val="clear" w:color="auto" w:fill="C6D9F1"/>
          </w:tcPr>
          <w:p w:rsidR="00A62820" w:rsidRPr="008954A8" w:rsidRDefault="00A62820" w:rsidP="00DA5475">
            <w:pPr>
              <w:pStyle w:val="ARProgramTableHeading"/>
              <w:keepNext/>
              <w:spacing w:line="300" w:lineRule="exact"/>
              <w:rPr>
                <w:rtl/>
              </w:rPr>
            </w:pPr>
            <w:r>
              <w:rPr>
                <w:rFonts w:hint="cs"/>
                <w:rtl/>
              </w:rPr>
              <w:t>التخفيف منها</w:t>
            </w:r>
          </w:p>
        </w:tc>
      </w:tr>
      <w:tr w:rsidR="00A62820" w:rsidRPr="008954A8" w:rsidTr="00A62820">
        <w:tc>
          <w:tcPr>
            <w:tcW w:w="4784" w:type="dxa"/>
            <w:tcBorders>
              <w:top w:val="single" w:sz="4" w:space="0" w:color="auto"/>
              <w:left w:val="single" w:sz="4" w:space="0" w:color="auto"/>
              <w:bottom w:val="single" w:sz="4" w:space="0" w:color="auto"/>
              <w:right w:val="nil"/>
            </w:tcBorders>
          </w:tcPr>
          <w:p w:rsidR="00A62820" w:rsidRPr="008954A8" w:rsidRDefault="00A62820" w:rsidP="00DA5475">
            <w:pPr>
              <w:pStyle w:val="ARProgramTableText"/>
              <w:spacing w:line="300" w:lineRule="exact"/>
              <w:rPr>
                <w:rtl/>
                <w:lang w:val="fr-CH" w:bidi="ar-SA"/>
              </w:rPr>
            </w:pPr>
            <w:r w:rsidRPr="009047FE">
              <w:rPr>
                <w:rtl/>
                <w:lang w:val="fr-CH" w:bidi="ar-SA"/>
              </w:rPr>
              <w:t>تضرر نظام ا</w:t>
            </w:r>
            <w:r>
              <w:rPr>
                <w:rtl/>
                <w:lang w:val="fr-CH" w:bidi="ar-SA"/>
              </w:rPr>
              <w:t>لملكية الفكرية الدولي بالقرارات</w:t>
            </w:r>
            <w:r w:rsidRPr="009047FE">
              <w:rPr>
                <w:rtl/>
                <w:lang w:val="fr-CH" w:bidi="ar-SA"/>
              </w:rPr>
              <w:t xml:space="preserve"> </w:t>
            </w:r>
            <w:r>
              <w:rPr>
                <w:rFonts w:hint="cs"/>
                <w:rtl/>
                <w:lang w:val="fr-CH" w:bidi="ar-SA"/>
              </w:rPr>
              <w:t>و</w:t>
            </w:r>
            <w:r w:rsidRPr="009047FE">
              <w:rPr>
                <w:rtl/>
                <w:lang w:val="fr-CH" w:bidi="ar-SA"/>
              </w:rPr>
              <w:t>الإجراءات المتخذة على الصعيد الدولي داخل الأمم المتحدة والعمليات الحكومية الدولية الأخرى.</w:t>
            </w:r>
          </w:p>
        </w:tc>
        <w:tc>
          <w:tcPr>
            <w:tcW w:w="4786" w:type="dxa"/>
            <w:tcBorders>
              <w:top w:val="single" w:sz="4" w:space="0" w:color="auto"/>
              <w:left w:val="nil"/>
              <w:bottom w:val="single" w:sz="4" w:space="0" w:color="auto"/>
              <w:right w:val="single" w:sz="4" w:space="0" w:color="auto"/>
            </w:tcBorders>
          </w:tcPr>
          <w:p w:rsidR="00A62820" w:rsidRDefault="00A62820" w:rsidP="00DA5475">
            <w:pPr>
              <w:pStyle w:val="ARProgramTableText"/>
              <w:spacing w:line="300" w:lineRule="exact"/>
              <w:rPr>
                <w:rtl/>
                <w:lang w:bidi="ar-SA"/>
              </w:rPr>
            </w:pPr>
            <w:r w:rsidRPr="009047FE">
              <w:rPr>
                <w:rtl/>
                <w:lang w:bidi="ar-SA"/>
              </w:rPr>
              <w:t>المشاركة الفعالة في عمليات الأمم المتحدة الرئيسية وضمان وجود شبكة فعالة من الاتصالات داخل أمانة الأمم المتحدة وبعثات الأمم المتحدة الدائمة.</w:t>
            </w:r>
          </w:p>
          <w:p w:rsidR="00A62820" w:rsidRPr="008954A8" w:rsidRDefault="00A62820" w:rsidP="00DA5475">
            <w:pPr>
              <w:pStyle w:val="ARProgramTableText"/>
              <w:spacing w:line="300" w:lineRule="exact"/>
              <w:rPr>
                <w:rtl/>
                <w:lang w:bidi="ar-SA"/>
              </w:rPr>
            </w:pPr>
            <w:r w:rsidRPr="009047FE">
              <w:rPr>
                <w:rtl/>
                <w:lang w:bidi="ar-SA"/>
              </w:rPr>
              <w:t>دعم رؤية متوازنة وشاملة للملكية الفكرية من خلال إفساح المجال لجميع أصحاب المصالح في الويبو (المنظمات غير الحكومية والشركات) ليكون لهم ضلع في عمل الويبو.</w:t>
            </w:r>
          </w:p>
        </w:tc>
      </w:tr>
    </w:tbl>
    <w:p w:rsidR="00A62820" w:rsidRDefault="00A62820" w:rsidP="00DA5475">
      <w:pPr>
        <w:pStyle w:val="ARNormal"/>
        <w:rPr>
          <w:rtl/>
        </w:rPr>
      </w:pPr>
    </w:p>
    <w:p w:rsidR="00A62820" w:rsidRPr="003C3AE3" w:rsidRDefault="00A62820" w:rsidP="00DA5475">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3C3AE3">
        <w:rPr>
          <w:rFonts w:ascii="Arabic Typesetting" w:hAnsi="Arabic Typesetting" w:cs="Arabic Typesetting" w:hint="cs"/>
          <w:noProof/>
          <w:sz w:val="38"/>
          <w:szCs w:val="38"/>
          <w:rtl/>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3111"/>
        <w:gridCol w:w="1863"/>
        <w:gridCol w:w="1667"/>
      </w:tblGrid>
      <w:tr w:rsidR="00A62820" w:rsidRPr="008954A8" w:rsidTr="00DA5475">
        <w:trPr>
          <w:tblHeader/>
        </w:trPr>
        <w:tc>
          <w:tcPr>
            <w:tcW w:w="2929" w:type="dxa"/>
            <w:tcBorders>
              <w:bottom w:val="single" w:sz="4" w:space="0" w:color="auto"/>
              <w:right w:val="nil"/>
            </w:tcBorders>
            <w:shd w:val="clear" w:color="auto" w:fill="C6D9F1"/>
          </w:tcPr>
          <w:p w:rsidR="00A62820" w:rsidRPr="008954A8" w:rsidRDefault="00A62820" w:rsidP="00DA5475">
            <w:pPr>
              <w:pStyle w:val="ARProgramTableHeading"/>
              <w:keepNext/>
              <w:spacing w:line="300" w:lineRule="exact"/>
              <w:rPr>
                <w:rtl/>
                <w:lang w:bidi="ar-SA"/>
              </w:rPr>
            </w:pPr>
            <w:r w:rsidRPr="008954A8">
              <w:rPr>
                <w:rFonts w:hint="cs"/>
                <w:rtl/>
                <w:lang w:bidi="ar-SA"/>
              </w:rPr>
              <w:t>النتائج المرتقبة</w:t>
            </w:r>
          </w:p>
        </w:tc>
        <w:tc>
          <w:tcPr>
            <w:tcW w:w="3111" w:type="dxa"/>
            <w:tcBorders>
              <w:left w:val="nil"/>
              <w:bottom w:val="single" w:sz="4" w:space="0" w:color="auto"/>
              <w:right w:val="nil"/>
            </w:tcBorders>
            <w:shd w:val="clear" w:color="auto" w:fill="C6D9F1"/>
          </w:tcPr>
          <w:p w:rsidR="00A62820" w:rsidRPr="008954A8" w:rsidRDefault="00A62820" w:rsidP="00DA5475">
            <w:pPr>
              <w:pStyle w:val="ARProgramTableHeading"/>
              <w:keepNext/>
              <w:spacing w:line="300" w:lineRule="exact"/>
              <w:rPr>
                <w:rtl/>
                <w:lang w:bidi="ar-SA"/>
              </w:rPr>
            </w:pPr>
            <w:r w:rsidRPr="008954A8">
              <w:rPr>
                <w:rFonts w:hint="cs"/>
                <w:rtl/>
                <w:lang w:bidi="ar-SA"/>
              </w:rPr>
              <w:t>مؤشرات الأداء</w:t>
            </w:r>
          </w:p>
        </w:tc>
        <w:tc>
          <w:tcPr>
            <w:tcW w:w="1863" w:type="dxa"/>
            <w:tcBorders>
              <w:left w:val="nil"/>
              <w:bottom w:val="single" w:sz="4" w:space="0" w:color="auto"/>
              <w:right w:val="nil"/>
            </w:tcBorders>
            <w:shd w:val="clear" w:color="auto" w:fill="C6D9F1"/>
          </w:tcPr>
          <w:p w:rsidR="00A62820" w:rsidRPr="008954A8" w:rsidRDefault="00A62820" w:rsidP="00DA5475">
            <w:pPr>
              <w:pStyle w:val="ARProgramTableHeading"/>
              <w:keepNext/>
              <w:spacing w:line="300" w:lineRule="exact"/>
              <w:rPr>
                <w:rtl/>
                <w:lang w:bidi="ar-SA"/>
              </w:rPr>
            </w:pPr>
            <w:r w:rsidRPr="008954A8">
              <w:rPr>
                <w:rFonts w:hint="cs"/>
                <w:rtl/>
                <w:lang w:bidi="ar-SA"/>
              </w:rPr>
              <w:t>أسس المقارنة</w:t>
            </w:r>
          </w:p>
        </w:tc>
        <w:tc>
          <w:tcPr>
            <w:tcW w:w="1667" w:type="dxa"/>
            <w:tcBorders>
              <w:left w:val="nil"/>
              <w:bottom w:val="single" w:sz="4" w:space="0" w:color="auto"/>
            </w:tcBorders>
            <w:shd w:val="clear" w:color="auto" w:fill="C6D9F1"/>
          </w:tcPr>
          <w:p w:rsidR="00A62820" w:rsidRPr="008954A8" w:rsidRDefault="00A62820" w:rsidP="00DA5475">
            <w:pPr>
              <w:pStyle w:val="ARProgramTableHeading"/>
              <w:keepNext/>
              <w:spacing w:line="300" w:lineRule="exact"/>
              <w:rPr>
                <w:rtl/>
                <w:lang w:bidi="ar-SA"/>
              </w:rPr>
            </w:pPr>
            <w:r w:rsidRPr="008954A8">
              <w:rPr>
                <w:rFonts w:hint="cs"/>
                <w:rtl/>
                <w:lang w:bidi="ar-SA"/>
              </w:rPr>
              <w:t>الأهداف</w:t>
            </w:r>
          </w:p>
        </w:tc>
      </w:tr>
      <w:tr w:rsidR="00A62820" w:rsidRPr="008954A8" w:rsidTr="00A62820">
        <w:tc>
          <w:tcPr>
            <w:tcW w:w="2929" w:type="dxa"/>
            <w:tcBorders>
              <w:top w:val="single" w:sz="4" w:space="0" w:color="auto"/>
              <w:left w:val="single" w:sz="4" w:space="0" w:color="auto"/>
              <w:bottom w:val="nil"/>
              <w:right w:val="nil"/>
            </w:tcBorders>
          </w:tcPr>
          <w:p w:rsidR="00A62820" w:rsidRPr="003A39AB" w:rsidRDefault="009800D4" w:rsidP="00DA5475">
            <w:pPr>
              <w:pStyle w:val="ARNormal"/>
              <w:keepNext/>
              <w:spacing w:before="60" w:after="60" w:line="300" w:lineRule="exact"/>
              <w:jc w:val="left"/>
              <w:rPr>
                <w:sz w:val="30"/>
                <w:szCs w:val="30"/>
                <w:rtl/>
              </w:rPr>
            </w:pPr>
            <w:r>
              <w:rPr>
                <w:sz w:val="30"/>
                <w:szCs w:val="30"/>
                <w:rtl/>
              </w:rPr>
              <w:t>ه</w:t>
            </w:r>
            <w:r w:rsidR="00A62820" w:rsidRPr="00FD5FE0">
              <w:rPr>
                <w:rFonts w:hint="cs"/>
                <w:sz w:val="30"/>
                <w:szCs w:val="30"/>
                <w:rtl/>
              </w:rPr>
              <w:t xml:space="preserve"> </w:t>
            </w:r>
            <w:r w:rsidR="00A62820" w:rsidRPr="00FD5FE0">
              <w:rPr>
                <w:sz w:val="30"/>
                <w:szCs w:val="30"/>
                <w:rtl/>
              </w:rPr>
              <w:t>5.8 تفاعل الويبو وتشاركها بفعالية مع مسارات ومفاوضات الأمم المتحدة وسائر المنظمات الحكومية الدولية</w:t>
            </w:r>
          </w:p>
        </w:tc>
        <w:tc>
          <w:tcPr>
            <w:tcW w:w="3111" w:type="dxa"/>
            <w:tcBorders>
              <w:top w:val="single" w:sz="4" w:space="0" w:color="auto"/>
              <w:left w:val="nil"/>
              <w:bottom w:val="nil"/>
              <w:right w:val="nil"/>
            </w:tcBorders>
          </w:tcPr>
          <w:p w:rsidR="00A62820" w:rsidRPr="003A39AB" w:rsidRDefault="00A62820" w:rsidP="00DA5475">
            <w:pPr>
              <w:pStyle w:val="ARProgramTableText"/>
              <w:keepNext/>
              <w:spacing w:line="300" w:lineRule="exact"/>
              <w:rPr>
                <w:rtl/>
                <w:lang w:bidi="ar-SA"/>
              </w:rPr>
            </w:pPr>
            <w:r w:rsidRPr="00FD5FE0">
              <w:rPr>
                <w:rFonts w:hint="cs"/>
                <w:rtl/>
                <w:lang w:bidi="ar-SA"/>
              </w:rPr>
              <w:t xml:space="preserve">إسهامات الويبو المبيّنة في تقارير الأمم المتحدة والمنظمات الحكومية الدولية وقراراتها ووثائقها المنبثقة عن العمليات الهادفة </w:t>
            </w:r>
            <w:r>
              <w:rPr>
                <w:rFonts w:hint="cs"/>
                <w:rtl/>
                <w:lang w:bidi="ar-SA"/>
              </w:rPr>
              <w:t>ذات الصلة</w:t>
            </w:r>
          </w:p>
        </w:tc>
        <w:tc>
          <w:tcPr>
            <w:tcW w:w="1863" w:type="dxa"/>
            <w:tcBorders>
              <w:top w:val="single" w:sz="4" w:space="0" w:color="auto"/>
              <w:left w:val="nil"/>
              <w:bottom w:val="nil"/>
              <w:right w:val="nil"/>
            </w:tcBorders>
          </w:tcPr>
          <w:p w:rsidR="00A62820" w:rsidRDefault="00A62820" w:rsidP="00DA5475">
            <w:pPr>
              <w:pStyle w:val="ARProgramTableText"/>
              <w:keepNext/>
              <w:spacing w:line="300" w:lineRule="exact"/>
              <w:rPr>
                <w:rtl/>
                <w:lang w:bidi="ar-SA"/>
              </w:rPr>
            </w:pPr>
            <w:r>
              <w:rPr>
                <w:rFonts w:hint="cs"/>
                <w:rtl/>
                <w:lang w:bidi="ar-SA"/>
              </w:rPr>
              <w:t xml:space="preserve">2012/13 </w:t>
            </w:r>
            <w:r>
              <w:rPr>
                <w:rtl/>
                <w:lang w:bidi="ar-SA"/>
              </w:rPr>
              <w:t>–</w:t>
            </w:r>
            <w:r>
              <w:rPr>
                <w:rFonts w:hint="cs"/>
                <w:rtl/>
                <w:lang w:bidi="ar-SA"/>
              </w:rPr>
              <w:t xml:space="preserve"> 38 من أصل 38؛</w:t>
            </w:r>
          </w:p>
          <w:p w:rsidR="00A62820" w:rsidRDefault="00A62820" w:rsidP="00DA5475">
            <w:pPr>
              <w:pStyle w:val="ARProgramTableText"/>
              <w:keepNext/>
              <w:spacing w:line="300" w:lineRule="exact"/>
              <w:rPr>
                <w:rtl/>
                <w:lang w:bidi="ar-SA"/>
              </w:rPr>
            </w:pPr>
            <w:r>
              <w:rPr>
                <w:rFonts w:hint="cs"/>
                <w:rtl/>
                <w:lang w:bidi="ar-SA"/>
              </w:rPr>
              <w:t>2014: 12 من أصل 15؛ 3 إسهامات جارية</w:t>
            </w:r>
          </w:p>
        </w:tc>
        <w:tc>
          <w:tcPr>
            <w:tcW w:w="1667" w:type="dxa"/>
            <w:tcBorders>
              <w:top w:val="single" w:sz="4" w:space="0" w:color="auto"/>
              <w:left w:val="nil"/>
              <w:bottom w:val="nil"/>
              <w:right w:val="single" w:sz="4" w:space="0" w:color="auto"/>
            </w:tcBorders>
          </w:tcPr>
          <w:p w:rsidR="00A62820" w:rsidRPr="003A39AB" w:rsidRDefault="00A62820" w:rsidP="00DA5475">
            <w:pPr>
              <w:pStyle w:val="ARProgramTableText"/>
              <w:keepNext/>
              <w:spacing w:line="300" w:lineRule="exact"/>
              <w:rPr>
                <w:rtl/>
                <w:lang w:bidi="ar-SA"/>
              </w:rPr>
            </w:pPr>
            <w:r>
              <w:rPr>
                <w:rFonts w:hint="cs"/>
                <w:rtl/>
                <w:lang w:bidi="ar-SA"/>
              </w:rPr>
              <w:t>80%</w:t>
            </w:r>
          </w:p>
        </w:tc>
      </w:tr>
      <w:tr w:rsidR="00A62820" w:rsidRPr="008954A8" w:rsidTr="00A62820">
        <w:tc>
          <w:tcPr>
            <w:tcW w:w="2929" w:type="dxa"/>
            <w:tcBorders>
              <w:top w:val="nil"/>
              <w:left w:val="single" w:sz="4" w:space="0" w:color="auto"/>
              <w:bottom w:val="single" w:sz="4" w:space="0" w:color="auto"/>
              <w:right w:val="nil"/>
            </w:tcBorders>
          </w:tcPr>
          <w:p w:rsidR="00A62820" w:rsidRPr="003A39AB" w:rsidRDefault="00A62820" w:rsidP="00DA5475">
            <w:pPr>
              <w:pStyle w:val="ARNormal"/>
              <w:spacing w:before="60" w:after="60" w:line="300" w:lineRule="exact"/>
              <w:jc w:val="left"/>
              <w:rPr>
                <w:sz w:val="30"/>
                <w:szCs w:val="30"/>
                <w:rtl/>
              </w:rPr>
            </w:pPr>
          </w:p>
        </w:tc>
        <w:tc>
          <w:tcPr>
            <w:tcW w:w="3111" w:type="dxa"/>
            <w:tcBorders>
              <w:top w:val="nil"/>
              <w:left w:val="nil"/>
              <w:bottom w:val="single" w:sz="4" w:space="0" w:color="auto"/>
              <w:right w:val="nil"/>
            </w:tcBorders>
          </w:tcPr>
          <w:p w:rsidR="00A62820" w:rsidRPr="003A39AB" w:rsidRDefault="00A62820" w:rsidP="00DA5475">
            <w:pPr>
              <w:pStyle w:val="ARProgramTableText"/>
              <w:keepNext/>
              <w:spacing w:line="300" w:lineRule="exact"/>
              <w:rPr>
                <w:rtl/>
                <w:lang w:bidi="ar-SA"/>
              </w:rPr>
            </w:pPr>
            <w:r>
              <w:rPr>
                <w:rFonts w:hint="cs"/>
                <w:rtl/>
                <w:lang w:bidi="ar-SA"/>
              </w:rPr>
              <w:t>عدد المبادرات التي تقودها الويبو بالتشارك مع الأمم المتحدة وسائر المنظمات الحكومية الدولية من أجل تنفيذ أهداف التنمية المستدامة</w:t>
            </w:r>
          </w:p>
        </w:tc>
        <w:tc>
          <w:tcPr>
            <w:tcW w:w="1863" w:type="dxa"/>
            <w:tcBorders>
              <w:top w:val="nil"/>
              <w:left w:val="nil"/>
              <w:bottom w:val="single" w:sz="4" w:space="0" w:color="auto"/>
              <w:right w:val="nil"/>
            </w:tcBorders>
          </w:tcPr>
          <w:p w:rsidR="00A62820" w:rsidRDefault="00A62820" w:rsidP="00DA5475">
            <w:pPr>
              <w:pStyle w:val="ARProgramTableText"/>
              <w:keepNext/>
              <w:spacing w:line="300" w:lineRule="exact"/>
              <w:rPr>
                <w:rtl/>
                <w:lang w:bidi="ar-SA"/>
              </w:rPr>
            </w:pPr>
            <w:r>
              <w:rPr>
                <w:rFonts w:hint="cs"/>
                <w:rtl/>
                <w:lang w:bidi="ar-SA"/>
              </w:rPr>
              <w:t>لا شيء</w:t>
            </w:r>
          </w:p>
        </w:tc>
        <w:tc>
          <w:tcPr>
            <w:tcW w:w="1667" w:type="dxa"/>
            <w:tcBorders>
              <w:top w:val="nil"/>
              <w:left w:val="nil"/>
              <w:bottom w:val="single" w:sz="4" w:space="0" w:color="auto"/>
              <w:right w:val="single" w:sz="4" w:space="0" w:color="auto"/>
            </w:tcBorders>
          </w:tcPr>
          <w:p w:rsidR="00A62820" w:rsidRPr="003A39AB" w:rsidRDefault="00A62820" w:rsidP="00DA5475">
            <w:pPr>
              <w:pStyle w:val="ARProgramTableText"/>
              <w:keepNext/>
              <w:spacing w:line="300" w:lineRule="exact"/>
              <w:rPr>
                <w:rtl/>
                <w:lang w:bidi="ar-SA"/>
              </w:rPr>
            </w:pPr>
            <w:r>
              <w:rPr>
                <w:rFonts w:hint="cs"/>
                <w:rtl/>
                <w:lang w:bidi="ar-SA"/>
              </w:rPr>
              <w:t>5</w:t>
            </w:r>
          </w:p>
        </w:tc>
      </w:tr>
    </w:tbl>
    <w:p w:rsidR="00A62820" w:rsidRPr="00FD5FE0" w:rsidRDefault="00A62820" w:rsidP="00DA5475">
      <w:pPr>
        <w:pStyle w:val="ARNormal"/>
      </w:pPr>
    </w:p>
    <w:p w:rsidR="00A62820" w:rsidRPr="006D5C82" w:rsidRDefault="00A62820" w:rsidP="00DA5475">
      <w:pPr>
        <w:pStyle w:val="ARProgramHeading2"/>
        <w:spacing w:before="0"/>
        <w:rPr>
          <w:b/>
          <w:bCs/>
          <w:rtl/>
        </w:rPr>
      </w:pPr>
      <w:r w:rsidRPr="006D5C82">
        <w:rPr>
          <w:b/>
          <w:bCs/>
          <w:noProof/>
          <w:rtl/>
        </w:rPr>
        <w:lastRenderedPageBreak/>
        <w:t>المكاتب الخارجية</w:t>
      </w:r>
    </w:p>
    <w:p w:rsidR="00A62820" w:rsidRPr="008954A8" w:rsidRDefault="00A62820" w:rsidP="00DA5475">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8954A8">
        <w:rPr>
          <w:rFonts w:ascii="Arabic Typesetting" w:hAnsi="Arabic Typesetting" w:cs="Arabic Typesetting" w:hint="cs"/>
          <w:noProof/>
          <w:sz w:val="38"/>
          <w:szCs w:val="38"/>
          <w:rtl/>
        </w:rPr>
        <w:t>سياق التخطيط</w:t>
      </w:r>
    </w:p>
    <w:p w:rsidR="00A62820" w:rsidRPr="001C0E54" w:rsidRDefault="00A62820" w:rsidP="00861CFF">
      <w:pPr>
        <w:pStyle w:val="ARNormal"/>
        <w:numPr>
          <w:ilvl w:val="0"/>
          <w:numId w:val="35"/>
        </w:numPr>
        <w:ind w:left="-6" w:firstLine="0"/>
        <w:jc w:val="left"/>
      </w:pPr>
      <w:r w:rsidRPr="001C0E54">
        <w:rPr>
          <w:rFonts w:hint="cs"/>
          <w:i/>
          <w:rtl/>
        </w:rPr>
        <w:t xml:space="preserve">بدأت عملية إنشاء شبكة من مكاتب الويبو الخارجية قبل أكثر من عشر سنوات وتلك الشبكة تضمّ الآن خمسة مكاتب </w:t>
      </w:r>
      <w:r w:rsidRPr="001C0E54">
        <w:rPr>
          <w:rFonts w:hint="cs"/>
          <w:rtl/>
        </w:rPr>
        <w:t>هي: مكتب الويبو في سنغافورة (أنشئ في عام 2005)، ومكتب الويبو في اليابان (أنشئ في عام 2006)، ومكتب الويبو في البرازيل (أنشئ في عام 2010)، ومكتب الويبو في الصين (أنشئ في عام 2014)، ومكتب الويبو في روسيا (أنشئ في عام 2014).</w:t>
      </w:r>
    </w:p>
    <w:p w:rsidR="00A62820" w:rsidRPr="00B03659" w:rsidRDefault="00A62820" w:rsidP="00861CFF">
      <w:pPr>
        <w:pStyle w:val="ARNormal"/>
        <w:numPr>
          <w:ilvl w:val="0"/>
          <w:numId w:val="35"/>
        </w:numPr>
        <w:tabs>
          <w:tab w:val="left" w:pos="354"/>
        </w:tabs>
        <w:ind w:left="-6" w:firstLine="0"/>
        <w:jc w:val="left"/>
      </w:pPr>
      <w:r w:rsidRPr="00B03659">
        <w:rPr>
          <w:rFonts w:hint="cs"/>
          <w:rtl/>
        </w:rPr>
        <w:t xml:space="preserve">وتشكّل مكاتب الويبو الخارجية جزءا لا يتجزأ من المنظمة، وهي تعمل مع كل البرامج في المقر </w:t>
      </w:r>
      <w:r>
        <w:rPr>
          <w:rFonts w:hint="cs"/>
          <w:rtl/>
        </w:rPr>
        <w:t xml:space="preserve">الرئيسي </w:t>
      </w:r>
      <w:r w:rsidRPr="00B03659">
        <w:rPr>
          <w:rFonts w:hint="cs"/>
          <w:rtl/>
        </w:rPr>
        <w:t>بغرض الإسهام في تحقيق الأهداف الاستراتيجية. ومن ثمّ فإنها بمثابة امتداد مادي مهم لوجود الويبو في البلدان و/أو المناطق المحيطة بها. وفي هذا الصدد، تحتل تلك المكاتب مكانة مثلى لتقريب المنظمة من الدول الأعضاء فيها ومن شركائها ذوي المصالح.</w:t>
      </w:r>
    </w:p>
    <w:p w:rsidR="00A62820" w:rsidRPr="00B03659" w:rsidRDefault="00A62820" w:rsidP="00861CFF">
      <w:pPr>
        <w:pStyle w:val="ARNormal"/>
        <w:numPr>
          <w:ilvl w:val="0"/>
          <w:numId w:val="35"/>
        </w:numPr>
        <w:tabs>
          <w:tab w:val="left" w:pos="354"/>
        </w:tabs>
        <w:ind w:left="-6" w:firstLine="0"/>
        <w:jc w:val="left"/>
      </w:pPr>
      <w:r w:rsidRPr="00B03659">
        <w:rPr>
          <w:rFonts w:hint="cs"/>
          <w:rtl/>
        </w:rPr>
        <w:t>وظلت عملية إنشاء شبكة المكاتب الخارجية تستند إلى المبادئ الأساسية التالية: "1" ينبغي أن تجلب المكاتب الخارجية قيمة مضافة وكفاءة وفعالية في تنفيذ البرنامج بطريقة منسقة ومكمّلة للعمل المُنجز في المقر</w:t>
      </w:r>
      <w:r>
        <w:rPr>
          <w:rFonts w:hint="cs"/>
          <w:rtl/>
        </w:rPr>
        <w:t xml:space="preserve"> الرئيسي</w:t>
      </w:r>
      <w:r w:rsidRPr="00B03659">
        <w:rPr>
          <w:rFonts w:hint="cs"/>
          <w:rtl/>
        </w:rPr>
        <w:t>؛ "2" وتضطلع المكاتب الخارجية بمزيج من الوظائف المختلفة بما يستجيب للأولويات والخصوصيات المحلية؛ "3" وينبغي أن تكون المكاتب الخارجية فعالة من حيث التكلفة؛ "4" وتشكّل المكاتب الخارجية جزءا لا يتجزأ من إطار الويبو للإدارة القائمة على النتائج وأساسها التنظيمي.</w:t>
      </w:r>
    </w:p>
    <w:p w:rsidR="00A62820" w:rsidRPr="00B03659" w:rsidRDefault="00A62820" w:rsidP="00861CFF">
      <w:pPr>
        <w:pStyle w:val="ARNormal"/>
        <w:numPr>
          <w:ilvl w:val="0"/>
          <w:numId w:val="35"/>
        </w:numPr>
        <w:tabs>
          <w:tab w:val="left" w:pos="354"/>
        </w:tabs>
        <w:ind w:left="-6" w:firstLine="0"/>
        <w:jc w:val="left"/>
      </w:pPr>
      <w:r w:rsidRPr="00B03659">
        <w:rPr>
          <w:rFonts w:hint="cs"/>
          <w:rtl/>
        </w:rPr>
        <w:t xml:space="preserve">وفي هذا السياق، ما فتئت مكاتب الويبو الخارجية تسهم في بلوغ النتائج المرتقبة وتحقيق أهداف الويبو الاستراتيجية. فقد قدمت تلك المكاتب الدعم إلى أنظمة الويبو العالمية للملكية الفكرية؛ وقدمت المساعدة التقنية في البلدان النامية إسهاما في برامج المنظمة المتعلقة بالبنية التحتية العالمية؛ واضطلعت بأنشطة تكوين الكفاءات تيسيرا لاستخدام الملكية الفكرية لأغراض التنمية؛ وروّجت لمعاهدات الويبو تعزيزا للتطور المتوازن لإطار وضع القواعد والمعايير في مجال الملكية الفكرية؛ وتواصلت بفعالية أكبر مع جمهور واسع </w:t>
      </w:r>
      <w:r>
        <w:rPr>
          <w:rFonts w:hint="cs"/>
          <w:rtl/>
        </w:rPr>
        <w:t>ب</w:t>
      </w:r>
      <w:r w:rsidRPr="00B03659">
        <w:rPr>
          <w:rFonts w:hint="cs"/>
          <w:rtl/>
        </w:rPr>
        <w:t>ما أسهم في زيادة الاقتراب منه وتوعيته بصورة هادفة وأقامت علاقات أوثق مع أصحاب المصالح؛ وقدمت خدمات ’على مدار الساعة‘ لضمان توافر الويبو خارج ساعات العمل المُطبقة في جنيف.</w:t>
      </w:r>
    </w:p>
    <w:p w:rsidR="00A62820" w:rsidRPr="00354FC2" w:rsidRDefault="00A62820" w:rsidP="00861CFF">
      <w:pPr>
        <w:pStyle w:val="ARNormal"/>
        <w:numPr>
          <w:ilvl w:val="0"/>
          <w:numId w:val="35"/>
        </w:numPr>
        <w:tabs>
          <w:tab w:val="left" w:pos="354"/>
          <w:tab w:val="right" w:pos="707"/>
        </w:tabs>
        <w:ind w:left="-6" w:firstLine="0"/>
        <w:jc w:val="left"/>
      </w:pPr>
      <w:r w:rsidRPr="00354FC2">
        <w:rPr>
          <w:rFonts w:hint="cs"/>
          <w:rtl/>
        </w:rPr>
        <w:t>وإقرارا بالتحديات المتمثلة في دمج شبكة جديدة نسبيا بشكل تام في عمليات منظمة تعتمد بقدر كبير على مقرها</w:t>
      </w:r>
      <w:r>
        <w:rPr>
          <w:rFonts w:hint="cs"/>
          <w:rtl/>
        </w:rPr>
        <w:t xml:space="preserve"> الرئيسي</w:t>
      </w:r>
      <w:r w:rsidRPr="00354FC2">
        <w:rPr>
          <w:rFonts w:hint="cs"/>
          <w:rtl/>
        </w:rPr>
        <w:t xml:space="preserve">، ظهر شعور بالحاجة إلى زيادة تحسين إنتاجية وكفاءة المكاتب الخارجية وتبسيط التنسيق بينها وبين كل البرامج في المقر </w:t>
      </w:r>
      <w:r>
        <w:rPr>
          <w:rFonts w:hint="cs"/>
          <w:rtl/>
        </w:rPr>
        <w:t xml:space="preserve">الرئيسي </w:t>
      </w:r>
      <w:r w:rsidRPr="00354FC2">
        <w:rPr>
          <w:rFonts w:hint="cs"/>
          <w:rtl/>
        </w:rPr>
        <w:t>وتعزيز اتساق مجمل إدارتها باتخاذ خطوات ملموسة. ولهذا الغرض، أطلقت مبادرات في الثنائية 2014/15 بغرض تحسين البنية التحتية لتكنولوجيا المعلومات والاتصالات في المكاتب الخارجية ودمجها بسلاسة في مجمل هيكل المنظمة لتكنولوجيا المعلومات والاتصالات؛ وتحسين وترشيد سياسات الموارد البشرية بشأن التوظيف في المكاتب الخارجية؛ وتدعيم تخطيط برامج المكاتب الخارجية وتنفيذها ورصدها؛ ووضع استراتيجية تواصل شاملة لفائدة المكاتب الخارجية؛ وتحسين عمليات الإبلاغ والتواصل بين المكاتب الخارجية والمقر</w:t>
      </w:r>
      <w:r>
        <w:rPr>
          <w:rFonts w:hint="cs"/>
          <w:rtl/>
        </w:rPr>
        <w:t xml:space="preserve"> الرئيسي</w:t>
      </w:r>
      <w:r w:rsidRPr="00354FC2">
        <w:rPr>
          <w:rFonts w:hint="cs"/>
          <w:rtl/>
        </w:rPr>
        <w:t xml:space="preserve"> وإضفاء الطابع المؤسسي عليها؛ ووضع خطط بشأن استمرارية العمل لكل من المكاتب الخارجية.</w:t>
      </w:r>
    </w:p>
    <w:p w:rsidR="00A62820" w:rsidRDefault="00A62820" w:rsidP="00DA5475">
      <w:pPr>
        <w:pStyle w:val="ARNormal"/>
        <w:tabs>
          <w:tab w:val="left" w:pos="354"/>
        </w:tabs>
        <w:ind w:left="-6"/>
        <w:jc w:val="left"/>
        <w:rPr>
          <w:i/>
          <w:rtl/>
        </w:rPr>
      </w:pPr>
    </w:p>
    <w:p w:rsidR="00A62820" w:rsidRPr="00354FC2" w:rsidRDefault="00A62820" w:rsidP="00DA5475">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354FC2">
        <w:rPr>
          <w:rFonts w:ascii="Arabic Typesetting" w:hAnsi="Arabic Typesetting" w:cs="Arabic Typesetting" w:hint="cs"/>
          <w:noProof/>
          <w:sz w:val="38"/>
          <w:szCs w:val="38"/>
          <w:rtl/>
        </w:rPr>
        <w:t>استراتيجيات التنفيذ</w:t>
      </w:r>
    </w:p>
    <w:p w:rsidR="00A62820" w:rsidRPr="00335630" w:rsidRDefault="00A62820" w:rsidP="00861CFF">
      <w:pPr>
        <w:pStyle w:val="ARNormal"/>
        <w:numPr>
          <w:ilvl w:val="0"/>
          <w:numId w:val="35"/>
        </w:numPr>
        <w:tabs>
          <w:tab w:val="left" w:pos="354"/>
          <w:tab w:val="right" w:pos="707"/>
        </w:tabs>
        <w:ind w:left="-6" w:firstLine="0"/>
        <w:jc w:val="left"/>
      </w:pPr>
      <w:r w:rsidRPr="00335630">
        <w:rPr>
          <w:rFonts w:hint="cs"/>
          <w:rtl/>
        </w:rPr>
        <w:t>واستنادا إلى المبادرات المذكورة آنفا، سيستمر بذل الجهود من أجل تحسين الدمج السلس للمكاتب الخارجية في جميع جوانب عمل المنظمة. وسيكون ذلك حاسما لضمان تواصل تطور الويبو باعتبارها منظمة عالمية فعلا تستجيب للدول الأعضاء فيها ولشركائها من أصحاب المصالح وتقدر على تحقيق أهدافها الطموحة والمتمثلة في تقديم خدماتها بكفاءة أكبر من خلال إقامة تعاون أوثق. وسعيا إلى تحقيق ذلك، ستسهم مكاتب الويبو الخارجية، ضمن البلد المضيف لكل منها و/أو المنطقة المحيطة به، في بلوغ النتائج المرتقبة والأهداف الاستراتيجية بالتنسيق مع المقر الرئيسي. وبالإضافة إلى ذلك، ستُنفذ الاستراتيجيات المحدّدة التالية الخاصة بالمكاتب الخارجية.</w:t>
      </w:r>
    </w:p>
    <w:p w:rsidR="00A62820" w:rsidRPr="00335630" w:rsidRDefault="00A62820" w:rsidP="00DA5475">
      <w:pPr>
        <w:pStyle w:val="ARNormal"/>
        <w:keepNext/>
        <w:tabs>
          <w:tab w:val="left" w:pos="354"/>
          <w:tab w:val="right" w:pos="707"/>
        </w:tabs>
        <w:ind w:left="-6"/>
        <w:jc w:val="left"/>
        <w:rPr>
          <w:u w:val="single"/>
          <w:rtl/>
        </w:rPr>
      </w:pPr>
      <w:r w:rsidRPr="00335630">
        <w:rPr>
          <w:rFonts w:hint="cs"/>
          <w:i/>
          <w:u w:val="single"/>
          <w:rtl/>
        </w:rPr>
        <w:lastRenderedPageBreak/>
        <w:t xml:space="preserve">مكتب </w:t>
      </w:r>
      <w:r w:rsidRPr="00335630">
        <w:rPr>
          <w:rFonts w:hint="cs"/>
          <w:u w:val="single"/>
          <w:rtl/>
        </w:rPr>
        <w:t>الويبو في سنغافورة (</w:t>
      </w:r>
      <w:r w:rsidRPr="00335630">
        <w:rPr>
          <w:u w:val="single"/>
        </w:rPr>
        <w:t>WSO</w:t>
      </w:r>
      <w:r w:rsidRPr="00335630">
        <w:rPr>
          <w:rFonts w:hint="cs"/>
          <w:u w:val="single"/>
          <w:rtl/>
        </w:rPr>
        <w:t>)</w:t>
      </w:r>
    </w:p>
    <w:p w:rsidR="00A62820" w:rsidRPr="00335630" w:rsidRDefault="00A62820" w:rsidP="00861CFF">
      <w:pPr>
        <w:pStyle w:val="ARNormal"/>
        <w:numPr>
          <w:ilvl w:val="0"/>
          <w:numId w:val="35"/>
        </w:numPr>
        <w:tabs>
          <w:tab w:val="left" w:pos="354"/>
          <w:tab w:val="right" w:pos="707"/>
        </w:tabs>
        <w:ind w:left="-6" w:firstLine="0"/>
        <w:jc w:val="left"/>
      </w:pPr>
      <w:r w:rsidRPr="00335630">
        <w:rPr>
          <w:rFonts w:hint="cs"/>
          <w:rtl/>
        </w:rPr>
        <w:t xml:space="preserve">سيواصل مكتب الويبو في سنغافورة العمل </w:t>
      </w:r>
      <w:r>
        <w:rPr>
          <w:rFonts w:hint="cs"/>
          <w:rtl/>
        </w:rPr>
        <w:t>بوصفه م</w:t>
      </w:r>
      <w:r w:rsidRPr="00335630">
        <w:rPr>
          <w:rFonts w:hint="cs"/>
          <w:rtl/>
        </w:rPr>
        <w:t>ركز</w:t>
      </w:r>
      <w:r>
        <w:rPr>
          <w:rFonts w:hint="cs"/>
          <w:rtl/>
        </w:rPr>
        <w:t>ا</w:t>
      </w:r>
      <w:r w:rsidRPr="00335630">
        <w:rPr>
          <w:rFonts w:hint="cs"/>
          <w:rtl/>
        </w:rPr>
        <w:t xml:space="preserve"> للخدمات في المنطقة، بما ذلك تيسير استخدام الملكية الفكرية لأ</w:t>
      </w:r>
      <w:r>
        <w:rPr>
          <w:rFonts w:hint="cs"/>
          <w:rtl/>
        </w:rPr>
        <w:t>غراض التنمية، والنهوض ب</w:t>
      </w:r>
      <w:r w:rsidRPr="00335630">
        <w:rPr>
          <w:rFonts w:hint="cs"/>
          <w:rtl/>
        </w:rPr>
        <w:t>خدمات الويبو العالمية في مجال الملكية الفكرية، ودعم مركز الويبو للتحكيم والوساطة والترويج له في سنغافورة.</w:t>
      </w:r>
    </w:p>
    <w:p w:rsidR="00A62820" w:rsidRDefault="00A62820" w:rsidP="00861CFF">
      <w:pPr>
        <w:pStyle w:val="ARNormal"/>
        <w:numPr>
          <w:ilvl w:val="0"/>
          <w:numId w:val="35"/>
        </w:numPr>
        <w:tabs>
          <w:tab w:val="left" w:pos="354"/>
          <w:tab w:val="right" w:pos="707"/>
        </w:tabs>
        <w:ind w:left="-6" w:firstLine="0"/>
        <w:jc w:val="left"/>
      </w:pPr>
      <w:r w:rsidRPr="00335630">
        <w:rPr>
          <w:rFonts w:hint="cs"/>
          <w:rtl/>
        </w:rPr>
        <w:t xml:space="preserve">وسيتواصل التركيز بوجه خاص </w:t>
      </w:r>
      <w:r>
        <w:rPr>
          <w:rFonts w:hint="cs"/>
          <w:rtl/>
        </w:rPr>
        <w:t xml:space="preserve">على شبه منطقة </w:t>
      </w:r>
      <w:r>
        <w:rPr>
          <w:rtl/>
        </w:rPr>
        <w:t>رابطة أمم جنوب شرق</w:t>
      </w:r>
      <w:r w:rsidRPr="00335630">
        <w:rPr>
          <w:rtl/>
        </w:rPr>
        <w:t xml:space="preserve"> آسيا (</w:t>
      </w:r>
      <w:r w:rsidRPr="00335630">
        <w:t>ASEAN</w:t>
      </w:r>
      <w:r w:rsidRPr="00335630">
        <w:rPr>
          <w:rtl/>
        </w:rPr>
        <w:t xml:space="preserve">) </w:t>
      </w:r>
      <w:r>
        <w:rPr>
          <w:rFonts w:hint="cs"/>
          <w:rtl/>
        </w:rPr>
        <w:t>من خلال</w:t>
      </w:r>
      <w:r w:rsidRPr="00335630">
        <w:rPr>
          <w:rtl/>
        </w:rPr>
        <w:t xml:space="preserve"> المساعدة على تنفيذ </w:t>
      </w:r>
      <w:r>
        <w:rPr>
          <w:rFonts w:hint="cs"/>
          <w:rtl/>
        </w:rPr>
        <w:t>خطة</w:t>
      </w:r>
      <w:r w:rsidRPr="00335630">
        <w:rPr>
          <w:rtl/>
        </w:rPr>
        <w:t xml:space="preserve"> عمل </w:t>
      </w:r>
      <w:r>
        <w:rPr>
          <w:rFonts w:hint="cs"/>
          <w:rtl/>
        </w:rPr>
        <w:t xml:space="preserve">الرابطة في مجال </w:t>
      </w:r>
      <w:r w:rsidRPr="00335630">
        <w:rPr>
          <w:rtl/>
        </w:rPr>
        <w:t>الملكية الفكرية (</w:t>
      </w:r>
      <w:r>
        <w:rPr>
          <w:rFonts w:hint="cs"/>
          <w:rtl/>
        </w:rPr>
        <w:t>2016</w:t>
      </w:r>
      <w:r w:rsidRPr="00335630">
        <w:rPr>
          <w:rtl/>
        </w:rPr>
        <w:t>-</w:t>
      </w:r>
      <w:r>
        <w:rPr>
          <w:rFonts w:hint="cs"/>
          <w:rtl/>
        </w:rPr>
        <w:t>2025</w:t>
      </w:r>
      <w:r w:rsidRPr="00335630">
        <w:rPr>
          <w:rtl/>
        </w:rPr>
        <w:t xml:space="preserve">) </w:t>
      </w:r>
      <w:r>
        <w:rPr>
          <w:rFonts w:hint="cs"/>
          <w:rtl/>
        </w:rPr>
        <w:t xml:space="preserve">وفقا للخطط القطرية والاستراتيجيات الوطنية بشأن الملكية الفكرية. وسيكون </w:t>
      </w:r>
      <w:r>
        <w:rPr>
          <w:rtl/>
        </w:rPr>
        <w:t xml:space="preserve">التعاون </w:t>
      </w:r>
      <w:r>
        <w:rPr>
          <w:rFonts w:hint="cs"/>
          <w:rtl/>
        </w:rPr>
        <w:t xml:space="preserve">الوثيق </w:t>
      </w:r>
      <w:r>
        <w:rPr>
          <w:rtl/>
        </w:rPr>
        <w:t xml:space="preserve">مع </w:t>
      </w:r>
      <w:r w:rsidRPr="00335630">
        <w:rPr>
          <w:rtl/>
        </w:rPr>
        <w:t xml:space="preserve">فريق </w:t>
      </w:r>
      <w:r>
        <w:rPr>
          <w:rFonts w:hint="cs"/>
          <w:rtl/>
        </w:rPr>
        <w:t xml:space="preserve">الرابطة </w:t>
      </w:r>
      <w:r w:rsidRPr="00335630">
        <w:rPr>
          <w:rtl/>
        </w:rPr>
        <w:t xml:space="preserve">العامل المعني بالتعاون </w:t>
      </w:r>
      <w:r>
        <w:rPr>
          <w:rFonts w:hint="cs"/>
          <w:rtl/>
        </w:rPr>
        <w:t>في مجال</w:t>
      </w:r>
      <w:r w:rsidRPr="00335630">
        <w:rPr>
          <w:rtl/>
        </w:rPr>
        <w:t xml:space="preserve"> الملكية الفكرية (</w:t>
      </w:r>
      <w:r w:rsidRPr="00335630">
        <w:t>AWGIPC</w:t>
      </w:r>
      <w:r>
        <w:rPr>
          <w:rtl/>
        </w:rPr>
        <w:t>)</w:t>
      </w:r>
      <w:r>
        <w:rPr>
          <w:rFonts w:hint="cs"/>
          <w:rtl/>
        </w:rPr>
        <w:t xml:space="preserve"> وأمانة الرابطة مفيدا في هذا الصدد.</w:t>
      </w:r>
    </w:p>
    <w:p w:rsidR="00A62820" w:rsidRPr="008B38A9" w:rsidRDefault="00A62820" w:rsidP="00DA5475">
      <w:pPr>
        <w:pStyle w:val="ARNormal"/>
        <w:keepNext/>
        <w:tabs>
          <w:tab w:val="left" w:pos="354"/>
          <w:tab w:val="right" w:pos="707"/>
        </w:tabs>
        <w:ind w:left="-6"/>
        <w:jc w:val="left"/>
        <w:rPr>
          <w:u w:val="single"/>
        </w:rPr>
      </w:pPr>
      <w:r w:rsidRPr="008B38A9">
        <w:rPr>
          <w:rFonts w:hint="cs"/>
          <w:u w:val="single"/>
          <w:rtl/>
        </w:rPr>
        <w:t>مكتب الويبو في البرازيل (</w:t>
      </w:r>
      <w:r w:rsidRPr="008B38A9">
        <w:rPr>
          <w:u w:val="single"/>
        </w:rPr>
        <w:t>WBO</w:t>
      </w:r>
      <w:r w:rsidRPr="008B38A9">
        <w:rPr>
          <w:rFonts w:hint="cs"/>
          <w:u w:val="single"/>
          <w:rtl/>
        </w:rPr>
        <w:t>)</w:t>
      </w:r>
    </w:p>
    <w:p w:rsidR="00A62820" w:rsidRDefault="00A62820" w:rsidP="00861CFF">
      <w:pPr>
        <w:pStyle w:val="ARNormal"/>
        <w:numPr>
          <w:ilvl w:val="0"/>
          <w:numId w:val="35"/>
        </w:numPr>
        <w:tabs>
          <w:tab w:val="left" w:pos="354"/>
          <w:tab w:val="right" w:pos="707"/>
        </w:tabs>
        <w:ind w:left="-6" w:firstLine="0"/>
        <w:jc w:val="left"/>
      </w:pPr>
      <w:r>
        <w:rPr>
          <w:rFonts w:hint="cs"/>
          <w:rtl/>
        </w:rPr>
        <w:t>سيركّز مكتب الويبو في البرازيل، باعتباره مكتب الويبو للخدمات في ذلك البلد، على النهوض بخدمات الويبو العالمية في مجال الملكية الفكرية و</w:t>
      </w:r>
      <w:r w:rsidRPr="00335630">
        <w:rPr>
          <w:rFonts w:hint="cs"/>
          <w:rtl/>
        </w:rPr>
        <w:t>تيسير استخدام الملكية الفكرية لأ</w:t>
      </w:r>
      <w:r>
        <w:rPr>
          <w:rFonts w:hint="cs"/>
          <w:rtl/>
        </w:rPr>
        <w:t>غراض التنمية من خلال تعزيز قدرات الموارد البشرية في البرازيل بصفة خاصة وفي سائر البلدان النامية التي لها برامج تعاونية مع البرازيل.</w:t>
      </w:r>
    </w:p>
    <w:p w:rsidR="00A62820" w:rsidRDefault="00A62820" w:rsidP="00861CFF">
      <w:pPr>
        <w:pStyle w:val="ARNormal"/>
        <w:numPr>
          <w:ilvl w:val="0"/>
          <w:numId w:val="35"/>
        </w:numPr>
        <w:tabs>
          <w:tab w:val="left" w:pos="354"/>
          <w:tab w:val="right" w:pos="707"/>
        </w:tabs>
        <w:ind w:left="-6" w:firstLine="0"/>
        <w:jc w:val="left"/>
      </w:pPr>
      <w:r>
        <w:rPr>
          <w:rFonts w:hint="cs"/>
          <w:rtl/>
        </w:rPr>
        <w:t xml:space="preserve">ويدير مكتب الويبو في البرازيل صندوقين </w:t>
      </w:r>
      <w:proofErr w:type="spellStart"/>
      <w:r>
        <w:rPr>
          <w:rFonts w:hint="cs"/>
          <w:rtl/>
        </w:rPr>
        <w:t>استئمانيين</w:t>
      </w:r>
      <w:proofErr w:type="spellEnd"/>
      <w:r>
        <w:rPr>
          <w:rFonts w:hint="cs"/>
          <w:rtl/>
        </w:rPr>
        <w:t xml:space="preserve"> قائمين بين حكومة البرازيل والويبو بما يهدف، من جملة أمور أخرى، إلى النهوض بثقافة الملكية الفكرية في المؤسسات الوطنية والدولية وفي أوساط المستخدمين من خلال التعاون فيما بين بلدان الجنوب النامية داخل منطقة أمريكا اللاتينية وخارجها.</w:t>
      </w:r>
    </w:p>
    <w:p w:rsidR="00A62820" w:rsidRPr="00272713" w:rsidRDefault="00A62820" w:rsidP="00DA5475">
      <w:pPr>
        <w:pStyle w:val="ARNormal"/>
        <w:keepNext/>
        <w:tabs>
          <w:tab w:val="left" w:pos="354"/>
          <w:tab w:val="right" w:pos="707"/>
        </w:tabs>
        <w:ind w:left="-6"/>
        <w:jc w:val="left"/>
        <w:rPr>
          <w:u w:val="single"/>
          <w:rtl/>
        </w:rPr>
      </w:pPr>
      <w:r w:rsidRPr="00272713">
        <w:rPr>
          <w:rFonts w:hint="cs"/>
          <w:u w:val="single"/>
          <w:rtl/>
        </w:rPr>
        <w:t>مكتب الويبو في اليابان (</w:t>
      </w:r>
      <w:r w:rsidRPr="00272713">
        <w:rPr>
          <w:u w:val="single"/>
        </w:rPr>
        <w:t>WJO</w:t>
      </w:r>
      <w:r w:rsidRPr="00272713">
        <w:rPr>
          <w:rFonts w:hint="cs"/>
          <w:u w:val="single"/>
          <w:rtl/>
        </w:rPr>
        <w:t>)</w:t>
      </w:r>
    </w:p>
    <w:p w:rsidR="00A62820" w:rsidRDefault="00A62820" w:rsidP="00861CFF">
      <w:pPr>
        <w:pStyle w:val="ARNormal"/>
        <w:numPr>
          <w:ilvl w:val="0"/>
          <w:numId w:val="35"/>
        </w:numPr>
        <w:tabs>
          <w:tab w:val="left" w:pos="354"/>
          <w:tab w:val="right" w:pos="707"/>
        </w:tabs>
        <w:ind w:left="-6" w:firstLine="0"/>
        <w:jc w:val="left"/>
      </w:pPr>
      <w:r>
        <w:rPr>
          <w:rFonts w:hint="cs"/>
          <w:rtl/>
        </w:rPr>
        <w:t>سيعزّز مكتب الويبو في اليابان دوره بوصفه مركز الويبو للخدمات في اليابان وسيركّز بوجه خاص على النهوض بخدمات الويبو العالمية في مجال الملكية الفكرية لفائدة المستخدمين الحاليين والمستخدمين المحتملين في المستقبل. وستتحقق الإنجازات في هذا المجال من خلال زيادة تعزيز التعاون مع المؤسسات اليابانية والأوساط الأكاديمية وقطاع الصناعة وسائر مجموعات أصحاب المصالح.</w:t>
      </w:r>
    </w:p>
    <w:p w:rsidR="00A62820" w:rsidRDefault="00A62820" w:rsidP="00861CFF">
      <w:pPr>
        <w:pStyle w:val="ARNormal"/>
        <w:numPr>
          <w:ilvl w:val="0"/>
          <w:numId w:val="35"/>
        </w:numPr>
        <w:tabs>
          <w:tab w:val="left" w:pos="354"/>
          <w:tab w:val="right" w:pos="707"/>
        </w:tabs>
        <w:ind w:left="-6" w:firstLine="0"/>
        <w:jc w:val="left"/>
      </w:pPr>
      <w:r>
        <w:rPr>
          <w:rFonts w:hint="cs"/>
          <w:rtl/>
        </w:rPr>
        <w:t xml:space="preserve">وسيواصل المكتب تعاونه مع حكومة اليابان في إطار اتفاق الصندوق الاستئماني لتنفيذ الأنشطة الرامية إلى تكوين الكفاءات وتدعيم البنية التقنية التحتية وتعزيز استخدام الملكية الفكرية في الشركات، بما في ذلك من خلال مشروعات خاصة مثل زيادة تطوير قاعدة بيانات </w:t>
      </w:r>
      <w:r w:rsidRPr="00B95037">
        <w:t xml:space="preserve">IP </w:t>
      </w:r>
      <w:proofErr w:type="spellStart"/>
      <w:r w:rsidRPr="00B95037">
        <w:t>Advantage</w:t>
      </w:r>
      <w:proofErr w:type="spellEnd"/>
      <w:r>
        <w:rPr>
          <w:rFonts w:hint="cs"/>
          <w:rtl/>
        </w:rPr>
        <w:t>، في البلدان الواقعة في منطقة آسيا والمحيط الهادئ بالدرجة الأولى.</w:t>
      </w:r>
    </w:p>
    <w:p w:rsidR="00A62820" w:rsidRDefault="00A62820" w:rsidP="00861CFF">
      <w:pPr>
        <w:pStyle w:val="ARNormal"/>
        <w:numPr>
          <w:ilvl w:val="0"/>
          <w:numId w:val="35"/>
        </w:numPr>
        <w:tabs>
          <w:tab w:val="left" w:pos="354"/>
          <w:tab w:val="right" w:pos="707"/>
        </w:tabs>
        <w:ind w:left="-6" w:firstLine="0"/>
        <w:jc w:val="left"/>
      </w:pPr>
      <w:r>
        <w:rPr>
          <w:rFonts w:hint="cs"/>
          <w:rtl/>
        </w:rPr>
        <w:t>وسيركّز المكتب بشكل خاص على الترويج لنظام لاهاي (علما بأن اليابان قد صادق على اتفاق لاهاي في عام 2015) وعلى توعية الشركات الصغيرة والمتوسطة لتشجيعها على الانتفاع بخدمات الويبو.</w:t>
      </w:r>
    </w:p>
    <w:p w:rsidR="00A62820" w:rsidRPr="000B3321" w:rsidRDefault="00A62820" w:rsidP="002C225B">
      <w:pPr>
        <w:pStyle w:val="ARNormal"/>
        <w:keepNext/>
        <w:tabs>
          <w:tab w:val="left" w:pos="354"/>
          <w:tab w:val="right" w:pos="707"/>
        </w:tabs>
        <w:ind w:left="-6"/>
        <w:jc w:val="left"/>
        <w:rPr>
          <w:u w:val="single"/>
          <w:rtl/>
        </w:rPr>
      </w:pPr>
      <w:r w:rsidRPr="000B3321">
        <w:rPr>
          <w:rFonts w:hint="cs"/>
          <w:u w:val="single"/>
          <w:rtl/>
        </w:rPr>
        <w:t>مكتب الويبو في الصين (</w:t>
      </w:r>
      <w:r w:rsidR="002C225B">
        <w:rPr>
          <w:u w:val="single"/>
        </w:rPr>
        <w:t>WOC</w:t>
      </w:r>
      <w:r w:rsidRPr="000B3321">
        <w:rPr>
          <w:rFonts w:hint="cs"/>
          <w:u w:val="single"/>
          <w:rtl/>
        </w:rPr>
        <w:t>)</w:t>
      </w:r>
    </w:p>
    <w:p w:rsidR="00A62820" w:rsidRDefault="00A62820" w:rsidP="00861CFF">
      <w:pPr>
        <w:pStyle w:val="ARNormal"/>
        <w:numPr>
          <w:ilvl w:val="0"/>
          <w:numId w:val="35"/>
        </w:numPr>
        <w:tabs>
          <w:tab w:val="left" w:pos="354"/>
          <w:tab w:val="right" w:pos="707"/>
        </w:tabs>
        <w:ind w:left="-6" w:firstLine="0"/>
        <w:jc w:val="left"/>
      </w:pPr>
      <w:r>
        <w:rPr>
          <w:rFonts w:hint="cs"/>
          <w:rtl/>
        </w:rPr>
        <w:t>سيستمر مكتب الويبو في الصين، باعتباره مكتبا جديدا نسبيا، في تنفيذ أنشطة ومبادرات هادفة لزيادة تعزيز دوره بوصفه مكتب الويبو للخدمات في الصين. ومن الأمور ذات الأهمية الخاصة في هذا الصدد النهوض بخدمات الويبو العالمية في مجال الملكية الفكرية لفائدة المستخدمين الحاليين والمستخدمين المحتملين في المستقبل. وبالنظر إلى مساحة الصين، سيكون أحد التحديات الخاصة القيام بأنشطة التوعية في مناطق البلد الإدارية والإقليمية. وعليه، ستركّز الجهود على زيادة تعزيز التعاون البنّاء مع حكومة الصين وتوسيع نطاق أنشطة التوعية وتوطيد الروابط مع قطاع الصناعة وسائر أصحاب المصالح.</w:t>
      </w:r>
    </w:p>
    <w:p w:rsidR="00A62820" w:rsidRPr="00CE7A53" w:rsidRDefault="00A62820" w:rsidP="00DA5475">
      <w:pPr>
        <w:pStyle w:val="ARNormal"/>
        <w:keepNext/>
        <w:tabs>
          <w:tab w:val="left" w:pos="354"/>
          <w:tab w:val="right" w:pos="707"/>
        </w:tabs>
        <w:ind w:left="-6"/>
        <w:jc w:val="left"/>
        <w:rPr>
          <w:u w:val="single"/>
          <w:rtl/>
        </w:rPr>
      </w:pPr>
      <w:r w:rsidRPr="00CE7A53">
        <w:rPr>
          <w:rFonts w:hint="cs"/>
          <w:u w:val="single"/>
          <w:rtl/>
        </w:rPr>
        <w:t>مكتب الويبو في روسيا (</w:t>
      </w:r>
      <w:r w:rsidRPr="00CE7A53">
        <w:rPr>
          <w:u w:val="single"/>
        </w:rPr>
        <w:t>WRO</w:t>
      </w:r>
      <w:r w:rsidRPr="00CE7A53">
        <w:rPr>
          <w:rFonts w:hint="cs"/>
          <w:u w:val="single"/>
          <w:rtl/>
        </w:rPr>
        <w:t>)</w:t>
      </w:r>
    </w:p>
    <w:p w:rsidR="00A62820" w:rsidRDefault="00A62820" w:rsidP="00861CFF">
      <w:pPr>
        <w:pStyle w:val="ARNormal"/>
        <w:numPr>
          <w:ilvl w:val="0"/>
          <w:numId w:val="35"/>
        </w:numPr>
        <w:tabs>
          <w:tab w:val="left" w:pos="354"/>
          <w:tab w:val="right" w:pos="707"/>
        </w:tabs>
        <w:ind w:left="-6" w:firstLine="0"/>
        <w:jc w:val="left"/>
      </w:pPr>
      <w:r>
        <w:rPr>
          <w:rFonts w:hint="cs"/>
          <w:rtl/>
        </w:rPr>
        <w:t>أنشئ مكتب الويبو في روسيا في عام 2014 وسيسعى بالتالي إلى زيادة ترسيخ دوره بوصفه مركز الويبو للخدمات في الاتحاد الروسي. وسيكون النهوض بخدمات الويبو العالمية في مجال الملكية الفكرية عنصرا مهما في هذا الصدد. وبالنظر إلى مساحة الاتحاد الروسي، سيتمثّل أحد التحديات الخاصة في القيام بأنشطة التوعية في مختلف مناطق البلد. ومن الأمور الحاسمة الأهمية في هذه المضمار زيادة تعزيز التعاون البنّاء مع حكومة الاتحاد الروسي واستهداف الأوساط الأكاديمية وقطاع الصناعة وسائر أصحاب المصالح بأنشطة التوعية.</w:t>
      </w:r>
    </w:p>
    <w:p w:rsidR="00A62820" w:rsidRPr="00335630" w:rsidRDefault="00A62820" w:rsidP="00861CFF">
      <w:pPr>
        <w:pStyle w:val="ARNormal"/>
        <w:numPr>
          <w:ilvl w:val="0"/>
          <w:numId w:val="35"/>
        </w:numPr>
        <w:tabs>
          <w:tab w:val="left" w:pos="354"/>
          <w:tab w:val="right" w:pos="707"/>
        </w:tabs>
        <w:ind w:left="-6" w:firstLine="0"/>
        <w:jc w:val="left"/>
        <w:rPr>
          <w:rtl/>
        </w:rPr>
      </w:pPr>
      <w:r>
        <w:rPr>
          <w:rFonts w:hint="cs"/>
          <w:rtl/>
        </w:rPr>
        <w:lastRenderedPageBreak/>
        <w:t>وسيركّز المكتب بوجه خاص على تنفيذ برامج تكوين الكفاءات وبرامج المساعدة التقنية بطريقة هادفة ومصممة حسب الاحتياجات، بما في ذلك الاستمرار في دعم تطوير شبكة وطنية مستدامة من مراكز دعم التكنولوجيا والابتكار.</w:t>
      </w:r>
    </w:p>
    <w:p w:rsidR="00A62820" w:rsidRPr="003C3AE3" w:rsidRDefault="00A62820" w:rsidP="00DA5475">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3C3AE3">
        <w:rPr>
          <w:rFonts w:ascii="Arabic Typesetting" w:hAnsi="Arabic Typesetting" w:cs="Arabic Typesetting" w:hint="cs"/>
          <w:noProof/>
          <w:sz w:val="38"/>
          <w:szCs w:val="38"/>
          <w:rtl/>
        </w:rPr>
        <w:t>المخاطر الرئيسية واستراتيجيات التخفيف منها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A62820" w:rsidRPr="008954A8" w:rsidTr="00DA5475">
        <w:trPr>
          <w:tblHeader/>
        </w:trPr>
        <w:tc>
          <w:tcPr>
            <w:tcW w:w="4784" w:type="dxa"/>
            <w:tcBorders>
              <w:bottom w:val="single" w:sz="4" w:space="0" w:color="auto"/>
              <w:right w:val="nil"/>
            </w:tcBorders>
            <w:shd w:val="clear" w:color="auto" w:fill="C6D9F1"/>
          </w:tcPr>
          <w:p w:rsidR="00A62820" w:rsidRPr="008954A8" w:rsidRDefault="00A62820" w:rsidP="00DA5475">
            <w:pPr>
              <w:pStyle w:val="ARProgramTableHeading"/>
              <w:keepNext/>
              <w:spacing w:line="300" w:lineRule="exact"/>
              <w:rPr>
                <w:rtl/>
                <w:lang w:bidi="ar-SA"/>
              </w:rPr>
            </w:pPr>
            <w:r>
              <w:rPr>
                <w:rFonts w:hint="cs"/>
                <w:rtl/>
                <w:lang w:bidi="ar-SA"/>
              </w:rPr>
              <w:t>المخاطر</w:t>
            </w:r>
          </w:p>
        </w:tc>
        <w:tc>
          <w:tcPr>
            <w:tcW w:w="4786" w:type="dxa"/>
            <w:tcBorders>
              <w:left w:val="nil"/>
              <w:bottom w:val="single" w:sz="4" w:space="0" w:color="auto"/>
            </w:tcBorders>
            <w:shd w:val="clear" w:color="auto" w:fill="C6D9F1"/>
          </w:tcPr>
          <w:p w:rsidR="00A62820" w:rsidRPr="008954A8" w:rsidRDefault="00A62820" w:rsidP="00DA5475">
            <w:pPr>
              <w:pStyle w:val="ARProgramTableHeading"/>
              <w:keepNext/>
              <w:spacing w:line="300" w:lineRule="exact"/>
              <w:rPr>
                <w:rtl/>
              </w:rPr>
            </w:pPr>
            <w:r>
              <w:rPr>
                <w:rFonts w:hint="cs"/>
                <w:rtl/>
              </w:rPr>
              <w:t>التخفيف منها</w:t>
            </w:r>
          </w:p>
        </w:tc>
      </w:tr>
      <w:tr w:rsidR="00A62820" w:rsidRPr="008954A8" w:rsidTr="00DA5475">
        <w:tc>
          <w:tcPr>
            <w:tcW w:w="4784" w:type="dxa"/>
            <w:tcBorders>
              <w:top w:val="nil"/>
              <w:left w:val="single" w:sz="4" w:space="0" w:color="auto"/>
              <w:bottom w:val="single" w:sz="4" w:space="0" w:color="auto"/>
              <w:right w:val="nil"/>
            </w:tcBorders>
          </w:tcPr>
          <w:p w:rsidR="00A62820" w:rsidRPr="008954A8" w:rsidRDefault="00A62820" w:rsidP="00DA5475">
            <w:pPr>
              <w:pStyle w:val="ARProgramTableText"/>
              <w:spacing w:line="300" w:lineRule="exact"/>
              <w:rPr>
                <w:rtl/>
                <w:lang w:bidi="ar-SA"/>
              </w:rPr>
            </w:pPr>
            <w:r w:rsidRPr="009047FE">
              <w:rPr>
                <w:rtl/>
                <w:lang w:bidi="ar-SA"/>
              </w:rPr>
              <w:t xml:space="preserve">الفصل الجغرافي للمكاتب الخارجية عن المقر </w:t>
            </w:r>
            <w:r>
              <w:rPr>
                <w:rFonts w:hint="cs"/>
                <w:rtl/>
                <w:lang w:bidi="ar-SA"/>
              </w:rPr>
              <w:t xml:space="preserve">الرئيسي </w:t>
            </w:r>
            <w:r w:rsidRPr="009047FE">
              <w:rPr>
                <w:rtl/>
                <w:lang w:bidi="ar-SA"/>
              </w:rPr>
              <w:t>قد يسفر عن تجزئة التنسيق والاتصال.</w:t>
            </w:r>
          </w:p>
        </w:tc>
        <w:tc>
          <w:tcPr>
            <w:tcW w:w="4786" w:type="dxa"/>
            <w:tcBorders>
              <w:top w:val="nil"/>
              <w:left w:val="nil"/>
              <w:bottom w:val="single" w:sz="4" w:space="0" w:color="auto"/>
              <w:right w:val="single" w:sz="4" w:space="0" w:color="auto"/>
            </w:tcBorders>
          </w:tcPr>
          <w:p w:rsidR="00A62820" w:rsidRPr="008954A8" w:rsidRDefault="00A62820" w:rsidP="00DA5475">
            <w:pPr>
              <w:pStyle w:val="ARProgramTableText"/>
              <w:spacing w:line="300" w:lineRule="exact"/>
              <w:rPr>
                <w:rtl/>
                <w:lang w:bidi="ar-SA"/>
              </w:rPr>
            </w:pPr>
            <w:r w:rsidRPr="009047FE">
              <w:rPr>
                <w:rtl/>
                <w:lang w:bidi="ar-SA"/>
              </w:rPr>
              <w:t>الاستمرار في المشاركة الوثيقة والثابتة والم</w:t>
            </w:r>
            <w:r>
              <w:rPr>
                <w:rFonts w:hint="cs"/>
                <w:rtl/>
                <w:lang w:bidi="ar-SA"/>
              </w:rPr>
              <w:t>ُ</w:t>
            </w:r>
            <w:r w:rsidRPr="009047FE">
              <w:rPr>
                <w:rtl/>
                <w:lang w:bidi="ar-SA"/>
              </w:rPr>
              <w:t>نظ</w:t>
            </w:r>
            <w:r>
              <w:rPr>
                <w:rFonts w:hint="cs"/>
                <w:rtl/>
                <w:lang w:bidi="ar-SA"/>
              </w:rPr>
              <w:t>َّ</w:t>
            </w:r>
            <w:r w:rsidRPr="009047FE">
              <w:rPr>
                <w:rtl/>
                <w:lang w:bidi="ar-SA"/>
              </w:rPr>
              <w:t>مة لضمان دمج عمل المكاتب ا</w:t>
            </w:r>
            <w:r>
              <w:rPr>
                <w:rtl/>
                <w:lang w:bidi="ar-SA"/>
              </w:rPr>
              <w:t>لخارجية دمجاً كاملاً في شبكة مت</w:t>
            </w:r>
            <w:r>
              <w:rPr>
                <w:rFonts w:hint="cs"/>
                <w:rtl/>
                <w:lang w:bidi="ar-SA"/>
              </w:rPr>
              <w:t xml:space="preserve">سقة </w:t>
            </w:r>
            <w:r w:rsidRPr="009047FE">
              <w:rPr>
                <w:rtl/>
                <w:lang w:bidi="ar-SA"/>
              </w:rPr>
              <w:t>وم</w:t>
            </w:r>
            <w:r>
              <w:rPr>
                <w:rFonts w:hint="cs"/>
                <w:rtl/>
                <w:lang w:bidi="ar-SA"/>
              </w:rPr>
              <w:t>ُ</w:t>
            </w:r>
            <w:r w:rsidRPr="009047FE">
              <w:rPr>
                <w:rtl/>
                <w:lang w:bidi="ar-SA"/>
              </w:rPr>
              <w:t>نس</w:t>
            </w:r>
            <w:r>
              <w:rPr>
                <w:rFonts w:hint="cs"/>
                <w:rtl/>
                <w:lang w:bidi="ar-SA"/>
              </w:rPr>
              <w:t>َّ</w:t>
            </w:r>
            <w:r w:rsidRPr="009047FE">
              <w:rPr>
                <w:rtl/>
                <w:lang w:bidi="ar-SA"/>
              </w:rPr>
              <w:t>قة، بما يتماشى مع إطار النتائج وخطط العمل والس</w:t>
            </w:r>
            <w:r>
              <w:rPr>
                <w:rFonts w:hint="cs"/>
                <w:rtl/>
                <w:lang w:bidi="ar-SA"/>
              </w:rPr>
              <w:t>ي</w:t>
            </w:r>
            <w:r w:rsidRPr="009047FE">
              <w:rPr>
                <w:rtl/>
                <w:lang w:bidi="ar-SA"/>
              </w:rPr>
              <w:t>ر اليومي للعمل في المنظمة</w:t>
            </w:r>
          </w:p>
        </w:tc>
      </w:tr>
    </w:tbl>
    <w:p w:rsidR="00A62820" w:rsidRPr="003C3AE3" w:rsidRDefault="00A62820" w:rsidP="00DA5475">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3C3AE3">
        <w:rPr>
          <w:rFonts w:ascii="Arabic Typesetting" w:hAnsi="Arabic Typesetting" w:cs="Arabic Typesetting" w:hint="cs"/>
          <w:noProof/>
          <w:sz w:val="38"/>
          <w:szCs w:val="38"/>
          <w:rtl/>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268"/>
        <w:gridCol w:w="2693"/>
        <w:gridCol w:w="1951"/>
      </w:tblGrid>
      <w:tr w:rsidR="00A62820" w:rsidRPr="008954A8" w:rsidTr="00F01A85">
        <w:trPr>
          <w:tblHeader/>
        </w:trPr>
        <w:tc>
          <w:tcPr>
            <w:tcW w:w="2658" w:type="dxa"/>
            <w:tcBorders>
              <w:bottom w:val="single" w:sz="4" w:space="0" w:color="auto"/>
              <w:right w:val="nil"/>
            </w:tcBorders>
            <w:shd w:val="clear" w:color="auto" w:fill="C6D9F1"/>
          </w:tcPr>
          <w:p w:rsidR="00A62820" w:rsidRPr="008954A8" w:rsidRDefault="00A62820" w:rsidP="00F01A85">
            <w:pPr>
              <w:pStyle w:val="ARProgramTableHeading"/>
              <w:keepNext/>
              <w:spacing w:before="0" w:after="0" w:line="300" w:lineRule="exact"/>
              <w:rPr>
                <w:rtl/>
                <w:lang w:bidi="ar-SA"/>
              </w:rPr>
            </w:pPr>
            <w:r w:rsidRPr="008954A8">
              <w:rPr>
                <w:rFonts w:hint="cs"/>
                <w:rtl/>
                <w:lang w:bidi="ar-SA"/>
              </w:rPr>
              <w:t>النتائج المرتقبة</w:t>
            </w:r>
          </w:p>
        </w:tc>
        <w:tc>
          <w:tcPr>
            <w:tcW w:w="2268" w:type="dxa"/>
            <w:tcBorders>
              <w:left w:val="nil"/>
              <w:bottom w:val="single" w:sz="4" w:space="0" w:color="auto"/>
              <w:right w:val="nil"/>
            </w:tcBorders>
            <w:shd w:val="clear" w:color="auto" w:fill="C6D9F1"/>
          </w:tcPr>
          <w:p w:rsidR="00A62820" w:rsidRPr="008954A8" w:rsidRDefault="00A62820" w:rsidP="00F01A85">
            <w:pPr>
              <w:pStyle w:val="ARProgramTableHeading"/>
              <w:keepNext/>
              <w:spacing w:before="0" w:after="0" w:line="300" w:lineRule="exact"/>
              <w:rPr>
                <w:rtl/>
                <w:lang w:bidi="ar-SA"/>
              </w:rPr>
            </w:pPr>
            <w:r w:rsidRPr="008954A8">
              <w:rPr>
                <w:rFonts w:hint="cs"/>
                <w:rtl/>
                <w:lang w:bidi="ar-SA"/>
              </w:rPr>
              <w:t>مؤشرات الأداء</w:t>
            </w:r>
          </w:p>
        </w:tc>
        <w:tc>
          <w:tcPr>
            <w:tcW w:w="2693" w:type="dxa"/>
            <w:tcBorders>
              <w:left w:val="nil"/>
              <w:bottom w:val="single" w:sz="4" w:space="0" w:color="auto"/>
              <w:right w:val="nil"/>
            </w:tcBorders>
            <w:shd w:val="clear" w:color="auto" w:fill="C6D9F1"/>
          </w:tcPr>
          <w:p w:rsidR="00A62820" w:rsidRPr="008954A8" w:rsidRDefault="00A62820" w:rsidP="00F01A85">
            <w:pPr>
              <w:pStyle w:val="ARProgramTableHeading"/>
              <w:keepNext/>
              <w:spacing w:before="0" w:after="0" w:line="300" w:lineRule="exact"/>
              <w:rPr>
                <w:rtl/>
                <w:lang w:bidi="ar-SA"/>
              </w:rPr>
            </w:pPr>
            <w:r w:rsidRPr="008954A8">
              <w:rPr>
                <w:rFonts w:hint="cs"/>
                <w:rtl/>
                <w:lang w:bidi="ar-SA"/>
              </w:rPr>
              <w:t>أسس المقارنة</w:t>
            </w:r>
          </w:p>
        </w:tc>
        <w:tc>
          <w:tcPr>
            <w:tcW w:w="1951" w:type="dxa"/>
            <w:tcBorders>
              <w:left w:val="nil"/>
              <w:bottom w:val="single" w:sz="4" w:space="0" w:color="auto"/>
            </w:tcBorders>
            <w:shd w:val="clear" w:color="auto" w:fill="C6D9F1"/>
          </w:tcPr>
          <w:p w:rsidR="00A62820" w:rsidRPr="008954A8" w:rsidRDefault="00A62820" w:rsidP="00F01A85">
            <w:pPr>
              <w:pStyle w:val="ARProgramTableHeading"/>
              <w:keepNext/>
              <w:spacing w:before="0" w:after="0" w:line="300" w:lineRule="exact"/>
              <w:rPr>
                <w:rtl/>
                <w:lang w:bidi="ar-SA"/>
              </w:rPr>
            </w:pPr>
            <w:r w:rsidRPr="008954A8">
              <w:rPr>
                <w:rFonts w:hint="cs"/>
                <w:rtl/>
                <w:lang w:bidi="ar-SA"/>
              </w:rPr>
              <w:t>الأهداف</w:t>
            </w:r>
          </w:p>
        </w:tc>
      </w:tr>
      <w:tr w:rsidR="00A62820" w:rsidRPr="008954A8" w:rsidTr="00F01A85">
        <w:tc>
          <w:tcPr>
            <w:tcW w:w="2658" w:type="dxa"/>
            <w:tcBorders>
              <w:top w:val="single" w:sz="4" w:space="0" w:color="auto"/>
              <w:left w:val="single" w:sz="4" w:space="0" w:color="auto"/>
              <w:bottom w:val="nil"/>
              <w:right w:val="nil"/>
            </w:tcBorders>
          </w:tcPr>
          <w:p w:rsidR="00A62820" w:rsidRPr="003A39AB" w:rsidRDefault="009800D4" w:rsidP="00F01A85">
            <w:pPr>
              <w:pStyle w:val="ARNormal"/>
              <w:keepNext/>
              <w:spacing w:after="0" w:line="300" w:lineRule="exact"/>
              <w:jc w:val="left"/>
              <w:rPr>
                <w:sz w:val="30"/>
                <w:szCs w:val="30"/>
                <w:rtl/>
              </w:rPr>
            </w:pPr>
            <w:r>
              <w:rPr>
                <w:sz w:val="30"/>
                <w:szCs w:val="30"/>
                <w:rtl/>
              </w:rPr>
              <w:t>ه</w:t>
            </w:r>
            <w:r w:rsidR="00A62820">
              <w:rPr>
                <w:rFonts w:hint="cs"/>
                <w:sz w:val="30"/>
                <w:szCs w:val="30"/>
                <w:rtl/>
              </w:rPr>
              <w:t xml:space="preserve"> 1</w:t>
            </w:r>
            <w:r w:rsidR="00A62820" w:rsidRPr="003A39AB">
              <w:rPr>
                <w:sz w:val="30"/>
                <w:szCs w:val="30"/>
                <w:rtl/>
              </w:rPr>
              <w:t>.</w:t>
            </w:r>
            <w:r w:rsidR="00A62820">
              <w:rPr>
                <w:rFonts w:hint="cs"/>
                <w:sz w:val="30"/>
                <w:szCs w:val="30"/>
                <w:rtl/>
              </w:rPr>
              <w:t xml:space="preserve">1 </w:t>
            </w:r>
            <w:r w:rsidR="00A62820" w:rsidRPr="003761BF">
              <w:rPr>
                <w:sz w:val="30"/>
                <w:szCs w:val="30"/>
                <w:rtl/>
              </w:rPr>
              <w:t>تعاون معزز بين الدول الأعضاء في وضع أطر معيارية دولية متوازنة في مجال الملكية الفكرية</w:t>
            </w:r>
          </w:p>
        </w:tc>
        <w:tc>
          <w:tcPr>
            <w:tcW w:w="2268" w:type="dxa"/>
            <w:tcBorders>
              <w:top w:val="single" w:sz="4" w:space="0" w:color="auto"/>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حالات التصديق على معاهدة مراكش و/أو حالات الانضمام إليها</w:t>
            </w:r>
          </w:p>
        </w:tc>
        <w:tc>
          <w:tcPr>
            <w:tcW w:w="2693" w:type="dxa"/>
            <w:tcBorders>
              <w:top w:val="single" w:sz="4" w:space="0" w:color="auto"/>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صفر (</w:t>
            </w:r>
            <w:r>
              <w:rPr>
                <w:lang w:bidi="ar-SA"/>
              </w:rPr>
              <w:t>WSO</w:t>
            </w:r>
            <w:r>
              <w:rPr>
                <w:rFonts w:hint="cs"/>
                <w:rtl/>
                <w:lang w:bidi="ar-SA"/>
              </w:rPr>
              <w:t>)</w:t>
            </w:r>
            <w:r>
              <w:rPr>
                <w:rFonts w:hint="cs"/>
                <w:rtl/>
                <w:lang w:bidi="ar-SA"/>
              </w:rPr>
              <w:br/>
              <w:t>صفر (</w:t>
            </w:r>
            <w:r>
              <w:rPr>
                <w:lang w:bidi="ar-SA"/>
              </w:rPr>
              <w:t>WBO</w:t>
            </w:r>
            <w:r>
              <w:rPr>
                <w:rFonts w:hint="cs"/>
                <w:rtl/>
                <w:lang w:bidi="ar-SA"/>
              </w:rPr>
              <w:t>)</w:t>
            </w:r>
            <w:r>
              <w:rPr>
                <w:rFonts w:hint="cs"/>
                <w:rtl/>
                <w:lang w:bidi="ar-SA"/>
              </w:rPr>
              <w:br/>
              <w:t>صفر (</w:t>
            </w:r>
            <w:r>
              <w:rPr>
                <w:lang w:bidi="ar-SA"/>
              </w:rPr>
              <w:t>WJO</w:t>
            </w:r>
            <w:r>
              <w:rPr>
                <w:rFonts w:hint="cs"/>
                <w:rtl/>
                <w:lang w:bidi="ar-SA"/>
              </w:rPr>
              <w:t>)</w:t>
            </w:r>
            <w:r>
              <w:rPr>
                <w:rFonts w:hint="cs"/>
                <w:rtl/>
                <w:lang w:bidi="ar-SA"/>
              </w:rPr>
              <w:br/>
              <w:t>صفر (</w:t>
            </w:r>
            <w:r>
              <w:rPr>
                <w:lang w:bidi="ar-SA"/>
              </w:rPr>
              <w:t>WRO</w:t>
            </w:r>
            <w:r>
              <w:rPr>
                <w:rFonts w:hint="cs"/>
                <w:rtl/>
                <w:lang w:bidi="ar-SA"/>
              </w:rPr>
              <w:t>)</w:t>
            </w:r>
            <w:r>
              <w:rPr>
                <w:rFonts w:hint="cs"/>
                <w:rtl/>
                <w:lang w:bidi="ar-SA"/>
              </w:rPr>
              <w:br/>
              <w:t>صفر (</w:t>
            </w:r>
            <w:r w:rsidR="00111BE5">
              <w:rPr>
                <w:lang w:bidi="ar-SA"/>
              </w:rPr>
              <w:t>WOC</w:t>
            </w:r>
            <w:r>
              <w:rPr>
                <w:rFonts w:hint="cs"/>
                <w:rtl/>
                <w:lang w:bidi="ar-SA"/>
              </w:rPr>
              <w:t>)</w:t>
            </w:r>
            <w:r>
              <w:rPr>
                <w:rFonts w:hint="cs"/>
                <w:rtl/>
                <w:lang w:bidi="ar-SA"/>
              </w:rPr>
              <w:br/>
            </w:r>
          </w:p>
        </w:tc>
        <w:tc>
          <w:tcPr>
            <w:tcW w:w="1951" w:type="dxa"/>
            <w:tcBorders>
              <w:top w:val="single" w:sz="4" w:space="0" w:color="auto"/>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2 (</w:t>
            </w:r>
            <w:r>
              <w:rPr>
                <w:lang w:bidi="ar-SA"/>
              </w:rPr>
              <w:t>WSO</w:t>
            </w:r>
            <w:r>
              <w:rPr>
                <w:rFonts w:hint="cs"/>
                <w:rtl/>
                <w:lang w:bidi="ar-SA"/>
              </w:rPr>
              <w:t>)</w:t>
            </w:r>
            <w:r>
              <w:rPr>
                <w:rFonts w:hint="cs"/>
                <w:rtl/>
                <w:lang w:bidi="ar-SA"/>
              </w:rPr>
              <w:br/>
              <w:t>1 (</w:t>
            </w:r>
            <w:r>
              <w:rPr>
                <w:lang w:bidi="ar-SA"/>
              </w:rPr>
              <w:t>WBO</w:t>
            </w:r>
            <w:r>
              <w:rPr>
                <w:rFonts w:hint="cs"/>
                <w:rtl/>
                <w:lang w:bidi="ar-SA"/>
              </w:rPr>
              <w:t>)</w:t>
            </w:r>
            <w:r>
              <w:rPr>
                <w:rFonts w:hint="cs"/>
                <w:rtl/>
                <w:lang w:bidi="ar-SA"/>
              </w:rPr>
              <w:br/>
              <w:t>1 (</w:t>
            </w:r>
            <w:r>
              <w:rPr>
                <w:lang w:bidi="ar-SA"/>
              </w:rPr>
              <w:t>WJO</w:t>
            </w:r>
            <w:r>
              <w:rPr>
                <w:rFonts w:hint="cs"/>
                <w:rtl/>
                <w:lang w:bidi="ar-SA"/>
              </w:rPr>
              <w:t>)</w:t>
            </w:r>
            <w:r>
              <w:rPr>
                <w:rFonts w:hint="cs"/>
                <w:rtl/>
                <w:lang w:bidi="ar-SA"/>
              </w:rPr>
              <w:br/>
              <w:t>1 (</w:t>
            </w:r>
            <w:r>
              <w:rPr>
                <w:lang w:bidi="ar-SA"/>
              </w:rPr>
              <w:t>WRO</w:t>
            </w:r>
            <w:r>
              <w:rPr>
                <w:rFonts w:hint="cs"/>
                <w:rtl/>
                <w:lang w:bidi="ar-SA"/>
              </w:rPr>
              <w:t>)</w:t>
            </w:r>
            <w:r>
              <w:rPr>
                <w:rFonts w:hint="cs"/>
                <w:rtl/>
                <w:lang w:bidi="ar-SA"/>
              </w:rPr>
              <w:br/>
              <w:t>1 (</w:t>
            </w:r>
            <w:r w:rsidR="00111BE5">
              <w:rPr>
                <w:lang w:bidi="ar-SA"/>
              </w:rPr>
              <w:t>WOC</w:t>
            </w:r>
            <w:r>
              <w:rPr>
                <w:rFonts w:hint="cs"/>
                <w:rtl/>
                <w:lang w:bidi="ar-SA"/>
              </w:rPr>
              <w:t>)</w:t>
            </w:r>
            <w:r>
              <w:rPr>
                <w:rFonts w:hint="cs"/>
                <w:rtl/>
                <w:lang w:bidi="ar-SA"/>
              </w:rPr>
              <w:br/>
            </w:r>
          </w:p>
        </w:tc>
      </w:tr>
      <w:tr w:rsidR="00A62820" w:rsidRPr="008954A8" w:rsidTr="00F01A85">
        <w:tc>
          <w:tcPr>
            <w:tcW w:w="2658" w:type="dxa"/>
            <w:tcBorders>
              <w:top w:val="nil"/>
              <w:left w:val="single" w:sz="4" w:space="0" w:color="auto"/>
              <w:bottom w:val="nil"/>
              <w:right w:val="nil"/>
            </w:tcBorders>
          </w:tcPr>
          <w:p w:rsidR="00A62820" w:rsidRPr="003A39AB" w:rsidRDefault="00A62820" w:rsidP="00F01A85">
            <w:pPr>
              <w:pStyle w:val="ARNormal"/>
              <w:spacing w:after="0" w:line="300" w:lineRule="exact"/>
              <w:jc w:val="left"/>
              <w:rPr>
                <w:sz w:val="30"/>
                <w:szCs w:val="30"/>
                <w:rtl/>
              </w:rPr>
            </w:pP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حالات التصديق على معاهدة بيجين و/أو حالات الانضمام إليها</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2 (</w:t>
            </w:r>
            <w:r>
              <w:rPr>
                <w:lang w:bidi="ar-SA"/>
              </w:rPr>
              <w:t>WSO</w:t>
            </w:r>
            <w:r>
              <w:rPr>
                <w:rFonts w:hint="cs"/>
                <w:rtl/>
                <w:lang w:bidi="ar-SA"/>
              </w:rPr>
              <w:t>)</w:t>
            </w:r>
            <w:r>
              <w:rPr>
                <w:rFonts w:hint="cs"/>
                <w:rtl/>
                <w:lang w:bidi="ar-SA"/>
              </w:rPr>
              <w:br/>
              <w:t>صفر (</w:t>
            </w:r>
            <w:r>
              <w:rPr>
                <w:lang w:bidi="ar-SA"/>
              </w:rPr>
              <w:t>WJO</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حالة إضافية واحدة (</w:t>
            </w:r>
            <w:r>
              <w:rPr>
                <w:lang w:bidi="ar-SA"/>
              </w:rPr>
              <w:t>WSO</w:t>
            </w:r>
            <w:r>
              <w:rPr>
                <w:rFonts w:hint="cs"/>
                <w:rtl/>
                <w:lang w:bidi="ar-SA"/>
              </w:rPr>
              <w:t>)</w:t>
            </w:r>
            <w:r>
              <w:rPr>
                <w:rtl/>
                <w:lang w:bidi="ar-SA"/>
              </w:rPr>
              <w:br/>
            </w:r>
            <w:r>
              <w:rPr>
                <w:rFonts w:hint="cs"/>
                <w:rtl/>
                <w:lang w:bidi="ar-SA"/>
              </w:rPr>
              <w:t>1 (</w:t>
            </w:r>
            <w:r>
              <w:rPr>
                <w:lang w:bidi="ar-SA"/>
              </w:rPr>
              <w:t>WJO</w:t>
            </w:r>
            <w:r>
              <w:rPr>
                <w:rFonts w:hint="cs"/>
                <w:rtl/>
                <w:lang w:bidi="ar-SA"/>
              </w:rPr>
              <w:t>)</w:t>
            </w:r>
          </w:p>
        </w:tc>
      </w:tr>
      <w:tr w:rsidR="00A62820" w:rsidRPr="008954A8" w:rsidTr="00F01A85">
        <w:tc>
          <w:tcPr>
            <w:tcW w:w="2658" w:type="dxa"/>
            <w:tcBorders>
              <w:top w:val="nil"/>
              <w:left w:val="single" w:sz="4" w:space="0" w:color="auto"/>
              <w:bottom w:val="nil"/>
              <w:right w:val="nil"/>
            </w:tcBorders>
          </w:tcPr>
          <w:p w:rsidR="00A62820" w:rsidRPr="003A39AB" w:rsidRDefault="00A62820" w:rsidP="00F01A85">
            <w:pPr>
              <w:pStyle w:val="ARNormal"/>
              <w:spacing w:after="0" w:line="300" w:lineRule="exact"/>
              <w:jc w:val="left"/>
              <w:rPr>
                <w:sz w:val="30"/>
                <w:szCs w:val="30"/>
                <w:rtl/>
              </w:rPr>
            </w:pP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حالات التصديق على معاهدات الإنترنت و/أو حالات الانضمام إليها</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معاهدة الويبو بشأن حق المؤلف:</w:t>
            </w:r>
            <w:r>
              <w:rPr>
                <w:rFonts w:hint="cs"/>
                <w:rtl/>
                <w:lang w:bidi="ar-SA"/>
              </w:rPr>
              <w:br/>
              <w:t>4 (</w:t>
            </w:r>
            <w:r>
              <w:rPr>
                <w:lang w:bidi="ar-SA"/>
              </w:rPr>
              <w:t>WSO</w:t>
            </w:r>
            <w:r>
              <w:rPr>
                <w:rFonts w:hint="cs"/>
                <w:rtl/>
                <w:lang w:bidi="ar-SA"/>
              </w:rPr>
              <w:t>)</w:t>
            </w:r>
            <w:r>
              <w:rPr>
                <w:rtl/>
                <w:lang w:bidi="ar-SA"/>
              </w:rPr>
              <w:br/>
            </w:r>
            <w:r>
              <w:rPr>
                <w:rtl/>
                <w:lang w:bidi="ar-SA"/>
              </w:rPr>
              <w:br/>
            </w:r>
            <w:r>
              <w:rPr>
                <w:rFonts w:hint="cs"/>
                <w:rtl/>
                <w:lang w:bidi="ar-SA"/>
              </w:rPr>
              <w:br/>
              <w:t xml:space="preserve">معاهدة الويبو بشأن الأداء والتسجيل الصوتي: </w:t>
            </w:r>
            <w:r>
              <w:rPr>
                <w:rtl/>
                <w:lang w:bidi="ar-SA"/>
              </w:rPr>
              <w:br/>
            </w:r>
            <w:r>
              <w:rPr>
                <w:rFonts w:hint="cs"/>
                <w:rtl/>
                <w:lang w:bidi="ar-SA"/>
              </w:rPr>
              <w:t>4 (</w:t>
            </w:r>
            <w:r>
              <w:rPr>
                <w:lang w:bidi="ar-SA"/>
              </w:rPr>
              <w:t>WSO</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حالة إضافية واحدة (</w:t>
            </w:r>
            <w:r>
              <w:rPr>
                <w:lang w:bidi="ar-SA"/>
              </w:rPr>
              <w:t>WSO</w:t>
            </w:r>
            <w:r>
              <w:rPr>
                <w:rFonts w:hint="cs"/>
                <w:rtl/>
                <w:lang w:bidi="ar-SA"/>
              </w:rPr>
              <w:t>)</w:t>
            </w:r>
            <w:r>
              <w:rPr>
                <w:rtl/>
                <w:lang w:bidi="ar-SA"/>
              </w:rPr>
              <w:br/>
            </w:r>
            <w:r>
              <w:rPr>
                <w:rFonts w:hint="cs"/>
                <w:rtl/>
                <w:lang w:bidi="ar-SA"/>
              </w:rPr>
              <w:br/>
            </w:r>
            <w:r>
              <w:rPr>
                <w:rFonts w:hint="cs"/>
                <w:rtl/>
                <w:lang w:bidi="ar-SA"/>
              </w:rPr>
              <w:br/>
            </w:r>
            <w:r>
              <w:rPr>
                <w:rFonts w:hint="cs"/>
                <w:rtl/>
                <w:lang w:bidi="ar-SA"/>
              </w:rPr>
              <w:br/>
              <w:t>حالة إضافية واحدة (</w:t>
            </w:r>
            <w:r>
              <w:rPr>
                <w:lang w:bidi="ar-SA"/>
              </w:rPr>
              <w:t>WSO</w:t>
            </w:r>
            <w:r>
              <w:rPr>
                <w:rFonts w:hint="cs"/>
                <w:rtl/>
                <w:lang w:bidi="ar-SA"/>
              </w:rPr>
              <w:t>)</w:t>
            </w: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1</w:t>
            </w:r>
            <w:r w:rsidR="00A62820" w:rsidRPr="003A39AB">
              <w:rPr>
                <w:sz w:val="30"/>
                <w:szCs w:val="30"/>
                <w:rtl/>
              </w:rPr>
              <w:t>.</w:t>
            </w:r>
            <w:r w:rsidR="00A62820">
              <w:rPr>
                <w:rFonts w:hint="cs"/>
                <w:sz w:val="30"/>
                <w:szCs w:val="30"/>
                <w:rtl/>
              </w:rPr>
              <w:t xml:space="preserve">2 </w:t>
            </w:r>
            <w:r w:rsidR="00A62820" w:rsidRPr="00D145A5">
              <w:rPr>
                <w:sz w:val="30"/>
                <w:szCs w:val="30"/>
                <w:rtl/>
              </w:rPr>
              <w:t>استخدام نظام معاهدة التعاون بشأن البراءات على نطاق أوسع وبفعالية أكبر لإيداع طلبات البراءات الدولية</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الطلبات المودعة بناء على معاهدة البراءات</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387 1 (في 2014) (</w:t>
            </w:r>
            <w:r>
              <w:rPr>
                <w:lang w:bidi="ar-SA"/>
              </w:rPr>
              <w:t>WSO</w:t>
            </w:r>
            <w:r>
              <w:rPr>
                <w:rFonts w:hint="cs"/>
                <w:rtl/>
                <w:lang w:bidi="ar-SA"/>
              </w:rPr>
              <w:t>)</w:t>
            </w:r>
            <w:r>
              <w:rPr>
                <w:rtl/>
                <w:lang w:bidi="ar-SA"/>
              </w:rPr>
              <w:br/>
            </w:r>
            <w:r>
              <w:rPr>
                <w:rFonts w:hint="cs"/>
                <w:rtl/>
                <w:lang w:bidi="ar-SA"/>
              </w:rPr>
              <w:t>581 (في 2014) (</w:t>
            </w:r>
            <w:r>
              <w:rPr>
                <w:lang w:bidi="ar-SA"/>
              </w:rPr>
              <w:t>WBO</w:t>
            </w:r>
            <w:r>
              <w:rPr>
                <w:rFonts w:hint="cs"/>
                <w:rtl/>
                <w:lang w:bidi="ar-SA"/>
              </w:rPr>
              <w:t>)</w:t>
            </w:r>
            <w:r>
              <w:rPr>
                <w:rtl/>
                <w:lang w:bidi="ar-SA"/>
              </w:rPr>
              <w:br/>
            </w:r>
            <w:r>
              <w:rPr>
                <w:rFonts w:hint="cs"/>
                <w:rtl/>
                <w:lang w:bidi="ar-SA"/>
              </w:rPr>
              <w:t>459 42 (في 2014) (</w:t>
            </w:r>
            <w:r>
              <w:rPr>
                <w:lang w:bidi="ar-SA"/>
              </w:rPr>
              <w:t>WJO</w:t>
            </w:r>
            <w:r>
              <w:rPr>
                <w:rFonts w:hint="cs"/>
                <w:rtl/>
                <w:lang w:bidi="ar-SA"/>
              </w:rPr>
              <w:t>)</w:t>
            </w:r>
            <w:r>
              <w:rPr>
                <w:rtl/>
                <w:lang w:bidi="ar-SA"/>
              </w:rPr>
              <w:br/>
            </w:r>
            <w:r>
              <w:rPr>
                <w:rFonts w:hint="cs"/>
                <w:rtl/>
                <w:lang w:bidi="ar-SA"/>
              </w:rPr>
              <w:t>890 (في 2014) (</w:t>
            </w:r>
            <w:r>
              <w:rPr>
                <w:lang w:bidi="ar-SA"/>
              </w:rPr>
              <w:t>WRO</w:t>
            </w:r>
            <w:r>
              <w:rPr>
                <w:rFonts w:hint="cs"/>
                <w:rtl/>
                <w:lang w:bidi="ar-SA"/>
              </w:rPr>
              <w:t>)</w:t>
            </w:r>
            <w:r>
              <w:rPr>
                <w:rtl/>
                <w:lang w:bidi="ar-SA"/>
              </w:rPr>
              <w:br/>
            </w:r>
            <w:r>
              <w:rPr>
                <w:rFonts w:hint="cs"/>
                <w:rtl/>
                <w:lang w:bidi="ar-SA"/>
              </w:rPr>
              <w:t>539 25 (في 2014) (</w:t>
            </w:r>
            <w:r w:rsidR="00111BE5">
              <w:rPr>
                <w:lang w:bidi="ar-SA"/>
              </w:rPr>
              <w:t>WOC</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زيادة سنوية بنسبة 2% (كل المكاتب)</w:t>
            </w:r>
          </w:p>
        </w:tc>
      </w:tr>
      <w:tr w:rsidR="00A62820" w:rsidRPr="008954A8" w:rsidTr="00F01A85">
        <w:trPr>
          <w:trHeight w:val="919"/>
        </w:trPr>
        <w:tc>
          <w:tcPr>
            <w:tcW w:w="2658" w:type="dxa"/>
            <w:tcBorders>
              <w:top w:val="nil"/>
              <w:left w:val="single" w:sz="4" w:space="0" w:color="auto"/>
              <w:bottom w:val="nil"/>
              <w:right w:val="nil"/>
            </w:tcBorders>
          </w:tcPr>
          <w:p w:rsidR="00A62820" w:rsidRPr="003A39AB" w:rsidRDefault="00A62820" w:rsidP="00F01A85">
            <w:pPr>
              <w:pStyle w:val="ARNormal"/>
              <w:spacing w:after="0" w:line="300" w:lineRule="exact"/>
              <w:jc w:val="left"/>
              <w:rPr>
                <w:sz w:val="30"/>
                <w:szCs w:val="30"/>
                <w:rtl/>
              </w:rPr>
            </w:pP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ا</w:t>
            </w:r>
            <w:r w:rsidRPr="00FE03BF">
              <w:rPr>
                <w:rtl/>
                <w:lang w:bidi="ar-SA"/>
              </w:rPr>
              <w:t xml:space="preserve">لنسبة المئوية لواضعي السياسات والمسؤولين الحكوميين والعاملين في مجال الملكية الفكرية والمشاركين في حلقات العمل </w:t>
            </w:r>
            <w:r>
              <w:rPr>
                <w:rFonts w:hint="cs"/>
                <w:rtl/>
                <w:lang w:bidi="ar-SA"/>
              </w:rPr>
              <w:t>الهادفة</w:t>
            </w:r>
            <w:r w:rsidRPr="00FE03BF">
              <w:rPr>
                <w:rtl/>
                <w:lang w:bidi="ar-SA"/>
              </w:rPr>
              <w:t xml:space="preserve"> ممن لديهم </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93% (</w:t>
            </w:r>
            <w:r>
              <w:rPr>
                <w:lang w:bidi="ar-SA"/>
              </w:rPr>
              <w:t>WSO</w:t>
            </w:r>
            <w:r>
              <w:rPr>
                <w:rFonts w:hint="cs"/>
                <w:rtl/>
                <w:lang w:bidi="ar-SA"/>
              </w:rPr>
              <w:t>)</w:t>
            </w:r>
            <w:r>
              <w:rPr>
                <w:rtl/>
                <w:lang w:bidi="ar-SA"/>
              </w:rPr>
              <w:br/>
            </w:r>
            <w:r>
              <w:rPr>
                <w:rFonts w:hint="cs"/>
                <w:rtl/>
                <w:lang w:bidi="ar-SA"/>
              </w:rPr>
              <w:t>75% (</w:t>
            </w:r>
            <w:r>
              <w:rPr>
                <w:lang w:bidi="ar-SA"/>
              </w:rPr>
              <w:t>WBO</w:t>
            </w:r>
            <w:r>
              <w:rPr>
                <w:rFonts w:hint="cs"/>
                <w:rtl/>
                <w:lang w:bidi="ar-SA"/>
              </w:rPr>
              <w:t>)</w:t>
            </w:r>
            <w:r>
              <w:rPr>
                <w:rtl/>
                <w:lang w:bidi="ar-SA"/>
              </w:rPr>
              <w:br/>
            </w:r>
            <w:r>
              <w:rPr>
                <w:rFonts w:hint="cs"/>
                <w:rtl/>
                <w:lang w:bidi="ar-SA"/>
              </w:rPr>
              <w:t>94% (</w:t>
            </w:r>
            <w:r>
              <w:rPr>
                <w:lang w:bidi="ar-SA"/>
              </w:rPr>
              <w:t>WJO</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75% (كل المكاتب)</w:t>
            </w:r>
          </w:p>
        </w:tc>
      </w:tr>
      <w:tr w:rsidR="00D65E82" w:rsidRPr="008954A8" w:rsidTr="00F01A85">
        <w:trPr>
          <w:trHeight w:val="99"/>
        </w:trPr>
        <w:tc>
          <w:tcPr>
            <w:tcW w:w="2658" w:type="dxa"/>
            <w:tcBorders>
              <w:top w:val="nil"/>
              <w:left w:val="single" w:sz="4" w:space="0" w:color="auto"/>
              <w:bottom w:val="nil"/>
              <w:right w:val="nil"/>
            </w:tcBorders>
          </w:tcPr>
          <w:p w:rsidR="00D65E82" w:rsidRPr="003A39AB" w:rsidRDefault="00D65E82" w:rsidP="00F01A85">
            <w:pPr>
              <w:pStyle w:val="ARNormal"/>
              <w:spacing w:after="0" w:line="300" w:lineRule="exact"/>
              <w:jc w:val="left"/>
              <w:rPr>
                <w:sz w:val="30"/>
                <w:szCs w:val="30"/>
                <w:rtl/>
              </w:rPr>
            </w:pPr>
          </w:p>
        </w:tc>
        <w:tc>
          <w:tcPr>
            <w:tcW w:w="2268" w:type="dxa"/>
            <w:tcBorders>
              <w:top w:val="nil"/>
              <w:left w:val="nil"/>
              <w:bottom w:val="nil"/>
              <w:right w:val="nil"/>
            </w:tcBorders>
          </w:tcPr>
          <w:p w:rsidR="00D65E82" w:rsidRDefault="00D65E82" w:rsidP="00F01A85">
            <w:pPr>
              <w:pStyle w:val="ARProgramTableText"/>
              <w:keepNext/>
              <w:spacing w:before="0" w:after="0" w:line="300" w:lineRule="exact"/>
              <w:rPr>
                <w:rtl/>
                <w:lang w:bidi="ar-SA"/>
              </w:rPr>
            </w:pPr>
            <w:r w:rsidRPr="00FE03BF">
              <w:rPr>
                <w:rtl/>
                <w:lang w:bidi="ar-SA"/>
              </w:rPr>
              <w:t xml:space="preserve">فهم معمّق لنظام </w:t>
            </w:r>
            <w:r>
              <w:rPr>
                <w:rFonts w:hint="cs"/>
                <w:rtl/>
                <w:lang w:bidi="ar-SA"/>
              </w:rPr>
              <w:t>البراءات والمواضيع ذات الصلة</w:t>
            </w:r>
          </w:p>
        </w:tc>
        <w:tc>
          <w:tcPr>
            <w:tcW w:w="2693" w:type="dxa"/>
            <w:tcBorders>
              <w:top w:val="nil"/>
              <w:left w:val="nil"/>
              <w:bottom w:val="nil"/>
              <w:right w:val="nil"/>
            </w:tcBorders>
          </w:tcPr>
          <w:p w:rsidR="00D65E82" w:rsidRDefault="00D65E82" w:rsidP="00F01A85">
            <w:pPr>
              <w:pStyle w:val="ARProgramTableText"/>
              <w:keepNext/>
              <w:spacing w:before="0" w:after="0" w:line="300" w:lineRule="exact"/>
              <w:rPr>
                <w:rtl/>
                <w:lang w:bidi="ar-SA"/>
              </w:rPr>
            </w:pPr>
          </w:p>
        </w:tc>
        <w:tc>
          <w:tcPr>
            <w:tcW w:w="1951" w:type="dxa"/>
            <w:tcBorders>
              <w:top w:val="nil"/>
              <w:left w:val="nil"/>
              <w:bottom w:val="nil"/>
              <w:right w:val="single" w:sz="4" w:space="0" w:color="auto"/>
            </w:tcBorders>
          </w:tcPr>
          <w:p w:rsidR="00D65E82" w:rsidRDefault="00D65E82" w:rsidP="00F01A85">
            <w:pPr>
              <w:pStyle w:val="ARProgramTableText"/>
              <w:keepNext/>
              <w:spacing w:before="0" w:after="0" w:line="300" w:lineRule="exact"/>
              <w:rPr>
                <w:rtl/>
                <w:lang w:bidi="ar-SA"/>
              </w:rPr>
            </w:pP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4.2 </w:t>
            </w:r>
            <w:r w:rsidR="00A62820" w:rsidRPr="00422558">
              <w:rPr>
                <w:sz w:val="30"/>
                <w:szCs w:val="30"/>
                <w:rtl/>
              </w:rPr>
              <w:t>استخدام نظام لاهاي على نطاق أوسع وبفعالية أكبر، بما في ذلك من قبل البلدان النامية والبلدان الأقل نموا</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الأطراف في وثيقة جنيف (1999)</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2 (</w:t>
            </w:r>
            <w:r>
              <w:rPr>
                <w:lang w:bidi="ar-SA"/>
              </w:rPr>
              <w:t>WSO</w:t>
            </w:r>
            <w:r>
              <w:rPr>
                <w:rFonts w:hint="cs"/>
                <w:rtl/>
                <w:lang w:bidi="ar-SA"/>
              </w:rPr>
              <w:t>)</w:t>
            </w:r>
            <w:r>
              <w:rPr>
                <w:rtl/>
                <w:lang w:bidi="ar-SA"/>
              </w:rPr>
              <w:br/>
            </w:r>
            <w:r>
              <w:rPr>
                <w:rFonts w:hint="cs"/>
                <w:rtl/>
                <w:lang w:bidi="ar-SA"/>
              </w:rPr>
              <w:t>صفر (</w:t>
            </w:r>
            <w:r>
              <w:rPr>
                <w:lang w:bidi="ar-SA"/>
              </w:rPr>
              <w:t>WRO</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3 أطراف إضافية (</w:t>
            </w:r>
            <w:proofErr w:type="spellStart"/>
            <w:r>
              <w:rPr>
                <w:lang w:bidi="ar-SA"/>
              </w:rPr>
              <w:t>WSO</w:t>
            </w:r>
            <w:proofErr w:type="spellEnd"/>
            <w:r>
              <w:rPr>
                <w:rFonts w:hint="cs"/>
                <w:rtl/>
                <w:lang w:bidi="ar-SA"/>
              </w:rPr>
              <w:t>)</w:t>
            </w:r>
            <w:r w:rsidR="00F01A85">
              <w:rPr>
                <w:rtl/>
                <w:lang w:bidi="ar-SA"/>
              </w:rPr>
              <w:br/>
            </w:r>
            <w:r w:rsidR="00111BE5">
              <w:rPr>
                <w:rFonts w:hint="cs"/>
                <w:rtl/>
                <w:lang w:bidi="ar-SA"/>
              </w:rPr>
              <w:t>1</w:t>
            </w:r>
            <w:r>
              <w:rPr>
                <w:rFonts w:hint="cs"/>
                <w:rtl/>
                <w:lang w:bidi="ar-SA"/>
              </w:rPr>
              <w:t xml:space="preserve"> (</w:t>
            </w:r>
            <w:r>
              <w:rPr>
                <w:lang w:bidi="ar-SA"/>
              </w:rPr>
              <w:t>WRO</w:t>
            </w:r>
            <w:r>
              <w:rPr>
                <w:rFonts w:hint="cs"/>
                <w:rtl/>
                <w:lang w:bidi="ar-SA"/>
              </w:rPr>
              <w:t>)</w:t>
            </w:r>
          </w:p>
        </w:tc>
      </w:tr>
      <w:tr w:rsidR="00A62820" w:rsidRPr="008954A8" w:rsidTr="00F01A85">
        <w:tc>
          <w:tcPr>
            <w:tcW w:w="2658" w:type="dxa"/>
            <w:tcBorders>
              <w:top w:val="nil"/>
              <w:left w:val="single" w:sz="4" w:space="0" w:color="auto"/>
              <w:bottom w:val="single" w:sz="4" w:space="0" w:color="auto"/>
              <w:right w:val="nil"/>
            </w:tcBorders>
          </w:tcPr>
          <w:p w:rsidR="00A62820" w:rsidRPr="003A39AB" w:rsidRDefault="00A62820" w:rsidP="00F01A85">
            <w:pPr>
              <w:pStyle w:val="ARNormal"/>
              <w:spacing w:after="0" w:line="300" w:lineRule="exact"/>
              <w:jc w:val="left"/>
              <w:rPr>
                <w:sz w:val="30"/>
                <w:szCs w:val="30"/>
                <w:rtl/>
              </w:rPr>
            </w:pPr>
          </w:p>
        </w:tc>
        <w:tc>
          <w:tcPr>
            <w:tcW w:w="2268" w:type="dxa"/>
            <w:tcBorders>
              <w:top w:val="nil"/>
              <w:left w:val="nil"/>
              <w:bottom w:val="single" w:sz="4" w:space="0" w:color="auto"/>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الطلبات بناء على نظام لاهاي</w:t>
            </w:r>
          </w:p>
        </w:tc>
        <w:tc>
          <w:tcPr>
            <w:tcW w:w="2693" w:type="dxa"/>
            <w:tcBorders>
              <w:top w:val="nil"/>
              <w:left w:val="nil"/>
              <w:bottom w:val="single" w:sz="4" w:space="0" w:color="auto"/>
              <w:right w:val="nil"/>
            </w:tcBorders>
          </w:tcPr>
          <w:p w:rsidR="00A62820" w:rsidRDefault="00A62820" w:rsidP="00F01A85">
            <w:pPr>
              <w:pStyle w:val="ARProgramTableText"/>
              <w:keepNext/>
              <w:spacing w:before="0" w:after="0" w:line="300" w:lineRule="exact"/>
              <w:rPr>
                <w:rtl/>
                <w:lang w:bidi="ar-SA"/>
              </w:rPr>
            </w:pPr>
            <w:r>
              <w:rPr>
                <w:rFonts w:hint="cs"/>
                <w:rtl/>
                <w:lang w:bidi="ar-SA"/>
              </w:rPr>
              <w:t>50 (</w:t>
            </w:r>
            <w:r>
              <w:rPr>
                <w:lang w:bidi="ar-SA"/>
              </w:rPr>
              <w:t>WSO</w:t>
            </w:r>
            <w:r>
              <w:rPr>
                <w:rFonts w:hint="cs"/>
                <w:rtl/>
                <w:lang w:bidi="ar-SA"/>
              </w:rPr>
              <w:t>)</w:t>
            </w:r>
            <w:r>
              <w:rPr>
                <w:rtl/>
                <w:lang w:bidi="ar-SA"/>
              </w:rPr>
              <w:br/>
            </w:r>
            <w:r>
              <w:rPr>
                <w:rFonts w:hint="cs"/>
                <w:rtl/>
                <w:lang w:bidi="ar-SA"/>
              </w:rPr>
              <w:t>صفر (</w:t>
            </w:r>
            <w:r>
              <w:rPr>
                <w:lang w:bidi="ar-SA"/>
              </w:rPr>
              <w:t>WJO</w:t>
            </w:r>
            <w:r>
              <w:rPr>
                <w:rFonts w:hint="cs"/>
                <w:rtl/>
                <w:lang w:bidi="ar-SA"/>
              </w:rPr>
              <w:t>)</w:t>
            </w:r>
          </w:p>
        </w:tc>
        <w:tc>
          <w:tcPr>
            <w:tcW w:w="1951" w:type="dxa"/>
            <w:tcBorders>
              <w:top w:val="nil"/>
              <w:left w:val="nil"/>
              <w:bottom w:val="single" w:sz="4" w:space="0" w:color="auto"/>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نمو سنوي بنسبة 2%</w:t>
            </w:r>
          </w:p>
        </w:tc>
      </w:tr>
      <w:tr w:rsidR="00A62820" w:rsidRPr="008954A8" w:rsidTr="00F01A85">
        <w:tc>
          <w:tcPr>
            <w:tcW w:w="2658" w:type="dxa"/>
            <w:tcBorders>
              <w:top w:val="single" w:sz="4" w:space="0" w:color="auto"/>
              <w:left w:val="single" w:sz="4" w:space="0" w:color="auto"/>
              <w:bottom w:val="nil"/>
              <w:right w:val="nil"/>
            </w:tcBorders>
          </w:tcPr>
          <w:p w:rsidR="00A62820" w:rsidRPr="003A39AB" w:rsidRDefault="00A62820" w:rsidP="00F01A85">
            <w:pPr>
              <w:pStyle w:val="ARNormal"/>
              <w:spacing w:after="0" w:line="300" w:lineRule="exact"/>
              <w:jc w:val="left"/>
              <w:rPr>
                <w:sz w:val="30"/>
                <w:szCs w:val="30"/>
                <w:rtl/>
              </w:rPr>
            </w:pPr>
          </w:p>
        </w:tc>
        <w:tc>
          <w:tcPr>
            <w:tcW w:w="2268" w:type="dxa"/>
            <w:tcBorders>
              <w:top w:val="single" w:sz="4" w:space="0" w:color="auto"/>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ا</w:t>
            </w:r>
            <w:r w:rsidRPr="00FE03BF">
              <w:rPr>
                <w:rtl/>
                <w:lang w:bidi="ar-SA"/>
              </w:rPr>
              <w:t xml:space="preserve">لنسبة المئوية لواضعي السياسات والمسؤولين الحكوميين والعاملين في مجال الملكية الفكرية والمشاركين في حلقات العمل </w:t>
            </w:r>
            <w:r>
              <w:rPr>
                <w:rFonts w:hint="cs"/>
                <w:rtl/>
                <w:lang w:bidi="ar-SA"/>
              </w:rPr>
              <w:t>الهادفة</w:t>
            </w:r>
            <w:r w:rsidRPr="00FE03BF">
              <w:rPr>
                <w:rtl/>
                <w:lang w:bidi="ar-SA"/>
              </w:rPr>
              <w:t xml:space="preserve"> ممن لديهم فهم معمّق لنظام </w:t>
            </w:r>
            <w:r>
              <w:rPr>
                <w:rFonts w:hint="cs"/>
                <w:rtl/>
                <w:lang w:bidi="ar-SA"/>
              </w:rPr>
              <w:t>لاهاي</w:t>
            </w:r>
          </w:p>
        </w:tc>
        <w:tc>
          <w:tcPr>
            <w:tcW w:w="2693" w:type="dxa"/>
            <w:tcBorders>
              <w:top w:val="single" w:sz="4" w:space="0" w:color="auto"/>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85% (</w:t>
            </w:r>
            <w:r>
              <w:rPr>
                <w:lang w:bidi="ar-SA"/>
              </w:rPr>
              <w:t>WSO</w:t>
            </w:r>
            <w:r>
              <w:rPr>
                <w:rFonts w:hint="cs"/>
                <w:rtl/>
                <w:lang w:bidi="ar-SA"/>
              </w:rPr>
              <w:t>)</w:t>
            </w:r>
            <w:r>
              <w:rPr>
                <w:rtl/>
                <w:lang w:bidi="ar-SA"/>
              </w:rPr>
              <w:br/>
            </w:r>
            <w:r>
              <w:rPr>
                <w:rFonts w:hint="cs"/>
                <w:rtl/>
                <w:lang w:bidi="ar-SA"/>
              </w:rPr>
              <w:t>75% (</w:t>
            </w:r>
            <w:r>
              <w:rPr>
                <w:lang w:bidi="ar-SA"/>
              </w:rPr>
              <w:t>WBO</w:t>
            </w:r>
            <w:r>
              <w:rPr>
                <w:rFonts w:hint="cs"/>
                <w:rtl/>
                <w:lang w:bidi="ar-SA"/>
              </w:rPr>
              <w:t>)</w:t>
            </w:r>
            <w:r>
              <w:rPr>
                <w:rtl/>
                <w:lang w:bidi="ar-SA"/>
              </w:rPr>
              <w:br/>
            </w:r>
            <w:r>
              <w:rPr>
                <w:rFonts w:hint="cs"/>
                <w:rtl/>
                <w:lang w:bidi="ar-SA"/>
              </w:rPr>
              <w:t>94% (</w:t>
            </w:r>
            <w:r>
              <w:rPr>
                <w:lang w:bidi="ar-SA"/>
              </w:rPr>
              <w:t>WJO</w:t>
            </w:r>
            <w:r>
              <w:rPr>
                <w:rFonts w:hint="cs"/>
                <w:rtl/>
                <w:lang w:bidi="ar-SA"/>
              </w:rPr>
              <w:t>)</w:t>
            </w:r>
          </w:p>
        </w:tc>
        <w:tc>
          <w:tcPr>
            <w:tcW w:w="1951" w:type="dxa"/>
            <w:tcBorders>
              <w:top w:val="single" w:sz="4" w:space="0" w:color="auto"/>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75%</w:t>
            </w: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6.2 </w:t>
            </w:r>
            <w:r w:rsidR="00C37500">
              <w:rPr>
                <w:sz w:val="30"/>
                <w:szCs w:val="30"/>
                <w:rtl/>
              </w:rPr>
              <w:t>استخدام نظام</w:t>
            </w:r>
            <w:r w:rsidR="00A62820" w:rsidRPr="003C7E3C">
              <w:rPr>
                <w:sz w:val="30"/>
                <w:szCs w:val="30"/>
                <w:rtl/>
              </w:rPr>
              <w:t xml:space="preserve"> مدريد على نطاق أوسع وبفعالية أكبر، بما في ذلك من قبل البلدان النامية والبلدان الأقل نموا</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مجمل أعضاء نظام مدريد</w:t>
            </w:r>
            <w:r>
              <w:rPr>
                <w:rtl/>
                <w:lang w:bidi="ar-SA"/>
              </w:rPr>
              <w:br/>
            </w:r>
            <w:r>
              <w:rPr>
                <w:rFonts w:hint="cs"/>
                <w:rtl/>
                <w:lang w:bidi="ar-SA"/>
              </w:rPr>
              <w:br/>
              <w:t>عدد الطلبات بناء على نظام مدريد</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4 (</w:t>
            </w:r>
            <w:r>
              <w:rPr>
                <w:lang w:bidi="ar-SA"/>
              </w:rPr>
              <w:t>WSO</w:t>
            </w:r>
            <w:r>
              <w:rPr>
                <w:rFonts w:hint="cs"/>
                <w:rtl/>
                <w:lang w:bidi="ar-SA"/>
              </w:rPr>
              <w:t>)</w:t>
            </w:r>
            <w:r>
              <w:rPr>
                <w:rtl/>
                <w:lang w:bidi="ar-SA"/>
              </w:rPr>
              <w:br/>
            </w:r>
            <w:r>
              <w:rPr>
                <w:rFonts w:hint="cs"/>
                <w:rtl/>
                <w:lang w:bidi="ar-SA"/>
              </w:rPr>
              <w:br/>
              <w:t>351 (</w:t>
            </w:r>
            <w:r>
              <w:rPr>
                <w:lang w:bidi="ar-SA"/>
              </w:rPr>
              <w:t>WSO</w:t>
            </w:r>
            <w:r>
              <w:rPr>
                <w:rFonts w:hint="cs"/>
                <w:rtl/>
                <w:lang w:bidi="ar-SA"/>
              </w:rPr>
              <w:t>)</w:t>
            </w:r>
            <w:r>
              <w:rPr>
                <w:rtl/>
                <w:lang w:bidi="ar-SA"/>
              </w:rPr>
              <w:br/>
            </w:r>
            <w:r>
              <w:rPr>
                <w:rFonts w:hint="cs"/>
                <w:rtl/>
                <w:lang w:bidi="ar-SA"/>
              </w:rPr>
              <w:t>صفر (</w:t>
            </w:r>
            <w:r>
              <w:rPr>
                <w:lang w:bidi="ar-SA"/>
              </w:rPr>
              <w:t>WBO</w:t>
            </w:r>
            <w:r>
              <w:rPr>
                <w:rFonts w:hint="cs"/>
                <w:rtl/>
                <w:lang w:bidi="ar-SA"/>
              </w:rPr>
              <w:t>)</w:t>
            </w:r>
            <w:r>
              <w:rPr>
                <w:rtl/>
                <w:lang w:bidi="ar-SA"/>
              </w:rPr>
              <w:br/>
            </w:r>
            <w:r>
              <w:rPr>
                <w:rFonts w:hint="cs"/>
                <w:rtl/>
                <w:lang w:bidi="ar-SA"/>
              </w:rPr>
              <w:t>033 2 (</w:t>
            </w:r>
            <w:r>
              <w:rPr>
                <w:lang w:bidi="ar-SA"/>
              </w:rPr>
              <w:t>WJO</w:t>
            </w:r>
            <w:r>
              <w:rPr>
                <w:rFonts w:hint="cs"/>
                <w:rtl/>
                <w:lang w:bidi="ar-SA"/>
              </w:rPr>
              <w:t>)</w:t>
            </w:r>
            <w:r>
              <w:rPr>
                <w:rtl/>
                <w:lang w:bidi="ar-SA"/>
              </w:rPr>
              <w:br/>
            </w:r>
            <w:r>
              <w:rPr>
                <w:rFonts w:hint="cs"/>
                <w:rtl/>
                <w:lang w:bidi="ar-SA"/>
              </w:rPr>
              <w:t>543 1 (</w:t>
            </w:r>
            <w:r>
              <w:rPr>
                <w:lang w:bidi="ar-SA"/>
              </w:rPr>
              <w:t>WRO</w:t>
            </w:r>
            <w:r>
              <w:rPr>
                <w:rFonts w:hint="cs"/>
                <w:rtl/>
                <w:lang w:bidi="ar-SA"/>
              </w:rPr>
              <w:t>)</w:t>
            </w:r>
            <w:r>
              <w:rPr>
                <w:rtl/>
                <w:lang w:bidi="ar-SA"/>
              </w:rPr>
              <w:br/>
            </w:r>
            <w:r>
              <w:rPr>
                <w:rFonts w:hint="cs"/>
                <w:rtl/>
                <w:lang w:bidi="ar-SA"/>
              </w:rPr>
              <w:t>140 2 (</w:t>
            </w:r>
            <w:r w:rsidR="00111BE5">
              <w:rPr>
                <w:lang w:bidi="ar-SA"/>
              </w:rPr>
              <w:t>WOC</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5 أعضاء إضافية (</w:t>
            </w:r>
            <w:r>
              <w:rPr>
                <w:lang w:bidi="ar-SA"/>
              </w:rPr>
              <w:t>WSO</w:t>
            </w:r>
            <w:r>
              <w:rPr>
                <w:rFonts w:hint="cs"/>
                <w:rtl/>
                <w:lang w:bidi="ar-SA"/>
              </w:rPr>
              <w:t>)</w:t>
            </w:r>
            <w:r>
              <w:rPr>
                <w:rtl/>
                <w:lang w:bidi="ar-SA"/>
              </w:rPr>
              <w:br/>
            </w:r>
            <w:r>
              <w:rPr>
                <w:rFonts w:hint="cs"/>
                <w:rtl/>
                <w:lang w:bidi="ar-SA"/>
              </w:rPr>
              <w:t>نمو سنوي بنسبة 2% (كل المكاتب)</w:t>
            </w:r>
          </w:p>
        </w:tc>
      </w:tr>
      <w:tr w:rsidR="00A62820" w:rsidRPr="008954A8" w:rsidTr="00F01A85">
        <w:tc>
          <w:tcPr>
            <w:tcW w:w="2658" w:type="dxa"/>
            <w:tcBorders>
              <w:top w:val="nil"/>
              <w:left w:val="single" w:sz="4" w:space="0" w:color="auto"/>
              <w:bottom w:val="nil"/>
              <w:right w:val="nil"/>
            </w:tcBorders>
          </w:tcPr>
          <w:p w:rsidR="00A62820" w:rsidRPr="003A39AB" w:rsidRDefault="00A62820" w:rsidP="00F01A85">
            <w:pPr>
              <w:pStyle w:val="ARNormal"/>
              <w:spacing w:after="0" w:line="300" w:lineRule="exact"/>
              <w:jc w:val="left"/>
              <w:rPr>
                <w:sz w:val="30"/>
                <w:szCs w:val="30"/>
                <w:rtl/>
              </w:rPr>
            </w:pP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ا</w:t>
            </w:r>
            <w:r w:rsidRPr="00FE03BF">
              <w:rPr>
                <w:rtl/>
                <w:lang w:bidi="ar-SA"/>
              </w:rPr>
              <w:t xml:space="preserve">لنسبة المئوية لواضعي السياسات والمسؤولين الحكوميين والعاملين في مجال الملكية الفكرية والمشاركين في حلقات العمل </w:t>
            </w:r>
            <w:r>
              <w:rPr>
                <w:rFonts w:hint="cs"/>
                <w:rtl/>
                <w:lang w:bidi="ar-SA"/>
              </w:rPr>
              <w:t>الهادفة</w:t>
            </w:r>
            <w:r w:rsidRPr="00FE03BF">
              <w:rPr>
                <w:rtl/>
                <w:lang w:bidi="ar-SA"/>
              </w:rPr>
              <w:t xml:space="preserve"> ممن لديهم فهم معمّق لنظام </w:t>
            </w:r>
            <w:r>
              <w:rPr>
                <w:rFonts w:hint="cs"/>
                <w:rtl/>
                <w:lang w:bidi="ar-SA"/>
              </w:rPr>
              <w:t>مدريد</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89% استنادا إلى ردود المشاركين (</w:t>
            </w:r>
            <w:r>
              <w:rPr>
                <w:lang w:bidi="ar-SA"/>
              </w:rPr>
              <w:t>WSO</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75%</w:t>
            </w: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2.3 </w:t>
            </w:r>
            <w:r w:rsidR="00A62820" w:rsidRPr="00C44CFC">
              <w:rPr>
                <w:sz w:val="30"/>
                <w:szCs w:val="30"/>
                <w:rtl/>
              </w:rPr>
              <w:t>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النسبة المئوية لواضعي السياسات والمسؤولين الحكوميين والعاملين في مجال الملكية الفكرية وسائر الفئات المستهدفة، بما في ذلك الجامعات ومنظمات الإدارة الجماعية والصحفيون، ممن لديهم فهم معمّق لسياسات الملكية الفكرية وكيفية الانتفاع على نحو فعال بتطور الملكية الفكرية</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100% من المشاركين اتفقوا على أن المهارات والمعارف المكتسبة من الندوة جلبت قيمة مضافة إلى منظمتهم (</w:t>
            </w:r>
            <w:r>
              <w:rPr>
                <w:lang w:bidi="ar-SA"/>
              </w:rPr>
              <w:t>WSO</w:t>
            </w:r>
            <w:r>
              <w:rPr>
                <w:rFonts w:hint="cs"/>
                <w:rtl/>
                <w:lang w:bidi="ar-SA"/>
              </w:rPr>
              <w:t>)</w:t>
            </w:r>
            <w:r>
              <w:rPr>
                <w:rtl/>
                <w:lang w:bidi="ar-SA"/>
              </w:rPr>
              <w:br/>
            </w:r>
            <w:r>
              <w:rPr>
                <w:rFonts w:hint="cs"/>
                <w:rtl/>
                <w:lang w:bidi="ar-SA"/>
              </w:rPr>
              <w:t>75% (</w:t>
            </w:r>
            <w:r>
              <w:rPr>
                <w:lang w:bidi="ar-SA"/>
              </w:rPr>
              <w:t>WBO</w:t>
            </w:r>
            <w:r>
              <w:rPr>
                <w:rFonts w:hint="cs"/>
                <w:rtl/>
                <w:lang w:bidi="ar-SA"/>
              </w:rPr>
              <w:t>)</w:t>
            </w:r>
            <w:r>
              <w:rPr>
                <w:rtl/>
                <w:lang w:bidi="ar-SA"/>
              </w:rPr>
              <w:br/>
            </w:r>
            <w:r>
              <w:rPr>
                <w:rFonts w:hint="cs"/>
                <w:rtl/>
                <w:lang w:bidi="ar-SA"/>
              </w:rPr>
              <w:t>غير متاحة (</w:t>
            </w:r>
            <w:r>
              <w:rPr>
                <w:lang w:bidi="ar-SA"/>
              </w:rPr>
              <w:t>WJO</w:t>
            </w:r>
            <w:r>
              <w:rPr>
                <w:rFonts w:hint="cs"/>
                <w:rtl/>
                <w:lang w:bidi="ar-SA"/>
              </w:rPr>
              <w:t xml:space="preserve">) (لم ينظم مكتب الويبو في اليابان ندوات في عام 2014) </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75%</w:t>
            </w:r>
          </w:p>
        </w:tc>
      </w:tr>
      <w:tr w:rsidR="00A62820" w:rsidRPr="008954A8" w:rsidTr="00F01A85">
        <w:tc>
          <w:tcPr>
            <w:tcW w:w="2658" w:type="dxa"/>
            <w:tcBorders>
              <w:top w:val="nil"/>
              <w:left w:val="single" w:sz="4" w:space="0" w:color="auto"/>
              <w:bottom w:val="single" w:sz="4" w:space="0" w:color="auto"/>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2.4 </w:t>
            </w:r>
            <w:r w:rsidR="00A62820" w:rsidRPr="00C44CFC">
              <w:rPr>
                <w:sz w:val="30"/>
                <w:szCs w:val="30"/>
                <w:rtl/>
              </w:rPr>
              <w:t>نفاذ محسّن إلى المعلومات المتعلقة بالملكية الفكرية واستخدامها من قبل مؤسسات الملكية الفكرية والجمهور لتشجيع الابتكار والإبداع</w:t>
            </w:r>
          </w:p>
        </w:tc>
        <w:tc>
          <w:tcPr>
            <w:tcW w:w="2268" w:type="dxa"/>
            <w:tcBorders>
              <w:top w:val="nil"/>
              <w:left w:val="nil"/>
              <w:bottom w:val="single" w:sz="4" w:space="0" w:color="auto"/>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مستخدمي قواعد بيانات الويبو العالمية: ركن البراءات (</w:t>
            </w:r>
            <w:r w:rsidRPr="00210ACC">
              <w:rPr>
                <w:lang w:bidi="ar-SA"/>
              </w:rPr>
              <w:t>PATENTSCOPE</w:t>
            </w:r>
            <w:r>
              <w:rPr>
                <w:rFonts w:hint="cs"/>
                <w:rtl/>
                <w:lang w:bidi="ar-SA"/>
              </w:rPr>
              <w:t>)، وقاعدة البيانات العالمية لأدوات التوسيم، وقاعدة البيانات الخاصة بالتصاميم</w:t>
            </w:r>
          </w:p>
        </w:tc>
        <w:tc>
          <w:tcPr>
            <w:tcW w:w="2693" w:type="dxa"/>
            <w:tcBorders>
              <w:top w:val="nil"/>
              <w:left w:val="nil"/>
              <w:bottom w:val="single" w:sz="4" w:space="0" w:color="auto"/>
              <w:right w:val="nil"/>
            </w:tcBorders>
          </w:tcPr>
          <w:p w:rsidR="00A62820" w:rsidRDefault="00A62820" w:rsidP="00F01A85">
            <w:pPr>
              <w:pStyle w:val="ARProgramTableText"/>
              <w:keepNext/>
              <w:spacing w:before="0" w:after="0" w:line="300" w:lineRule="exact"/>
              <w:rPr>
                <w:rtl/>
                <w:lang w:bidi="ar-SA"/>
              </w:rPr>
            </w:pPr>
            <w:r>
              <w:rPr>
                <w:rFonts w:hint="cs"/>
                <w:rtl/>
                <w:lang w:bidi="ar-SA"/>
              </w:rPr>
              <w:t>ركن البراءات (</w:t>
            </w:r>
            <w:proofErr w:type="spellStart"/>
            <w:r w:rsidRPr="00210ACC">
              <w:rPr>
                <w:lang w:bidi="ar-SA"/>
              </w:rPr>
              <w:t>PATENTSCOPE</w:t>
            </w:r>
            <w:proofErr w:type="spellEnd"/>
            <w:r>
              <w:rPr>
                <w:rFonts w:hint="cs"/>
                <w:rtl/>
                <w:lang w:bidi="ar-SA"/>
              </w:rPr>
              <w:t>):</w:t>
            </w:r>
            <w:r>
              <w:rPr>
                <w:rFonts w:hint="cs"/>
                <w:rtl/>
                <w:lang w:bidi="ar-SA"/>
              </w:rPr>
              <w:br/>
              <w:t>054 8 (</w:t>
            </w:r>
            <w:proofErr w:type="spellStart"/>
            <w:r>
              <w:rPr>
                <w:lang w:bidi="ar-SA"/>
              </w:rPr>
              <w:t>WSO</w:t>
            </w:r>
            <w:proofErr w:type="spellEnd"/>
            <w:r>
              <w:rPr>
                <w:rFonts w:hint="cs"/>
                <w:rtl/>
                <w:lang w:bidi="ar-SA"/>
              </w:rPr>
              <w:t>)</w:t>
            </w:r>
            <w:r>
              <w:rPr>
                <w:rtl/>
                <w:lang w:bidi="ar-SA"/>
              </w:rPr>
              <w:br/>
            </w:r>
            <w:r>
              <w:rPr>
                <w:rFonts w:hint="cs"/>
                <w:rtl/>
                <w:lang w:bidi="ar-SA"/>
              </w:rPr>
              <w:t>688 4 (</w:t>
            </w:r>
            <w:proofErr w:type="spellStart"/>
            <w:r>
              <w:rPr>
                <w:lang w:bidi="ar-SA"/>
              </w:rPr>
              <w:t>WBO</w:t>
            </w:r>
            <w:proofErr w:type="spellEnd"/>
            <w:r>
              <w:rPr>
                <w:rFonts w:hint="cs"/>
                <w:rtl/>
                <w:lang w:bidi="ar-SA"/>
              </w:rPr>
              <w:t>)</w:t>
            </w:r>
            <w:r>
              <w:rPr>
                <w:rtl/>
                <w:lang w:bidi="ar-SA"/>
              </w:rPr>
              <w:br/>
            </w:r>
            <w:r>
              <w:rPr>
                <w:rFonts w:hint="cs"/>
                <w:rtl/>
                <w:lang w:bidi="ar-SA"/>
              </w:rPr>
              <w:t>711 14 (</w:t>
            </w:r>
            <w:proofErr w:type="spellStart"/>
            <w:r>
              <w:rPr>
                <w:lang w:bidi="ar-SA"/>
              </w:rPr>
              <w:t>WJO</w:t>
            </w:r>
            <w:proofErr w:type="spellEnd"/>
            <w:r>
              <w:rPr>
                <w:rFonts w:hint="cs"/>
                <w:rtl/>
                <w:lang w:bidi="ar-SA"/>
              </w:rPr>
              <w:t>)</w:t>
            </w:r>
            <w:r>
              <w:rPr>
                <w:rtl/>
                <w:lang w:bidi="ar-SA"/>
              </w:rPr>
              <w:br/>
            </w:r>
            <w:r>
              <w:rPr>
                <w:rFonts w:hint="cs"/>
                <w:rtl/>
                <w:lang w:bidi="ar-SA"/>
              </w:rPr>
              <w:t>257 6 (</w:t>
            </w:r>
            <w:proofErr w:type="spellStart"/>
            <w:r>
              <w:rPr>
                <w:lang w:bidi="ar-SA"/>
              </w:rPr>
              <w:t>WRO</w:t>
            </w:r>
            <w:proofErr w:type="spellEnd"/>
            <w:r>
              <w:rPr>
                <w:rFonts w:hint="cs"/>
                <w:rtl/>
                <w:lang w:bidi="ar-SA"/>
              </w:rPr>
              <w:t>)</w:t>
            </w:r>
            <w:r>
              <w:rPr>
                <w:rtl/>
                <w:lang w:bidi="ar-SA"/>
              </w:rPr>
              <w:br/>
            </w:r>
            <w:r>
              <w:rPr>
                <w:rFonts w:hint="cs"/>
                <w:rtl/>
                <w:lang w:bidi="ar-SA"/>
              </w:rPr>
              <w:t>355 56 (</w:t>
            </w:r>
            <w:proofErr w:type="spellStart"/>
            <w:r w:rsidR="00111BE5">
              <w:rPr>
                <w:lang w:bidi="ar-SA"/>
              </w:rPr>
              <w:t>WOC</w:t>
            </w:r>
            <w:proofErr w:type="spellEnd"/>
            <w:r>
              <w:rPr>
                <w:rFonts w:hint="cs"/>
                <w:rtl/>
                <w:lang w:bidi="ar-SA"/>
              </w:rPr>
              <w:t>)</w:t>
            </w:r>
            <w:r>
              <w:rPr>
                <w:rtl/>
                <w:lang w:bidi="ar-SA"/>
              </w:rPr>
              <w:br/>
            </w:r>
            <w:r>
              <w:rPr>
                <w:rFonts w:hint="cs"/>
                <w:rtl/>
                <w:lang w:bidi="ar-SA"/>
              </w:rPr>
              <w:br/>
              <w:t>قاعدة البيانات العالمية لأدوات التوسيم:</w:t>
            </w:r>
            <w:r>
              <w:rPr>
                <w:rFonts w:hint="cs"/>
                <w:rtl/>
                <w:lang w:bidi="ar-SA"/>
              </w:rPr>
              <w:br/>
              <w:t xml:space="preserve"> 162 9(</w:t>
            </w:r>
            <w:proofErr w:type="spellStart"/>
            <w:r>
              <w:rPr>
                <w:lang w:bidi="ar-SA"/>
              </w:rPr>
              <w:t>WSO</w:t>
            </w:r>
            <w:proofErr w:type="spellEnd"/>
            <w:r>
              <w:rPr>
                <w:rFonts w:hint="cs"/>
                <w:rtl/>
                <w:lang w:bidi="ar-SA"/>
              </w:rPr>
              <w:t>)</w:t>
            </w:r>
            <w:r>
              <w:rPr>
                <w:rtl/>
                <w:lang w:bidi="ar-SA"/>
              </w:rPr>
              <w:br/>
            </w:r>
            <w:r>
              <w:rPr>
                <w:rFonts w:hint="cs"/>
                <w:rtl/>
                <w:lang w:bidi="ar-SA"/>
              </w:rPr>
              <w:t>596 (</w:t>
            </w:r>
            <w:proofErr w:type="spellStart"/>
            <w:r>
              <w:rPr>
                <w:lang w:bidi="ar-SA"/>
              </w:rPr>
              <w:t>WBO</w:t>
            </w:r>
            <w:proofErr w:type="spellEnd"/>
            <w:r>
              <w:rPr>
                <w:rFonts w:hint="cs"/>
                <w:rtl/>
                <w:lang w:bidi="ar-SA"/>
              </w:rPr>
              <w:t>)</w:t>
            </w:r>
            <w:r>
              <w:rPr>
                <w:rtl/>
                <w:lang w:bidi="ar-SA"/>
              </w:rPr>
              <w:br/>
            </w:r>
            <w:r>
              <w:rPr>
                <w:rFonts w:hint="cs"/>
                <w:rtl/>
                <w:lang w:bidi="ar-SA"/>
              </w:rPr>
              <w:t>871 2 (</w:t>
            </w:r>
            <w:proofErr w:type="spellStart"/>
            <w:r>
              <w:rPr>
                <w:lang w:bidi="ar-SA"/>
              </w:rPr>
              <w:t>WJO</w:t>
            </w:r>
            <w:proofErr w:type="spellEnd"/>
            <w:r>
              <w:rPr>
                <w:rFonts w:hint="cs"/>
                <w:rtl/>
                <w:lang w:bidi="ar-SA"/>
              </w:rPr>
              <w:t>)</w:t>
            </w:r>
            <w:r>
              <w:rPr>
                <w:rtl/>
                <w:lang w:bidi="ar-SA"/>
              </w:rPr>
              <w:br/>
            </w:r>
            <w:r>
              <w:rPr>
                <w:rFonts w:hint="cs"/>
                <w:rtl/>
                <w:lang w:bidi="ar-SA"/>
              </w:rPr>
              <w:t>352 2 (</w:t>
            </w:r>
            <w:proofErr w:type="spellStart"/>
            <w:r>
              <w:rPr>
                <w:lang w:bidi="ar-SA"/>
              </w:rPr>
              <w:t>WRO</w:t>
            </w:r>
            <w:proofErr w:type="spellEnd"/>
            <w:r>
              <w:rPr>
                <w:rFonts w:hint="cs"/>
                <w:rtl/>
                <w:lang w:bidi="ar-SA"/>
              </w:rPr>
              <w:t>)</w:t>
            </w:r>
            <w:r>
              <w:rPr>
                <w:rtl/>
                <w:lang w:bidi="ar-SA"/>
              </w:rPr>
              <w:br/>
            </w:r>
            <w:r>
              <w:rPr>
                <w:rFonts w:hint="cs"/>
                <w:rtl/>
                <w:lang w:bidi="ar-SA"/>
              </w:rPr>
              <w:t xml:space="preserve"> 398 3 (</w:t>
            </w:r>
            <w:proofErr w:type="spellStart"/>
            <w:r w:rsidR="00111BE5">
              <w:rPr>
                <w:lang w:bidi="ar-SA"/>
              </w:rPr>
              <w:t>WOC</w:t>
            </w:r>
            <w:proofErr w:type="spellEnd"/>
            <w:r>
              <w:rPr>
                <w:rFonts w:hint="cs"/>
                <w:rtl/>
                <w:lang w:bidi="ar-SA"/>
              </w:rPr>
              <w:t>)</w:t>
            </w:r>
            <w:r>
              <w:rPr>
                <w:rtl/>
                <w:lang w:bidi="ar-SA"/>
              </w:rPr>
              <w:br/>
            </w:r>
            <w:r>
              <w:rPr>
                <w:rFonts w:hint="cs"/>
                <w:rtl/>
                <w:lang w:bidi="ar-SA"/>
              </w:rPr>
              <w:t>قاعدة البيانات الخاصة بالتصاميم: غير متاحة</w:t>
            </w:r>
          </w:p>
        </w:tc>
        <w:tc>
          <w:tcPr>
            <w:tcW w:w="1951" w:type="dxa"/>
            <w:tcBorders>
              <w:top w:val="nil"/>
              <w:left w:val="nil"/>
              <w:bottom w:val="single" w:sz="4" w:space="0" w:color="auto"/>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زيادة بنسبة 5%</w:t>
            </w:r>
            <w:r>
              <w:rPr>
                <w:rFonts w:hint="cs"/>
                <w:rtl/>
                <w:lang w:bidi="ar-SA"/>
              </w:rPr>
              <w:br/>
            </w:r>
            <w:r>
              <w:rPr>
                <w:rFonts w:hint="cs"/>
                <w:rtl/>
                <w:lang w:bidi="ar-SA"/>
              </w:rPr>
              <w:br/>
            </w:r>
            <w:r>
              <w:rPr>
                <w:rFonts w:hint="cs"/>
                <w:rtl/>
                <w:lang w:bidi="ar-SA"/>
              </w:rPr>
              <w:br/>
            </w:r>
            <w:r>
              <w:rPr>
                <w:rFonts w:hint="cs"/>
                <w:rtl/>
                <w:lang w:bidi="ar-SA"/>
              </w:rPr>
              <w:br/>
            </w:r>
            <w:r>
              <w:rPr>
                <w:rFonts w:hint="cs"/>
                <w:rtl/>
                <w:lang w:bidi="ar-SA"/>
              </w:rPr>
              <w:br/>
            </w:r>
            <w:r>
              <w:rPr>
                <w:rFonts w:hint="cs"/>
                <w:rtl/>
                <w:lang w:bidi="ar-SA"/>
              </w:rPr>
              <w:br/>
            </w:r>
            <w:r>
              <w:rPr>
                <w:rFonts w:hint="cs"/>
                <w:rtl/>
                <w:lang w:bidi="ar-SA"/>
              </w:rPr>
              <w:br/>
            </w:r>
            <w:r>
              <w:rPr>
                <w:rFonts w:hint="cs"/>
                <w:rtl/>
                <w:lang w:bidi="ar-SA"/>
              </w:rPr>
              <w:br/>
              <w:t>زيادة بنسبة 5%</w:t>
            </w:r>
          </w:p>
        </w:tc>
      </w:tr>
      <w:tr w:rsidR="00A62820" w:rsidRPr="008954A8" w:rsidTr="00F01A85">
        <w:tc>
          <w:tcPr>
            <w:tcW w:w="2658" w:type="dxa"/>
            <w:tcBorders>
              <w:top w:val="single" w:sz="4" w:space="0" w:color="auto"/>
              <w:left w:val="single" w:sz="4" w:space="0" w:color="auto"/>
              <w:bottom w:val="nil"/>
              <w:right w:val="nil"/>
            </w:tcBorders>
          </w:tcPr>
          <w:p w:rsidR="00A62820" w:rsidRPr="003A39AB" w:rsidRDefault="00A62820" w:rsidP="00F01A85">
            <w:pPr>
              <w:pStyle w:val="ARNormal"/>
              <w:spacing w:after="0" w:line="300" w:lineRule="exact"/>
              <w:jc w:val="left"/>
              <w:rPr>
                <w:sz w:val="30"/>
                <w:szCs w:val="30"/>
                <w:rtl/>
              </w:rPr>
            </w:pPr>
          </w:p>
        </w:tc>
        <w:tc>
          <w:tcPr>
            <w:tcW w:w="2268" w:type="dxa"/>
            <w:tcBorders>
              <w:top w:val="single" w:sz="4" w:space="0" w:color="auto"/>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الشبكات الوطنية المستدامة لمراكز دعم التكنولوجيا والابتكار</w:t>
            </w:r>
          </w:p>
        </w:tc>
        <w:tc>
          <w:tcPr>
            <w:tcW w:w="2693" w:type="dxa"/>
            <w:tcBorders>
              <w:top w:val="single" w:sz="4" w:space="0" w:color="auto"/>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2 (</w:t>
            </w:r>
            <w:r>
              <w:rPr>
                <w:lang w:bidi="ar-SA"/>
              </w:rPr>
              <w:t>WSO</w:t>
            </w:r>
            <w:r>
              <w:rPr>
                <w:rFonts w:hint="cs"/>
                <w:rtl/>
                <w:lang w:bidi="ar-SA"/>
              </w:rPr>
              <w:t>)</w:t>
            </w:r>
            <w:r>
              <w:rPr>
                <w:rtl/>
                <w:lang w:bidi="ar-SA"/>
              </w:rPr>
              <w:br/>
            </w:r>
            <w:r>
              <w:rPr>
                <w:rFonts w:hint="cs"/>
                <w:rtl/>
                <w:lang w:bidi="ar-SA"/>
              </w:rPr>
              <w:t>صفر (</w:t>
            </w:r>
            <w:r w:rsidR="00111BE5">
              <w:rPr>
                <w:lang w:bidi="ar-SA"/>
              </w:rPr>
              <w:t>WOC</w:t>
            </w:r>
            <w:r>
              <w:rPr>
                <w:rFonts w:hint="cs"/>
                <w:rtl/>
                <w:lang w:bidi="ar-SA"/>
              </w:rPr>
              <w:t>)</w:t>
            </w:r>
          </w:p>
        </w:tc>
        <w:tc>
          <w:tcPr>
            <w:tcW w:w="1951" w:type="dxa"/>
            <w:tcBorders>
              <w:top w:val="single" w:sz="4" w:space="0" w:color="auto"/>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شبكتان إضافيتان (</w:t>
            </w:r>
            <w:r>
              <w:rPr>
                <w:lang w:bidi="ar-SA"/>
              </w:rPr>
              <w:t>WSO</w:t>
            </w:r>
            <w:r>
              <w:rPr>
                <w:rFonts w:hint="cs"/>
                <w:rtl/>
                <w:lang w:bidi="ar-SA"/>
              </w:rPr>
              <w:t>)</w:t>
            </w:r>
            <w:r>
              <w:rPr>
                <w:rtl/>
                <w:lang w:bidi="ar-SA"/>
              </w:rPr>
              <w:br/>
            </w:r>
            <w:r>
              <w:rPr>
                <w:rFonts w:hint="cs"/>
                <w:rtl/>
                <w:lang w:bidi="ar-SA"/>
              </w:rPr>
              <w:t>1 (</w:t>
            </w:r>
            <w:r w:rsidR="00111BE5">
              <w:rPr>
                <w:lang w:bidi="ar-SA"/>
              </w:rPr>
              <w:t>WOC</w:t>
            </w:r>
            <w:r>
              <w:rPr>
                <w:rFonts w:hint="cs"/>
                <w:rtl/>
                <w:lang w:bidi="ar-SA"/>
              </w:rPr>
              <w:t>)</w:t>
            </w: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4.4 </w:t>
            </w:r>
            <w:r w:rsidR="00A62820" w:rsidRPr="003F57E0">
              <w:rPr>
                <w:sz w:val="30"/>
                <w:szCs w:val="30"/>
                <w:rtl/>
              </w:rPr>
              <w:t>بنية تحتية تقنية ومعرفية معزّزة لمكاتب الملكية الفكرية وسائر مؤسسات الملكية الفكرية بما يؤدي إلى خدمات أفضل (بتكلفة أقل وسرعة أعلى وجودة أحسن) لأصحاب المصلحة الذين يتعاملون معها ونتائج أحسن لإدارة الملكية الفكرية</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عدد المكاتب التي تستخدم منصات الويبو للبنية التحتية</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7 (</w:t>
            </w:r>
            <w:r>
              <w:rPr>
                <w:lang w:bidi="ar-SA"/>
              </w:rPr>
              <w:t>WSO</w:t>
            </w:r>
            <w:r>
              <w:rPr>
                <w:rFonts w:hint="cs"/>
                <w:rtl/>
                <w:lang w:bidi="ar-SA"/>
              </w:rPr>
              <w:t>)</w:t>
            </w:r>
            <w:r>
              <w:rPr>
                <w:rtl/>
                <w:lang w:bidi="ar-SA"/>
              </w:rPr>
              <w:br/>
            </w:r>
            <w:r>
              <w:rPr>
                <w:rFonts w:hint="cs"/>
                <w:rtl/>
                <w:lang w:bidi="ar-SA"/>
              </w:rPr>
              <w:t>صفر (</w:t>
            </w:r>
            <w:r>
              <w:rPr>
                <w:lang w:bidi="ar-SA"/>
              </w:rPr>
              <w:t>WBO</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تحدد لاحقا (</w:t>
            </w:r>
            <w:r>
              <w:rPr>
                <w:lang w:bidi="ar-SA"/>
              </w:rPr>
              <w:t>WSO</w:t>
            </w:r>
            <w:r>
              <w:rPr>
                <w:rFonts w:hint="cs"/>
                <w:rtl/>
                <w:lang w:bidi="ar-SA"/>
              </w:rPr>
              <w:t>)</w:t>
            </w:r>
            <w:r>
              <w:rPr>
                <w:rtl/>
                <w:lang w:bidi="ar-SA"/>
              </w:rPr>
              <w:br/>
            </w:r>
            <w:r>
              <w:rPr>
                <w:rFonts w:hint="cs"/>
                <w:rtl/>
                <w:lang w:bidi="ar-SA"/>
              </w:rPr>
              <w:t>1 (</w:t>
            </w:r>
            <w:r>
              <w:rPr>
                <w:lang w:bidi="ar-SA"/>
              </w:rPr>
              <w:t>WBO</w:t>
            </w:r>
            <w:r>
              <w:rPr>
                <w:rFonts w:hint="cs"/>
                <w:rtl/>
                <w:lang w:bidi="ar-SA"/>
              </w:rPr>
              <w:t>)</w:t>
            </w: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2.7 </w:t>
            </w:r>
            <w:r w:rsidR="00A62820" w:rsidRPr="00811EC5">
              <w:rPr>
                <w:sz w:val="30"/>
                <w:szCs w:val="30"/>
                <w:rtl/>
              </w:rPr>
              <w:t>منصات وأدوات الملكية الفكرية لنقل المعارف وتطويع التكنولوجيا ونشرها من البلدان المتقدمة إلى البلدان النامية، ولا سيما البلدان الأقل نموا، لمواجهة التحديات العالمية</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 xml:space="preserve">مشاركة أصحاب المصالح في منصات الويبو مثل منصتي </w:t>
            </w:r>
            <w:r w:rsidRPr="006B0FCC">
              <w:rPr>
                <w:lang w:bidi="ar-SA"/>
              </w:rPr>
              <w:t>WIPO</w:t>
            </w:r>
            <w:r>
              <w:rPr>
                <w:lang w:bidi="ar-SA"/>
              </w:rPr>
              <w:t> </w:t>
            </w:r>
            <w:r w:rsidRPr="006B0FCC">
              <w:rPr>
                <w:lang w:bidi="ar-SA"/>
              </w:rPr>
              <w:t>GREEN</w:t>
            </w:r>
            <w:r>
              <w:rPr>
                <w:rFonts w:hint="cs"/>
                <w:rtl/>
                <w:lang w:bidi="ar-SA"/>
              </w:rPr>
              <w:t xml:space="preserve"> و </w:t>
            </w:r>
            <w:r w:rsidRPr="006B0FCC">
              <w:rPr>
                <w:lang w:bidi="ar-SA"/>
              </w:rPr>
              <w:t>WIPO</w:t>
            </w:r>
            <w:r>
              <w:rPr>
                <w:lang w:bidi="ar-SA"/>
              </w:rPr>
              <w:t> </w:t>
            </w:r>
            <w:r w:rsidRPr="006B0FCC">
              <w:rPr>
                <w:lang w:bidi="ar-SA"/>
              </w:rPr>
              <w:t>Re: Search</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sidRPr="006B0FCC">
              <w:rPr>
                <w:lang w:bidi="ar-SA"/>
              </w:rPr>
              <w:t>WIPO</w:t>
            </w:r>
            <w:r>
              <w:rPr>
                <w:lang w:bidi="ar-SA"/>
              </w:rPr>
              <w:t> </w:t>
            </w:r>
            <w:r w:rsidRPr="006B0FCC">
              <w:rPr>
                <w:lang w:bidi="ar-SA"/>
              </w:rPr>
              <w:t>GREEN</w:t>
            </w:r>
            <w:r>
              <w:rPr>
                <w:rFonts w:hint="cs"/>
                <w:rtl/>
                <w:lang w:bidi="ar-SA"/>
              </w:rPr>
              <w:t>: 3</w:t>
            </w:r>
            <w:r>
              <w:rPr>
                <w:rtl/>
                <w:lang w:bidi="ar-SA"/>
              </w:rPr>
              <w:br/>
            </w:r>
            <w:r>
              <w:rPr>
                <w:rFonts w:hint="cs"/>
                <w:rtl/>
                <w:lang w:bidi="ar-SA"/>
              </w:rPr>
              <w:t>21 (</w:t>
            </w:r>
            <w:r>
              <w:rPr>
                <w:lang w:bidi="ar-SA"/>
              </w:rPr>
              <w:t>WSO</w:t>
            </w:r>
            <w:r>
              <w:rPr>
                <w:rFonts w:hint="cs"/>
                <w:rtl/>
                <w:lang w:bidi="ar-SA"/>
              </w:rPr>
              <w:t>)</w:t>
            </w:r>
            <w:r>
              <w:rPr>
                <w:rtl/>
                <w:lang w:bidi="ar-SA"/>
              </w:rPr>
              <w:br/>
            </w:r>
            <w:r>
              <w:rPr>
                <w:rFonts w:hint="cs"/>
                <w:rtl/>
                <w:lang w:bidi="ar-SA"/>
              </w:rPr>
              <w:t>48 فيما يخص منطقة بلدان أمريكا اللاتينية (</w:t>
            </w:r>
            <w:r>
              <w:rPr>
                <w:lang w:bidi="ar-SA"/>
              </w:rPr>
              <w:t>WBO</w:t>
            </w:r>
            <w:r>
              <w:rPr>
                <w:rFonts w:hint="cs"/>
                <w:rtl/>
                <w:lang w:bidi="ar-SA"/>
              </w:rPr>
              <w:t>)</w:t>
            </w:r>
            <w:r>
              <w:rPr>
                <w:rtl/>
                <w:lang w:bidi="ar-SA"/>
              </w:rPr>
              <w:br/>
            </w:r>
            <w:r>
              <w:rPr>
                <w:rFonts w:hint="cs"/>
                <w:rtl/>
                <w:lang w:bidi="ar-SA"/>
              </w:rPr>
              <w:t>45 (</w:t>
            </w:r>
            <w:r>
              <w:rPr>
                <w:lang w:bidi="ar-SA"/>
              </w:rPr>
              <w:t>WJO</w:t>
            </w:r>
            <w:r>
              <w:rPr>
                <w:rFonts w:hint="cs"/>
                <w:rtl/>
                <w:lang w:bidi="ar-SA"/>
              </w:rPr>
              <w:t>)</w:t>
            </w:r>
            <w:r>
              <w:rPr>
                <w:rtl/>
                <w:lang w:bidi="ar-SA"/>
              </w:rPr>
              <w:br/>
            </w:r>
            <w:r>
              <w:rPr>
                <w:rFonts w:hint="cs"/>
                <w:rtl/>
                <w:lang w:bidi="ar-SA"/>
              </w:rPr>
              <w:t>1 (</w:t>
            </w:r>
            <w:r>
              <w:rPr>
                <w:lang w:bidi="ar-SA"/>
              </w:rPr>
              <w:t>WRO</w:t>
            </w:r>
            <w:r>
              <w:rPr>
                <w:rFonts w:hint="cs"/>
                <w:rtl/>
                <w:lang w:bidi="ar-SA"/>
              </w:rPr>
              <w:t>)</w:t>
            </w:r>
            <w:r>
              <w:rPr>
                <w:rtl/>
                <w:lang w:bidi="ar-SA"/>
              </w:rPr>
              <w:br/>
            </w:r>
            <w:r>
              <w:rPr>
                <w:rFonts w:hint="cs"/>
                <w:rtl/>
                <w:lang w:bidi="ar-SA"/>
              </w:rPr>
              <w:t>29 (</w:t>
            </w:r>
            <w:r w:rsidR="00111BE5">
              <w:rPr>
                <w:lang w:bidi="ar-SA"/>
              </w:rPr>
              <w:t>WOC</w:t>
            </w:r>
            <w:r>
              <w:rPr>
                <w:rFonts w:hint="cs"/>
                <w:rtl/>
                <w:lang w:bidi="ar-SA"/>
              </w:rPr>
              <w:t>)</w:t>
            </w:r>
            <w:r>
              <w:rPr>
                <w:rtl/>
                <w:lang w:bidi="ar-SA"/>
              </w:rPr>
              <w:br/>
            </w:r>
            <w:r>
              <w:rPr>
                <w:rFonts w:hint="cs"/>
                <w:rtl/>
                <w:lang w:bidi="ar-SA"/>
              </w:rPr>
              <w:br/>
            </w:r>
            <w:r w:rsidRPr="006B0FCC">
              <w:rPr>
                <w:lang w:bidi="ar-SA"/>
              </w:rPr>
              <w:t>WIPO</w:t>
            </w:r>
            <w:r>
              <w:rPr>
                <w:lang w:bidi="ar-SA"/>
              </w:rPr>
              <w:t> </w:t>
            </w:r>
            <w:r w:rsidRPr="006B0FCC">
              <w:rPr>
                <w:lang w:bidi="ar-SA"/>
              </w:rPr>
              <w:t>Re: Search</w:t>
            </w:r>
            <w:r>
              <w:rPr>
                <w:rFonts w:hint="cs"/>
                <w:rtl/>
                <w:lang w:bidi="ar-SA"/>
              </w:rPr>
              <w:t>: غير متاحة</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 xml:space="preserve">زيادة بنسبة 20% فيما يخص كلا من </w:t>
            </w:r>
            <w:r w:rsidRPr="006B0FCC">
              <w:rPr>
                <w:lang w:bidi="ar-SA"/>
              </w:rPr>
              <w:t>WIPO</w:t>
            </w:r>
            <w:r>
              <w:rPr>
                <w:lang w:bidi="ar-SA"/>
              </w:rPr>
              <w:t> </w:t>
            </w:r>
            <w:r w:rsidRPr="006B0FCC">
              <w:rPr>
                <w:lang w:bidi="ar-SA"/>
              </w:rPr>
              <w:t>GREEN</w:t>
            </w:r>
            <w:r>
              <w:rPr>
                <w:rFonts w:hint="cs"/>
                <w:rtl/>
                <w:lang w:bidi="ar-SA"/>
              </w:rPr>
              <w:t xml:space="preserve"> و</w:t>
            </w:r>
            <w:r w:rsidRPr="006B0FCC">
              <w:rPr>
                <w:lang w:bidi="ar-SA"/>
              </w:rPr>
              <w:t xml:space="preserve"> WIPO</w:t>
            </w:r>
            <w:r>
              <w:rPr>
                <w:lang w:bidi="ar-SA"/>
              </w:rPr>
              <w:t> </w:t>
            </w:r>
            <w:r w:rsidRPr="006B0FCC">
              <w:rPr>
                <w:lang w:bidi="ar-SA"/>
              </w:rPr>
              <w:t>Re: Search</w:t>
            </w:r>
            <w:r>
              <w:rPr>
                <w:rFonts w:hint="cs"/>
                <w:rtl/>
                <w:lang w:bidi="ar-SA"/>
              </w:rPr>
              <w:t xml:space="preserve"> (كل المكاتب)</w:t>
            </w: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1.8 </w:t>
            </w:r>
            <w:r w:rsidR="00A62820" w:rsidRPr="00DF2C0E">
              <w:rPr>
                <w:sz w:val="30"/>
                <w:szCs w:val="30"/>
                <w:rtl/>
              </w:rPr>
              <w:t>التواصل بفعالية أكبر مع جمهور واسع بشأن الملكية الفكرية ودور الويبو</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sidRPr="00DF2C0E">
              <w:rPr>
                <w:rtl/>
                <w:lang w:bidi="ar-SA"/>
              </w:rPr>
              <w:t>تنامي عدد زيارات الموقع الالكتروني لمكاتب الويبو الخارجية</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882 9 (</w:t>
            </w:r>
            <w:r>
              <w:rPr>
                <w:lang w:bidi="ar-SA"/>
              </w:rPr>
              <w:t>WSO</w:t>
            </w:r>
            <w:r>
              <w:rPr>
                <w:rFonts w:hint="cs"/>
                <w:rtl/>
                <w:lang w:bidi="ar-SA"/>
              </w:rPr>
              <w:t>)</w:t>
            </w:r>
            <w:r>
              <w:rPr>
                <w:rtl/>
                <w:lang w:bidi="ar-SA"/>
              </w:rPr>
              <w:br/>
            </w:r>
            <w:r>
              <w:rPr>
                <w:lang w:bidi="ar-SA"/>
              </w:rPr>
              <w:t>WBO</w:t>
            </w:r>
            <w:r>
              <w:rPr>
                <w:rFonts w:hint="cs"/>
                <w:rtl/>
                <w:lang w:bidi="ar-SA"/>
              </w:rPr>
              <w:t xml:space="preserve"> و</w:t>
            </w:r>
            <w:r>
              <w:rPr>
                <w:lang w:bidi="ar-SA"/>
              </w:rPr>
              <w:t>WJO</w:t>
            </w:r>
            <w:r>
              <w:rPr>
                <w:rFonts w:hint="cs"/>
                <w:rtl/>
                <w:lang w:bidi="ar-SA"/>
              </w:rPr>
              <w:t>: تحدد لاحقا</w:t>
            </w:r>
            <w:r>
              <w:rPr>
                <w:rFonts w:hint="cs"/>
                <w:rtl/>
                <w:lang w:bidi="ar-SA"/>
              </w:rPr>
              <w:br/>
              <w:t>صفر (</w:t>
            </w:r>
            <w:r>
              <w:rPr>
                <w:lang w:bidi="ar-SA"/>
              </w:rPr>
              <w:t>WRO</w:t>
            </w:r>
            <w:r>
              <w:rPr>
                <w:rFonts w:hint="cs"/>
                <w:rtl/>
                <w:lang w:bidi="ar-SA"/>
              </w:rPr>
              <w:t>)</w:t>
            </w:r>
            <w:r>
              <w:rPr>
                <w:rtl/>
                <w:lang w:bidi="ar-SA"/>
              </w:rPr>
              <w:br/>
            </w:r>
            <w:r>
              <w:rPr>
                <w:rFonts w:hint="cs"/>
                <w:rtl/>
                <w:lang w:bidi="ar-SA"/>
              </w:rPr>
              <w:t>صفر (</w:t>
            </w:r>
            <w:r w:rsidR="00111BE5">
              <w:rPr>
                <w:lang w:bidi="ar-SA"/>
              </w:rPr>
              <w:t>WOC</w:t>
            </w:r>
            <w:r>
              <w:rPr>
                <w:rFonts w:hint="cs"/>
                <w:rtl/>
                <w:lang w:bidi="ar-SA"/>
              </w:rPr>
              <w:t>)</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زيادة بنسبة 5% في كل المكاتب</w:t>
            </w:r>
          </w:p>
        </w:tc>
      </w:tr>
      <w:tr w:rsidR="00A62820" w:rsidRPr="008954A8" w:rsidTr="00F01A85">
        <w:tc>
          <w:tcPr>
            <w:tcW w:w="2658" w:type="dxa"/>
            <w:tcBorders>
              <w:top w:val="nil"/>
              <w:left w:val="single" w:sz="4" w:space="0" w:color="auto"/>
              <w:bottom w:val="nil"/>
              <w:right w:val="nil"/>
            </w:tcBorders>
          </w:tcPr>
          <w:p w:rsidR="00A62820" w:rsidRPr="003A39AB" w:rsidRDefault="009800D4" w:rsidP="00F01A85">
            <w:pPr>
              <w:pStyle w:val="ARNormal"/>
              <w:spacing w:after="0" w:line="300" w:lineRule="exact"/>
              <w:jc w:val="left"/>
              <w:rPr>
                <w:sz w:val="30"/>
                <w:szCs w:val="30"/>
                <w:rtl/>
              </w:rPr>
            </w:pPr>
            <w:r>
              <w:rPr>
                <w:sz w:val="30"/>
                <w:szCs w:val="30"/>
                <w:rtl/>
              </w:rPr>
              <w:t>ه</w:t>
            </w:r>
            <w:r w:rsidR="00A62820">
              <w:rPr>
                <w:rFonts w:hint="cs"/>
                <w:sz w:val="30"/>
                <w:szCs w:val="30"/>
                <w:rtl/>
              </w:rPr>
              <w:t xml:space="preserve"> 2.8 </w:t>
            </w:r>
            <w:r w:rsidR="00A62820" w:rsidRPr="00DF2C0E">
              <w:rPr>
                <w:sz w:val="30"/>
                <w:szCs w:val="30"/>
                <w:rtl/>
              </w:rPr>
              <w:t>توجّه أكبر نحو تقديم الخدمات واستجابة أفضل للاستفسارات</w:t>
            </w:r>
          </w:p>
        </w:tc>
        <w:tc>
          <w:tcPr>
            <w:tcW w:w="2268" w:type="dxa"/>
            <w:tcBorders>
              <w:top w:val="nil"/>
              <w:left w:val="nil"/>
              <w:bottom w:val="nil"/>
              <w:right w:val="nil"/>
            </w:tcBorders>
          </w:tcPr>
          <w:p w:rsidR="00A62820" w:rsidRPr="003A39AB" w:rsidRDefault="00A62820" w:rsidP="00F01A85">
            <w:pPr>
              <w:pStyle w:val="ARProgramTableText"/>
              <w:keepNext/>
              <w:spacing w:before="0" w:after="0" w:line="300" w:lineRule="exact"/>
              <w:rPr>
                <w:rtl/>
                <w:lang w:bidi="ar-SA"/>
              </w:rPr>
            </w:pPr>
            <w:r>
              <w:rPr>
                <w:rFonts w:hint="cs"/>
                <w:rtl/>
                <w:lang w:bidi="ar-SA"/>
              </w:rPr>
              <w:t>الوقت المستغرق لمعالجة الاستفسارات</w:t>
            </w:r>
          </w:p>
        </w:tc>
        <w:tc>
          <w:tcPr>
            <w:tcW w:w="2693" w:type="dxa"/>
            <w:tcBorders>
              <w:top w:val="nil"/>
              <w:left w:val="nil"/>
              <w:bottom w:val="nil"/>
              <w:right w:val="nil"/>
            </w:tcBorders>
          </w:tcPr>
          <w:p w:rsidR="00A62820" w:rsidRDefault="00A62820" w:rsidP="00F01A85">
            <w:pPr>
              <w:pStyle w:val="ARProgramTableText"/>
              <w:keepNext/>
              <w:spacing w:before="0" w:after="0" w:line="300" w:lineRule="exact"/>
              <w:rPr>
                <w:rtl/>
                <w:lang w:bidi="ar-SA"/>
              </w:rPr>
            </w:pPr>
            <w:r>
              <w:rPr>
                <w:rFonts w:hint="cs"/>
                <w:rtl/>
                <w:lang w:bidi="ar-SA"/>
              </w:rPr>
              <w:t>48 ساعة (كل المكاتب)</w:t>
            </w:r>
          </w:p>
        </w:tc>
        <w:tc>
          <w:tcPr>
            <w:tcW w:w="1951" w:type="dxa"/>
            <w:tcBorders>
              <w:top w:val="nil"/>
              <w:left w:val="nil"/>
              <w:bottom w:val="nil"/>
              <w:right w:val="single" w:sz="4" w:space="0" w:color="auto"/>
            </w:tcBorders>
          </w:tcPr>
          <w:p w:rsidR="00A62820" w:rsidRPr="003A39AB" w:rsidRDefault="00A62820" w:rsidP="00F01A85">
            <w:pPr>
              <w:pStyle w:val="ARProgramTableText"/>
              <w:keepNext/>
              <w:spacing w:before="0" w:after="0" w:line="300" w:lineRule="exact"/>
              <w:rPr>
                <w:rtl/>
                <w:lang w:bidi="ar-SA"/>
              </w:rPr>
            </w:pPr>
            <w:r>
              <w:rPr>
                <w:rFonts w:hint="cs"/>
                <w:rtl/>
                <w:lang w:bidi="ar-SA"/>
              </w:rPr>
              <w:t>36 ساعة (كل المكاتب)</w:t>
            </w:r>
          </w:p>
        </w:tc>
      </w:tr>
      <w:tr w:rsidR="00A62820" w:rsidRPr="008954A8" w:rsidTr="00F01A85">
        <w:tc>
          <w:tcPr>
            <w:tcW w:w="2658" w:type="dxa"/>
            <w:tcBorders>
              <w:top w:val="nil"/>
              <w:left w:val="single" w:sz="4" w:space="0" w:color="auto"/>
              <w:bottom w:val="single" w:sz="4" w:space="0" w:color="auto"/>
              <w:right w:val="nil"/>
            </w:tcBorders>
          </w:tcPr>
          <w:p w:rsidR="00A62820" w:rsidRPr="008954A8" w:rsidRDefault="009800D4" w:rsidP="00F01A85">
            <w:pPr>
              <w:pStyle w:val="ARNormal"/>
              <w:spacing w:after="0" w:line="300" w:lineRule="exact"/>
              <w:jc w:val="left"/>
              <w:rPr>
                <w:sz w:val="30"/>
                <w:szCs w:val="30"/>
              </w:rPr>
            </w:pPr>
            <w:r>
              <w:rPr>
                <w:sz w:val="30"/>
                <w:szCs w:val="30"/>
                <w:rtl/>
              </w:rPr>
              <w:t>ه</w:t>
            </w:r>
            <w:r w:rsidR="00A62820">
              <w:rPr>
                <w:rFonts w:hint="cs"/>
                <w:sz w:val="30"/>
                <w:szCs w:val="30"/>
                <w:rtl/>
              </w:rPr>
              <w:t xml:space="preserve"> </w:t>
            </w:r>
            <w:r w:rsidR="00A62820" w:rsidRPr="003A39AB">
              <w:rPr>
                <w:sz w:val="30"/>
                <w:szCs w:val="30"/>
                <w:rtl/>
              </w:rPr>
              <w:t>5.8 تفاعل الويبو وتشاركها بفعالية مع مسارات ومفاوضات الأمم المتحدة وسائر المنظمات الحكومية الدولية</w:t>
            </w:r>
          </w:p>
        </w:tc>
        <w:tc>
          <w:tcPr>
            <w:tcW w:w="2268" w:type="dxa"/>
            <w:tcBorders>
              <w:top w:val="nil"/>
              <w:left w:val="nil"/>
              <w:bottom w:val="single" w:sz="4" w:space="0" w:color="auto"/>
              <w:right w:val="nil"/>
            </w:tcBorders>
          </w:tcPr>
          <w:p w:rsidR="00A62820" w:rsidRPr="008954A8" w:rsidRDefault="00A62820" w:rsidP="00F01A85">
            <w:pPr>
              <w:pStyle w:val="ARProgramTableText"/>
              <w:keepNext/>
              <w:spacing w:before="0" w:after="0" w:line="300" w:lineRule="exact"/>
              <w:rPr>
                <w:rtl/>
                <w:lang w:bidi="ar-SA"/>
              </w:rPr>
            </w:pPr>
            <w:r>
              <w:rPr>
                <w:rFonts w:hint="cs"/>
                <w:rtl/>
                <w:lang w:bidi="ar-SA"/>
              </w:rPr>
              <w:t xml:space="preserve">عدد الأنشطة المشتركة مع أمانة </w:t>
            </w:r>
            <w:r w:rsidRPr="00246B36">
              <w:rPr>
                <w:rtl/>
                <w:lang w:bidi="ar-SA"/>
              </w:rPr>
              <w:t>رابطة أمم جنوب شرق آسيا (</w:t>
            </w:r>
            <w:r w:rsidRPr="00246B36">
              <w:rPr>
                <w:lang w:bidi="ar-SA"/>
              </w:rPr>
              <w:t>ASEAN</w:t>
            </w:r>
            <w:r w:rsidRPr="00246B36">
              <w:rPr>
                <w:rtl/>
                <w:lang w:bidi="ar-SA"/>
              </w:rPr>
              <w:t>)</w:t>
            </w:r>
            <w:r>
              <w:rPr>
                <w:rFonts w:hint="cs"/>
                <w:rtl/>
                <w:lang w:bidi="ar-SA"/>
              </w:rPr>
              <w:t>، و</w:t>
            </w:r>
            <w:r>
              <w:rPr>
                <w:rFonts w:hint="cs"/>
                <w:rtl/>
              </w:rPr>
              <w:t>ا</w:t>
            </w:r>
            <w:r w:rsidRPr="00246B36">
              <w:rPr>
                <w:rtl/>
                <w:lang w:bidi="ar-SA"/>
              </w:rPr>
              <w:t>لمشروع المشترك بين الاتحاد الأوروبي ورابطة أمم جنوب شرق آسيا ب</w:t>
            </w:r>
            <w:r>
              <w:rPr>
                <w:rtl/>
                <w:lang w:bidi="ar-SA"/>
              </w:rPr>
              <w:t xml:space="preserve">شأن حماية حقوق الملكية الفكرية </w:t>
            </w:r>
            <w:r w:rsidRPr="00246B36">
              <w:rPr>
                <w:rtl/>
                <w:lang w:bidi="ar-SA"/>
              </w:rPr>
              <w:t>الذي يشرف عليه مكتب مواءمة السوق الداخلية</w:t>
            </w:r>
            <w:r>
              <w:rPr>
                <w:rFonts w:hint="cs"/>
                <w:rtl/>
                <w:lang w:bidi="ar-SA"/>
              </w:rPr>
              <w:t xml:space="preserve"> (</w:t>
            </w:r>
            <w:r w:rsidRPr="00246B36">
              <w:rPr>
                <w:lang w:bidi="ar-SA"/>
              </w:rPr>
              <w:t>ECAP/OHIM</w:t>
            </w:r>
            <w:r>
              <w:rPr>
                <w:rFonts w:hint="cs"/>
                <w:rtl/>
                <w:lang w:bidi="ar-SA"/>
              </w:rPr>
              <w:t>)، ومؤسسة آسيا/أوروبا، و</w:t>
            </w:r>
            <w:r w:rsidRPr="00B37440">
              <w:rPr>
                <w:rtl/>
                <w:lang w:bidi="ar-SA"/>
              </w:rPr>
              <w:t>اتفاق التبادل الحر بين رابطة أمم جنوب شرق آسيا وأستراليا ونيوزيلاندا (</w:t>
            </w:r>
            <w:r w:rsidRPr="00B37440">
              <w:rPr>
                <w:cs/>
                <w:lang w:bidi="ar-SA"/>
              </w:rPr>
              <w:t>‎</w:t>
            </w:r>
            <w:r w:rsidRPr="00B37440">
              <w:rPr>
                <w:lang w:bidi="ar-SA"/>
              </w:rPr>
              <w:t>AANZFTA</w:t>
            </w:r>
            <w:r w:rsidRPr="00B37440">
              <w:rPr>
                <w:rtl/>
                <w:lang w:bidi="ar-SA"/>
              </w:rPr>
              <w:t>‏)</w:t>
            </w:r>
          </w:p>
        </w:tc>
        <w:tc>
          <w:tcPr>
            <w:tcW w:w="2693" w:type="dxa"/>
            <w:tcBorders>
              <w:top w:val="nil"/>
              <w:left w:val="nil"/>
              <w:bottom w:val="single" w:sz="4" w:space="0" w:color="auto"/>
              <w:right w:val="nil"/>
            </w:tcBorders>
          </w:tcPr>
          <w:p w:rsidR="00A62820" w:rsidRPr="008954A8" w:rsidRDefault="00A62820" w:rsidP="00F01A85">
            <w:pPr>
              <w:pStyle w:val="ARProgramTableText"/>
              <w:keepNext/>
              <w:spacing w:before="0" w:after="0" w:line="300" w:lineRule="exact"/>
              <w:rPr>
                <w:rtl/>
                <w:lang w:bidi="ar-SA"/>
              </w:rPr>
            </w:pPr>
            <w:r>
              <w:rPr>
                <w:rFonts w:hint="cs"/>
                <w:rtl/>
                <w:lang w:bidi="ar-SA"/>
              </w:rPr>
              <w:t>11 (</w:t>
            </w:r>
            <w:r>
              <w:rPr>
                <w:lang w:bidi="ar-SA"/>
              </w:rPr>
              <w:t>WSO</w:t>
            </w:r>
            <w:r>
              <w:rPr>
                <w:rFonts w:hint="cs"/>
                <w:rtl/>
                <w:lang w:bidi="ar-SA"/>
              </w:rPr>
              <w:t>)</w:t>
            </w:r>
          </w:p>
        </w:tc>
        <w:tc>
          <w:tcPr>
            <w:tcW w:w="1951" w:type="dxa"/>
            <w:tcBorders>
              <w:top w:val="nil"/>
              <w:left w:val="nil"/>
              <w:bottom w:val="single" w:sz="4" w:space="0" w:color="auto"/>
              <w:right w:val="single" w:sz="4" w:space="0" w:color="auto"/>
            </w:tcBorders>
          </w:tcPr>
          <w:p w:rsidR="00A62820" w:rsidRPr="008954A8" w:rsidRDefault="00A62820" w:rsidP="00F01A85">
            <w:pPr>
              <w:pStyle w:val="ARProgramTableText"/>
              <w:keepNext/>
              <w:spacing w:before="0" w:after="0" w:line="300" w:lineRule="exact"/>
              <w:rPr>
                <w:rtl/>
                <w:lang w:bidi="ar-SA"/>
              </w:rPr>
            </w:pPr>
            <w:r>
              <w:rPr>
                <w:rFonts w:hint="cs"/>
                <w:rtl/>
                <w:lang w:bidi="ar-SA"/>
              </w:rPr>
              <w:t>8 أنشطة إضافية</w:t>
            </w:r>
          </w:p>
          <w:p w:rsidR="00A62820" w:rsidRPr="008954A8" w:rsidRDefault="00A62820" w:rsidP="00F01A85">
            <w:pPr>
              <w:pStyle w:val="ARProgramTableText"/>
              <w:keepNext/>
              <w:spacing w:before="0" w:after="0" w:line="300" w:lineRule="exact"/>
              <w:rPr>
                <w:rtl/>
                <w:lang w:bidi="ar-SA"/>
              </w:rPr>
            </w:pPr>
          </w:p>
        </w:tc>
      </w:tr>
    </w:tbl>
    <w:p w:rsidR="00A62820" w:rsidRDefault="00A62820" w:rsidP="00E2311D">
      <w:pPr>
        <w:pStyle w:val="BodyTextIndent"/>
        <w:keepNext/>
        <w:bidi/>
        <w:adjustRightInd w:val="0"/>
        <w:snapToGrid w:val="0"/>
        <w:spacing w:before="120" w:after="120" w:line="360" w:lineRule="exact"/>
        <w:ind w:left="0"/>
        <w:jc w:val="both"/>
        <w:rPr>
          <w:rFonts w:ascii="Arabic Typesetting" w:hAnsi="Arabic Typesetting" w:cs="Arabic Typesetting"/>
          <w:noProof/>
          <w:sz w:val="38"/>
          <w:szCs w:val="38"/>
          <w:rtl/>
        </w:rPr>
      </w:pPr>
      <w:r w:rsidRPr="00D42161">
        <w:rPr>
          <w:rFonts w:ascii="Arabic Typesetting" w:hAnsi="Arabic Typesetting" w:cs="Arabic Typesetting" w:hint="cs"/>
          <w:noProof/>
          <w:sz w:val="38"/>
          <w:szCs w:val="38"/>
          <w:rtl/>
        </w:rPr>
        <w:t>الموارد المخصصة للبرنامج 20</w:t>
      </w:r>
    </w:p>
    <w:p w:rsidR="001B73F9" w:rsidRDefault="001B73F9" w:rsidP="001B73F9">
      <w:pPr>
        <w:pStyle w:val="ARNormal"/>
        <w:numPr>
          <w:ilvl w:val="0"/>
          <w:numId w:val="35"/>
        </w:numPr>
        <w:tabs>
          <w:tab w:val="left" w:pos="354"/>
          <w:tab w:val="right" w:pos="707"/>
        </w:tabs>
        <w:ind w:left="-6" w:firstLine="0"/>
        <w:jc w:val="left"/>
      </w:pPr>
      <w:r>
        <w:rPr>
          <w:rFonts w:hint="cs"/>
          <w:rtl/>
        </w:rPr>
        <w:t xml:space="preserve">ستؤمَّن الموارد المطلوبة لمواصلة تطبيق النموذج الحالي لمكتب الويبو التنسيقي في نيويورك طيلة الثنائية 2016/17 من خلال فعالية التكاليف </w:t>
      </w:r>
      <w:proofErr w:type="spellStart"/>
      <w:r>
        <w:rPr>
          <w:rFonts w:hint="cs"/>
          <w:rtl/>
        </w:rPr>
        <w:t>والوفوفرات</w:t>
      </w:r>
      <w:proofErr w:type="spellEnd"/>
      <w:r>
        <w:rPr>
          <w:rFonts w:hint="cs"/>
          <w:rtl/>
        </w:rPr>
        <w:t xml:space="preserve"> في التنفيذ الإجمالي للبرنامج والميزانية للويبو.</w:t>
      </w:r>
    </w:p>
    <w:p w:rsidR="00941A9D" w:rsidRPr="00111BE5" w:rsidRDefault="00941A9D" w:rsidP="00941A9D">
      <w:pPr>
        <w:pStyle w:val="ARNormal"/>
        <w:numPr>
          <w:ilvl w:val="0"/>
          <w:numId w:val="35"/>
        </w:numPr>
        <w:tabs>
          <w:tab w:val="left" w:pos="354"/>
          <w:tab w:val="right" w:pos="707"/>
        </w:tabs>
        <w:ind w:left="-6" w:firstLine="0"/>
        <w:jc w:val="left"/>
        <w:rPr>
          <w:rtl/>
        </w:rPr>
      </w:pPr>
      <w:r>
        <w:rPr>
          <w:rFonts w:hint="cs"/>
          <w:rtl/>
        </w:rPr>
        <w:t>ويُعزى قدر كبير من التغيرات في الموارد بين النتائج المرتقبة مقارنة بميزانية 2014/15 بعد التحويلات إلى التوفيق بشكل أدق بين الموارد والنتائج المرتقبة فيما يخص جميع مكاتب الويبو الخارجية في الثنائية 2016/17.</w:t>
      </w:r>
    </w:p>
    <w:p w:rsidR="00A62820" w:rsidRPr="00EB30FA" w:rsidRDefault="00A62820" w:rsidP="00DA5475">
      <w:pPr>
        <w:keepNext/>
        <w:spacing w:line="340" w:lineRule="exact"/>
        <w:jc w:val="center"/>
        <w:rPr>
          <w:rFonts w:ascii="Arabic Typesetting" w:hAnsi="Arabic Typesetting" w:cs="Arabic Typesetting"/>
          <w:b/>
          <w:bCs/>
          <w:sz w:val="34"/>
          <w:szCs w:val="34"/>
          <w:rtl/>
          <w:lang w:val="fr-CH" w:bidi="ar-SA"/>
        </w:rPr>
      </w:pPr>
      <w:r w:rsidRPr="00EB30FA">
        <w:rPr>
          <w:rFonts w:ascii="Arabic Typesetting" w:hAnsi="Arabic Typesetting" w:cs="Arabic Typesetting" w:hint="cs"/>
          <w:b/>
          <w:bCs/>
          <w:sz w:val="34"/>
          <w:szCs w:val="34"/>
          <w:rtl/>
          <w:lang w:val="fr-CH" w:bidi="ar-SA"/>
        </w:rPr>
        <w:lastRenderedPageBreak/>
        <w:t xml:space="preserve">البرنامج </w:t>
      </w:r>
      <w:r>
        <w:rPr>
          <w:rFonts w:ascii="Arabic Typesetting" w:hAnsi="Arabic Typesetting" w:cs="Arabic Typesetting" w:hint="cs"/>
          <w:b/>
          <w:bCs/>
          <w:sz w:val="34"/>
          <w:szCs w:val="34"/>
          <w:rtl/>
          <w:lang w:val="fr-CH" w:bidi="ar-SA"/>
        </w:rPr>
        <w:t>20</w:t>
      </w:r>
      <w:r w:rsidRPr="00EB30FA">
        <w:rPr>
          <w:rFonts w:ascii="Arabic Typesetting" w:hAnsi="Arabic Typesetting" w:cs="Arabic Typesetting" w:hint="cs"/>
          <w:b/>
          <w:bCs/>
          <w:sz w:val="34"/>
          <w:szCs w:val="34"/>
          <w:rtl/>
          <w:lang w:val="fr-CH" w:bidi="ar-SA"/>
        </w:rPr>
        <w:t>: الموارد بحسب كل نتيجة</w:t>
      </w:r>
    </w:p>
    <w:p w:rsidR="00A62820" w:rsidRPr="00EB30FA" w:rsidRDefault="00A62820" w:rsidP="00941A9D">
      <w:pPr>
        <w:keepNext/>
        <w:spacing w:line="340" w:lineRule="exact"/>
        <w:jc w:val="center"/>
        <w:rPr>
          <w:rFonts w:ascii="Arabic Typesetting" w:hAnsi="Arabic Typesetting" w:cs="Arabic Typesetting"/>
          <w:i/>
          <w:iCs/>
          <w:sz w:val="34"/>
          <w:szCs w:val="34"/>
          <w:lang w:val="fr-CH" w:bidi="ar-SA"/>
        </w:rPr>
      </w:pPr>
      <w:r w:rsidRPr="00EB30FA">
        <w:rPr>
          <w:rFonts w:ascii="Arabic Typesetting" w:hAnsi="Arabic Typesetting" w:cs="Arabic Typesetting" w:hint="cs"/>
          <w:i/>
          <w:iCs/>
          <w:sz w:val="34"/>
          <w:szCs w:val="34"/>
          <w:rtl/>
          <w:lang w:val="fr-CH" w:bidi="ar-SA"/>
        </w:rPr>
        <w:t>(بآلاف الفرنكات السويسرية)</w:t>
      </w:r>
    </w:p>
    <w:p w:rsidR="00A62820" w:rsidRDefault="00E2311D" w:rsidP="00A62820">
      <w:pPr>
        <w:pStyle w:val="ARNormal"/>
        <w:spacing w:line="240" w:lineRule="auto"/>
        <w:jc w:val="center"/>
        <w:rPr>
          <w:i/>
          <w:rtl/>
        </w:rPr>
      </w:pPr>
      <w:r w:rsidRPr="00E2311D">
        <w:rPr>
          <w:noProof/>
          <w:rtl/>
          <w:lang w:val="en-US"/>
        </w:rPr>
        <w:drawing>
          <wp:inline distT="0" distB="0" distL="0" distR="0" wp14:anchorId="373E2D61" wp14:editId="675FBD80">
            <wp:extent cx="4675649" cy="637017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675065" cy="6369383"/>
                    </a:xfrm>
                    <a:prstGeom prst="rect">
                      <a:avLst/>
                    </a:prstGeom>
                    <a:noFill/>
                    <a:ln>
                      <a:noFill/>
                    </a:ln>
                  </pic:spPr>
                </pic:pic>
              </a:graphicData>
            </a:graphic>
          </wp:inline>
        </w:drawing>
      </w:r>
    </w:p>
    <w:p w:rsidR="00A62820" w:rsidRPr="00EB30FA" w:rsidRDefault="00A62820" w:rsidP="00DA5475">
      <w:pPr>
        <w:keepNext/>
        <w:spacing w:line="340" w:lineRule="exact"/>
        <w:jc w:val="center"/>
        <w:rPr>
          <w:rFonts w:ascii="Arabic Typesetting" w:hAnsi="Arabic Typesetting" w:cs="Arabic Typesetting"/>
          <w:b/>
          <w:bCs/>
          <w:sz w:val="34"/>
          <w:szCs w:val="34"/>
          <w:rtl/>
          <w:lang w:val="fr-CH" w:bidi="ar-SA"/>
        </w:rPr>
      </w:pPr>
      <w:r w:rsidRPr="00EB30FA">
        <w:rPr>
          <w:rFonts w:ascii="Arabic Typesetting" w:hAnsi="Arabic Typesetting" w:cs="Arabic Typesetting" w:hint="cs"/>
          <w:b/>
          <w:bCs/>
          <w:sz w:val="34"/>
          <w:szCs w:val="34"/>
          <w:rtl/>
          <w:lang w:val="fr-CH" w:bidi="ar-SA"/>
        </w:rPr>
        <w:lastRenderedPageBreak/>
        <w:t xml:space="preserve">البرنامج </w:t>
      </w:r>
      <w:r>
        <w:rPr>
          <w:rFonts w:ascii="Arabic Typesetting" w:hAnsi="Arabic Typesetting" w:cs="Arabic Typesetting" w:hint="cs"/>
          <w:b/>
          <w:bCs/>
          <w:sz w:val="34"/>
          <w:szCs w:val="34"/>
          <w:rtl/>
          <w:lang w:val="fr-CH" w:bidi="ar-SA"/>
        </w:rPr>
        <w:t>20</w:t>
      </w:r>
      <w:r w:rsidRPr="00EB30FA">
        <w:rPr>
          <w:rFonts w:ascii="Arabic Typesetting" w:hAnsi="Arabic Typesetting" w:cs="Arabic Typesetting" w:hint="cs"/>
          <w:b/>
          <w:bCs/>
          <w:sz w:val="34"/>
          <w:szCs w:val="34"/>
          <w:rtl/>
          <w:lang w:val="fr-CH" w:bidi="ar-SA"/>
        </w:rPr>
        <w:t>: الموارد بحسب غرض الإنفاق</w:t>
      </w:r>
      <w:r w:rsidR="00CB7646" w:rsidRPr="00CB7646">
        <w:rPr>
          <w:rStyle w:val="FootnoteReference"/>
          <w:rFonts w:ascii="Arabic Typesetting" w:hAnsi="Arabic Typesetting"/>
          <w:b/>
          <w:bCs/>
          <w:color w:val="FFFFFF" w:themeColor="background1"/>
          <w:sz w:val="34"/>
          <w:rtl/>
          <w:lang w:val="fr-CH" w:bidi="ar-SA"/>
        </w:rPr>
        <w:footnoteReference w:id="23"/>
      </w:r>
    </w:p>
    <w:p w:rsidR="00A62820" w:rsidRPr="00EB30FA" w:rsidRDefault="00A62820" w:rsidP="00941A9D">
      <w:pPr>
        <w:keepNext/>
        <w:spacing w:line="340" w:lineRule="exact"/>
        <w:jc w:val="center"/>
        <w:rPr>
          <w:rFonts w:ascii="Arabic Typesetting" w:hAnsi="Arabic Typesetting" w:cs="Arabic Typesetting"/>
          <w:i/>
          <w:iCs/>
          <w:sz w:val="34"/>
          <w:szCs w:val="34"/>
          <w:lang w:val="fr-CH" w:bidi="ar-SA"/>
        </w:rPr>
      </w:pPr>
      <w:r w:rsidRPr="00EB30FA">
        <w:rPr>
          <w:rFonts w:ascii="Arabic Typesetting" w:hAnsi="Arabic Typesetting" w:cs="Arabic Typesetting" w:hint="cs"/>
          <w:i/>
          <w:iCs/>
          <w:sz w:val="34"/>
          <w:szCs w:val="34"/>
          <w:rtl/>
          <w:lang w:val="fr-CH" w:bidi="ar-SA"/>
        </w:rPr>
        <w:t>(بآلاف الفرنكات السويسرية)</w:t>
      </w:r>
    </w:p>
    <w:p w:rsidR="00A62820" w:rsidRPr="00CB7646" w:rsidRDefault="00EA6E9D" w:rsidP="00A62820">
      <w:pPr>
        <w:pStyle w:val="ARNormal"/>
        <w:spacing w:line="240" w:lineRule="auto"/>
        <w:jc w:val="center"/>
        <w:rPr>
          <w:i/>
          <w:sz w:val="24"/>
          <w:szCs w:val="24"/>
          <w:rtl/>
        </w:rPr>
      </w:pPr>
      <w:r>
        <w:rPr>
          <w:rFonts w:hint="cs"/>
          <w:b/>
          <w:bCs/>
          <w:noProof/>
          <w:rtl/>
          <w:lang w:val="en-US"/>
        </w:rPr>
        <mc:AlternateContent>
          <mc:Choice Requires="wps">
            <w:drawing>
              <wp:anchor distT="0" distB="0" distL="114300" distR="114300" simplePos="0" relativeHeight="251677696" behindDoc="0" locked="0" layoutInCell="1" allowOverlap="1" wp14:anchorId="2FFA920B" wp14:editId="3AC17229">
                <wp:simplePos x="0" y="0"/>
                <wp:positionH relativeFrom="column">
                  <wp:posOffset>1748790</wp:posOffset>
                </wp:positionH>
                <wp:positionV relativeFrom="paragraph">
                  <wp:posOffset>277656</wp:posOffset>
                </wp:positionV>
                <wp:extent cx="327025" cy="23876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2702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5889" w:rsidRPr="00EA6E9D" w:rsidRDefault="00AA5889">
                            <w:pPr>
                              <w:rPr>
                                <w:rFonts w:ascii="Tahoma" w:hAnsi="Tahoma" w:cs="Tahoma"/>
                                <w:sz w:val="4"/>
                                <w:szCs w:val="8"/>
                                <w:lang w:bidi="ar-SA"/>
                              </w:rPr>
                            </w:pPr>
                            <w:r w:rsidRPr="00EA6E9D">
                              <w:rPr>
                                <w:rFonts w:ascii="Tahoma" w:hAnsi="Tahoma" w:cs="Tahoma"/>
                                <w:sz w:val="4"/>
                                <w:szCs w:val="8"/>
                                <w:rtl/>
                                <w:lang w:bidi="ar-SA"/>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137.7pt;margin-top:21.85pt;width:25.75pt;height:1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" filled="f" stroked="f" strokeweight=".5pt">
                <v:textbox>
                  <w:txbxContent>
                    <w:p w:rsidR="00AA5889" w:rsidRPr="00EA6E9D" w:rsidRDefault="00AA5889">
                      <w:pPr>
                        <w:rPr>
                          <w:rFonts w:ascii="Tahoma" w:hAnsi="Tahoma" w:cs="Tahoma"/>
                          <w:sz w:val="4"/>
                          <w:szCs w:val="8"/>
                          <w:lang w:bidi="ar-SA"/>
                        </w:rPr>
                      </w:pPr>
                      <w:r w:rsidRPr="00EA6E9D">
                        <w:rPr>
                          <w:rFonts w:ascii="Tahoma" w:hAnsi="Tahoma" w:cs="Tahoma"/>
                          <w:sz w:val="4"/>
                          <w:szCs w:val="8"/>
                          <w:rtl/>
                          <w:lang w:bidi="ar-SA"/>
                        </w:rPr>
                        <w:t>23</w:t>
                      </w:r>
                    </w:p>
                  </w:txbxContent>
                </v:textbox>
              </v:shape>
            </w:pict>
          </mc:Fallback>
        </mc:AlternateContent>
      </w:r>
      <w:r w:rsidR="00E2311D" w:rsidRPr="00E2311D">
        <w:rPr>
          <w:noProof/>
          <w:rtl/>
          <w:lang w:val="en-US"/>
        </w:rPr>
        <w:drawing>
          <wp:inline distT="0" distB="0" distL="0" distR="0" wp14:anchorId="5EF5BA7B" wp14:editId="13FFD881">
            <wp:extent cx="4881827" cy="5623796"/>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885103" cy="5627570"/>
                    </a:xfrm>
                    <a:prstGeom prst="rect">
                      <a:avLst/>
                    </a:prstGeom>
                    <a:noFill/>
                    <a:ln>
                      <a:noFill/>
                    </a:ln>
                  </pic:spPr>
                </pic:pic>
              </a:graphicData>
            </a:graphic>
          </wp:inline>
        </w:drawing>
      </w:r>
    </w:p>
    <w:p w:rsidR="00A62820" w:rsidRPr="00462891" w:rsidRDefault="00A62820" w:rsidP="00DA5475">
      <w:pPr>
        <w:pStyle w:val="ARNormal"/>
        <w:keepNext/>
        <w:spacing w:after="0"/>
        <w:jc w:val="center"/>
        <w:rPr>
          <w:b/>
          <w:bCs/>
          <w:rtl/>
        </w:rPr>
      </w:pPr>
      <w:r w:rsidRPr="00487D33">
        <w:rPr>
          <w:rFonts w:hint="cs"/>
          <w:b/>
          <w:bCs/>
          <w:rtl/>
        </w:rPr>
        <w:t>الموارد الاستئمانية المحتمل توافرها لأغراض البرامج في</w:t>
      </w:r>
      <w:r w:rsidRPr="00487D33">
        <w:rPr>
          <w:b/>
          <w:bCs/>
          <w:rtl/>
        </w:rPr>
        <w:t xml:space="preserve"> </w:t>
      </w:r>
      <w:r>
        <w:rPr>
          <w:rFonts w:hint="cs"/>
          <w:b/>
          <w:bCs/>
          <w:rtl/>
        </w:rPr>
        <w:t>2016</w:t>
      </w:r>
      <w:r w:rsidRPr="00487D33">
        <w:rPr>
          <w:b/>
          <w:bCs/>
          <w:rtl/>
        </w:rPr>
        <w:t>/</w:t>
      </w:r>
      <w:r>
        <w:rPr>
          <w:rFonts w:hint="cs"/>
          <w:b/>
          <w:bCs/>
          <w:rtl/>
        </w:rPr>
        <w:t>17 (بحسب البرنامج)</w:t>
      </w:r>
      <w:r w:rsidRPr="00487D33">
        <w:rPr>
          <w:rFonts w:hint="cs"/>
          <w:b/>
          <w:bCs/>
          <w:vertAlign w:val="superscript"/>
          <w:rtl/>
        </w:rPr>
        <w:t>1</w:t>
      </w:r>
    </w:p>
    <w:p w:rsidR="00A62820" w:rsidRPr="00487D33" w:rsidRDefault="00A62820" w:rsidP="00DA5475">
      <w:pPr>
        <w:pStyle w:val="ARNormal"/>
        <w:spacing w:after="0"/>
        <w:ind w:left="720"/>
        <w:jc w:val="center"/>
        <w:rPr>
          <w:i/>
          <w:iCs/>
          <w:rtl/>
        </w:rPr>
      </w:pPr>
      <w:r w:rsidRPr="00487D33">
        <w:rPr>
          <w:i/>
          <w:iCs/>
          <w:rtl/>
        </w:rPr>
        <w:t>(بآلاف الفرنكات السويسرية)</w:t>
      </w:r>
    </w:p>
    <w:p w:rsidR="00A62820" w:rsidRPr="008954A8" w:rsidRDefault="00E2311D" w:rsidP="00E2311D">
      <w:pPr>
        <w:pStyle w:val="ARNormal"/>
        <w:spacing w:line="240" w:lineRule="auto"/>
        <w:jc w:val="center"/>
        <w:rPr>
          <w:sz w:val="30"/>
          <w:szCs w:val="30"/>
          <w:rtl/>
        </w:rPr>
      </w:pPr>
      <w:r w:rsidRPr="00E2311D">
        <w:rPr>
          <w:noProof/>
          <w:rtl/>
          <w:lang w:val="en-US"/>
        </w:rPr>
        <w:drawing>
          <wp:inline distT="0" distB="0" distL="0" distR="0" wp14:anchorId="59217BD8" wp14:editId="7498E309">
            <wp:extent cx="5939790" cy="969402"/>
            <wp:effectExtent l="0" t="0" r="3810" b="254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39790" cy="969402"/>
                    </a:xfrm>
                    <a:prstGeom prst="rect">
                      <a:avLst/>
                    </a:prstGeom>
                    <a:noFill/>
                    <a:ln>
                      <a:noFill/>
                    </a:ln>
                  </pic:spPr>
                </pic:pic>
              </a:graphicData>
            </a:graphic>
          </wp:inline>
        </w:drawing>
      </w:r>
    </w:p>
    <w:p w:rsidR="00A62820" w:rsidRPr="00825509" w:rsidRDefault="00A62820" w:rsidP="00E2311D">
      <w:pPr>
        <w:adjustRightInd w:val="0"/>
        <w:snapToGrid w:val="0"/>
        <w:spacing w:line="240" w:lineRule="exact"/>
        <w:jc w:val="both"/>
        <w:rPr>
          <w:rFonts w:ascii="Arabic Typesetting" w:hAnsi="Arabic Typesetting" w:cs="Arabic Typesetting"/>
          <w:i/>
          <w:iCs/>
          <w:sz w:val="24"/>
          <w:rtl/>
        </w:rPr>
      </w:pPr>
      <w:r w:rsidRPr="00825509">
        <w:rPr>
          <w:rFonts w:ascii="Arabic Typesetting" w:hAnsi="Arabic Typesetting" w:cs="Arabic Typesetting" w:hint="cs"/>
          <w:i/>
          <w:iCs/>
          <w:sz w:val="24"/>
          <w:vertAlign w:val="superscript"/>
          <w:rtl/>
        </w:rPr>
        <w:t>1</w:t>
      </w:r>
      <w:r w:rsidRPr="00825509">
        <w:rPr>
          <w:rFonts w:ascii="Arabic Typesetting" w:hAnsi="Arabic Typesetting" w:cs="Arabic Typesetting" w:hint="cs"/>
          <w:i/>
          <w:iCs/>
          <w:sz w:val="24"/>
          <w:rtl/>
        </w:rPr>
        <w:t xml:space="preserve"> </w:t>
      </w:r>
      <w:r w:rsidRPr="00825509">
        <w:rPr>
          <w:rFonts w:ascii="Arabic Typesetting" w:hAnsi="Arabic Typesetting" w:cs="Arabic Typesetting"/>
          <w:i/>
          <w:iCs/>
          <w:sz w:val="24"/>
          <w:rtl/>
        </w:rPr>
        <w:t>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825509">
        <w:rPr>
          <w:rFonts w:ascii="Arabic Typesetting" w:hAnsi="Arabic Typesetting" w:cs="Arabic Typesetting"/>
          <w:i/>
          <w:iCs/>
          <w:sz w:val="24"/>
        </w:rPr>
        <w:t>.</w:t>
      </w:r>
    </w:p>
    <w:p w:rsidR="00A62820" w:rsidRDefault="00A62820" w:rsidP="00E2311D">
      <w:pPr>
        <w:adjustRightInd w:val="0"/>
        <w:snapToGrid w:val="0"/>
        <w:spacing w:line="240" w:lineRule="exact"/>
        <w:jc w:val="both"/>
        <w:rPr>
          <w:rFonts w:ascii="Arabic Typesetting" w:hAnsi="Arabic Typesetting" w:cs="Arabic Typesetting"/>
          <w:i/>
          <w:iCs/>
          <w:sz w:val="24"/>
          <w:rtl/>
        </w:rPr>
      </w:pPr>
      <w:r w:rsidRPr="00487D33">
        <w:rPr>
          <w:rFonts w:ascii="Arabic Typesetting" w:hAnsi="Arabic Typesetting" w:cs="Arabic Typesetting" w:hint="cs"/>
          <w:i/>
          <w:iCs/>
          <w:sz w:val="24"/>
          <w:vertAlign w:val="superscript"/>
          <w:rtl/>
        </w:rPr>
        <w:t>2</w:t>
      </w:r>
      <w:r w:rsidRPr="00487D33">
        <w:rPr>
          <w:rFonts w:ascii="Arabic Typesetting" w:hAnsi="Arabic Typesetting" w:cs="Arabic Typesetting" w:hint="cs"/>
          <w:i/>
          <w:iCs/>
          <w:sz w:val="24"/>
          <w:rtl/>
        </w:rPr>
        <w:t xml:space="preserve"> </w:t>
      </w:r>
      <w:r w:rsidRPr="00487D33">
        <w:rPr>
          <w:rFonts w:ascii="Arabic Typesetting" w:hAnsi="Arabic Typesetting" w:cs="Arabic Typesetting"/>
          <w:i/>
          <w:iCs/>
          <w:sz w:val="24"/>
          <w:rtl/>
        </w:rPr>
        <w:t xml:space="preserve">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87D33">
        <w:rPr>
          <w:rFonts w:ascii="Arabic Typesetting" w:hAnsi="Arabic Typesetting" w:cs="Arabic Typesetting"/>
          <w:i/>
          <w:iCs/>
          <w:sz w:val="24"/>
          <w:rtl/>
        </w:rPr>
        <w:t>الاستئماني</w:t>
      </w:r>
      <w:proofErr w:type="spellEnd"/>
      <w:r w:rsidRPr="00487D33">
        <w:rPr>
          <w:rFonts w:ascii="Arabic Typesetting" w:hAnsi="Arabic Typesetting" w:cs="Arabic Typesetting"/>
          <w:i/>
          <w:iCs/>
          <w:sz w:val="24"/>
          <w:rtl/>
        </w:rPr>
        <w:t xml:space="preserve"> التزاما من هذا القبيل</w:t>
      </w:r>
      <w:r w:rsidRPr="00487D33">
        <w:rPr>
          <w:rFonts w:ascii="Arabic Typesetting" w:hAnsi="Arabic Typesetting" w:cs="Arabic Typesetting"/>
          <w:i/>
          <w:iCs/>
          <w:sz w:val="24"/>
        </w:rPr>
        <w:t>.</w:t>
      </w:r>
    </w:p>
    <w:p w:rsidR="00E2311D" w:rsidRDefault="00E2311D" w:rsidP="00E2311D">
      <w:pPr>
        <w:adjustRightInd w:val="0"/>
        <w:snapToGrid w:val="0"/>
        <w:spacing w:line="240" w:lineRule="exact"/>
        <w:jc w:val="both"/>
        <w:rPr>
          <w:rFonts w:ascii="Arabic Typesetting" w:hAnsi="Arabic Typesetting" w:cs="Arabic Typesetting"/>
          <w:i/>
          <w:iCs/>
          <w:sz w:val="24"/>
          <w:rtl/>
        </w:rPr>
        <w:sectPr w:rsidR="00E2311D" w:rsidSect="00861CFF">
          <w:pgSz w:w="11906" w:h="16838" w:code="9"/>
          <w:pgMar w:top="1134" w:right="1418" w:bottom="1418" w:left="1134" w:header="510" w:footer="1021" w:gutter="0"/>
          <w:cols w:space="720"/>
          <w:bidi/>
          <w:rtlGutter/>
        </w:sectPr>
      </w:pPr>
    </w:p>
    <w:p w:rsidR="00D24D96" w:rsidRPr="008954A8" w:rsidRDefault="00D24D96" w:rsidP="00DA5475">
      <w:pPr>
        <w:pStyle w:val="StyleHeading214ptAuto"/>
        <w:tabs>
          <w:tab w:val="clear" w:pos="567"/>
          <w:tab w:val="num" w:pos="2833"/>
        </w:tabs>
        <w:adjustRightInd w:val="0"/>
        <w:snapToGrid w:val="0"/>
        <w:spacing w:after="240" w:line="360" w:lineRule="exact"/>
        <w:ind w:left="2833" w:hanging="2835"/>
        <w:jc w:val="left"/>
        <w:rPr>
          <w:rFonts w:ascii="Arabic Typesetting" w:hAnsi="Arabic Typesetting" w:cs="Arabic Typesetting"/>
          <w:i/>
          <w:iCs w:val="0"/>
          <w:sz w:val="42"/>
          <w:szCs w:val="42"/>
          <w:rtl/>
        </w:rPr>
      </w:pPr>
      <w:bookmarkStart w:id="105" w:name="_Toc358745241"/>
      <w:bookmarkStart w:id="106" w:name="_Toc364355407"/>
      <w:bookmarkStart w:id="107" w:name="_Toc420595528"/>
      <w:r w:rsidRPr="008954A8">
        <w:rPr>
          <w:rFonts w:ascii="Arabic Typesetting" w:hAnsi="Arabic Typesetting" w:cs="Arabic Typesetting"/>
          <w:i/>
          <w:iCs w:val="0"/>
          <w:sz w:val="42"/>
          <w:szCs w:val="42"/>
          <w:rtl/>
        </w:rPr>
        <w:lastRenderedPageBreak/>
        <w:t>الهدف الاستراتيجي التاسع</w:t>
      </w:r>
      <w:bookmarkStart w:id="108" w:name="_Toc364355408"/>
      <w:bookmarkEnd w:id="105"/>
      <w:bookmarkEnd w:id="106"/>
      <w:r>
        <w:rPr>
          <w:rFonts w:ascii="Arabic Typesetting" w:hAnsi="Arabic Typesetting" w:cs="Arabic Typesetting" w:hint="cs"/>
          <w:i/>
          <w:iCs w:val="0"/>
          <w:sz w:val="42"/>
          <w:szCs w:val="42"/>
          <w:rtl/>
        </w:rPr>
        <w:t>:</w:t>
      </w:r>
      <w:r>
        <w:rPr>
          <w:rFonts w:ascii="Arabic Typesetting" w:hAnsi="Arabic Typesetting" w:cs="Arabic Typesetting"/>
          <w:i/>
          <w:iCs w:val="0"/>
          <w:sz w:val="42"/>
          <w:szCs w:val="42"/>
          <w:rtl/>
        </w:rPr>
        <w:tab/>
      </w:r>
      <w:r w:rsidRPr="008954A8">
        <w:rPr>
          <w:rFonts w:ascii="Arabic Typesetting" w:hAnsi="Arabic Typesetting" w:cs="Arabic Typesetting"/>
          <w:i/>
          <w:iCs w:val="0"/>
          <w:sz w:val="42"/>
          <w:szCs w:val="42"/>
          <w:rtl/>
        </w:rPr>
        <w:t>دعم إداري ومالي فعال</w:t>
      </w:r>
      <w:bookmarkEnd w:id="107"/>
      <w:bookmarkEnd w:id="108"/>
    </w:p>
    <w:p w:rsidR="00D24D96" w:rsidRDefault="00D24D96" w:rsidP="00862268">
      <w:pPr>
        <w:tabs>
          <w:tab w:val="left" w:pos="0"/>
        </w:tabs>
        <w:spacing w:after="120" w:line="340" w:lineRule="exact"/>
        <w:rPr>
          <w:rFonts w:ascii="Arabic Typesetting" w:hAnsi="Arabic Typesetting" w:cs="Arabic Typesetting"/>
          <w:sz w:val="34"/>
          <w:szCs w:val="34"/>
          <w:rtl/>
        </w:rPr>
      </w:pPr>
      <w:r w:rsidRPr="008954A8">
        <w:rPr>
          <w:rFonts w:ascii="Arabic Typesetting" w:hAnsi="Arabic Typesetting" w:cs="Arabic Typesetting"/>
          <w:sz w:val="34"/>
          <w:szCs w:val="34"/>
          <w:rtl/>
        </w:rPr>
        <w:t xml:space="preserve">إن الهدف الاستراتيجي التاسع هو ثاني الهدفين </w:t>
      </w:r>
      <w:proofErr w:type="spellStart"/>
      <w:r w:rsidRPr="008954A8">
        <w:rPr>
          <w:rFonts w:ascii="Arabic Typesetting" w:hAnsi="Arabic Typesetting" w:cs="Arabic Typesetting"/>
          <w:sz w:val="34"/>
          <w:szCs w:val="34"/>
          <w:rtl/>
        </w:rPr>
        <w:t>التمكينيين</w:t>
      </w:r>
      <w:proofErr w:type="spellEnd"/>
      <w:r w:rsidRPr="008954A8">
        <w:rPr>
          <w:rFonts w:ascii="Arabic Typesetting" w:hAnsi="Arabic Typesetting" w:cs="Arabic Typesetting"/>
          <w:sz w:val="34"/>
          <w:szCs w:val="34"/>
        </w:rPr>
        <w:t>.</w:t>
      </w:r>
      <w:r w:rsidRPr="008954A8">
        <w:rPr>
          <w:rFonts w:ascii="Arabic Typesetting" w:hAnsi="Arabic Typesetting" w:cs="Arabic Typesetting"/>
          <w:sz w:val="34"/>
          <w:szCs w:val="34"/>
          <w:rtl/>
        </w:rPr>
        <w:t xml:space="preserve"> وبصفته هذه، يجسد نطاقه احتياجات المنظمة ككل إلى بنية دعم إداري ومالي تركز على تمكين البرامج من الأداء مسترشدة بالفعالية والشفافية، ويستجيب نطاق ذلك الهدف لتلك الاحتياجات</w:t>
      </w:r>
      <w:r w:rsidRPr="008954A8">
        <w:rPr>
          <w:rFonts w:ascii="Arabic Typesetting" w:hAnsi="Arabic Typesetting" w:cs="Arabic Typesetting"/>
          <w:sz w:val="34"/>
          <w:szCs w:val="34"/>
        </w:rPr>
        <w:t>.</w:t>
      </w:r>
      <w:r w:rsidRPr="008954A8">
        <w:rPr>
          <w:rFonts w:ascii="Arabic Typesetting" w:hAnsi="Arabic Typesetting" w:cs="Arabic Typesetting"/>
          <w:sz w:val="34"/>
          <w:szCs w:val="34"/>
          <w:rtl/>
        </w:rPr>
        <w:t xml:space="preserve"> وهو يشمل أيضا عملية الإصلاح المؤسسي الواسع (برنامج التقويم الاستراتيجي) الذي سيمكن الويبو من تقديم الدعم بطريقة أفضل وبمزيد من الكفاءة والفعالية</w:t>
      </w:r>
      <w:r>
        <w:rPr>
          <w:rFonts w:ascii="Arabic Typesetting" w:hAnsi="Arabic Typesetting" w:cs="Arabic Typesetting"/>
          <w:sz w:val="34"/>
          <w:szCs w:val="34"/>
          <w:rtl/>
        </w:rPr>
        <w:t xml:space="preserve"> من حيث التكلفة وتحقيق أداء معز</w:t>
      </w:r>
      <w:r>
        <w:rPr>
          <w:rFonts w:ascii="Arabic Typesetting" w:hAnsi="Arabic Typesetting" w:cs="Arabic Typesetting" w:hint="cs"/>
          <w:sz w:val="34"/>
          <w:szCs w:val="34"/>
          <w:rtl/>
        </w:rPr>
        <w:t>.</w:t>
      </w:r>
    </w:p>
    <w:p w:rsidR="00D24D96" w:rsidRPr="00254AC1" w:rsidRDefault="00D24D96" w:rsidP="00DA5475">
      <w:pPr>
        <w:tabs>
          <w:tab w:val="left" w:pos="0"/>
        </w:tabs>
        <w:spacing w:after="120" w:line="340" w:lineRule="exact"/>
        <w:rPr>
          <w:rFonts w:ascii="Arabic Typesetting" w:hAnsi="Arabic Typesetting" w:cs="Arabic Typesetting"/>
          <w:sz w:val="34"/>
          <w:szCs w:val="34"/>
        </w:rPr>
      </w:pPr>
    </w:p>
    <w:tbl>
      <w:tblPr>
        <w:bidiVisual/>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4"/>
        <w:gridCol w:w="4393"/>
        <w:gridCol w:w="2065"/>
      </w:tblGrid>
      <w:tr w:rsidR="00F01A85" w:rsidRPr="008954A8" w:rsidTr="00F01A85">
        <w:trPr>
          <w:cantSplit/>
          <w:trHeight w:val="317"/>
          <w:tblHeader/>
        </w:trPr>
        <w:tc>
          <w:tcPr>
            <w:tcW w:w="1525" w:type="pct"/>
            <w:tcBorders>
              <w:top w:val="single" w:sz="4" w:space="0" w:color="auto"/>
              <w:bottom w:val="single" w:sz="4" w:space="0" w:color="auto"/>
            </w:tcBorders>
            <w:shd w:val="clear" w:color="auto" w:fill="C6D9F1"/>
            <w:tcMar>
              <w:top w:w="113" w:type="dxa"/>
              <w:bottom w:w="85" w:type="dxa"/>
            </w:tcMar>
            <w:vAlign w:val="cente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النتائج المرتقبة</w:t>
            </w:r>
          </w:p>
        </w:tc>
        <w:tc>
          <w:tcPr>
            <w:tcW w:w="2364" w:type="pct"/>
            <w:tcBorders>
              <w:top w:val="single" w:sz="4" w:space="0" w:color="auto"/>
              <w:bottom w:val="single" w:sz="4" w:space="0" w:color="auto"/>
            </w:tcBorders>
            <w:shd w:val="clear" w:color="auto" w:fill="C6D9F1"/>
            <w:tcMar>
              <w:top w:w="113" w:type="dxa"/>
              <w:bottom w:w="85" w:type="dxa"/>
            </w:tcMar>
            <w:vAlign w:val="cente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مؤشرات الأداء</w:t>
            </w:r>
          </w:p>
        </w:tc>
        <w:tc>
          <w:tcPr>
            <w:tcW w:w="1111" w:type="pct"/>
            <w:tcBorders>
              <w:top w:val="single" w:sz="4" w:space="0" w:color="auto"/>
              <w:bottom w:val="single" w:sz="4" w:space="0" w:color="auto"/>
            </w:tcBorders>
            <w:shd w:val="clear" w:color="auto" w:fill="C6D9F1"/>
            <w:tcMar>
              <w:top w:w="113" w:type="dxa"/>
              <w:bottom w:w="85" w:type="dxa"/>
            </w:tcMar>
            <w:vAlign w:val="center"/>
          </w:tcPr>
          <w:p w:rsidR="00D24D96" w:rsidRPr="008954A8" w:rsidRDefault="00D24D96" w:rsidP="00F01A85">
            <w:pPr>
              <w:spacing w:line="300" w:lineRule="exact"/>
              <w:ind w:left="85"/>
              <w:rPr>
                <w:rFonts w:ascii="Arabic Typesetting" w:hAnsi="Arabic Typesetting" w:cs="Arabic Typesetting"/>
                <w:sz w:val="30"/>
                <w:szCs w:val="30"/>
              </w:rPr>
            </w:pPr>
            <w:r w:rsidRPr="008954A8">
              <w:rPr>
                <w:rFonts w:ascii="Arabic Typesetting" w:hAnsi="Arabic Typesetting" w:cs="Arabic Typesetting"/>
                <w:bCs/>
                <w:sz w:val="30"/>
                <w:szCs w:val="30"/>
                <w:rtl/>
              </w:rPr>
              <w:t>البرامج المسؤولة</w:t>
            </w:r>
          </w:p>
        </w:tc>
      </w:tr>
      <w:tr w:rsidR="00F01A85" w:rsidRPr="008954A8" w:rsidTr="00F01A85">
        <w:trPr>
          <w:cantSplit/>
          <w:trHeight w:val="1029"/>
        </w:trPr>
        <w:tc>
          <w:tcPr>
            <w:tcW w:w="1525" w:type="pct"/>
            <w:tcBorders>
              <w:top w:val="single" w:sz="4" w:space="0" w:color="auto"/>
            </w:tcBorders>
            <w:tcMar>
              <w:top w:w="113" w:type="dxa"/>
              <w:bottom w:w="85" w:type="dxa"/>
            </w:tcMar>
          </w:tcPr>
          <w:p w:rsidR="00D24D96" w:rsidRPr="00254AC1" w:rsidRDefault="00D24D96" w:rsidP="00F01A85">
            <w:pPr>
              <w:spacing w:line="300" w:lineRule="exact"/>
              <w:rPr>
                <w:rFonts w:ascii="Arabic Typesetting" w:hAnsi="Arabic Typesetting" w:cs="Arabic Typesetting"/>
                <w:sz w:val="30"/>
                <w:szCs w:val="30"/>
                <w:lang w:val="en-GB"/>
              </w:rPr>
            </w:pPr>
            <w:r w:rsidRPr="008954A8">
              <w:rPr>
                <w:rFonts w:ascii="Arabic Typesetting" w:hAnsi="Arabic Typesetting" w:cs="Arabic Typesetting" w:hint="cs"/>
                <w:sz w:val="30"/>
                <w:szCs w:val="30"/>
                <w:rtl/>
              </w:rPr>
              <w:t xml:space="preserve">ه 1.9 </w:t>
            </w:r>
            <w:r w:rsidRPr="00254AC1">
              <w:rPr>
                <w:rFonts w:ascii="Arabic Typesetting" w:hAnsi="Arabic Typesetting" w:cs="Arabic Typesetting"/>
                <w:sz w:val="30"/>
                <w:szCs w:val="30"/>
                <w:rtl/>
                <w:lang w:bidi="ar-SA"/>
              </w:rPr>
              <w:t>خدمات دعم موجهة للزبون بفعالية وكفاءة وجودة لفائدة الزبائن الداخليين وأصحاب المصلحة الخارجيين</w:t>
            </w:r>
          </w:p>
        </w:tc>
        <w:tc>
          <w:tcPr>
            <w:tcW w:w="2364" w:type="pct"/>
            <w:tcBorders>
              <w:top w:val="single" w:sz="4" w:space="0" w:color="auto"/>
            </w:tcBorders>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254AC1">
              <w:rPr>
                <w:rFonts w:ascii="Arabic Typesetting" w:hAnsi="Arabic Typesetting" w:cs="Arabic Typesetting"/>
                <w:sz w:val="30"/>
                <w:szCs w:val="30"/>
                <w:rtl/>
              </w:rPr>
              <w:t>النسبة المئوية لطلبات المشورة والخدمات القانونية التي تلقت ردودا سريعة من مكتب المستشار القانوني</w:t>
            </w:r>
          </w:p>
        </w:tc>
        <w:tc>
          <w:tcPr>
            <w:tcW w:w="1111" w:type="pct"/>
            <w:tcBorders>
              <w:top w:val="single" w:sz="4" w:space="0" w:color="auto"/>
            </w:tcBorders>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21</w:t>
            </w:r>
          </w:p>
        </w:tc>
      </w:tr>
      <w:tr w:rsidR="00F01A85" w:rsidRPr="008954A8" w:rsidTr="00F01A85">
        <w:trPr>
          <w:cantSplit/>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0A55FA">
              <w:rPr>
                <w:rFonts w:ascii="Arabic Typesetting" w:hAnsi="Arabic Typesetting" w:cs="Arabic Typesetting"/>
                <w:sz w:val="30"/>
                <w:szCs w:val="30"/>
                <w:rtl/>
              </w:rPr>
              <w:t>تقديم التقارير المالية والإدارية والتحليلات المطلوبة من الإدارة العليا ومديري البرامج والدول الأعضاء وفقا</w:t>
            </w:r>
            <w:r w:rsidRPr="000A55FA">
              <w:rPr>
                <w:rFonts w:ascii="Arabic Typesetting" w:hAnsi="Arabic Typesetting" w:cs="Arabic Typesetting" w:hint="cs"/>
                <w:sz w:val="30"/>
                <w:szCs w:val="30"/>
                <w:rtl/>
              </w:rPr>
              <w:t>ً</w:t>
            </w:r>
            <w:r w:rsidRPr="000A55FA">
              <w:rPr>
                <w:rFonts w:ascii="Arabic Typesetting" w:hAnsi="Arabic Typesetting" w:cs="Arabic Typesetting"/>
                <w:sz w:val="30"/>
                <w:szCs w:val="30"/>
                <w:rtl/>
              </w:rPr>
              <w:t xml:space="preserve"> للمواعيد النهائية المتفق عليها</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22</w:t>
            </w:r>
          </w:p>
        </w:tc>
      </w:tr>
      <w:tr w:rsidR="00F01A85" w:rsidRPr="008954A8" w:rsidTr="00F01A85">
        <w:trPr>
          <w:cantSplit/>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0A55FA" w:rsidRDefault="00D24D96" w:rsidP="00F01A85">
            <w:pPr>
              <w:spacing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w:t>
            </w:r>
            <w:r w:rsidRPr="000A55FA">
              <w:rPr>
                <w:rFonts w:ascii="Arabic Typesetting" w:hAnsi="Arabic Typesetting" w:cs="Arabic Typesetting"/>
                <w:sz w:val="30"/>
                <w:szCs w:val="30"/>
                <w:rtl/>
              </w:rPr>
              <w:t>دد وثائق لجنة البرنامج والميزانية المُقدَّمة إلى الدول الأعضاء في وقتها</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22</w:t>
            </w:r>
          </w:p>
        </w:tc>
      </w:tr>
      <w:tr w:rsidR="00F01A85" w:rsidRPr="008954A8" w:rsidTr="00F01A85">
        <w:trPr>
          <w:cantSplit/>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Default="00D24D96" w:rsidP="00F01A85">
            <w:pPr>
              <w:spacing w:line="300" w:lineRule="exact"/>
              <w:rPr>
                <w:rFonts w:ascii="Arabic Typesetting" w:hAnsi="Arabic Typesetting" w:cs="Arabic Typesetting"/>
                <w:sz w:val="30"/>
                <w:szCs w:val="30"/>
                <w:rtl/>
              </w:rPr>
            </w:pPr>
            <w:r w:rsidRPr="000A55FA">
              <w:rPr>
                <w:rFonts w:ascii="Arabic Typesetting" w:hAnsi="Arabic Typesetting" w:cs="Arabic Typesetting" w:hint="cs"/>
                <w:sz w:val="30"/>
                <w:szCs w:val="30"/>
                <w:rtl/>
              </w:rPr>
              <w:t xml:space="preserve">عمل </w:t>
            </w:r>
            <w:r w:rsidRPr="000A55FA">
              <w:rPr>
                <w:rFonts w:ascii="Arabic Typesetting" w:hAnsi="Arabic Typesetting" w:cs="Arabic Typesetting"/>
                <w:sz w:val="30"/>
                <w:szCs w:val="30"/>
                <w:rtl/>
              </w:rPr>
              <w:t>نظام الويبو للتخطيط للموارد المؤسسية (</w:t>
            </w:r>
            <w:r w:rsidRPr="000A55FA">
              <w:rPr>
                <w:rFonts w:ascii="Arabic Typesetting" w:hAnsi="Arabic Typesetting" w:cs="Arabic Typesetting"/>
                <w:sz w:val="30"/>
                <w:szCs w:val="30"/>
              </w:rPr>
              <w:t>AIMS</w:t>
            </w:r>
            <w:r w:rsidRPr="000A55FA">
              <w:rPr>
                <w:rFonts w:ascii="Arabic Typesetting" w:hAnsi="Arabic Typesetting" w:cs="Arabic Typesetting"/>
                <w:sz w:val="30"/>
                <w:szCs w:val="30"/>
                <w:rtl/>
              </w:rPr>
              <w:t>) بكفاءة وفقاً لاحتياجات العمل وبما يتماشى مع أفضل الممارسات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22</w:t>
            </w:r>
          </w:p>
        </w:tc>
      </w:tr>
      <w:tr w:rsidR="00F01A85" w:rsidRPr="008954A8" w:rsidTr="00F01A85">
        <w:trPr>
          <w:cantSplit/>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0A55FA" w:rsidRDefault="00D24D96" w:rsidP="00F01A85">
            <w:pPr>
              <w:spacing w:line="300" w:lineRule="exact"/>
              <w:rPr>
                <w:rFonts w:ascii="Arabic Typesetting" w:hAnsi="Arabic Typesetting" w:cs="Arabic Typesetting"/>
                <w:sz w:val="30"/>
                <w:szCs w:val="30"/>
                <w:rtl/>
              </w:rPr>
            </w:pPr>
            <w:r w:rsidRPr="000A55FA">
              <w:rPr>
                <w:rFonts w:ascii="Arabic Typesetting" w:hAnsi="Arabic Typesetting" w:cs="Arabic Typesetting"/>
                <w:sz w:val="30"/>
                <w:szCs w:val="30"/>
                <w:rtl/>
              </w:rPr>
              <w:t xml:space="preserve">تنفيذ مشاريع التخطيط للموارد المؤسسية وفقاً للخطة وفي حدود ميزانية </w:t>
            </w:r>
            <w:r w:rsidRPr="000A55FA">
              <w:rPr>
                <w:rFonts w:ascii="Arabic Typesetting" w:hAnsi="Arabic Typesetting" w:cs="Arabic Typesetting" w:hint="cs"/>
                <w:sz w:val="30"/>
                <w:szCs w:val="30"/>
                <w:rtl/>
              </w:rPr>
              <w:t>المحفظة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22</w:t>
            </w:r>
          </w:p>
        </w:tc>
      </w:tr>
      <w:tr w:rsidR="00F01A85" w:rsidRPr="008954A8" w:rsidTr="00F01A85">
        <w:trPr>
          <w:cantSplit/>
          <w:trHeight w:val="472"/>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0A55FA" w:rsidRDefault="00D24D96" w:rsidP="00F01A85">
            <w:pPr>
              <w:spacing w:line="300" w:lineRule="exact"/>
              <w:rPr>
                <w:rFonts w:ascii="Arabic Typesetting" w:hAnsi="Arabic Typesetting" w:cs="Arabic Typesetting"/>
                <w:sz w:val="30"/>
                <w:szCs w:val="30"/>
              </w:rPr>
            </w:pPr>
            <w:r w:rsidRPr="000A55FA">
              <w:rPr>
                <w:rFonts w:ascii="Arabic Typesetting" w:hAnsi="Arabic Typesetting" w:cs="Arabic Typesetting"/>
                <w:sz w:val="30"/>
                <w:szCs w:val="30"/>
                <w:rtl/>
              </w:rPr>
              <w:t>النسبة المئوية للموظفين الراضين عن الخدمات المتعلقة بالموارد البشرية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23</w:t>
            </w:r>
          </w:p>
        </w:tc>
      </w:tr>
      <w:tr w:rsidR="00F01A85" w:rsidRPr="008954A8" w:rsidTr="00F01A85">
        <w:trPr>
          <w:cantSplit/>
          <w:trHeight w:val="472"/>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0A55FA">
              <w:rPr>
                <w:rFonts w:ascii="Arabic Typesetting" w:hAnsi="Arabic Typesetting" w:cs="Arabic Typesetting" w:hint="cs"/>
                <w:sz w:val="30"/>
                <w:szCs w:val="30"/>
                <w:rtl/>
              </w:rPr>
              <w:t>زيادة الإجراءات المعالجة بشكل مؤتمت مقابل الإجراءات المعالجة يدويا حاليا</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23</w:t>
            </w:r>
          </w:p>
        </w:tc>
      </w:tr>
      <w:tr w:rsidR="00F01A85" w:rsidRPr="008954A8" w:rsidTr="00F01A85">
        <w:trPr>
          <w:cantSplit/>
          <w:trHeight w:val="472"/>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0A55FA">
              <w:rPr>
                <w:rFonts w:ascii="Arabic Typesetting" w:hAnsi="Arabic Typesetting" w:cs="Arabic Typesetting" w:hint="cs"/>
                <w:sz w:val="30"/>
                <w:szCs w:val="30"/>
                <w:rtl/>
              </w:rPr>
              <w:t>النسبة المئوية للاستفسارات المعالجة خلال 5 أيام عمل</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23</w:t>
            </w:r>
          </w:p>
        </w:tc>
      </w:tr>
      <w:tr w:rsidR="00F01A85" w:rsidRPr="008954A8" w:rsidTr="00F01A85">
        <w:trPr>
          <w:cantSplit/>
          <w:trHeight w:val="617"/>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0A55FA">
              <w:rPr>
                <w:rFonts w:ascii="Arabic Typesetting" w:hAnsi="Arabic Typesetting" w:cs="Arabic Typesetting" w:hint="cs"/>
                <w:sz w:val="30"/>
                <w:szCs w:val="30"/>
                <w:rtl/>
              </w:rPr>
              <w:t>تغطية تأمينية مُثلى</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23</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0A55FA" w:rsidRDefault="00D24D96" w:rsidP="00F01A85">
            <w:pPr>
              <w:spacing w:line="300" w:lineRule="exact"/>
              <w:rPr>
                <w:rFonts w:ascii="Arabic Typesetting" w:hAnsi="Arabic Typesetting" w:cs="Arabic Typesetting"/>
                <w:sz w:val="30"/>
                <w:szCs w:val="30"/>
              </w:rPr>
            </w:pPr>
            <w:r w:rsidRPr="000A55FA">
              <w:rPr>
                <w:rFonts w:ascii="Arabic Typesetting" w:hAnsi="Arabic Typesetting" w:cs="Arabic Typesetting"/>
                <w:sz w:val="30"/>
                <w:szCs w:val="30"/>
                <w:rtl/>
              </w:rPr>
              <w:t>تحقيق وفورات في</w:t>
            </w:r>
            <w:r w:rsidRPr="000A55FA">
              <w:rPr>
                <w:rFonts w:ascii="Arabic Typesetting" w:hAnsi="Arabic Typesetting" w:cs="Arabic Typesetting" w:hint="cs"/>
                <w:sz w:val="30"/>
                <w:szCs w:val="30"/>
                <w:rtl/>
              </w:rPr>
              <w:t xml:space="preserve"> تكلفة</w:t>
            </w:r>
            <w:r w:rsidRPr="000A55FA">
              <w:rPr>
                <w:rFonts w:ascii="Arabic Typesetting" w:hAnsi="Arabic Typesetting" w:cs="Arabic Typesetting"/>
                <w:sz w:val="30"/>
                <w:szCs w:val="30"/>
                <w:rtl/>
              </w:rPr>
              <w:t xml:space="preserve"> </w:t>
            </w:r>
            <w:r w:rsidRPr="000A55FA">
              <w:rPr>
                <w:rFonts w:ascii="Arabic Typesetting" w:hAnsi="Arabic Typesetting" w:cs="Arabic Typesetting" w:hint="cs"/>
                <w:sz w:val="30"/>
                <w:szCs w:val="30"/>
                <w:rtl/>
              </w:rPr>
              <w:t xml:space="preserve">ما تشتريه الويبو من </w:t>
            </w:r>
            <w:r w:rsidRPr="000A55FA">
              <w:rPr>
                <w:rFonts w:ascii="Arabic Typesetting" w:hAnsi="Arabic Typesetting" w:cs="Arabic Typesetting"/>
                <w:sz w:val="30"/>
                <w:szCs w:val="30"/>
                <w:rtl/>
              </w:rPr>
              <w:t xml:space="preserve">سلع وخدمات (مستمدة من طلبات </w:t>
            </w:r>
            <w:r w:rsidRPr="000A55FA">
              <w:rPr>
                <w:rFonts w:ascii="Arabic Typesetting" w:hAnsi="Arabic Typesetting" w:cs="Arabic Typesetting" w:hint="cs"/>
                <w:sz w:val="30"/>
                <w:szCs w:val="30"/>
                <w:rtl/>
              </w:rPr>
              <w:t>العروض</w:t>
            </w:r>
            <w:r w:rsidRPr="000A55FA">
              <w:rPr>
                <w:rFonts w:ascii="Arabic Typesetting" w:hAnsi="Arabic Typesetting" w:cs="Arabic Typesetting"/>
                <w:sz w:val="30"/>
                <w:szCs w:val="30"/>
                <w:rtl/>
              </w:rPr>
              <w:t xml:space="preserve"> أو المفاوضات المباشرة)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0A55FA">
              <w:rPr>
                <w:rFonts w:ascii="Arabic Typesetting" w:hAnsi="Arabic Typesetting" w:cs="Arabic Typesetting" w:hint="cs"/>
                <w:sz w:val="30"/>
                <w:szCs w:val="30"/>
                <w:rtl/>
              </w:rPr>
              <w:t xml:space="preserve">الوقت المستغرق لمعالجة </w:t>
            </w:r>
            <w:r w:rsidRPr="000A55FA">
              <w:rPr>
                <w:rFonts w:ascii="Arabic Typesetting" w:hAnsi="Arabic Typesetting" w:cs="Arabic Typesetting"/>
                <w:sz w:val="30"/>
                <w:szCs w:val="30"/>
                <w:rtl/>
              </w:rPr>
              <w:t xml:space="preserve">طلبات </w:t>
            </w:r>
            <w:r w:rsidRPr="000A55FA">
              <w:rPr>
                <w:rFonts w:ascii="Arabic Typesetting" w:hAnsi="Arabic Typesetting" w:cs="Arabic Typesetting" w:hint="cs"/>
                <w:sz w:val="30"/>
                <w:szCs w:val="30"/>
                <w:rtl/>
              </w:rPr>
              <w:t>التظاهرات الإلكترونية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7116AD">
              <w:rPr>
                <w:rFonts w:ascii="Arabic Typesetting" w:hAnsi="Arabic Typesetting" w:cs="Arabic Typesetting"/>
                <w:sz w:val="30"/>
                <w:szCs w:val="30"/>
                <w:rtl/>
              </w:rPr>
              <w:t>الوقت المستغرق لمعالجة تصريحات السفر الإلكترونية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7116AD" w:rsidRDefault="00D24D96" w:rsidP="00F01A85">
            <w:pPr>
              <w:spacing w:line="300" w:lineRule="exact"/>
              <w:rPr>
                <w:rFonts w:ascii="Arabic Typesetting" w:hAnsi="Arabic Typesetting" w:cs="Arabic Typesetting"/>
                <w:sz w:val="30"/>
                <w:szCs w:val="30"/>
                <w:rtl/>
              </w:rPr>
            </w:pPr>
            <w:r w:rsidRPr="007116AD">
              <w:rPr>
                <w:rFonts w:ascii="Arabic Typesetting" w:hAnsi="Arabic Typesetting" w:cs="Arabic Typesetting" w:hint="cs"/>
                <w:sz w:val="30"/>
                <w:szCs w:val="30"/>
                <w:rtl/>
              </w:rPr>
              <w:t>الوقت المستغرق لمعالجة التأشيرات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7116AD">
              <w:rPr>
                <w:rFonts w:ascii="Arabic Typesetting" w:hAnsi="Arabic Typesetting" w:cs="Arabic Typesetting"/>
                <w:color w:val="000000"/>
                <w:sz w:val="30"/>
                <w:szCs w:val="30"/>
                <w:rtl/>
              </w:rPr>
              <w:t xml:space="preserve">متوسط </w:t>
            </w:r>
            <w:r w:rsidRPr="007116AD">
              <w:rPr>
                <w:rFonts w:ascii="Arabic Typesetting" w:hAnsi="Arabic Typesetting" w:cs="Arabic Typesetting" w:hint="cs"/>
                <w:color w:val="000000"/>
                <w:sz w:val="30"/>
                <w:szCs w:val="30"/>
                <w:rtl/>
              </w:rPr>
              <w:t>أسعار</w:t>
            </w:r>
            <w:r w:rsidRPr="007116AD">
              <w:rPr>
                <w:rFonts w:ascii="Arabic Typesetting" w:hAnsi="Arabic Typesetting" w:cs="Arabic Typesetting"/>
                <w:color w:val="000000"/>
                <w:sz w:val="30"/>
                <w:szCs w:val="30"/>
                <w:rtl/>
              </w:rPr>
              <w:t xml:space="preserve"> تذاكر </w:t>
            </w:r>
            <w:r w:rsidRPr="007116AD">
              <w:rPr>
                <w:rFonts w:ascii="Arabic Typesetting" w:hAnsi="Arabic Typesetting" w:cs="Arabic Typesetting"/>
                <w:color w:val="000000"/>
                <w:sz w:val="30"/>
                <w:szCs w:val="30"/>
              </w:rPr>
              <w:t>TMC</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7116AD" w:rsidRDefault="00D24D96" w:rsidP="00F01A85">
            <w:pPr>
              <w:spacing w:line="300" w:lineRule="exact"/>
              <w:rPr>
                <w:rFonts w:ascii="Arabic Typesetting" w:hAnsi="Arabic Typesetting" w:cs="Arabic Typesetting"/>
                <w:color w:val="000000"/>
                <w:sz w:val="30"/>
                <w:szCs w:val="30"/>
                <w:rtl/>
              </w:rPr>
            </w:pPr>
            <w:r w:rsidRPr="007116AD">
              <w:rPr>
                <w:rFonts w:ascii="Arabic Typesetting" w:hAnsi="Arabic Typesetting" w:cs="Arabic Typesetting" w:hint="cs"/>
                <w:color w:val="000000"/>
                <w:sz w:val="30"/>
                <w:szCs w:val="30"/>
                <w:rtl/>
              </w:rPr>
              <w:t>المتوسط العالمي لأسعار التذاكر</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7116AD" w:rsidRDefault="00D24D96" w:rsidP="00F01A85">
            <w:pPr>
              <w:spacing w:line="300" w:lineRule="exact"/>
              <w:rPr>
                <w:rFonts w:ascii="Arabic Typesetting" w:hAnsi="Arabic Typesetting" w:cs="Arabic Typesetting"/>
                <w:color w:val="000000"/>
                <w:sz w:val="30"/>
                <w:szCs w:val="30"/>
                <w:rtl/>
              </w:rPr>
            </w:pPr>
            <w:r w:rsidRPr="007116AD">
              <w:rPr>
                <w:rFonts w:ascii="Arabic Typesetting" w:hAnsi="Arabic Typesetting" w:cs="Arabic Typesetting" w:hint="cs"/>
                <w:color w:val="000000"/>
                <w:sz w:val="30"/>
                <w:szCs w:val="30"/>
                <w:rtl/>
              </w:rPr>
              <w:t>متوسط رسوم الخدمات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7116AD" w:rsidRDefault="00D24D96" w:rsidP="00F01A85">
            <w:pPr>
              <w:spacing w:line="300" w:lineRule="exact"/>
              <w:rPr>
                <w:rFonts w:ascii="Arabic Typesetting" w:hAnsi="Arabic Typesetting" w:cs="Arabic Typesetting"/>
                <w:color w:val="000000"/>
                <w:sz w:val="30"/>
                <w:szCs w:val="30"/>
                <w:rtl/>
              </w:rPr>
            </w:pPr>
            <w:r w:rsidRPr="007116AD">
              <w:rPr>
                <w:rFonts w:ascii="Arabic Typesetting" w:hAnsi="Arabic Typesetting" w:cs="Arabic Typesetting"/>
                <w:color w:val="000000"/>
                <w:sz w:val="30"/>
                <w:szCs w:val="30"/>
                <w:rtl/>
              </w:rPr>
              <w:t>مباني الويبو وتجهيزاتها لا تزال ملائمة للغرض</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7116AD">
              <w:rPr>
                <w:rFonts w:ascii="Arabic Typesetting" w:hAnsi="Arabic Typesetting" w:cs="Arabic Typesetting"/>
                <w:color w:val="000000"/>
                <w:sz w:val="30"/>
                <w:szCs w:val="30"/>
                <w:rtl/>
              </w:rPr>
              <w:t>استخدام مباني الويبو وجميع أنواع الأماكن وشغلها على الوجه الأمثل</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7116AD">
              <w:rPr>
                <w:rFonts w:ascii="Arabic Typesetting" w:hAnsi="Arabic Typesetting" w:cs="Arabic Typesetting" w:hint="cs"/>
                <w:color w:val="000000"/>
                <w:sz w:val="30"/>
                <w:szCs w:val="30"/>
                <w:rtl/>
              </w:rPr>
              <w:t>النسبة المئوية للعناصر العالية القيمة (أي أعلى من 000 5 فرنك سويسري) الخاضعة للجرد</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236598">
              <w:rPr>
                <w:rFonts w:ascii="Arabic Typesetting" w:hAnsi="Arabic Typesetting" w:cs="Arabic Typesetting" w:hint="cs"/>
                <w:color w:val="000000"/>
                <w:sz w:val="30"/>
                <w:szCs w:val="30"/>
                <w:rtl/>
              </w:rPr>
              <w:t>النسبة المئوية للعناصر التي تتراوح قيمتها بين 000 1 و000 5 فرنك سويسري، والمصنفات الفنية والعناصر الجذّابة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100D13" w:rsidRDefault="00D24D96" w:rsidP="00F01A85">
            <w:pPr>
              <w:spacing w:line="300" w:lineRule="exact"/>
              <w:rPr>
                <w:rFonts w:ascii="Arabic Typesetting" w:hAnsi="Arabic Typesetting" w:cs="Arabic Typesetting"/>
                <w:color w:val="000000"/>
                <w:sz w:val="30"/>
                <w:szCs w:val="30"/>
              </w:rPr>
            </w:pPr>
            <w:r w:rsidRPr="00513583">
              <w:rPr>
                <w:rFonts w:ascii="Arabic Typesetting" w:hAnsi="Arabic Typesetting" w:cs="Arabic Typesetting"/>
                <w:color w:val="000000"/>
                <w:sz w:val="30"/>
                <w:szCs w:val="30"/>
                <w:rtl/>
              </w:rPr>
              <w:t>استضافة منصّات تكنولوجيا المعلومات وإدارتها على نحو فعال من حيث التكلفة بما يتماشى مع متطلبات الأعمال</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25</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513583">
              <w:rPr>
                <w:rFonts w:ascii="Arabic Typesetting" w:hAnsi="Arabic Typesetting" w:cs="Arabic Typesetting"/>
                <w:sz w:val="30"/>
                <w:szCs w:val="30"/>
                <w:rtl/>
              </w:rPr>
              <w:t>التزام أنشطة تطوير التطبيقات بمعايير الويبو الخاصة بالبيانات المرجعية والرئيسية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25</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0E13BE">
              <w:rPr>
                <w:rFonts w:ascii="Arabic Typesetting" w:hAnsi="Arabic Typesetting" w:cs="Arabic Typesetting"/>
                <w:sz w:val="30"/>
                <w:szCs w:val="30"/>
                <w:rtl/>
              </w:rPr>
              <w:t>إدارة مشاريع تكنولوجيا المعلومات والاتصالات وفقاً لمبادئ الويبو التوجيهية الخاصة بإدارة المشاريع</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25</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0E13BE">
              <w:rPr>
                <w:rFonts w:ascii="Arabic Typesetting" w:hAnsi="Arabic Typesetting" w:cs="Arabic Typesetting"/>
                <w:sz w:val="30"/>
                <w:szCs w:val="30"/>
                <w:rtl/>
              </w:rPr>
              <w:t>النسبة المئوية للزبائن الراضين عن خدمات مكتب الخدمات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25</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11186F">
              <w:rPr>
                <w:rFonts w:ascii="Arabic Typesetting" w:hAnsi="Arabic Typesetting" w:cs="Arabic Typesetting"/>
                <w:color w:val="000000"/>
                <w:sz w:val="30"/>
                <w:szCs w:val="30"/>
                <w:rtl/>
              </w:rPr>
              <w:t>إدارة مشاريع تكنولوجيا المعلومات والاتصالات في الويبو وفقاً لمبادئ الويبو التوجيهية الخاصة بإدارة المشاريع وانتقال الخدمات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25</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552FA7" w:rsidRDefault="00D24D96" w:rsidP="00F01A85">
            <w:pPr>
              <w:spacing w:line="300" w:lineRule="exact"/>
              <w:rPr>
                <w:rFonts w:ascii="Arabic Typesetting" w:hAnsi="Arabic Typesetting" w:cs="Arabic Typesetting"/>
                <w:sz w:val="30"/>
                <w:szCs w:val="30"/>
              </w:rPr>
            </w:pPr>
            <w:r w:rsidRPr="00552FA7">
              <w:rPr>
                <w:rFonts w:ascii="Arabic Typesetting" w:hAnsi="Arabic Typesetting" w:cs="Arabic Typesetting"/>
                <w:sz w:val="30"/>
                <w:szCs w:val="30"/>
                <w:rtl/>
              </w:rPr>
              <w:t>النسبة المئوية للمشاركين الداخليين والخارجيين الراضين عن خدمات المؤتمرات في الويبو</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27</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552FA7">
              <w:rPr>
                <w:rFonts w:ascii="Arabic Typesetting" w:hAnsi="Arabic Typesetting" w:cs="Arabic Typesetting"/>
                <w:sz w:val="30"/>
                <w:szCs w:val="30"/>
                <w:rtl/>
              </w:rPr>
              <w:t>تطبيق فعال لسياسة اللغات في الويبو</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27</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C11610">
              <w:rPr>
                <w:rFonts w:ascii="Arabic Typesetting" w:hAnsi="Arabic Typesetting" w:cs="Arabic Typesetting"/>
                <w:color w:val="000000"/>
                <w:sz w:val="30"/>
                <w:szCs w:val="30"/>
                <w:rtl/>
              </w:rPr>
              <w:t>خفض تكاليف الطباعة (لكل صفحة)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27</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color w:val="000000"/>
                <w:sz w:val="30"/>
                <w:szCs w:val="30"/>
                <w:rtl/>
              </w:rPr>
            </w:pPr>
            <w:r w:rsidRPr="00C11610">
              <w:rPr>
                <w:rFonts w:ascii="Arabic Typesetting" w:hAnsi="Arabic Typesetting" w:cs="Arabic Typesetting"/>
                <w:color w:val="000000"/>
                <w:sz w:val="30"/>
                <w:szCs w:val="30"/>
                <w:rtl/>
              </w:rPr>
              <w:t>نشر وثائق اللجان والأفرقة العاملة في الوقت المناسب</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C11610">
              <w:rPr>
                <w:rFonts w:ascii="Arabic Typesetting" w:hAnsi="Arabic Typesetting" w:cs="Arabic Typesetting"/>
                <w:sz w:val="30"/>
                <w:szCs w:val="30"/>
                <w:rtl/>
              </w:rPr>
              <w:t>البرنامج 27</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C11610" w:rsidRDefault="00D24D96" w:rsidP="00F01A85">
            <w:pPr>
              <w:spacing w:line="300" w:lineRule="exact"/>
              <w:rPr>
                <w:rFonts w:ascii="Arabic Typesetting" w:hAnsi="Arabic Typesetting" w:cs="Arabic Typesetting"/>
                <w:color w:val="000000"/>
                <w:sz w:val="30"/>
                <w:szCs w:val="30"/>
                <w:rtl/>
              </w:rPr>
            </w:pPr>
            <w:r w:rsidRPr="00C11610">
              <w:rPr>
                <w:rFonts w:ascii="Arabic Typesetting" w:hAnsi="Arabic Typesetting" w:cs="Arabic Typesetting"/>
                <w:color w:val="000000"/>
                <w:sz w:val="30"/>
                <w:szCs w:val="30"/>
                <w:rtl/>
              </w:rPr>
              <w:t>تكلفة الترجمة لكل كلمة</w:t>
            </w:r>
          </w:p>
        </w:tc>
        <w:tc>
          <w:tcPr>
            <w:tcW w:w="1111" w:type="pct"/>
            <w:shd w:val="clear" w:color="auto" w:fill="FFFFFF"/>
            <w:tcMar>
              <w:top w:w="113" w:type="dxa"/>
              <w:bottom w:w="85" w:type="dxa"/>
            </w:tcMar>
          </w:tcPr>
          <w:p w:rsidR="00D24D96" w:rsidRPr="00C11610" w:rsidRDefault="00D24D96" w:rsidP="00F01A85">
            <w:pPr>
              <w:spacing w:line="300" w:lineRule="exact"/>
              <w:jc w:val="center"/>
              <w:rPr>
                <w:rFonts w:ascii="Arabic Typesetting" w:hAnsi="Arabic Typesetting" w:cs="Arabic Typesetting"/>
                <w:sz w:val="30"/>
                <w:szCs w:val="30"/>
                <w:rtl/>
              </w:rPr>
            </w:pPr>
            <w:r w:rsidRPr="00C11610">
              <w:rPr>
                <w:rFonts w:ascii="Arabic Typesetting" w:hAnsi="Arabic Typesetting" w:cs="Arabic Typesetting"/>
                <w:sz w:val="30"/>
                <w:szCs w:val="30"/>
                <w:rtl/>
              </w:rPr>
              <w:t>البرنامج 27</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C11610" w:rsidRDefault="00D24D96" w:rsidP="00F01A85">
            <w:pPr>
              <w:spacing w:line="300" w:lineRule="exact"/>
              <w:rPr>
                <w:rFonts w:ascii="Arabic Typesetting" w:hAnsi="Arabic Typesetting" w:cs="Arabic Typesetting"/>
                <w:color w:val="000000"/>
                <w:sz w:val="30"/>
                <w:szCs w:val="30"/>
                <w:rtl/>
              </w:rPr>
            </w:pPr>
            <w:r w:rsidRPr="00B057C1">
              <w:rPr>
                <w:rFonts w:ascii="Arabic Typesetting" w:hAnsi="Arabic Typesetting" w:cs="Arabic Typesetting" w:hint="cs"/>
                <w:color w:val="000000"/>
                <w:sz w:val="30"/>
                <w:szCs w:val="30"/>
                <w:rtl/>
              </w:rPr>
              <w:t>إدارة تأمين المعلومات مُحدَّدة ومنفَّذة</w:t>
            </w:r>
          </w:p>
        </w:tc>
        <w:tc>
          <w:tcPr>
            <w:tcW w:w="1111" w:type="pct"/>
            <w:shd w:val="clear" w:color="auto" w:fill="FFFFFF"/>
            <w:tcMar>
              <w:top w:w="113" w:type="dxa"/>
              <w:bottom w:w="85" w:type="dxa"/>
            </w:tcMar>
          </w:tcPr>
          <w:p w:rsidR="00D24D96" w:rsidRPr="00C11610" w:rsidRDefault="00D24D96" w:rsidP="00F01A85">
            <w:pPr>
              <w:spacing w:line="300" w:lineRule="exact"/>
              <w:jc w:val="center"/>
              <w:rPr>
                <w:rFonts w:ascii="Arabic Typesetting" w:hAnsi="Arabic Typesetting" w:cs="Arabic Typesetting"/>
                <w:sz w:val="30"/>
                <w:szCs w:val="30"/>
                <w:rtl/>
              </w:rPr>
            </w:pPr>
            <w:r w:rsidRPr="00C11610">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C11610" w:rsidRDefault="00D24D96" w:rsidP="00F01A85">
            <w:pPr>
              <w:spacing w:line="300" w:lineRule="exact"/>
              <w:rPr>
                <w:rFonts w:ascii="Arabic Typesetting" w:hAnsi="Arabic Typesetting" w:cs="Arabic Typesetting"/>
                <w:color w:val="000000"/>
                <w:sz w:val="30"/>
                <w:szCs w:val="30"/>
                <w:rtl/>
              </w:rPr>
            </w:pPr>
            <w:r w:rsidRPr="00B057C1">
              <w:rPr>
                <w:rFonts w:ascii="Arabic Typesetting" w:hAnsi="Arabic Typesetting" w:cs="Arabic Typesetting" w:hint="cs"/>
                <w:color w:val="000000"/>
                <w:sz w:val="30"/>
                <w:szCs w:val="30"/>
                <w:rtl/>
              </w:rPr>
              <w:t>عدد الموظفين الذين هم على علم بمسؤولياتهم فيما يخص أمن المعلومات وسياسات الأمن وأفضل الممارسات</w:t>
            </w:r>
          </w:p>
        </w:tc>
        <w:tc>
          <w:tcPr>
            <w:tcW w:w="1111" w:type="pct"/>
            <w:shd w:val="clear" w:color="auto" w:fill="FFFFFF"/>
            <w:tcMar>
              <w:top w:w="113" w:type="dxa"/>
              <w:bottom w:w="85" w:type="dxa"/>
            </w:tcMar>
          </w:tcPr>
          <w:p w:rsidR="00D24D96" w:rsidRPr="00C11610" w:rsidRDefault="00D24D96" w:rsidP="00F01A85">
            <w:pPr>
              <w:spacing w:line="300" w:lineRule="exact"/>
              <w:jc w:val="center"/>
              <w:rPr>
                <w:rFonts w:ascii="Arabic Typesetting" w:hAnsi="Arabic Typesetting" w:cs="Arabic Typesetting"/>
                <w:sz w:val="30"/>
                <w:szCs w:val="30"/>
                <w:rtl/>
              </w:rPr>
            </w:pPr>
            <w:r w:rsidRPr="00C11610">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516"/>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t>ه 2.9</w:t>
            </w:r>
            <w:r w:rsidRPr="008954A8">
              <w:rPr>
                <w:rFonts w:ascii="Arabic Typesetting" w:hAnsi="Arabic Typesetting" w:cs="Arabic Typesetting"/>
                <w:sz w:val="30"/>
                <w:szCs w:val="30"/>
                <w:rtl/>
              </w:rPr>
              <w:t xml:space="preserve"> </w:t>
            </w:r>
            <w:r w:rsidRPr="00B057C1">
              <w:rPr>
                <w:rFonts w:ascii="Arabic Typesetting" w:hAnsi="Arabic Typesetting" w:cs="Arabic Typesetting"/>
                <w:sz w:val="30"/>
                <w:szCs w:val="30"/>
                <w:rtl/>
              </w:rPr>
              <w:t>أمانة نبيهة تعمل بسلاسة وموظفون يعملون تحت إدارة جيّدة وبمهارات مناسبة ويحققون النتائج بكفاءة</w:t>
            </w: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057C1">
              <w:rPr>
                <w:rFonts w:ascii="Arabic Typesetting" w:hAnsi="Arabic Typesetting" w:cs="Arabic Typesetting"/>
                <w:color w:val="000000"/>
                <w:sz w:val="30"/>
                <w:szCs w:val="30"/>
                <w:rtl/>
              </w:rPr>
              <w:t>إنشاء إطار جديد للمرونة التنظيمية واستمرارية العمل وإعداد الوثائق اللازمة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21</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057C1">
              <w:rPr>
                <w:rFonts w:ascii="Arabic Typesetting" w:hAnsi="Arabic Typesetting" w:cs="Arabic Typesetting"/>
                <w:sz w:val="30"/>
                <w:szCs w:val="30"/>
                <w:rtl/>
              </w:rPr>
              <w:t>يؤكد التقرير المالي المُرضي الذي قدمه مراجعو</w:t>
            </w:r>
            <w:r w:rsidRPr="00B057C1">
              <w:rPr>
                <w:rFonts w:ascii="Arabic Typesetting" w:hAnsi="Arabic Typesetting" w:cs="Arabic Typesetting" w:hint="cs"/>
                <w:sz w:val="30"/>
                <w:szCs w:val="30"/>
                <w:rtl/>
              </w:rPr>
              <w:t xml:space="preserve"> الحسابات</w:t>
            </w:r>
            <w:r w:rsidRPr="00B057C1">
              <w:rPr>
                <w:rFonts w:ascii="Arabic Typesetting" w:hAnsi="Arabic Typesetting" w:cs="Arabic Typesetting"/>
                <w:sz w:val="30"/>
                <w:szCs w:val="30"/>
                <w:rtl/>
              </w:rPr>
              <w:t xml:space="preserve"> الخارجيون امتثال العمليات المالية لأحكام اتفاقيات ومعاهدات الويبو السارية ونظام الويبو المالي ولائحته والمعايير المحاسبية الدولية للقطاع العام (</w:t>
            </w:r>
            <w:r w:rsidRPr="00B057C1">
              <w:rPr>
                <w:rFonts w:ascii="Arabic Typesetting" w:hAnsi="Arabic Typesetting" w:cs="Arabic Typesetting"/>
                <w:sz w:val="30"/>
                <w:szCs w:val="30"/>
              </w:rPr>
              <w:t>IPSAS</w:t>
            </w:r>
            <w:r w:rsidRPr="00B057C1">
              <w:rPr>
                <w:rFonts w:ascii="Arabic Typesetting" w:hAnsi="Arabic Typesetting" w:cs="Arabic Typesetting"/>
                <w:sz w:val="30"/>
                <w:szCs w:val="30"/>
                <w:rtl/>
              </w:rPr>
              <w:t>)</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22</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B057C1" w:rsidRDefault="00D24D96" w:rsidP="00F01A85">
            <w:pPr>
              <w:spacing w:line="300" w:lineRule="exact"/>
              <w:rPr>
                <w:rFonts w:ascii="Arabic Typesetting" w:hAnsi="Arabic Typesetting" w:cs="Arabic Typesetting"/>
                <w:sz w:val="30"/>
                <w:szCs w:val="30"/>
                <w:rtl/>
              </w:rPr>
            </w:pPr>
            <w:r w:rsidRPr="00B057C1">
              <w:rPr>
                <w:rFonts w:ascii="Arabic Typesetting" w:hAnsi="Arabic Typesetting" w:cs="Arabic Typesetting"/>
                <w:sz w:val="30"/>
                <w:szCs w:val="30"/>
                <w:rtl/>
              </w:rPr>
              <w:t>تعزيز نضج الإدارة القائمة على النتائج</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22</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057C1">
              <w:rPr>
                <w:rFonts w:ascii="Arabic Typesetting" w:hAnsi="Arabic Typesetting" w:cs="Arabic Typesetting"/>
                <w:sz w:val="30"/>
                <w:szCs w:val="30"/>
                <w:rtl/>
              </w:rPr>
              <w:t>تماش</w:t>
            </w:r>
            <w:r w:rsidRPr="00B057C1">
              <w:rPr>
                <w:rFonts w:ascii="Arabic Typesetting" w:hAnsi="Arabic Typesetting" w:cs="Arabic Typesetting" w:hint="cs"/>
                <w:sz w:val="30"/>
                <w:szCs w:val="30"/>
                <w:rtl/>
              </w:rPr>
              <w:t>ي</w:t>
            </w:r>
            <w:r w:rsidRPr="00B057C1">
              <w:rPr>
                <w:rFonts w:ascii="Arabic Typesetting" w:hAnsi="Arabic Typesetting" w:cs="Arabic Typesetting"/>
                <w:sz w:val="30"/>
                <w:szCs w:val="30"/>
                <w:rtl/>
              </w:rPr>
              <w:t xml:space="preserve"> عوائد الأموال المستثمرة مع المعايير التي وضعتها اللجنة الاستشارية المعنية بالاستثمار</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22</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B057C1" w:rsidRDefault="00D24D96" w:rsidP="00F01A85">
            <w:pPr>
              <w:spacing w:line="300" w:lineRule="exact"/>
              <w:rPr>
                <w:rFonts w:ascii="Arabic Typesetting" w:hAnsi="Arabic Typesetting" w:cs="Arabic Typesetting"/>
                <w:sz w:val="30"/>
                <w:szCs w:val="30"/>
                <w:rtl/>
              </w:rPr>
            </w:pPr>
            <w:r w:rsidRPr="00B057C1">
              <w:rPr>
                <w:rFonts w:ascii="Arabic Typesetting" w:hAnsi="Arabic Typesetting" w:cs="Arabic Typesetting"/>
                <w:sz w:val="30"/>
                <w:szCs w:val="30"/>
                <w:rtl/>
              </w:rPr>
              <w:t>الإدارة الفعالة للنفقات والاحتياطيات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22</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057C1">
              <w:rPr>
                <w:rFonts w:ascii="Arabic Typesetting" w:hAnsi="Arabic Typesetting" w:cs="Arabic Typesetting" w:hint="cs"/>
                <w:sz w:val="30"/>
                <w:szCs w:val="30"/>
                <w:rtl/>
              </w:rPr>
              <w:t>تسديد</w:t>
            </w:r>
            <w:r w:rsidRPr="00B057C1">
              <w:rPr>
                <w:rFonts w:ascii="Arabic Typesetting" w:hAnsi="Arabic Typesetting" w:cs="Arabic Typesetting"/>
                <w:sz w:val="30"/>
                <w:szCs w:val="30"/>
                <w:rtl/>
              </w:rPr>
              <w:t xml:space="preserve"> </w:t>
            </w:r>
            <w:r w:rsidRPr="00B057C1">
              <w:rPr>
                <w:rFonts w:ascii="Arabic Typesetting" w:hAnsi="Arabic Typesetting" w:cs="Arabic Typesetting" w:hint="cs"/>
                <w:sz w:val="30"/>
                <w:szCs w:val="30"/>
                <w:rtl/>
              </w:rPr>
              <w:t>المدفوعات</w:t>
            </w:r>
            <w:r w:rsidRPr="00B057C1">
              <w:rPr>
                <w:rFonts w:ascii="Arabic Typesetting" w:hAnsi="Arabic Typesetting" w:cs="Arabic Typesetting"/>
                <w:sz w:val="30"/>
                <w:szCs w:val="30"/>
                <w:rtl/>
              </w:rPr>
              <w:t xml:space="preserve"> (بما في ذلك رسوم مدريد ولاهاي) في المواعيد المحددة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22</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5A0B71">
              <w:rPr>
                <w:rFonts w:ascii="Arabic Typesetting" w:hAnsi="Arabic Typesetting" w:cs="Arabic Typesetting" w:hint="cs"/>
                <w:sz w:val="30"/>
                <w:szCs w:val="30"/>
                <w:rtl/>
              </w:rPr>
              <w:t>النسبة المئوية للنساء في المناصب المهنية وما فوق</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5A0B71">
              <w:rPr>
                <w:rFonts w:ascii="Arabic Typesetting" w:hAnsi="Arabic Typesetting" w:cs="Arabic Typesetting" w:hint="cs"/>
                <w:sz w:val="30"/>
                <w:szCs w:val="30"/>
                <w:rtl/>
              </w:rPr>
              <w:t>وقت التعيين</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5A0B71">
              <w:rPr>
                <w:rFonts w:ascii="Arabic Typesetting" w:hAnsi="Arabic Typesetting" w:cs="Arabic Typesetting"/>
                <w:color w:val="000000"/>
                <w:sz w:val="30"/>
                <w:szCs w:val="30"/>
                <w:rtl/>
              </w:rPr>
              <w:t>النسبة المئوية للموظفين الذين يقي</w:t>
            </w:r>
            <w:r w:rsidRPr="005A0B71">
              <w:rPr>
                <w:rFonts w:ascii="Arabic Typesetting" w:hAnsi="Arabic Typesetting" w:cs="Arabic Typesetting" w:hint="cs"/>
                <w:color w:val="000000"/>
                <w:sz w:val="30"/>
                <w:szCs w:val="30"/>
                <w:rtl/>
              </w:rPr>
              <w:t>ّ</w:t>
            </w:r>
            <w:r w:rsidRPr="005A0B71">
              <w:rPr>
                <w:rFonts w:ascii="Arabic Typesetting" w:hAnsi="Arabic Typesetting" w:cs="Arabic Typesetting"/>
                <w:color w:val="000000"/>
                <w:sz w:val="30"/>
                <w:szCs w:val="30"/>
                <w:rtl/>
              </w:rPr>
              <w:t>م أداؤهم مقارنة مع أهدافهم وكفاءاتهم الفردية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5A0B71" w:rsidRDefault="00D24D96" w:rsidP="00F01A85">
            <w:pPr>
              <w:spacing w:line="300" w:lineRule="exact"/>
              <w:rPr>
                <w:rFonts w:ascii="Arabic Typesetting" w:hAnsi="Arabic Typesetting" w:cs="Arabic Typesetting"/>
                <w:color w:val="000000"/>
                <w:sz w:val="30"/>
                <w:szCs w:val="30"/>
                <w:rtl/>
              </w:rPr>
            </w:pPr>
            <w:r w:rsidRPr="00FC4021">
              <w:rPr>
                <w:rFonts w:ascii="Arabic Typesetting" w:hAnsi="Arabic Typesetting" w:cs="Arabic Typesetting" w:hint="cs"/>
                <w:color w:val="000000"/>
                <w:sz w:val="30"/>
                <w:szCs w:val="30"/>
                <w:rtl/>
              </w:rPr>
              <w:t>عدد الأيام المستغرقة من أجل: "1"</w:t>
            </w:r>
            <w:r w:rsidRPr="00FC4021">
              <w:rPr>
                <w:rFonts w:ascii="Arabic Typesetting" w:hAnsi="Arabic Typesetting" w:cs="Arabic Typesetting" w:hint="eastAsia"/>
                <w:color w:val="000000"/>
                <w:sz w:val="30"/>
                <w:szCs w:val="30"/>
                <w:rtl/>
              </w:rPr>
              <w:t> </w:t>
            </w:r>
            <w:r w:rsidRPr="00FC4021">
              <w:rPr>
                <w:rFonts w:ascii="Arabic Typesetting" w:hAnsi="Arabic Typesetting" w:cs="Arabic Typesetting" w:hint="cs"/>
                <w:color w:val="000000"/>
                <w:sz w:val="30"/>
                <w:szCs w:val="30"/>
                <w:rtl/>
              </w:rPr>
              <w:t xml:space="preserve">إخطار الموظفين بالقرارات في </w:t>
            </w:r>
            <w:proofErr w:type="spellStart"/>
            <w:r w:rsidRPr="00FC4021">
              <w:rPr>
                <w:rFonts w:ascii="Arabic Typesetting" w:hAnsi="Arabic Typesetting" w:cs="Arabic Typesetting"/>
                <w:color w:val="000000"/>
                <w:sz w:val="30"/>
                <w:szCs w:val="30"/>
                <w:rtl/>
              </w:rPr>
              <w:t>التماس</w:t>
            </w:r>
            <w:r w:rsidRPr="00FC4021">
              <w:rPr>
                <w:rFonts w:ascii="Arabic Typesetting" w:hAnsi="Arabic Typesetting" w:cs="Arabic Typesetting" w:hint="cs"/>
                <w:color w:val="000000"/>
                <w:sz w:val="30"/>
                <w:szCs w:val="30"/>
                <w:rtl/>
              </w:rPr>
              <w:t>ات</w:t>
            </w:r>
            <w:proofErr w:type="spellEnd"/>
            <w:r w:rsidRPr="00FC4021">
              <w:rPr>
                <w:rFonts w:ascii="Arabic Typesetting" w:hAnsi="Arabic Typesetting" w:cs="Arabic Typesetting"/>
                <w:color w:val="000000"/>
                <w:sz w:val="30"/>
                <w:szCs w:val="30"/>
                <w:rtl/>
              </w:rPr>
              <w:t xml:space="preserve"> إعادة النظر</w:t>
            </w:r>
            <w:r w:rsidRPr="00FC4021">
              <w:rPr>
                <w:rFonts w:ascii="Arabic Typesetting" w:hAnsi="Arabic Typesetting" w:cs="Arabic Typesetting" w:hint="cs"/>
                <w:color w:val="000000"/>
                <w:sz w:val="30"/>
                <w:szCs w:val="30"/>
                <w:rtl/>
              </w:rPr>
              <w:t>/التظلمات، "2"</w:t>
            </w:r>
            <w:r w:rsidRPr="00FC4021">
              <w:rPr>
                <w:rFonts w:ascii="Arabic Typesetting" w:hAnsi="Arabic Typesetting" w:cs="Arabic Typesetting" w:hint="eastAsia"/>
                <w:color w:val="000000"/>
                <w:sz w:val="30"/>
                <w:szCs w:val="30"/>
                <w:rtl/>
              </w:rPr>
              <w:t> </w:t>
            </w:r>
            <w:r w:rsidRPr="00FC4021">
              <w:rPr>
                <w:rFonts w:ascii="Arabic Typesetting" w:hAnsi="Arabic Typesetting" w:cs="Arabic Typesetting" w:hint="cs"/>
                <w:color w:val="000000"/>
                <w:sz w:val="30"/>
                <w:szCs w:val="30"/>
                <w:rtl/>
              </w:rPr>
              <w:t>وإخطار الموظفين بالقرارات في حالات النقض/الحالات التأديبية، "3"</w:t>
            </w:r>
            <w:r w:rsidRPr="00FC4021">
              <w:rPr>
                <w:rFonts w:ascii="Arabic Typesetting" w:hAnsi="Arabic Typesetting" w:cs="Arabic Typesetting" w:hint="eastAsia"/>
                <w:color w:val="000000"/>
                <w:sz w:val="30"/>
                <w:szCs w:val="30"/>
                <w:rtl/>
              </w:rPr>
              <w:t> </w:t>
            </w:r>
            <w:r w:rsidRPr="00FC4021">
              <w:rPr>
                <w:rFonts w:ascii="Arabic Typesetting" w:hAnsi="Arabic Typesetting" w:cs="Arabic Typesetting" w:hint="cs"/>
                <w:color w:val="000000"/>
                <w:sz w:val="30"/>
                <w:szCs w:val="30"/>
                <w:rtl/>
              </w:rPr>
              <w:t xml:space="preserve">الرد على </w:t>
            </w:r>
            <w:proofErr w:type="spellStart"/>
            <w:r w:rsidRPr="00FC4021">
              <w:rPr>
                <w:rFonts w:ascii="Arabic Typesetting" w:hAnsi="Arabic Typesetting" w:cs="Arabic Typesetting" w:hint="cs"/>
                <w:color w:val="000000"/>
                <w:sz w:val="30"/>
                <w:szCs w:val="30"/>
                <w:rtl/>
              </w:rPr>
              <w:t>التماسات</w:t>
            </w:r>
            <w:proofErr w:type="spellEnd"/>
            <w:r w:rsidRPr="00FC4021">
              <w:rPr>
                <w:rFonts w:ascii="Arabic Typesetting" w:hAnsi="Arabic Typesetting" w:cs="Arabic Typesetting" w:hint="cs"/>
                <w:color w:val="000000"/>
                <w:sz w:val="30"/>
                <w:szCs w:val="30"/>
                <w:rtl/>
              </w:rPr>
              <w:t xml:space="preserve"> المشورة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5A0B71" w:rsidRDefault="00D24D96" w:rsidP="00F01A85">
            <w:pPr>
              <w:spacing w:line="300" w:lineRule="exact"/>
              <w:rPr>
                <w:rFonts w:ascii="Arabic Typesetting" w:hAnsi="Arabic Typesetting" w:cs="Arabic Typesetting"/>
                <w:color w:val="000000"/>
                <w:sz w:val="30"/>
                <w:szCs w:val="30"/>
                <w:rtl/>
              </w:rPr>
            </w:pPr>
            <w:r w:rsidRPr="00FC4021">
              <w:rPr>
                <w:rFonts w:ascii="Arabic Typesetting" w:hAnsi="Arabic Typesetting" w:cs="Arabic Typesetting" w:hint="cs"/>
                <w:color w:val="000000"/>
                <w:sz w:val="30"/>
                <w:szCs w:val="30"/>
                <w:rtl/>
              </w:rPr>
              <w:t>التنوع الجغرافي: النسبة المئوية للموظفين بحسب الإقليم</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5A0B71" w:rsidRDefault="00D24D96" w:rsidP="00F01A85">
            <w:pPr>
              <w:spacing w:line="300" w:lineRule="exact"/>
              <w:rPr>
                <w:rFonts w:ascii="Arabic Typesetting" w:hAnsi="Arabic Typesetting" w:cs="Arabic Typesetting"/>
                <w:color w:val="000000"/>
                <w:sz w:val="30"/>
                <w:szCs w:val="30"/>
                <w:rtl/>
              </w:rPr>
            </w:pPr>
            <w:r w:rsidRPr="00FC4021">
              <w:rPr>
                <w:rFonts w:ascii="Arabic Typesetting" w:hAnsi="Arabic Typesetting" w:cs="Arabic Typesetting" w:hint="cs"/>
                <w:color w:val="000000"/>
                <w:sz w:val="30"/>
                <w:szCs w:val="30"/>
                <w:rtl/>
              </w:rPr>
              <w:t>عدد الطلبات المستلمة من الدول الأعضاء غير الممثلة كنسبة مئوية من الإجمالي</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5A0B71" w:rsidRDefault="00D24D96" w:rsidP="00F01A85">
            <w:pPr>
              <w:spacing w:line="300" w:lineRule="exact"/>
              <w:rPr>
                <w:rFonts w:ascii="Arabic Typesetting" w:hAnsi="Arabic Typesetting" w:cs="Arabic Typesetting"/>
                <w:color w:val="000000"/>
                <w:sz w:val="30"/>
                <w:szCs w:val="30"/>
                <w:rtl/>
              </w:rPr>
            </w:pPr>
            <w:r w:rsidRPr="00FC4021">
              <w:rPr>
                <w:rFonts w:ascii="Arabic Typesetting" w:hAnsi="Arabic Typesetting" w:cs="Arabic Typesetting" w:hint="cs"/>
                <w:color w:val="000000"/>
                <w:sz w:val="30"/>
                <w:szCs w:val="30"/>
                <w:rtl/>
              </w:rPr>
              <w:t>تعزيز نضج التخطيط للموارد البشرية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764749">
              <w:rPr>
                <w:rFonts w:ascii="Arabic Typesetting" w:hAnsi="Arabic Typesetting" w:cs="Arabic Typesetting"/>
                <w:color w:val="000000"/>
                <w:sz w:val="30"/>
                <w:szCs w:val="30"/>
                <w:rtl/>
              </w:rPr>
              <w:t>النسبة المئوية لما استوفي من احتياجات</w:t>
            </w:r>
            <w:r w:rsidRPr="00764749">
              <w:rPr>
                <w:rFonts w:ascii="Arabic Typesetting" w:hAnsi="Arabic Typesetting" w:cs="Arabic Typesetting" w:hint="cs"/>
                <w:color w:val="000000"/>
                <w:sz w:val="30"/>
                <w:szCs w:val="30"/>
                <w:rtl/>
              </w:rPr>
              <w:t xml:space="preserve"> ومنها: "1"احتياجات</w:t>
            </w:r>
            <w:r w:rsidRPr="00764749">
              <w:rPr>
                <w:rFonts w:ascii="Arabic Typesetting" w:hAnsi="Arabic Typesetting" w:cs="Arabic Typesetting"/>
                <w:color w:val="000000"/>
                <w:sz w:val="30"/>
                <w:szCs w:val="30"/>
                <w:rtl/>
              </w:rPr>
              <w:t xml:space="preserve"> التدريب الجماعية الهامة</w:t>
            </w:r>
            <w:r w:rsidRPr="00764749">
              <w:rPr>
                <w:rFonts w:ascii="Arabic Typesetting" w:hAnsi="Arabic Typesetting" w:cs="Arabic Typesetting" w:hint="cs"/>
                <w:color w:val="000000"/>
                <w:sz w:val="30"/>
                <w:szCs w:val="30"/>
                <w:rtl/>
              </w:rPr>
              <w:t>، "2" واحتياجات التدريب الفردية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23</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lastRenderedPageBreak/>
              <w:t xml:space="preserve">ه 3.9 </w:t>
            </w:r>
            <w:r w:rsidRPr="00764749">
              <w:rPr>
                <w:rFonts w:ascii="Arabic Typesetting" w:hAnsi="Arabic Typesetting" w:cs="Arabic Typesetting"/>
                <w:sz w:val="30"/>
                <w:szCs w:val="30"/>
                <w:rtl/>
              </w:rPr>
              <w:t>بيئة عمل داعمة ومسنودة بإطار تنظيمي فعال وقنوات مناسبة لمعالجة مشاغل الموظفين</w:t>
            </w: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764749">
              <w:rPr>
                <w:rFonts w:ascii="Arabic Typesetting" w:hAnsi="Arabic Typesetting" w:cs="Arabic Typesetting"/>
                <w:sz w:val="30"/>
                <w:szCs w:val="30"/>
                <w:rtl/>
              </w:rPr>
              <w:t>النسبة المئوية لموظفي الويبو الواعين بالخدمات التي يقدمها مكتب أمين المظالم وآلية تسوية المنازعات بشكل غير رسمي</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21</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764749">
              <w:rPr>
                <w:rFonts w:ascii="Arabic Typesetting" w:hAnsi="Arabic Typesetting" w:cs="Arabic Typesetting"/>
                <w:sz w:val="30"/>
                <w:szCs w:val="30"/>
                <w:rtl/>
              </w:rPr>
              <w:t>النسبة المئوية لموظفي الويبو الواعين بالمبادئ والسياسات الأخلاقية للويبو</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21</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lang w:bidi="ar-SA"/>
              </w:rPr>
            </w:pPr>
            <w:r w:rsidRPr="00FC1722">
              <w:rPr>
                <w:rFonts w:ascii="Arabic Typesetting" w:hAnsi="Arabic Typesetting" w:cs="Arabic Typesetting"/>
                <w:sz w:val="30"/>
                <w:szCs w:val="30"/>
                <w:rtl/>
              </w:rPr>
              <w:t>تحديث النظام المالي ولائحته والتعليمات الإدارية ذات الصلة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22</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FC1722" w:rsidRDefault="00D24D96" w:rsidP="00F01A85">
            <w:pPr>
              <w:spacing w:line="300" w:lineRule="exact"/>
              <w:rPr>
                <w:rFonts w:ascii="Arabic Typesetting" w:hAnsi="Arabic Typesetting" w:cs="Arabic Typesetting"/>
                <w:sz w:val="30"/>
                <w:szCs w:val="30"/>
                <w:rtl/>
              </w:rPr>
            </w:pPr>
            <w:r w:rsidRPr="00FC1722">
              <w:rPr>
                <w:rFonts w:ascii="Arabic Typesetting" w:hAnsi="Arabic Typesetting" w:cs="Arabic Typesetting"/>
                <w:sz w:val="30"/>
                <w:szCs w:val="30"/>
                <w:rtl/>
              </w:rPr>
              <w:t>زيادة نضج إدارة المخاطر والضوابط الداخلية، وفقاً لخارطة الطريق</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22</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FC1722" w:rsidRDefault="00D24D96" w:rsidP="00F01A85">
            <w:pPr>
              <w:spacing w:line="300" w:lineRule="exact"/>
              <w:rPr>
                <w:rFonts w:ascii="Arabic Typesetting" w:hAnsi="Arabic Typesetting" w:cs="Arabic Typesetting"/>
                <w:sz w:val="30"/>
                <w:szCs w:val="30"/>
                <w:rtl/>
              </w:rPr>
            </w:pPr>
            <w:r w:rsidRPr="00FC1722">
              <w:rPr>
                <w:rFonts w:ascii="Arabic Typesetting" w:hAnsi="Arabic Typesetting" w:cs="Arabic Typesetting"/>
                <w:sz w:val="30"/>
                <w:szCs w:val="30"/>
                <w:rtl/>
              </w:rPr>
              <w:t>متابعة فعالة لتوصيات الرقابة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البرنامج 22</w:t>
            </w:r>
          </w:p>
        </w:tc>
      </w:tr>
      <w:tr w:rsidR="00F01A85" w:rsidRPr="008954A8" w:rsidTr="00F01A85">
        <w:trPr>
          <w:cantSplit/>
          <w:trHeight w:val="692"/>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t xml:space="preserve">ه </w:t>
            </w:r>
            <w:r>
              <w:rPr>
                <w:rFonts w:ascii="Arabic Typesetting" w:hAnsi="Arabic Typesetting" w:cs="Arabic Typesetting" w:hint="cs"/>
                <w:sz w:val="30"/>
                <w:szCs w:val="30"/>
                <w:rtl/>
              </w:rPr>
              <w:t>4</w:t>
            </w:r>
            <w:r w:rsidRPr="008954A8">
              <w:rPr>
                <w:rFonts w:ascii="Arabic Typesetting" w:hAnsi="Arabic Typesetting" w:cs="Arabic Typesetting" w:hint="cs"/>
                <w:sz w:val="30"/>
                <w:szCs w:val="30"/>
                <w:rtl/>
              </w:rPr>
              <w:t>.</w:t>
            </w:r>
            <w:r>
              <w:rPr>
                <w:rFonts w:ascii="Arabic Typesetting" w:hAnsi="Arabic Typesetting" w:cs="Arabic Typesetting" w:hint="cs"/>
                <w:sz w:val="30"/>
                <w:szCs w:val="30"/>
                <w:rtl/>
              </w:rPr>
              <w:t>9</w:t>
            </w:r>
            <w:r w:rsidRPr="008954A8">
              <w:rPr>
                <w:rFonts w:ascii="Arabic Typesetting" w:hAnsi="Arabic Typesetting" w:cs="Arabic Typesetting"/>
                <w:sz w:val="30"/>
                <w:szCs w:val="30"/>
                <w:rtl/>
              </w:rPr>
              <w:t xml:space="preserve"> </w:t>
            </w:r>
            <w:r w:rsidRPr="00FC1722">
              <w:rPr>
                <w:rFonts w:ascii="Arabic Typesetting" w:hAnsi="Arabic Typesetting" w:cs="Arabic Typesetting"/>
                <w:sz w:val="30"/>
                <w:szCs w:val="30"/>
                <w:rtl/>
              </w:rPr>
              <w:t>منظمة ذات مسؤولية بيئية واجتماعية تكفل السلامة والأمن للموظفين في الويبو والمندوبين والزائرين والممتلكات المادية والمعلومات</w:t>
            </w: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FC1722">
              <w:rPr>
                <w:rFonts w:ascii="Arabic Typesetting" w:hAnsi="Arabic Typesetting" w:cs="Arabic Typesetting"/>
                <w:color w:val="000000"/>
                <w:sz w:val="30"/>
                <w:szCs w:val="30"/>
                <w:rtl/>
              </w:rPr>
              <w:t>انخفاض تأثير أنشطة الويبو في البيئة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FC1722">
              <w:rPr>
                <w:rFonts w:ascii="Arabic Typesetting" w:hAnsi="Arabic Typesetting" w:cs="Arabic Typesetting"/>
                <w:color w:val="000000"/>
                <w:sz w:val="30"/>
                <w:szCs w:val="30"/>
                <w:rtl/>
              </w:rPr>
              <w:t xml:space="preserve">تحسين النفاذ المادي إلى </w:t>
            </w:r>
            <w:r w:rsidRPr="00FC1722">
              <w:rPr>
                <w:rFonts w:ascii="Arabic Typesetting" w:hAnsi="Arabic Typesetting" w:cs="Arabic Typesetting" w:hint="cs"/>
                <w:color w:val="000000"/>
                <w:sz w:val="30"/>
                <w:szCs w:val="30"/>
                <w:rtl/>
              </w:rPr>
              <w:t>مجمّع</w:t>
            </w:r>
            <w:r w:rsidRPr="00FC1722">
              <w:rPr>
                <w:rFonts w:ascii="Arabic Typesetting" w:hAnsi="Arabic Typesetting" w:cs="Arabic Typesetting"/>
                <w:color w:val="000000"/>
                <w:sz w:val="30"/>
                <w:szCs w:val="30"/>
                <w:rtl/>
              </w:rPr>
              <w:t xml:space="preserve"> الويبو</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24</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FC1722" w:rsidRDefault="00D24D96" w:rsidP="00F01A85">
            <w:pPr>
              <w:spacing w:line="300" w:lineRule="exact"/>
              <w:rPr>
                <w:rFonts w:ascii="Arabic Typesetting" w:hAnsi="Arabic Typesetting" w:cs="Arabic Typesetting"/>
                <w:color w:val="000000"/>
                <w:sz w:val="30"/>
                <w:szCs w:val="30"/>
                <w:rtl/>
              </w:rPr>
            </w:pPr>
            <w:r w:rsidRPr="007F55C9">
              <w:rPr>
                <w:rFonts w:ascii="Arabic Typesetting" w:hAnsi="Arabic Typesetting" w:cs="Arabic Typesetting"/>
                <w:color w:val="000000"/>
                <w:sz w:val="30"/>
                <w:szCs w:val="30"/>
                <w:rtl/>
              </w:rPr>
              <w:t>استمرارية خدمات تكنولوجيا المعلومات والاتصالات بالنسبة للأنظمة الهامة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25</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7F55C9" w:rsidRDefault="00D24D96" w:rsidP="00F01A85">
            <w:pPr>
              <w:spacing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النسبة المئوية ل</w:t>
            </w:r>
            <w:r w:rsidRPr="00BC272E">
              <w:rPr>
                <w:rFonts w:ascii="Arabic Typesetting" w:hAnsi="Arabic Typesetting" w:cs="Arabic Typesetting" w:hint="cs"/>
                <w:color w:val="000000"/>
                <w:sz w:val="30"/>
                <w:szCs w:val="30"/>
                <w:rtl/>
              </w:rPr>
              <w:t xml:space="preserve">مخاطر </w:t>
            </w:r>
            <w:r w:rsidRPr="00BC272E">
              <w:rPr>
                <w:rFonts w:ascii="Arabic Typesetting" w:hAnsi="Arabic Typesetting" w:cs="Arabic Typesetting"/>
                <w:color w:val="000000"/>
                <w:sz w:val="30"/>
                <w:szCs w:val="30"/>
                <w:rtl/>
              </w:rPr>
              <w:t xml:space="preserve">المعلومات، بما في ذلك مخاطر </w:t>
            </w:r>
            <w:r w:rsidRPr="00BC272E">
              <w:rPr>
                <w:rFonts w:ascii="Arabic Typesetting" w:hAnsi="Arabic Typesetting" w:cs="Arabic Typesetting" w:hint="cs"/>
                <w:color w:val="000000"/>
                <w:sz w:val="30"/>
                <w:szCs w:val="30"/>
                <w:rtl/>
              </w:rPr>
              <w:t>الغير</w:t>
            </w:r>
            <w:r w:rsidRPr="00BC272E">
              <w:rPr>
                <w:rFonts w:ascii="Arabic Typesetting" w:hAnsi="Arabic Typesetting" w:cs="Arabic Typesetting"/>
                <w:color w:val="000000"/>
                <w:sz w:val="30"/>
                <w:szCs w:val="30"/>
                <w:rtl/>
              </w:rPr>
              <w:t>،</w:t>
            </w:r>
            <w:r w:rsidRPr="00BC272E">
              <w:rPr>
                <w:rFonts w:ascii="Arabic Typesetting" w:hAnsi="Arabic Typesetting" w:cs="Arabic Typesetting" w:hint="cs"/>
                <w:color w:val="000000"/>
                <w:sz w:val="30"/>
                <w:szCs w:val="30"/>
                <w:rtl/>
              </w:rPr>
              <w:t xml:space="preserve"> التي تم الإبلاغ عنها وإدارتها</w:t>
            </w:r>
            <w:r w:rsidRPr="00BC272E">
              <w:rPr>
                <w:rFonts w:ascii="Arabic Typesetting" w:hAnsi="Arabic Typesetting" w:cs="Arabic Typesetting"/>
                <w:color w:val="000000"/>
                <w:sz w:val="30"/>
                <w:szCs w:val="30"/>
                <w:rtl/>
              </w:rPr>
              <w:t xml:space="preserve"> </w:t>
            </w:r>
            <w:r w:rsidRPr="00BC272E">
              <w:rPr>
                <w:rFonts w:ascii="Arabic Typesetting" w:hAnsi="Arabic Typesetting" w:cs="Arabic Typesetting" w:hint="cs"/>
                <w:color w:val="000000"/>
                <w:sz w:val="30"/>
                <w:szCs w:val="30"/>
                <w:rtl/>
              </w:rPr>
              <w:t xml:space="preserve">بشكل متسق ضمن حدود </w:t>
            </w:r>
            <w:r w:rsidRPr="00BC272E">
              <w:rPr>
                <w:rFonts w:ascii="Arabic Typesetting" w:hAnsi="Arabic Typesetting" w:cs="Arabic Typesetting"/>
                <w:color w:val="000000"/>
                <w:sz w:val="30"/>
                <w:szCs w:val="30"/>
                <w:rtl/>
              </w:rPr>
              <w:t xml:space="preserve">تحمل </w:t>
            </w:r>
            <w:r w:rsidRPr="00BC272E">
              <w:rPr>
                <w:rFonts w:ascii="Arabic Typesetting" w:hAnsi="Arabic Typesetting" w:cs="Arabic Typesetting" w:hint="cs"/>
                <w:color w:val="000000"/>
                <w:sz w:val="30"/>
                <w:szCs w:val="30"/>
                <w:rtl/>
              </w:rPr>
              <w:t>الويبو للمخاطر</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BC272E" w:rsidRDefault="00D24D96" w:rsidP="00F01A85">
            <w:pPr>
              <w:spacing w:line="300" w:lineRule="exact"/>
              <w:rPr>
                <w:rFonts w:ascii="Arabic Typesetting" w:hAnsi="Arabic Typesetting" w:cs="Arabic Typesetting"/>
                <w:color w:val="000000"/>
                <w:sz w:val="30"/>
                <w:szCs w:val="30"/>
                <w:rtl/>
              </w:rPr>
            </w:pPr>
            <w:r w:rsidRPr="00BC272E">
              <w:rPr>
                <w:rFonts w:ascii="Arabic Typesetting" w:hAnsi="Arabic Typesetting" w:cs="Arabic Typesetting"/>
                <w:color w:val="000000"/>
                <w:sz w:val="30"/>
                <w:szCs w:val="30"/>
                <w:rtl/>
              </w:rPr>
              <w:t>تحديد ومعالج</w:t>
            </w:r>
            <w:r w:rsidRPr="00BC272E">
              <w:rPr>
                <w:rFonts w:ascii="Arabic Typesetting" w:hAnsi="Arabic Typesetting" w:cs="Arabic Typesetting" w:hint="cs"/>
                <w:color w:val="000000"/>
                <w:sz w:val="30"/>
                <w:szCs w:val="30"/>
                <w:rtl/>
              </w:rPr>
              <w:t>ة</w:t>
            </w:r>
            <w:r w:rsidRPr="00BC272E">
              <w:rPr>
                <w:rFonts w:ascii="Arabic Typesetting" w:hAnsi="Arabic Typesetting" w:cs="Arabic Typesetting"/>
                <w:color w:val="000000"/>
                <w:sz w:val="30"/>
                <w:szCs w:val="30"/>
                <w:rtl/>
              </w:rPr>
              <w:t xml:space="preserve"> نقاط الضعف </w:t>
            </w:r>
            <w:r w:rsidRPr="00BC272E">
              <w:rPr>
                <w:rFonts w:ascii="Arabic Typesetting" w:hAnsi="Arabic Typesetting" w:cs="Arabic Typesetting" w:hint="cs"/>
                <w:color w:val="000000"/>
                <w:sz w:val="30"/>
                <w:szCs w:val="30"/>
                <w:rtl/>
              </w:rPr>
              <w:t xml:space="preserve">بشكل </w:t>
            </w:r>
            <w:r w:rsidRPr="00BC272E">
              <w:rPr>
                <w:rFonts w:ascii="Arabic Typesetting" w:hAnsi="Arabic Typesetting" w:cs="Arabic Typesetting"/>
                <w:color w:val="000000"/>
                <w:sz w:val="30"/>
                <w:szCs w:val="30"/>
                <w:rtl/>
              </w:rPr>
              <w:t xml:space="preserve">استباقي </w:t>
            </w:r>
            <w:r w:rsidRPr="00BC272E">
              <w:rPr>
                <w:rFonts w:ascii="Arabic Typesetting" w:hAnsi="Arabic Typesetting" w:cs="Arabic Typesetting" w:hint="cs"/>
                <w:color w:val="000000"/>
                <w:sz w:val="30"/>
                <w:szCs w:val="30"/>
                <w:rtl/>
              </w:rPr>
              <w:t>و</w:t>
            </w:r>
            <w:r w:rsidRPr="00BC272E">
              <w:rPr>
                <w:rFonts w:ascii="Arabic Typesetting" w:hAnsi="Arabic Typesetting" w:cs="Arabic Typesetting"/>
                <w:color w:val="000000"/>
                <w:sz w:val="30"/>
                <w:szCs w:val="30"/>
                <w:rtl/>
              </w:rPr>
              <w:t xml:space="preserve">في الوقت المناسب </w:t>
            </w:r>
            <w:r w:rsidRPr="00BC272E">
              <w:rPr>
                <w:rFonts w:ascii="Arabic Typesetting" w:hAnsi="Arabic Typesetting" w:cs="Arabic Typesetting" w:hint="cs"/>
                <w:color w:val="000000"/>
                <w:sz w:val="30"/>
                <w:szCs w:val="30"/>
                <w:rtl/>
              </w:rPr>
              <w:t xml:space="preserve">ضمن </w:t>
            </w:r>
            <w:r w:rsidRPr="00BC272E">
              <w:rPr>
                <w:rFonts w:ascii="Arabic Typesetting" w:hAnsi="Arabic Typesetting" w:cs="Arabic Typesetting"/>
                <w:color w:val="000000"/>
                <w:sz w:val="30"/>
                <w:szCs w:val="30"/>
                <w:rtl/>
              </w:rPr>
              <w:t>مستويات الخدمة المتفق عليها</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BC272E" w:rsidRDefault="00D24D96" w:rsidP="00F01A85">
            <w:pPr>
              <w:spacing w:line="300" w:lineRule="exact"/>
              <w:rPr>
                <w:rFonts w:ascii="Arabic Typesetting" w:hAnsi="Arabic Typesetting" w:cs="Arabic Typesetting"/>
                <w:color w:val="000000"/>
                <w:sz w:val="30"/>
                <w:szCs w:val="30"/>
                <w:rtl/>
              </w:rPr>
            </w:pPr>
            <w:r w:rsidRPr="00BC272E">
              <w:rPr>
                <w:rFonts w:ascii="Arabic Typesetting" w:hAnsi="Arabic Typesetting" w:cs="Arabic Typesetting"/>
                <w:color w:val="000000"/>
                <w:sz w:val="30"/>
                <w:szCs w:val="30"/>
                <w:rtl/>
              </w:rPr>
              <w:t>زيادة الامتثال لسياسات ومعايي</w:t>
            </w:r>
            <w:r w:rsidRPr="00BC272E">
              <w:rPr>
                <w:rFonts w:ascii="Arabic Typesetting" w:hAnsi="Arabic Typesetting" w:cs="Arabic Typesetting" w:hint="cs"/>
                <w:color w:val="000000"/>
                <w:sz w:val="30"/>
                <w:szCs w:val="30"/>
                <w:rtl/>
              </w:rPr>
              <w:t>ر تأمين المعلومات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BC272E" w:rsidRDefault="00D24D96" w:rsidP="00F01A85">
            <w:pPr>
              <w:spacing w:line="300" w:lineRule="exact"/>
              <w:rPr>
                <w:rFonts w:ascii="Arabic Typesetting" w:hAnsi="Arabic Typesetting" w:cs="Arabic Typesetting"/>
                <w:color w:val="000000"/>
                <w:sz w:val="30"/>
                <w:szCs w:val="30"/>
                <w:rtl/>
              </w:rPr>
            </w:pPr>
            <w:r w:rsidRPr="00BC272E">
              <w:rPr>
                <w:rFonts w:ascii="Arabic Typesetting" w:hAnsi="Arabic Typesetting" w:cs="Arabic Typesetting" w:hint="cs"/>
                <w:color w:val="000000"/>
                <w:sz w:val="30"/>
                <w:szCs w:val="30"/>
                <w:rtl/>
              </w:rPr>
              <w:t xml:space="preserve">سياسة بشأن تصنيف المعلومات ومعالجتها تُعتمد على </w:t>
            </w:r>
            <w:r w:rsidRPr="00BC272E">
              <w:rPr>
                <w:rFonts w:ascii="Arabic Typesetting" w:hAnsi="Arabic Typesetting" w:cs="Arabic Typesetting"/>
                <w:color w:val="000000"/>
                <w:sz w:val="30"/>
                <w:szCs w:val="30"/>
                <w:rtl/>
              </w:rPr>
              <w:t>نطاق واسع لضمان سرية المعلومات</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tl/>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C272E">
              <w:rPr>
                <w:rFonts w:ascii="Arabic Typesetting" w:hAnsi="Arabic Typesetting" w:cs="Arabic Typesetting"/>
                <w:sz w:val="30"/>
                <w:szCs w:val="30"/>
                <w:rtl/>
              </w:rPr>
              <w:t xml:space="preserve">الحد من ازدواجية القدرات التقنية </w:t>
            </w:r>
            <w:r w:rsidRPr="00BC272E">
              <w:rPr>
                <w:rFonts w:ascii="Arabic Typesetting" w:hAnsi="Arabic Typesetting" w:cs="Arabic Typesetting" w:hint="cs"/>
                <w:sz w:val="30"/>
                <w:szCs w:val="30"/>
                <w:rtl/>
              </w:rPr>
              <w:t>الخاصة ب</w:t>
            </w:r>
            <w:r w:rsidRPr="00BC272E">
              <w:rPr>
                <w:rFonts w:ascii="Arabic Typesetting" w:hAnsi="Arabic Typesetting" w:cs="Arabic Typesetting"/>
                <w:sz w:val="30"/>
                <w:szCs w:val="30"/>
                <w:rtl/>
              </w:rPr>
              <w:t xml:space="preserve">أمن المعلومات </w:t>
            </w:r>
            <w:r w:rsidRPr="00BC272E">
              <w:rPr>
                <w:rFonts w:ascii="Arabic Typesetting" w:hAnsi="Arabic Typesetting" w:cs="Arabic Typesetting" w:hint="cs"/>
                <w:sz w:val="30"/>
                <w:szCs w:val="30"/>
                <w:rtl/>
              </w:rPr>
              <w:t xml:space="preserve">عبر </w:t>
            </w:r>
            <w:r w:rsidRPr="00BC272E">
              <w:rPr>
                <w:rFonts w:ascii="Arabic Typesetting" w:hAnsi="Arabic Typesetting" w:cs="Arabic Typesetting"/>
                <w:sz w:val="30"/>
                <w:szCs w:val="30"/>
                <w:rtl/>
              </w:rPr>
              <w:t>أنماط</w:t>
            </w:r>
            <w:r w:rsidRPr="00BC272E">
              <w:rPr>
                <w:rFonts w:ascii="Arabic Typesetting" w:hAnsi="Arabic Typesetting" w:cs="Arabic Typesetting" w:hint="cs"/>
                <w:sz w:val="30"/>
                <w:szCs w:val="30"/>
                <w:rtl/>
              </w:rPr>
              <w:t xml:space="preserve"> بنية</w:t>
            </w:r>
            <w:r w:rsidRPr="00BC272E">
              <w:rPr>
                <w:rFonts w:ascii="Arabic Typesetting" w:hAnsi="Arabic Typesetting" w:cs="Arabic Typesetting"/>
                <w:sz w:val="30"/>
                <w:szCs w:val="30"/>
                <w:rtl/>
              </w:rPr>
              <w:t xml:space="preserve"> أمن قابلة </w:t>
            </w:r>
            <w:r w:rsidRPr="00BC272E">
              <w:rPr>
                <w:rFonts w:ascii="Arabic Typesetting" w:hAnsi="Arabic Typesetting" w:cs="Arabic Typesetting" w:hint="cs"/>
                <w:sz w:val="30"/>
                <w:szCs w:val="30"/>
                <w:rtl/>
              </w:rPr>
              <w:t>ل</w:t>
            </w:r>
            <w:r w:rsidRPr="00BC272E">
              <w:rPr>
                <w:rFonts w:ascii="Arabic Typesetting" w:hAnsi="Arabic Typesetting" w:cs="Arabic Typesetting"/>
                <w:sz w:val="30"/>
                <w:szCs w:val="30"/>
                <w:rtl/>
              </w:rPr>
              <w:t>إعادة الاستخدا</w:t>
            </w:r>
            <w:r w:rsidRPr="00BC272E">
              <w:rPr>
                <w:rFonts w:ascii="Arabic Typesetting" w:hAnsi="Arabic Typesetting" w:cs="Arabic Typesetting" w:hint="cs"/>
                <w:sz w:val="30"/>
                <w:szCs w:val="30"/>
                <w:rtl/>
              </w:rPr>
              <w:t>م</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F360B6">
              <w:rPr>
                <w:rFonts w:ascii="Arabic Typesetting" w:hAnsi="Arabic Typesetting" w:cs="Arabic Typesetting"/>
                <w:color w:val="000000"/>
                <w:sz w:val="30"/>
                <w:szCs w:val="30"/>
                <w:rtl/>
              </w:rPr>
              <w:t xml:space="preserve">قدرة </w:t>
            </w:r>
            <w:r w:rsidRPr="00F360B6">
              <w:rPr>
                <w:rFonts w:ascii="Arabic Typesetting" w:hAnsi="Arabic Typesetting" w:cs="Arabic Typesetting" w:hint="cs"/>
                <w:color w:val="000000"/>
                <w:sz w:val="30"/>
                <w:szCs w:val="30"/>
                <w:rtl/>
              </w:rPr>
              <w:t xml:space="preserve">معزَّزة </w:t>
            </w:r>
            <w:r w:rsidRPr="00F360B6">
              <w:rPr>
                <w:rFonts w:ascii="Arabic Typesetting" w:hAnsi="Arabic Typesetting" w:cs="Arabic Typesetting"/>
                <w:color w:val="000000"/>
                <w:sz w:val="30"/>
                <w:szCs w:val="30"/>
                <w:rtl/>
              </w:rPr>
              <w:t xml:space="preserve">على </w:t>
            </w:r>
            <w:r w:rsidRPr="00F360B6">
              <w:rPr>
                <w:rFonts w:ascii="Arabic Typesetting" w:hAnsi="Arabic Typesetting" w:cs="Arabic Typesetting" w:hint="cs"/>
                <w:color w:val="000000"/>
                <w:sz w:val="30"/>
                <w:szCs w:val="30"/>
                <w:rtl/>
              </w:rPr>
              <w:t>ال</w:t>
            </w:r>
            <w:r w:rsidRPr="00F360B6">
              <w:rPr>
                <w:rFonts w:ascii="Arabic Typesetting" w:hAnsi="Arabic Typesetting" w:cs="Arabic Typesetting"/>
                <w:color w:val="000000"/>
                <w:sz w:val="30"/>
                <w:szCs w:val="30"/>
                <w:rtl/>
              </w:rPr>
              <w:t xml:space="preserve">كشف </w:t>
            </w:r>
            <w:r w:rsidRPr="00F360B6">
              <w:rPr>
                <w:rFonts w:ascii="Arabic Typesetting" w:hAnsi="Arabic Typesetting" w:cs="Arabic Typesetting" w:hint="cs"/>
                <w:color w:val="000000"/>
                <w:sz w:val="30"/>
                <w:szCs w:val="30"/>
                <w:rtl/>
              </w:rPr>
              <w:t xml:space="preserve">عن </w:t>
            </w:r>
            <w:r w:rsidRPr="00F360B6">
              <w:rPr>
                <w:rFonts w:ascii="Arabic Typesetting" w:hAnsi="Arabic Typesetting" w:cs="Arabic Typesetting"/>
                <w:color w:val="000000"/>
                <w:sz w:val="30"/>
                <w:szCs w:val="30"/>
                <w:rtl/>
              </w:rPr>
              <w:t xml:space="preserve">تهديدات أمن المعلومات </w:t>
            </w:r>
            <w:r w:rsidRPr="00F360B6">
              <w:rPr>
                <w:rFonts w:ascii="Arabic Typesetting" w:hAnsi="Arabic Typesetting" w:cs="Arabic Typesetting" w:hint="cs"/>
                <w:color w:val="000000"/>
                <w:sz w:val="30"/>
                <w:szCs w:val="30"/>
                <w:rtl/>
              </w:rPr>
              <w:t xml:space="preserve">والاستجابة لها بسرعة أكبر </w:t>
            </w:r>
            <w:r w:rsidRPr="00F360B6">
              <w:rPr>
                <w:rFonts w:ascii="Arabic Typesetting" w:hAnsi="Arabic Typesetting" w:cs="Arabic Typesetting"/>
                <w:color w:val="000000"/>
                <w:sz w:val="30"/>
                <w:szCs w:val="30"/>
                <w:rtl/>
              </w:rPr>
              <w:t xml:space="preserve">بكثير </w:t>
            </w:r>
            <w:r w:rsidRPr="00F360B6">
              <w:rPr>
                <w:rFonts w:ascii="Arabic Typesetting" w:hAnsi="Arabic Typesetting" w:cs="Arabic Typesetting" w:hint="cs"/>
                <w:color w:val="000000"/>
                <w:sz w:val="30"/>
                <w:szCs w:val="30"/>
                <w:rtl/>
              </w:rPr>
              <w:t>بما ي</w:t>
            </w:r>
            <w:r w:rsidRPr="00F360B6">
              <w:rPr>
                <w:rFonts w:ascii="Arabic Typesetting" w:hAnsi="Arabic Typesetting" w:cs="Arabic Typesetting"/>
                <w:color w:val="000000"/>
                <w:sz w:val="30"/>
                <w:szCs w:val="30"/>
                <w:rtl/>
              </w:rPr>
              <w:t>ضمن حد</w:t>
            </w:r>
            <w:r w:rsidRPr="00F360B6">
              <w:rPr>
                <w:rFonts w:ascii="Arabic Typesetting" w:hAnsi="Arabic Typesetting" w:cs="Arabic Typesetting" w:hint="cs"/>
                <w:color w:val="000000"/>
                <w:sz w:val="30"/>
                <w:szCs w:val="30"/>
                <w:rtl/>
              </w:rPr>
              <w:t>ا</w:t>
            </w:r>
            <w:r w:rsidRPr="00F360B6">
              <w:rPr>
                <w:rFonts w:ascii="Arabic Typesetting" w:hAnsi="Arabic Typesetting" w:cs="Arabic Typesetting"/>
                <w:color w:val="000000"/>
                <w:sz w:val="30"/>
                <w:szCs w:val="30"/>
                <w:rtl/>
              </w:rPr>
              <w:t xml:space="preserve"> أدنى </w:t>
            </w:r>
            <w:r w:rsidRPr="00F360B6">
              <w:rPr>
                <w:rFonts w:ascii="Arabic Typesetting" w:hAnsi="Arabic Typesetting" w:cs="Arabic Typesetting" w:hint="cs"/>
                <w:color w:val="000000"/>
                <w:sz w:val="30"/>
                <w:szCs w:val="30"/>
                <w:rtl/>
              </w:rPr>
              <w:t>ل</w:t>
            </w:r>
            <w:r w:rsidRPr="00F360B6">
              <w:rPr>
                <w:rFonts w:ascii="Arabic Typesetting" w:hAnsi="Arabic Typesetting" w:cs="Arabic Typesetting"/>
                <w:color w:val="000000"/>
                <w:sz w:val="30"/>
                <w:szCs w:val="30"/>
                <w:rtl/>
              </w:rPr>
              <w:t>تعطل الأعمال</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 xml:space="preserve">البرنامج </w:t>
            </w:r>
            <w:r>
              <w:rPr>
                <w:rFonts w:ascii="Arabic Typesetting" w:hAnsi="Arabic Typesetting" w:cs="Arabic Typesetting" w:hint="cs"/>
                <w:sz w:val="30"/>
                <w:szCs w:val="30"/>
                <w:rtl/>
              </w:rPr>
              <w:t>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Pr>
                <w:rFonts w:ascii="Arabic Typesetting" w:hAnsi="Arabic Typesetting" w:cs="Arabic Typesetting" w:hint="cs"/>
                <w:sz w:val="30"/>
                <w:szCs w:val="30"/>
                <w:rtl/>
              </w:rPr>
              <w:t>النسبة المئوية ل</w:t>
            </w:r>
            <w:r w:rsidRPr="00F360B6">
              <w:rPr>
                <w:rFonts w:ascii="Arabic Typesetting" w:hAnsi="Arabic Typesetting" w:cs="Arabic Typesetting"/>
                <w:sz w:val="30"/>
                <w:szCs w:val="30"/>
                <w:rtl/>
              </w:rPr>
              <w:t>موظفي الويبو والمندوبين و</w:t>
            </w:r>
            <w:r w:rsidRPr="00F360B6">
              <w:rPr>
                <w:rFonts w:ascii="Arabic Typesetting" w:hAnsi="Arabic Typesetting" w:cs="Arabic Typesetting" w:hint="cs"/>
                <w:sz w:val="30"/>
                <w:szCs w:val="30"/>
                <w:rtl/>
              </w:rPr>
              <w:t>ال</w:t>
            </w:r>
            <w:r w:rsidRPr="00F360B6">
              <w:rPr>
                <w:rFonts w:ascii="Arabic Typesetting" w:hAnsi="Arabic Typesetting" w:cs="Arabic Typesetting"/>
                <w:sz w:val="30"/>
                <w:szCs w:val="30"/>
                <w:rtl/>
              </w:rPr>
              <w:t xml:space="preserve">زوار </w:t>
            </w:r>
            <w:r w:rsidRPr="00F360B6">
              <w:rPr>
                <w:rFonts w:ascii="Arabic Typesetting" w:hAnsi="Arabic Typesetting" w:cs="Arabic Typesetting" w:hint="cs"/>
                <w:sz w:val="30"/>
                <w:szCs w:val="30"/>
                <w:rtl/>
              </w:rPr>
              <w:t xml:space="preserve">الذين يبلغون عن </w:t>
            </w:r>
            <w:r w:rsidRPr="00F360B6">
              <w:rPr>
                <w:rFonts w:ascii="Arabic Typesetting" w:hAnsi="Arabic Typesetting" w:cs="Arabic Typesetting"/>
                <w:sz w:val="30"/>
                <w:szCs w:val="30"/>
                <w:rtl/>
              </w:rPr>
              <w:t xml:space="preserve">إصابات </w:t>
            </w:r>
            <w:r w:rsidRPr="00F360B6">
              <w:rPr>
                <w:rFonts w:ascii="Arabic Typesetting" w:hAnsi="Arabic Typesetting" w:cs="Arabic Typesetting" w:hint="cs"/>
                <w:sz w:val="30"/>
                <w:szCs w:val="30"/>
                <w:rtl/>
              </w:rPr>
              <w:t xml:space="preserve">أو </w:t>
            </w:r>
            <w:r w:rsidRPr="00F360B6">
              <w:rPr>
                <w:rFonts w:ascii="Arabic Typesetting" w:hAnsi="Arabic Typesetting" w:cs="Arabic Typesetting"/>
                <w:sz w:val="30"/>
                <w:szCs w:val="30"/>
                <w:rtl/>
              </w:rPr>
              <w:t>ح</w:t>
            </w:r>
            <w:r w:rsidRPr="00F360B6">
              <w:rPr>
                <w:rFonts w:ascii="Arabic Typesetting" w:hAnsi="Arabic Typesetting" w:cs="Arabic Typesetting" w:hint="cs"/>
                <w:sz w:val="30"/>
                <w:szCs w:val="30"/>
                <w:rtl/>
              </w:rPr>
              <w:t>و</w:t>
            </w:r>
            <w:r w:rsidRPr="00F360B6">
              <w:rPr>
                <w:rFonts w:ascii="Arabic Typesetting" w:hAnsi="Arabic Typesetting" w:cs="Arabic Typesetting"/>
                <w:sz w:val="30"/>
                <w:szCs w:val="30"/>
                <w:rtl/>
              </w:rPr>
              <w:t>ادث ذات صلة</w:t>
            </w:r>
            <w:r w:rsidRPr="00F360B6">
              <w:rPr>
                <w:rFonts w:ascii="Arabic Typesetting" w:hAnsi="Arabic Typesetting" w:cs="Arabic Typesetting" w:hint="cs"/>
                <w:sz w:val="30"/>
                <w:szCs w:val="30"/>
                <w:rtl/>
              </w:rPr>
              <w:t xml:space="preserve"> بالعمل</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5002A">
              <w:rPr>
                <w:rFonts w:ascii="Arabic Typesetting" w:hAnsi="Arabic Typesetting" w:cs="Arabic Typesetting" w:hint="cs"/>
                <w:sz w:val="30"/>
                <w:szCs w:val="30"/>
                <w:rtl/>
              </w:rPr>
              <w:t>النسبة المئوية لل</w:t>
            </w:r>
            <w:r w:rsidRPr="00B5002A">
              <w:rPr>
                <w:rFonts w:ascii="Arabic Typesetting" w:hAnsi="Arabic Typesetting" w:cs="Arabic Typesetting"/>
                <w:sz w:val="30"/>
                <w:szCs w:val="30"/>
                <w:rtl/>
              </w:rPr>
              <w:t xml:space="preserve">طلبات </w:t>
            </w:r>
            <w:r w:rsidRPr="00B5002A">
              <w:rPr>
                <w:rFonts w:ascii="Arabic Typesetting" w:hAnsi="Arabic Typesetting" w:cs="Arabic Typesetting" w:hint="cs"/>
                <w:sz w:val="30"/>
                <w:szCs w:val="30"/>
                <w:rtl/>
              </w:rPr>
              <w:t xml:space="preserve">المستجاب لها </w:t>
            </w:r>
            <w:r w:rsidRPr="00B5002A">
              <w:rPr>
                <w:rFonts w:ascii="Arabic Typesetting" w:hAnsi="Arabic Typesetting" w:cs="Arabic Typesetting"/>
                <w:sz w:val="30"/>
                <w:szCs w:val="30"/>
                <w:rtl/>
              </w:rPr>
              <w:t xml:space="preserve">في الوقت المناسب للحصول على مساعدة </w:t>
            </w:r>
            <w:r w:rsidRPr="00B5002A">
              <w:rPr>
                <w:rFonts w:ascii="Arabic Typesetting" w:hAnsi="Arabic Typesetting" w:cs="Arabic Typesetting" w:hint="cs"/>
                <w:sz w:val="30"/>
                <w:szCs w:val="30"/>
                <w:rtl/>
              </w:rPr>
              <w:t>متعلقة ب</w:t>
            </w:r>
            <w:r w:rsidRPr="00B5002A">
              <w:rPr>
                <w:rFonts w:ascii="Arabic Typesetting" w:hAnsi="Arabic Typesetting" w:cs="Arabic Typesetting"/>
                <w:sz w:val="30"/>
                <w:szCs w:val="30"/>
                <w:rtl/>
              </w:rPr>
              <w:t xml:space="preserve">السلامة والأمن في المؤتمرات أو </w:t>
            </w:r>
            <w:r w:rsidRPr="00B5002A">
              <w:rPr>
                <w:rFonts w:ascii="Arabic Typesetting" w:hAnsi="Arabic Typesetting" w:cs="Arabic Typesetting" w:hint="cs"/>
                <w:sz w:val="30"/>
                <w:szCs w:val="30"/>
                <w:rtl/>
              </w:rPr>
              <w:t>التظاهرات</w:t>
            </w:r>
            <w:r w:rsidRPr="00B5002A">
              <w:rPr>
                <w:rFonts w:ascii="Arabic Typesetting" w:hAnsi="Arabic Typesetting" w:cs="Arabic Typesetting"/>
                <w:sz w:val="30"/>
                <w:szCs w:val="30"/>
                <w:rtl/>
              </w:rPr>
              <w:t xml:space="preserve"> التي تقام في جنيف أو خارج</w:t>
            </w:r>
            <w:r w:rsidRPr="00B5002A">
              <w:rPr>
                <w:rFonts w:ascii="Arabic Typesetting" w:hAnsi="Arabic Typesetting" w:cs="Arabic Typesetting" w:hint="cs"/>
                <w:sz w:val="30"/>
                <w:szCs w:val="30"/>
                <w:rtl/>
              </w:rPr>
              <w:t>ها</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28</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lastRenderedPageBreak/>
              <w:t xml:space="preserve">ه </w:t>
            </w:r>
            <w:r>
              <w:rPr>
                <w:rFonts w:ascii="Arabic Typesetting" w:hAnsi="Arabic Typesetting" w:cs="Arabic Typesetting" w:hint="cs"/>
                <w:sz w:val="30"/>
                <w:szCs w:val="30"/>
                <w:rtl/>
              </w:rPr>
              <w:t>8</w:t>
            </w:r>
            <w:r w:rsidRPr="008954A8">
              <w:rPr>
                <w:rFonts w:ascii="Arabic Typesetting" w:hAnsi="Arabic Typesetting" w:cs="Arabic Typesetting" w:hint="cs"/>
                <w:sz w:val="30"/>
                <w:szCs w:val="30"/>
                <w:rtl/>
              </w:rPr>
              <w:t>.</w:t>
            </w:r>
            <w:r>
              <w:rPr>
                <w:rFonts w:ascii="Arabic Typesetting" w:hAnsi="Arabic Typesetting" w:cs="Arabic Typesetting" w:hint="cs"/>
                <w:sz w:val="30"/>
                <w:szCs w:val="30"/>
                <w:rtl/>
              </w:rPr>
              <w:t>9</w:t>
            </w:r>
            <w:r w:rsidRPr="008954A8">
              <w:rPr>
                <w:rFonts w:ascii="Arabic Typesetting" w:hAnsi="Arabic Typesetting" w:cs="Arabic Typesetting" w:hint="cs"/>
                <w:sz w:val="30"/>
                <w:szCs w:val="30"/>
                <w:rtl/>
              </w:rPr>
              <w:t xml:space="preserve"> </w:t>
            </w:r>
            <w:r w:rsidRPr="00B5002A">
              <w:rPr>
                <w:rFonts w:ascii="Arabic Typesetting" w:hAnsi="Arabic Typesetting" w:cs="Arabic Typesetting"/>
                <w:sz w:val="30"/>
                <w:szCs w:val="30"/>
                <w:rtl/>
              </w:rPr>
              <w:t xml:space="preserve">مستوى محسّن فيما يخص المساءلة، والتعلم المؤسسي، والقيمة مقابل المال، والريادة، والمراقبة الداخلية، </w:t>
            </w:r>
            <w:proofErr w:type="spellStart"/>
            <w:r w:rsidRPr="00B5002A">
              <w:rPr>
                <w:rFonts w:ascii="Arabic Typesetting" w:hAnsi="Arabic Typesetting" w:cs="Arabic Typesetting"/>
                <w:sz w:val="30"/>
                <w:szCs w:val="30"/>
                <w:rtl/>
              </w:rPr>
              <w:t>والحوكمة</w:t>
            </w:r>
            <w:proofErr w:type="spellEnd"/>
            <w:r w:rsidRPr="00B5002A">
              <w:rPr>
                <w:rFonts w:ascii="Arabic Typesetting" w:hAnsi="Arabic Typesetting" w:cs="Arabic Typesetting"/>
                <w:sz w:val="30"/>
                <w:szCs w:val="30"/>
                <w:rtl/>
              </w:rPr>
              <w:t xml:space="preserve"> المؤسسية من خلال الاستعانة برقابة فعالة ومستقلة</w:t>
            </w: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13178">
              <w:rPr>
                <w:rFonts w:ascii="Arabic Typesetting" w:hAnsi="Arabic Typesetting" w:cs="Arabic Typesetting"/>
                <w:sz w:val="30"/>
                <w:szCs w:val="30"/>
                <w:rtl/>
              </w:rPr>
              <w:t>الاستقلال</w:t>
            </w:r>
            <w:r w:rsidRPr="00B13178">
              <w:rPr>
                <w:rFonts w:ascii="Arabic Typesetting" w:hAnsi="Arabic Typesetting" w:cs="Arabic Typesetting" w:hint="cs"/>
                <w:sz w:val="30"/>
                <w:szCs w:val="30"/>
                <w:rtl/>
              </w:rPr>
              <w:t>ية</w:t>
            </w:r>
            <w:r w:rsidRPr="00B13178">
              <w:rPr>
                <w:rFonts w:ascii="Arabic Typesetting" w:hAnsi="Arabic Typesetting" w:cs="Arabic Typesetting"/>
                <w:sz w:val="30"/>
                <w:szCs w:val="30"/>
                <w:rtl/>
              </w:rPr>
              <w:t xml:space="preserve"> – عدم تدخل كبار أصحاب المصالح ومراعاتهم للاستقلالية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26</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13178">
              <w:rPr>
                <w:rFonts w:ascii="Arabic Typesetting" w:hAnsi="Arabic Typesetting" w:cs="Arabic Typesetting"/>
                <w:sz w:val="30"/>
                <w:szCs w:val="30"/>
                <w:rtl/>
              </w:rPr>
              <w:t xml:space="preserve">الفعالية – النسبة المئوية للعمل الذي يشمل مجالات </w:t>
            </w:r>
            <w:r w:rsidRPr="00B13178">
              <w:rPr>
                <w:rFonts w:ascii="Arabic Typesetting" w:hAnsi="Arabic Typesetting" w:cs="Arabic Typesetting" w:hint="cs"/>
                <w:sz w:val="30"/>
                <w:szCs w:val="30"/>
                <w:rtl/>
              </w:rPr>
              <w:t xml:space="preserve">وجيهة </w:t>
            </w:r>
            <w:r w:rsidRPr="00B13178">
              <w:rPr>
                <w:rFonts w:ascii="Arabic Typesetting" w:hAnsi="Arabic Typesetting" w:cs="Arabic Typesetting"/>
                <w:sz w:val="30"/>
                <w:szCs w:val="30"/>
                <w:rtl/>
              </w:rPr>
              <w:t xml:space="preserve">عالية المخاطر </w:t>
            </w:r>
            <w:r w:rsidRPr="00B13178">
              <w:rPr>
                <w:rFonts w:ascii="Arabic Typesetting" w:hAnsi="Arabic Typesetting" w:cs="Arabic Typesetting" w:hint="cs"/>
                <w:sz w:val="30"/>
                <w:szCs w:val="30"/>
                <w:rtl/>
              </w:rPr>
              <w:t>بما ي</w:t>
            </w:r>
            <w:r w:rsidRPr="00B13178">
              <w:rPr>
                <w:rFonts w:ascii="Arabic Typesetting" w:hAnsi="Arabic Typesetting" w:cs="Arabic Typesetting"/>
                <w:sz w:val="30"/>
                <w:szCs w:val="30"/>
                <w:rtl/>
              </w:rPr>
              <w:t>تماشى مع استراتيجية المنظمة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26</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13178">
              <w:rPr>
                <w:rFonts w:ascii="Arabic Typesetting" w:hAnsi="Arabic Typesetting" w:cs="Arabic Typesetting"/>
                <w:sz w:val="30"/>
                <w:szCs w:val="30"/>
                <w:rtl/>
              </w:rPr>
              <w:t>الكفاءة – صد</w:t>
            </w:r>
            <w:r w:rsidRPr="00B13178">
              <w:rPr>
                <w:rFonts w:ascii="Arabic Typesetting" w:hAnsi="Arabic Typesetting" w:cs="Arabic Typesetting" w:hint="cs"/>
                <w:sz w:val="30"/>
                <w:szCs w:val="30"/>
                <w:rtl/>
              </w:rPr>
              <w:t>و</w:t>
            </w:r>
            <w:r w:rsidRPr="00B13178">
              <w:rPr>
                <w:rFonts w:ascii="Arabic Typesetting" w:hAnsi="Arabic Typesetting" w:cs="Arabic Typesetting"/>
                <w:sz w:val="30"/>
                <w:szCs w:val="30"/>
                <w:rtl/>
              </w:rPr>
              <w:t>ر تقارير شعبة الرقابة الداخلية في الوقت المناسب مع توصيات مُحدَّدة وقابلة للقياس ويمكن تحقيقها وعملية المنحى ومُحدَّد المدة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26</w:t>
            </w:r>
          </w:p>
        </w:tc>
      </w:tr>
      <w:tr w:rsidR="00F01A85" w:rsidRPr="008954A8" w:rsidTr="00F01A85">
        <w:trPr>
          <w:cantSplit/>
          <w:trHeight w:val="335"/>
        </w:trPr>
        <w:tc>
          <w:tcPr>
            <w:tcW w:w="1525"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13178">
              <w:rPr>
                <w:rFonts w:ascii="Arabic Typesetting" w:hAnsi="Arabic Typesetting" w:cs="Arabic Typesetting" w:hint="cs"/>
                <w:sz w:val="30"/>
                <w:szCs w:val="30"/>
                <w:rtl/>
              </w:rPr>
              <w:t>الوجاهة</w:t>
            </w:r>
            <w:r w:rsidRPr="00B13178">
              <w:rPr>
                <w:rFonts w:ascii="Arabic Typesetting" w:hAnsi="Arabic Typesetting" w:cs="Arabic Typesetting"/>
                <w:sz w:val="30"/>
                <w:szCs w:val="30"/>
                <w:rtl/>
              </w:rPr>
              <w:t xml:space="preserve"> والقيمة المضافة والإشراف ـ وفورات أو تحسينات ملموسة في العمليات والأنظمة </w:t>
            </w:r>
            <w:r w:rsidRPr="00B13178">
              <w:rPr>
                <w:rFonts w:ascii="Arabic Typesetting" w:hAnsi="Arabic Typesetting" w:cs="Arabic Typesetting" w:hint="cs"/>
                <w:sz w:val="30"/>
                <w:szCs w:val="30"/>
                <w:rtl/>
              </w:rPr>
              <w:t>المؤسسية</w:t>
            </w:r>
          </w:p>
        </w:tc>
        <w:tc>
          <w:tcPr>
            <w:tcW w:w="1111" w:type="pct"/>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26</w:t>
            </w:r>
          </w:p>
        </w:tc>
      </w:tr>
      <w:tr w:rsidR="00F01A85" w:rsidRPr="008954A8" w:rsidTr="00F01A85">
        <w:trPr>
          <w:cantSplit/>
          <w:trHeight w:val="335"/>
        </w:trPr>
        <w:tc>
          <w:tcPr>
            <w:tcW w:w="1525" w:type="pct"/>
            <w:tcBorders>
              <w:bottom w:val="single" w:sz="4" w:space="0" w:color="auto"/>
            </w:tcBorders>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p>
        </w:tc>
        <w:tc>
          <w:tcPr>
            <w:tcW w:w="2364" w:type="pct"/>
            <w:tcBorders>
              <w:bottom w:val="single" w:sz="4" w:space="0" w:color="auto"/>
            </w:tcBorders>
            <w:tcMar>
              <w:top w:w="113" w:type="dxa"/>
              <w:bottom w:w="85" w:type="dxa"/>
            </w:tcMar>
          </w:tcPr>
          <w:p w:rsidR="00D24D96" w:rsidRPr="008954A8" w:rsidRDefault="00D24D96" w:rsidP="00F01A85">
            <w:pPr>
              <w:spacing w:line="300" w:lineRule="exact"/>
              <w:rPr>
                <w:rFonts w:ascii="Arabic Typesetting" w:hAnsi="Arabic Typesetting" w:cs="Arabic Typesetting"/>
                <w:sz w:val="30"/>
                <w:szCs w:val="30"/>
              </w:rPr>
            </w:pPr>
            <w:r w:rsidRPr="00B13178">
              <w:rPr>
                <w:rFonts w:ascii="Arabic Typesetting" w:hAnsi="Arabic Typesetting" w:cs="Arabic Typesetting"/>
                <w:sz w:val="30"/>
                <w:szCs w:val="30"/>
                <w:rtl/>
              </w:rPr>
              <w:t>التعلم المؤسس</w:t>
            </w:r>
            <w:r w:rsidRPr="00B13178">
              <w:rPr>
                <w:rFonts w:ascii="Arabic Typesetting" w:hAnsi="Arabic Typesetting" w:cs="Arabic Typesetting" w:hint="cs"/>
                <w:sz w:val="30"/>
                <w:szCs w:val="30"/>
                <w:rtl/>
              </w:rPr>
              <w:t xml:space="preserve">ي </w:t>
            </w:r>
            <w:r w:rsidRPr="00B13178">
              <w:rPr>
                <w:rFonts w:ascii="Arabic Typesetting" w:hAnsi="Arabic Typesetting" w:cs="Arabic Typesetting"/>
                <w:sz w:val="30"/>
                <w:szCs w:val="30"/>
                <w:rtl/>
              </w:rPr>
              <w:t>– تعلم</w:t>
            </w:r>
            <w:r w:rsidRPr="00B13178">
              <w:rPr>
                <w:rFonts w:ascii="Arabic Typesetting" w:hAnsi="Arabic Typesetting" w:cs="Arabic Typesetting" w:hint="cs"/>
                <w:sz w:val="30"/>
                <w:szCs w:val="30"/>
                <w:rtl/>
              </w:rPr>
              <w:t xml:space="preserve"> </w:t>
            </w:r>
            <w:r w:rsidRPr="00B13178">
              <w:rPr>
                <w:rFonts w:ascii="Arabic Typesetting" w:hAnsi="Arabic Typesetting" w:cs="Arabic Typesetting"/>
                <w:sz w:val="30"/>
                <w:szCs w:val="30"/>
                <w:rtl/>
              </w:rPr>
              <w:t>الدروس والتوصيات من عمليات الرقابة</w:t>
            </w:r>
          </w:p>
        </w:tc>
        <w:tc>
          <w:tcPr>
            <w:tcW w:w="1111" w:type="pct"/>
            <w:tcBorders>
              <w:bottom w:val="single" w:sz="4" w:space="0" w:color="auto"/>
            </w:tcBorders>
            <w:shd w:val="clear" w:color="auto" w:fill="FFFFFF"/>
            <w:tcMar>
              <w:top w:w="113" w:type="dxa"/>
              <w:bottom w:w="85" w:type="dxa"/>
            </w:tcMar>
          </w:tcPr>
          <w:p w:rsidR="00D24D96" w:rsidRPr="008954A8" w:rsidRDefault="00D24D96" w:rsidP="00F01A85">
            <w:pPr>
              <w:spacing w:line="300" w:lineRule="exact"/>
              <w:jc w:val="center"/>
              <w:rPr>
                <w:rFonts w:ascii="Arabic Typesetting" w:hAnsi="Arabic Typesetting" w:cs="Arabic Typesetting"/>
                <w:sz w:val="30"/>
                <w:szCs w:val="30"/>
              </w:rPr>
            </w:pPr>
            <w:r w:rsidRPr="008954A8">
              <w:rPr>
                <w:rFonts w:ascii="Arabic Typesetting" w:hAnsi="Arabic Typesetting" w:cs="Arabic Typesetting"/>
                <w:sz w:val="30"/>
                <w:szCs w:val="30"/>
                <w:rtl/>
              </w:rPr>
              <w:t>البرنامج 26</w:t>
            </w:r>
          </w:p>
        </w:tc>
      </w:tr>
    </w:tbl>
    <w:p w:rsidR="00D24D96" w:rsidRPr="008954A8" w:rsidRDefault="00D24D96">
      <w:pPr>
        <w:tabs>
          <w:tab w:val="left" w:pos="0"/>
        </w:tabs>
        <w:rPr>
          <w:rFonts w:ascii="Arabic Typesetting" w:hAnsi="Arabic Typesetting" w:cs="Arabic Typesetting"/>
          <w:sz w:val="30"/>
          <w:szCs w:val="30"/>
        </w:rPr>
      </w:pPr>
    </w:p>
    <w:p w:rsidR="00D24D96" w:rsidRDefault="00D24D96">
      <w:pPr>
        <w:bidi w:val="0"/>
        <w:rPr>
          <w:rFonts w:ascii="Arabic Typesetting" w:hAnsi="Arabic Typesetting" w:cs="Arabic Typesetting"/>
          <w:sz w:val="34"/>
          <w:szCs w:val="34"/>
          <w:rtl/>
          <w:lang w:val="fr-CH" w:bidi="ar-SA"/>
        </w:rPr>
      </w:pPr>
      <w:r>
        <w:rPr>
          <w:rtl/>
        </w:rPr>
        <w:br w:type="page"/>
      </w:r>
    </w:p>
    <w:p w:rsidR="008D4309" w:rsidRPr="00F90A5F" w:rsidRDefault="008D4309"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109" w:name="_Toc364355409"/>
      <w:bookmarkStart w:id="110" w:name="_Toc420595529"/>
      <w:r w:rsidRPr="00F90A5F">
        <w:rPr>
          <w:rFonts w:ascii="Arabic Typesetting" w:hAnsi="Arabic Typesetting" w:cs="Arabic Typesetting"/>
          <w:bCs/>
          <w:iCs w:val="0"/>
          <w:noProof/>
          <w:snapToGrid/>
          <w:sz w:val="42"/>
          <w:szCs w:val="42"/>
          <w:rtl/>
          <w:lang w:bidi="ar-EG"/>
        </w:rPr>
        <w:lastRenderedPageBreak/>
        <w:t>البرنامج 21</w:t>
      </w:r>
      <w:r w:rsidRPr="00F90A5F">
        <w:rPr>
          <w:rFonts w:ascii="Arabic Typesetting" w:hAnsi="Arabic Typesetting" w:cs="Arabic Typesetting"/>
          <w:bCs/>
          <w:iCs w:val="0"/>
          <w:noProof/>
          <w:snapToGrid/>
          <w:sz w:val="42"/>
          <w:szCs w:val="42"/>
          <w:lang w:bidi="ar-EG"/>
        </w:rPr>
        <w:tab/>
      </w:r>
      <w:r w:rsidRPr="00F90A5F">
        <w:rPr>
          <w:rFonts w:ascii="Arabic Typesetting" w:hAnsi="Arabic Typesetting" w:cs="Arabic Typesetting"/>
          <w:bCs/>
          <w:iCs w:val="0"/>
          <w:noProof/>
          <w:snapToGrid/>
          <w:sz w:val="42"/>
          <w:szCs w:val="42"/>
          <w:rtl/>
          <w:lang w:bidi="ar-EG"/>
        </w:rPr>
        <w:t>الإدارة التنفيذية</w:t>
      </w:r>
      <w:bookmarkEnd w:id="109"/>
      <w:bookmarkEnd w:id="110"/>
      <w:r w:rsidRPr="00F90A5F">
        <w:rPr>
          <w:rFonts w:ascii="Arabic Typesetting" w:hAnsi="Arabic Typesetting" w:cs="Arabic Typesetting"/>
          <w:bCs/>
          <w:iCs w:val="0"/>
          <w:noProof/>
          <w:snapToGrid/>
          <w:sz w:val="42"/>
          <w:szCs w:val="42"/>
          <w:lang w:bidi="ar-EG"/>
        </w:rPr>
        <w:t xml:space="preserve"> </w:t>
      </w:r>
    </w:p>
    <w:p w:rsidR="008D4309" w:rsidRPr="00F90A5F" w:rsidRDefault="008D430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F90A5F">
        <w:rPr>
          <w:rFonts w:ascii="Arabic Typesetting" w:hAnsi="Arabic Typesetting" w:cs="Arabic Typesetting"/>
          <w:noProof/>
          <w:snapToGrid/>
          <w:sz w:val="38"/>
          <w:szCs w:val="38"/>
          <w:rtl/>
          <w:lang w:val="x-none" w:eastAsia="x-none" w:bidi="ar-EG"/>
        </w:rPr>
        <w:t>سياق التخطيط</w:t>
      </w:r>
    </w:p>
    <w:p w:rsidR="008D4309" w:rsidRPr="00F90A5F" w:rsidRDefault="008D4309" w:rsidP="00861CFF">
      <w:pPr>
        <w:numPr>
          <w:ilvl w:val="0"/>
          <w:numId w:val="36"/>
        </w:numPr>
        <w:spacing w:after="120" w:line="340" w:lineRule="exact"/>
        <w:jc w:val="both"/>
        <w:rPr>
          <w:rFonts w:ascii="Arabic Typesetting" w:hAnsi="Arabic Typesetting" w:cs="Arabic Typesetting"/>
          <w:sz w:val="34"/>
          <w:szCs w:val="34"/>
        </w:rPr>
      </w:pPr>
      <w:r w:rsidRPr="00F90A5F">
        <w:rPr>
          <w:rFonts w:ascii="Arabic Typesetting" w:hAnsi="Arabic Typesetting" w:cs="Arabic Typesetting"/>
          <w:sz w:val="34"/>
          <w:szCs w:val="34"/>
          <w:rtl/>
        </w:rPr>
        <w:t>يوفر برنامج الإدارة التنفيذية للويبو التوجيه الاستراتيجي للمنظمة، بحيث يمكنها من المضي قدمًا نحو تحقيق أهدافها الاستراتيجية. والبرنامج مسئول أيضًا عن قيادة التغيير المطلوب لضمان اضطلاع الويبو بولايتها بكفاءة وفعالية في البيئة الخارجية السريعة التطور.</w:t>
      </w:r>
    </w:p>
    <w:p w:rsidR="008D4309" w:rsidRPr="00F90A5F" w:rsidRDefault="008D4309" w:rsidP="00861CFF">
      <w:pPr>
        <w:numPr>
          <w:ilvl w:val="0"/>
          <w:numId w:val="36"/>
        </w:numPr>
        <w:spacing w:after="120" w:line="340" w:lineRule="exact"/>
        <w:jc w:val="both"/>
        <w:rPr>
          <w:rFonts w:ascii="Arabic Typesetting" w:hAnsi="Arabic Typesetting" w:cs="Arabic Typesetting"/>
          <w:sz w:val="34"/>
          <w:szCs w:val="34"/>
          <w:rtl/>
        </w:rPr>
      </w:pPr>
      <w:r w:rsidRPr="00F90A5F">
        <w:rPr>
          <w:rFonts w:ascii="Arabic Typesetting" w:hAnsi="Arabic Typesetting" w:cs="Arabic Typesetting"/>
          <w:sz w:val="34"/>
          <w:szCs w:val="34"/>
          <w:rtl/>
        </w:rPr>
        <w:t>وستظل البيئة الخارجية التي تعمل فيها الويبو كثيرة المطالب ومليئة بالتحديات التي تواجه تحقيق أهداف المنظمة. فانتعاش الاقتصاد العالمي لم يكن متكافئًا، وصدمات مثل تقلب أسعار العملات مؤخرًا تسلط الضوء على المخاطر الخارجية التي لا تزال تواجه المنظمة. ومن هذا المنطلق، لا تزال الملكية الفكرية والابتكار يحتلان صدارة التنافس الاقتصادي المحتدم، والذي بدوره يسلط الضوء على أهميتهما المتواصلة في تحقيق النجاح الاقتصادي والتنمية الوطنية. وهو أمر لا يزال ينعكس في الطلب القوي من الدول الأعضاء لتلقي الدعم والمساعدة من الويبو. وفي الوقت ذاته، فإن وتيرة إنشاء قواعد ومعايير جديدة في مجال الملكية الفكرية تعد بعيدة كل البعد عن الوتيرة السريعة للتغير التكنولوجي والاجتماعي. ولذلك فإنه بالنظر إلى المستقبل، تواجه المنظمة تحديات عديدة تكمن في توفير ردود منصفة وفعالة على طلبات المساعدة وضمان توفير الموارد الكافية لخدمات المنظمة التي تدر دخلاً، فضلاً عن إصلاحها وضمان استمرار قدرتها على المنافسة، وفي توفير حيز تتمكن فيه الدول الأعضاء من التلاحم والسعي نحو تحقيق إجماع حول إطار القواعد والمعايير.</w:t>
      </w:r>
    </w:p>
    <w:p w:rsidR="008D4309" w:rsidRPr="00F90A5F" w:rsidRDefault="008D4309" w:rsidP="00DA5475">
      <w:pPr>
        <w:spacing w:after="120" w:line="340" w:lineRule="exact"/>
        <w:jc w:val="both"/>
        <w:rPr>
          <w:rFonts w:ascii="Arabic Typesetting" w:hAnsi="Arabic Typesetting" w:cs="Arabic Typesetting"/>
          <w:sz w:val="34"/>
          <w:szCs w:val="34"/>
        </w:rPr>
      </w:pPr>
    </w:p>
    <w:p w:rsidR="008D4309" w:rsidRPr="001C3524" w:rsidRDefault="008D430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1C3524">
        <w:rPr>
          <w:rFonts w:ascii="Arabic Typesetting" w:hAnsi="Arabic Typesetting" w:cs="Arabic Typesetting"/>
          <w:noProof/>
          <w:snapToGrid/>
          <w:sz w:val="38"/>
          <w:szCs w:val="38"/>
          <w:rtl/>
          <w:lang w:val="x-none" w:eastAsia="x-none" w:bidi="ar-EG"/>
        </w:rPr>
        <w:t>استراتيجيات التنفيذ</w:t>
      </w:r>
    </w:p>
    <w:p w:rsidR="008D4309" w:rsidRPr="00F90A5F" w:rsidRDefault="008D4309" w:rsidP="00861CFF">
      <w:pPr>
        <w:numPr>
          <w:ilvl w:val="0"/>
          <w:numId w:val="36"/>
        </w:numPr>
        <w:spacing w:after="120" w:line="340" w:lineRule="exact"/>
        <w:jc w:val="both"/>
        <w:rPr>
          <w:rFonts w:ascii="Arabic Typesetting" w:hAnsi="Arabic Typesetting" w:cs="Arabic Typesetting"/>
          <w:sz w:val="34"/>
          <w:szCs w:val="34"/>
        </w:rPr>
      </w:pPr>
      <w:r w:rsidRPr="00F90A5F">
        <w:rPr>
          <w:rFonts w:ascii="Arabic Typesetting" w:hAnsi="Arabic Typesetting" w:cs="Arabic Typesetting"/>
          <w:sz w:val="34"/>
          <w:szCs w:val="34"/>
          <w:rtl/>
        </w:rPr>
        <w:t>سيتطلب التركيز الدائم على الملكية الفكرية والموازنة بين المصالح في السياق الحالي أن يركز البرنامج بشدة على قيادة الجهود لتعزيز التواصل الموثوق والشفاف مع الدول الأعضاء وأصحاب المصلحة، وذلك للمساعدة في التوصل إلى إجماع حول المضي قدمًا بشأن الأهداف الاستراتيجية.</w:t>
      </w:r>
    </w:p>
    <w:p w:rsidR="008D4309" w:rsidRPr="00F90A5F" w:rsidRDefault="008D4309" w:rsidP="00861CFF">
      <w:pPr>
        <w:numPr>
          <w:ilvl w:val="0"/>
          <w:numId w:val="36"/>
        </w:numPr>
        <w:spacing w:after="120" w:line="340" w:lineRule="exact"/>
        <w:jc w:val="both"/>
        <w:rPr>
          <w:rFonts w:ascii="Arabic Typesetting" w:hAnsi="Arabic Typesetting" w:cs="Arabic Typesetting"/>
          <w:sz w:val="34"/>
          <w:szCs w:val="34"/>
        </w:rPr>
      </w:pPr>
      <w:r w:rsidRPr="00F90A5F">
        <w:rPr>
          <w:rFonts w:ascii="Arabic Typesetting" w:hAnsi="Arabic Typesetting" w:cs="Arabic Typesetting"/>
          <w:sz w:val="34"/>
          <w:szCs w:val="34"/>
          <w:rtl/>
        </w:rPr>
        <w:t xml:space="preserve">وسوف يعمل البرنامج على نصرة الاستراتيجيات والمبادرات التي ترمي إلى تعزيز الإدارة الحاسمة والمتكاملة والخاضعة للمساءلة والتي تركز على تحقيق النتائج مع ترسيخ السلوك الأخلاقي والمسؤولية الإدارية، فضلاً عن نصرة تنفيذ هذه الاستراتيجيات والمبادرات. وفي هذا السياق فإن البرنامج سيكرس جهدًا خاصًا لضمان فعالية المكاتب الخارجية وانخراطها تمامًا في أنشطة المنظمة لتحقيق الأهداف </w:t>
      </w:r>
      <w:r w:rsidRPr="00F90A5F">
        <w:rPr>
          <w:rFonts w:ascii="Arabic Typesetting" w:hAnsi="Arabic Typesetting" w:cs="Arabic Typesetting" w:hint="cs"/>
          <w:sz w:val="34"/>
          <w:szCs w:val="34"/>
          <w:rtl/>
        </w:rPr>
        <w:t>الاستراتيجي</w:t>
      </w:r>
      <w:r w:rsidRPr="00F90A5F">
        <w:rPr>
          <w:rFonts w:ascii="Arabic Typesetting" w:hAnsi="Arabic Typesetting" w:cs="Arabic Typesetting" w:hint="eastAsia"/>
          <w:sz w:val="34"/>
          <w:szCs w:val="34"/>
          <w:rtl/>
        </w:rPr>
        <w:t>ة</w:t>
      </w:r>
      <w:r w:rsidRPr="00F90A5F">
        <w:rPr>
          <w:rFonts w:ascii="Arabic Typesetting" w:hAnsi="Arabic Typesetting" w:cs="Arabic Typesetting"/>
          <w:sz w:val="34"/>
          <w:szCs w:val="34"/>
          <w:rtl/>
        </w:rPr>
        <w:t>. وسينصب التركيز أيضًا على بناء المرونة التنظيمية لكي تستوعب مجموعة واسعة من المخاطر وتصون العمليات التشغيلية الحاسمة. وسوف يرمي العمل أيضًا في إطار البرنامج إلى إنشاء بيئة عمل منتجة تعكس قيم المنظمة وتستند إلى إطار للقواعد منصف وعادل، وإلى سياسات قائمة على الاحترام فيما يتعلق بأماكن العمل وقنوات اتصال فعالة لمعالجة شواغل الموظفين.</w:t>
      </w:r>
    </w:p>
    <w:p w:rsidR="008D4309" w:rsidRPr="00F90A5F" w:rsidRDefault="008D4309" w:rsidP="00861CFF">
      <w:pPr>
        <w:numPr>
          <w:ilvl w:val="0"/>
          <w:numId w:val="36"/>
        </w:numPr>
        <w:spacing w:after="120" w:line="340" w:lineRule="exact"/>
        <w:jc w:val="both"/>
        <w:rPr>
          <w:rFonts w:ascii="Arabic Typesetting" w:hAnsi="Arabic Typesetting" w:cs="Arabic Typesetting"/>
          <w:sz w:val="34"/>
          <w:szCs w:val="34"/>
        </w:rPr>
      </w:pPr>
      <w:r w:rsidRPr="00F90A5F">
        <w:rPr>
          <w:rFonts w:ascii="Arabic Typesetting" w:hAnsi="Arabic Typesetting" w:cs="Arabic Typesetting"/>
          <w:sz w:val="34"/>
          <w:szCs w:val="34"/>
          <w:rtl/>
        </w:rPr>
        <w:t>وسوف يتم العمل بالاستراتيجيات التالية في الثنائية 2016</w:t>
      </w:r>
      <w:r>
        <w:rPr>
          <w:rFonts w:ascii="Arabic Typesetting" w:hAnsi="Arabic Typesetting" w:cs="Arabic Typesetting" w:hint="cs"/>
          <w:sz w:val="34"/>
          <w:szCs w:val="34"/>
          <w:rtl/>
        </w:rPr>
        <w:t>/</w:t>
      </w:r>
      <w:r w:rsidRPr="00F90A5F">
        <w:rPr>
          <w:rFonts w:ascii="Arabic Typesetting" w:hAnsi="Arabic Typesetting" w:cs="Arabic Typesetting"/>
          <w:sz w:val="34"/>
          <w:szCs w:val="34"/>
          <w:rtl/>
        </w:rPr>
        <w:t>17:</w:t>
      </w:r>
    </w:p>
    <w:p w:rsidR="008D4309" w:rsidRPr="00F90A5F" w:rsidRDefault="008D4309" w:rsidP="00DA5475">
      <w:pPr>
        <w:spacing w:after="120" w:line="340" w:lineRule="exact"/>
        <w:ind w:left="567"/>
        <w:jc w:val="both"/>
        <w:rPr>
          <w:rFonts w:ascii="Arabic Typesetting" w:hAnsi="Arabic Typesetting" w:cs="Arabic Typesetting"/>
          <w:sz w:val="34"/>
          <w:szCs w:val="34"/>
        </w:rPr>
      </w:pPr>
      <w:r w:rsidRPr="00F90A5F">
        <w:rPr>
          <w:rFonts w:ascii="Arabic Typesetting" w:hAnsi="Arabic Typesetting" w:cs="Arabic Typesetting"/>
          <w:sz w:val="34"/>
          <w:szCs w:val="34"/>
          <w:rtl/>
        </w:rPr>
        <w:t>"1"</w:t>
      </w:r>
      <w:r w:rsidRPr="00F90A5F">
        <w:rPr>
          <w:rFonts w:ascii="Arabic Typesetting" w:hAnsi="Arabic Typesetting" w:cs="Arabic Typesetting"/>
          <w:sz w:val="34"/>
          <w:szCs w:val="34"/>
          <w:rtl/>
        </w:rPr>
        <w:tab/>
      </w:r>
      <w:r w:rsidRPr="00723F8B">
        <w:rPr>
          <w:rFonts w:ascii="Arabic Typesetting" w:hAnsi="Arabic Typesetting" w:cs="Arabic Typesetting"/>
          <w:i/>
          <w:iCs/>
          <w:sz w:val="34"/>
          <w:szCs w:val="34"/>
          <w:rtl/>
        </w:rPr>
        <w:t>تعزيز التواصل مع الدول الأعضاء</w:t>
      </w:r>
      <w:r w:rsidRPr="00F90A5F">
        <w:rPr>
          <w:rFonts w:ascii="Arabic Typesetting" w:hAnsi="Arabic Typesetting" w:cs="Arabic Typesetting"/>
          <w:sz w:val="34"/>
          <w:szCs w:val="34"/>
          <w:rtl/>
        </w:rPr>
        <w:t>: سوف يؤدي التواصل والتشاور والحوار المنتظم والجيد مع الدول الأعضاء إلى زيادة تدفق المعلومات على كافة المستويات وإلى تعزيز الشفافية فيما يتعلق بأنشطة البرنامج.</w:t>
      </w:r>
    </w:p>
    <w:p w:rsidR="008D4309" w:rsidRPr="00F90A5F" w:rsidRDefault="008D4309" w:rsidP="00DA5475">
      <w:pPr>
        <w:spacing w:after="120" w:line="340" w:lineRule="exact"/>
        <w:ind w:left="567"/>
        <w:jc w:val="both"/>
        <w:rPr>
          <w:rFonts w:ascii="Arabic Typesetting" w:hAnsi="Arabic Typesetting" w:cs="Arabic Typesetting"/>
          <w:sz w:val="34"/>
          <w:szCs w:val="34"/>
        </w:rPr>
      </w:pPr>
      <w:r w:rsidRPr="00F90A5F">
        <w:rPr>
          <w:rFonts w:ascii="Arabic Typesetting" w:hAnsi="Arabic Typesetting" w:cs="Arabic Typesetting"/>
          <w:sz w:val="34"/>
          <w:szCs w:val="34"/>
          <w:rtl/>
        </w:rPr>
        <w:t>"2"</w:t>
      </w:r>
      <w:r w:rsidRPr="00F90A5F">
        <w:rPr>
          <w:rFonts w:ascii="Arabic Typesetting" w:hAnsi="Arabic Typesetting" w:cs="Arabic Typesetting"/>
          <w:sz w:val="34"/>
          <w:szCs w:val="34"/>
          <w:rtl/>
        </w:rPr>
        <w:tab/>
      </w:r>
      <w:r w:rsidRPr="00723F8B">
        <w:rPr>
          <w:rFonts w:ascii="Arabic Typesetting" w:hAnsi="Arabic Typesetting" w:cs="Arabic Typesetting"/>
          <w:i/>
          <w:iCs/>
          <w:sz w:val="34"/>
          <w:szCs w:val="34"/>
          <w:rtl/>
        </w:rPr>
        <w:t>تحسين الاتساق والفاعلية داخلياً</w:t>
      </w:r>
      <w:r w:rsidRPr="00F90A5F">
        <w:rPr>
          <w:rFonts w:ascii="Arabic Typesetting" w:hAnsi="Arabic Typesetting" w:cs="Arabic Typesetting"/>
          <w:sz w:val="34"/>
          <w:szCs w:val="34"/>
          <w:rtl/>
        </w:rPr>
        <w:t>: سوف تتواصل الجهود لتعزيز ذلك من خلال آليات التنسيق على مستوى فريق الإدارة العليا وآليات إعداد التقارير الإدارية. وسيكون من شأن إنشاء آليات تنسيق محددة جيدًا ضمان انخراط المكاتب الخارجية في آليات الإدارة وتعزيز أدائها</w:t>
      </w:r>
    </w:p>
    <w:p w:rsidR="008D4309" w:rsidRPr="00F90A5F" w:rsidRDefault="008D4309" w:rsidP="00DA5475">
      <w:pPr>
        <w:spacing w:after="120" w:line="340" w:lineRule="exact"/>
        <w:ind w:left="567"/>
        <w:jc w:val="both"/>
        <w:rPr>
          <w:rFonts w:ascii="Arabic Typesetting" w:hAnsi="Arabic Typesetting" w:cs="Arabic Typesetting"/>
          <w:sz w:val="34"/>
          <w:szCs w:val="34"/>
        </w:rPr>
      </w:pPr>
      <w:r w:rsidRPr="00F90A5F">
        <w:rPr>
          <w:rFonts w:ascii="Arabic Typesetting" w:hAnsi="Arabic Typesetting" w:cs="Arabic Typesetting"/>
          <w:sz w:val="34"/>
          <w:szCs w:val="34"/>
          <w:rtl/>
        </w:rPr>
        <w:t>"3"</w:t>
      </w:r>
      <w:r w:rsidRPr="00F90A5F">
        <w:rPr>
          <w:rFonts w:ascii="Arabic Typesetting" w:hAnsi="Arabic Typesetting" w:cs="Arabic Typesetting"/>
          <w:sz w:val="34"/>
          <w:szCs w:val="34"/>
          <w:rtl/>
        </w:rPr>
        <w:tab/>
      </w:r>
      <w:r w:rsidRPr="00723F8B">
        <w:rPr>
          <w:rFonts w:ascii="Arabic Typesetting" w:hAnsi="Arabic Typesetting" w:cs="Arabic Typesetting"/>
          <w:i/>
          <w:iCs/>
          <w:sz w:val="34"/>
          <w:szCs w:val="34"/>
          <w:rtl/>
        </w:rPr>
        <w:t>توفير مشورة وخدمات قانونية سريعة</w:t>
      </w:r>
      <w:r w:rsidRPr="00F90A5F">
        <w:rPr>
          <w:rFonts w:ascii="Arabic Typesetting" w:hAnsi="Arabic Typesetting" w:cs="Arabic Typesetting"/>
          <w:sz w:val="34"/>
          <w:szCs w:val="34"/>
          <w:rtl/>
        </w:rPr>
        <w:t xml:space="preserve"> تتناسب مع الشروط القانونية والقانون المطبق لتيسير سير العمل بشكل جيد في الأمانة والهيئات المؤسسة للمنظمة. ومواصلة تطوير قاعدة بيانات الويبو </w:t>
      </w:r>
      <w:r w:rsidRPr="00F90A5F">
        <w:rPr>
          <w:rFonts w:ascii="Arabic Typesetting" w:hAnsi="Arabic Typesetting" w:cs="Arabic Typesetting"/>
          <w:sz w:val="34"/>
          <w:szCs w:val="34"/>
        </w:rPr>
        <w:t>WIPO LEX</w:t>
      </w:r>
      <w:r w:rsidRPr="00F90A5F">
        <w:rPr>
          <w:rFonts w:ascii="Arabic Typesetting" w:hAnsi="Arabic Typesetting" w:cs="Arabic Typesetting"/>
          <w:sz w:val="34"/>
          <w:szCs w:val="34"/>
          <w:rtl/>
        </w:rPr>
        <w:t xml:space="preserve"> التي هي بمنزلة مصدر عالمي لقوانين الملكية الفكرية ومعاهداتها، بما يتماشى مع الابتكارات التكنولوجية الجارية، والمحافظة على قاعدة البيانات هذه.</w:t>
      </w:r>
    </w:p>
    <w:p w:rsidR="008D4309" w:rsidRPr="00F90A5F" w:rsidRDefault="008D4309" w:rsidP="00DA5475">
      <w:pPr>
        <w:spacing w:after="120" w:line="340" w:lineRule="exact"/>
        <w:ind w:left="567"/>
        <w:jc w:val="both"/>
        <w:rPr>
          <w:rFonts w:ascii="Arabic Typesetting" w:hAnsi="Arabic Typesetting" w:cs="Arabic Typesetting"/>
          <w:sz w:val="34"/>
          <w:szCs w:val="34"/>
        </w:rPr>
      </w:pPr>
      <w:r w:rsidRPr="00F90A5F">
        <w:rPr>
          <w:rFonts w:ascii="Arabic Typesetting" w:hAnsi="Arabic Typesetting" w:cs="Arabic Typesetting"/>
          <w:sz w:val="34"/>
          <w:szCs w:val="34"/>
          <w:rtl/>
        </w:rPr>
        <w:lastRenderedPageBreak/>
        <w:t>"4"</w:t>
      </w:r>
      <w:r w:rsidRPr="00F90A5F">
        <w:rPr>
          <w:rFonts w:ascii="Arabic Typesetting" w:hAnsi="Arabic Typesetting" w:cs="Arabic Typesetting"/>
          <w:sz w:val="34"/>
          <w:szCs w:val="34"/>
          <w:rtl/>
        </w:rPr>
        <w:tab/>
      </w:r>
      <w:r w:rsidRPr="00DF3034">
        <w:rPr>
          <w:rFonts w:ascii="Arabic Typesetting" w:hAnsi="Arabic Typesetting" w:cs="Arabic Typesetting"/>
          <w:i/>
          <w:iCs/>
          <w:sz w:val="34"/>
          <w:szCs w:val="34"/>
          <w:rtl/>
        </w:rPr>
        <w:t>إنشاء إطار مرونة تنظيمية</w:t>
      </w:r>
      <w:r w:rsidRPr="00F90A5F">
        <w:rPr>
          <w:rFonts w:ascii="Arabic Typesetting" w:hAnsi="Arabic Typesetting" w:cs="Arabic Typesetting"/>
          <w:sz w:val="34"/>
          <w:szCs w:val="34"/>
          <w:rtl/>
        </w:rPr>
        <w:t>: سيتم تعزيز قدرات الويبو على التخطيط للطوارئ من خلال وضع السياسات والاستراتيجيات والخطط بغية التخفيف من وطأة تعطل عمليات المنظمة الحرجة أو الحد من التعطل قدر الإمكان.</w:t>
      </w:r>
    </w:p>
    <w:p w:rsidR="008D4309" w:rsidRPr="00F90A5F" w:rsidRDefault="008D4309" w:rsidP="00DA5475">
      <w:pPr>
        <w:spacing w:after="120" w:line="340" w:lineRule="exact"/>
        <w:ind w:left="567"/>
        <w:jc w:val="both"/>
        <w:rPr>
          <w:rFonts w:ascii="Arabic Typesetting" w:hAnsi="Arabic Typesetting" w:cs="Arabic Typesetting"/>
          <w:sz w:val="34"/>
          <w:szCs w:val="34"/>
        </w:rPr>
      </w:pPr>
      <w:r w:rsidRPr="00F90A5F">
        <w:rPr>
          <w:rFonts w:ascii="Arabic Typesetting" w:hAnsi="Arabic Typesetting" w:cs="Arabic Typesetting"/>
          <w:sz w:val="34"/>
          <w:szCs w:val="34"/>
          <w:rtl/>
        </w:rPr>
        <w:t>"5"</w:t>
      </w:r>
      <w:r w:rsidRPr="00F90A5F">
        <w:rPr>
          <w:rFonts w:ascii="Arabic Typesetting" w:hAnsi="Arabic Typesetting" w:cs="Arabic Typesetting"/>
          <w:sz w:val="34"/>
          <w:szCs w:val="34"/>
          <w:rtl/>
        </w:rPr>
        <w:tab/>
      </w:r>
      <w:r w:rsidRPr="00DF3034">
        <w:rPr>
          <w:rFonts w:ascii="Arabic Typesetting" w:hAnsi="Arabic Typesetting" w:cs="Arabic Typesetting"/>
          <w:i/>
          <w:iCs/>
          <w:sz w:val="34"/>
          <w:szCs w:val="34"/>
          <w:rtl/>
        </w:rPr>
        <w:t>بناء مساهمة الويبو في مجلس المديرين التنفيذيين</w:t>
      </w:r>
      <w:r>
        <w:rPr>
          <w:rFonts w:ascii="Arabic Typesetting" w:hAnsi="Arabic Typesetting" w:cs="Arabic Typesetting" w:hint="cs"/>
          <w:sz w:val="34"/>
          <w:szCs w:val="34"/>
          <w:rtl/>
        </w:rPr>
        <w:t xml:space="preserve"> في منظومة الأمم المتحدة</w:t>
      </w:r>
      <w:r w:rsidRPr="00F90A5F">
        <w:rPr>
          <w:rFonts w:ascii="Arabic Typesetting" w:hAnsi="Arabic Typesetting" w:cs="Arabic Typesetting"/>
          <w:sz w:val="34"/>
          <w:szCs w:val="34"/>
          <w:rtl/>
        </w:rPr>
        <w:t>: سوف تواصل الويبو تعزيز مشاركتها باعتبارها فاعلاً نشطاً في منظومة الأمم المتحدة، ويشمل ذلك إسهامها من خلال مجلس المديرين التنفيذيين. فمن خلال مشاركتها النشطة في هذه الهيئات، ستستمر الويبو في تعزيز مبادراتها على صعيد الأمم المتحدة والتي ترتبط بالنهوض بالابتكار والإبداع وتسلط الضوء على ممارسات الإدارة الجيدة لديها.</w:t>
      </w:r>
    </w:p>
    <w:p w:rsidR="008D4309" w:rsidRPr="00F90A5F" w:rsidRDefault="008D4309" w:rsidP="00DA5475">
      <w:pPr>
        <w:spacing w:after="120" w:line="340" w:lineRule="exact"/>
        <w:ind w:left="567"/>
        <w:jc w:val="both"/>
        <w:rPr>
          <w:rFonts w:ascii="Arabic Typesetting" w:hAnsi="Arabic Typesetting" w:cs="Arabic Typesetting"/>
          <w:sz w:val="34"/>
          <w:szCs w:val="34"/>
        </w:rPr>
      </w:pPr>
      <w:r w:rsidRPr="00F90A5F">
        <w:rPr>
          <w:rFonts w:ascii="Arabic Typesetting" w:hAnsi="Arabic Typesetting" w:cs="Arabic Typesetting"/>
          <w:sz w:val="34"/>
          <w:szCs w:val="34"/>
          <w:rtl/>
        </w:rPr>
        <w:t>"6"</w:t>
      </w:r>
      <w:r w:rsidRPr="00F90A5F">
        <w:rPr>
          <w:rFonts w:ascii="Arabic Typesetting" w:hAnsi="Arabic Typesetting" w:cs="Arabic Typesetting"/>
          <w:sz w:val="34"/>
          <w:szCs w:val="34"/>
          <w:rtl/>
        </w:rPr>
        <w:tab/>
      </w:r>
      <w:r w:rsidRPr="00DF3034">
        <w:rPr>
          <w:rFonts w:ascii="Arabic Typesetting" w:hAnsi="Arabic Typesetting" w:cs="Arabic Typesetting"/>
          <w:i/>
          <w:iCs/>
          <w:sz w:val="34"/>
          <w:szCs w:val="34"/>
          <w:rtl/>
        </w:rPr>
        <w:t>ترسيخ نظام الويبو الشامل للأخلاقيات والنزاهة</w:t>
      </w:r>
      <w:r w:rsidRPr="00F90A5F">
        <w:rPr>
          <w:rFonts w:ascii="Arabic Typesetting" w:hAnsi="Arabic Typesetting" w:cs="Arabic Typesetting"/>
          <w:sz w:val="34"/>
          <w:szCs w:val="34"/>
          <w:rtl/>
        </w:rPr>
        <w:t xml:space="preserve">: بعد إنشاء نظام شامل للأخلاقيات والنزاهة في الويبو، سيبني مكتب الويبو الأخلاقي على العمل السابق (بما في ذلك مدونة الأخلاقيات وسياسة مناهضة للانتقام وتدريب الموظفين) من خلال الاستمرار في تعميم النظام في الويبو من خلال وضع القواعد والمعايير وتقديم المشورة الواضحة والموثوقة للإدارة والموظفين على جميع المستويات ورفع مستوى الوعي والأنشطة الترويجية. وتحديدًا، بعد وضع سياسة إعلان الذمة الخاصة </w:t>
      </w:r>
      <w:proofErr w:type="spellStart"/>
      <w:r w:rsidRPr="00F90A5F">
        <w:rPr>
          <w:rFonts w:ascii="Arabic Typesetting" w:hAnsi="Arabic Typesetting" w:cs="Arabic Typesetting"/>
          <w:sz w:val="34"/>
          <w:szCs w:val="34"/>
          <w:rtl/>
        </w:rPr>
        <w:t>بالويبو</w:t>
      </w:r>
      <w:proofErr w:type="spellEnd"/>
      <w:r w:rsidRPr="00F90A5F">
        <w:rPr>
          <w:rFonts w:ascii="Arabic Typesetting" w:hAnsi="Arabic Typesetting" w:cs="Arabic Typesetting"/>
          <w:sz w:val="34"/>
          <w:szCs w:val="34"/>
          <w:rtl/>
        </w:rPr>
        <w:t>، ستصاغ سياسة جيدة فيما يتعلق بالكشف المالي.</w:t>
      </w:r>
    </w:p>
    <w:p w:rsidR="008D4309" w:rsidRPr="00F90A5F" w:rsidRDefault="008D4309" w:rsidP="00DA5475">
      <w:pPr>
        <w:spacing w:after="120" w:line="340" w:lineRule="exact"/>
        <w:ind w:left="567"/>
        <w:jc w:val="both"/>
        <w:rPr>
          <w:rFonts w:ascii="Arabic Typesetting" w:hAnsi="Arabic Typesetting" w:cs="Arabic Typesetting"/>
          <w:sz w:val="34"/>
          <w:szCs w:val="34"/>
          <w:rtl/>
        </w:rPr>
      </w:pPr>
      <w:r w:rsidRPr="00F90A5F">
        <w:rPr>
          <w:rFonts w:ascii="Arabic Typesetting" w:hAnsi="Arabic Typesetting" w:cs="Arabic Typesetting"/>
          <w:sz w:val="34"/>
          <w:szCs w:val="34"/>
          <w:rtl/>
        </w:rPr>
        <w:t>"7"</w:t>
      </w:r>
      <w:r w:rsidRPr="00F90A5F">
        <w:rPr>
          <w:rFonts w:ascii="Arabic Typesetting" w:hAnsi="Arabic Typesetting" w:cs="Arabic Typesetting"/>
          <w:sz w:val="34"/>
          <w:szCs w:val="34"/>
          <w:rtl/>
        </w:rPr>
        <w:tab/>
      </w:r>
      <w:r w:rsidRPr="0037669F">
        <w:rPr>
          <w:rFonts w:ascii="Arabic Typesetting" w:hAnsi="Arabic Typesetting" w:cs="Arabic Typesetting"/>
          <w:i/>
          <w:iCs/>
          <w:sz w:val="34"/>
          <w:szCs w:val="34"/>
          <w:rtl/>
        </w:rPr>
        <w:t>تعزيز تنظيم جمعيات الويبو</w:t>
      </w:r>
      <w:r w:rsidRPr="00F90A5F">
        <w:rPr>
          <w:rFonts w:ascii="Arabic Typesetting" w:hAnsi="Arabic Typesetting" w:cs="Arabic Typesetting"/>
          <w:sz w:val="34"/>
          <w:szCs w:val="34"/>
          <w:rtl/>
        </w:rPr>
        <w:t>: سوف يساهم التنسيق والتخطيط الفعالان على المستوى الداخلي في إعداد الجمعيات بشكل كامل وفي حينه مما سيسهل عمل الدول الأعضاء في أهم هيئة رئاسية تابعة للويبو.</w:t>
      </w:r>
    </w:p>
    <w:p w:rsidR="008D4309" w:rsidRPr="00F90A5F" w:rsidRDefault="008D4309" w:rsidP="00DA5475">
      <w:pPr>
        <w:spacing w:after="120" w:line="340" w:lineRule="exact"/>
        <w:ind w:left="567"/>
        <w:jc w:val="both"/>
        <w:rPr>
          <w:rFonts w:ascii="Arabic Typesetting" w:hAnsi="Arabic Typesetting" w:cs="Arabic Typesetting"/>
          <w:sz w:val="34"/>
          <w:szCs w:val="34"/>
          <w:rtl/>
        </w:rPr>
      </w:pPr>
      <w:r w:rsidRPr="00F90A5F">
        <w:rPr>
          <w:rFonts w:ascii="Arabic Typesetting" w:hAnsi="Arabic Typesetting" w:cs="Arabic Typesetting"/>
          <w:sz w:val="34"/>
          <w:szCs w:val="34"/>
          <w:rtl/>
        </w:rPr>
        <w:t>"8"</w:t>
      </w:r>
      <w:r w:rsidRPr="00F90A5F">
        <w:rPr>
          <w:rFonts w:ascii="Arabic Typesetting" w:hAnsi="Arabic Typesetting" w:cs="Arabic Typesetting"/>
          <w:sz w:val="34"/>
          <w:szCs w:val="34"/>
          <w:rtl/>
        </w:rPr>
        <w:tab/>
      </w:r>
      <w:r>
        <w:rPr>
          <w:rFonts w:ascii="Arabic Typesetting" w:hAnsi="Arabic Typesetting" w:cs="Arabic Typesetting"/>
          <w:i/>
          <w:iCs/>
          <w:sz w:val="34"/>
          <w:szCs w:val="34"/>
          <w:rtl/>
        </w:rPr>
        <w:t>تعزيز الخدمات المرتبطة بال</w:t>
      </w:r>
      <w:r>
        <w:rPr>
          <w:rFonts w:ascii="Arabic Typesetting" w:hAnsi="Arabic Typesetting" w:cs="Arabic Typesetting" w:hint="cs"/>
          <w:i/>
          <w:iCs/>
          <w:sz w:val="34"/>
          <w:szCs w:val="34"/>
          <w:rtl/>
        </w:rPr>
        <w:t>تظاهرات</w:t>
      </w:r>
      <w:r w:rsidRPr="0037669F">
        <w:rPr>
          <w:rFonts w:ascii="Arabic Typesetting" w:hAnsi="Arabic Typesetting" w:cs="Arabic Typesetting"/>
          <w:i/>
          <w:iCs/>
          <w:sz w:val="34"/>
          <w:szCs w:val="34"/>
          <w:rtl/>
        </w:rPr>
        <w:t xml:space="preserve"> </w:t>
      </w:r>
      <w:r>
        <w:rPr>
          <w:rFonts w:ascii="Arabic Typesetting" w:hAnsi="Arabic Typesetting" w:cs="Arabic Typesetting" w:hint="cs"/>
          <w:i/>
          <w:iCs/>
          <w:sz w:val="34"/>
          <w:szCs w:val="34"/>
          <w:rtl/>
        </w:rPr>
        <w:t>و</w:t>
      </w:r>
      <w:r w:rsidRPr="0037669F">
        <w:rPr>
          <w:rFonts w:ascii="Arabic Typesetting" w:hAnsi="Arabic Typesetting" w:cs="Arabic Typesetting"/>
          <w:i/>
          <w:iCs/>
          <w:sz w:val="34"/>
          <w:szCs w:val="34"/>
          <w:rtl/>
        </w:rPr>
        <w:t>المقدمة للدول الأعضاء وأصحاب المصالح الآخرين</w:t>
      </w:r>
      <w:r w:rsidRPr="00F90A5F">
        <w:rPr>
          <w:rFonts w:ascii="Arabic Typesetting" w:hAnsi="Arabic Typesetting" w:cs="Arabic Typesetting"/>
          <w:sz w:val="34"/>
          <w:szCs w:val="34"/>
          <w:rtl/>
        </w:rPr>
        <w:t xml:space="preserve">: سيكون من شأن الاستمرار في دعم الدول الأعضاء وأصحاب المصلحة الآخرين وتعزيز </w:t>
      </w:r>
      <w:r>
        <w:rPr>
          <w:rFonts w:ascii="Arabic Typesetting" w:hAnsi="Arabic Typesetting" w:cs="Arabic Typesetting"/>
          <w:sz w:val="34"/>
          <w:szCs w:val="34"/>
          <w:rtl/>
        </w:rPr>
        <w:t>هذا الدعم فيما يخص تنظيم ال</w:t>
      </w:r>
      <w:r>
        <w:rPr>
          <w:rFonts w:ascii="Arabic Typesetting" w:hAnsi="Arabic Typesetting" w:cs="Arabic Typesetting" w:hint="cs"/>
          <w:sz w:val="34"/>
          <w:szCs w:val="34"/>
          <w:rtl/>
        </w:rPr>
        <w:t>تظاهرات</w:t>
      </w:r>
      <w:r w:rsidRPr="00F90A5F">
        <w:rPr>
          <w:rFonts w:ascii="Arabic Typesetting" w:hAnsi="Arabic Typesetting" w:cs="Arabic Typesetting"/>
          <w:sz w:val="34"/>
          <w:szCs w:val="34"/>
          <w:rtl/>
        </w:rPr>
        <w:t xml:space="preserve"> الرفيعة المستوى أن يزيد من وضوح الرؤية ويرفع مستوى الوعي بدور الملكية الفكرية في النهوض بالتقدم والتنمية اقتصاديًا واجتماعيًا وثقافيًا.</w:t>
      </w:r>
    </w:p>
    <w:p w:rsidR="008D4309" w:rsidRPr="00F90A5F" w:rsidRDefault="008D4309" w:rsidP="00DA5475">
      <w:pPr>
        <w:spacing w:after="120" w:line="340" w:lineRule="exact"/>
        <w:ind w:left="567"/>
        <w:jc w:val="both"/>
        <w:rPr>
          <w:rFonts w:ascii="Arabic Typesetting" w:hAnsi="Arabic Typesetting" w:cs="Arabic Typesetting"/>
          <w:sz w:val="34"/>
          <w:szCs w:val="34"/>
          <w:rtl/>
        </w:rPr>
      </w:pPr>
      <w:r w:rsidRPr="00F90A5F">
        <w:rPr>
          <w:rFonts w:ascii="Arabic Typesetting" w:hAnsi="Arabic Typesetting" w:cs="Arabic Typesetting"/>
          <w:sz w:val="34"/>
          <w:szCs w:val="34"/>
          <w:rtl/>
        </w:rPr>
        <w:t>"9"</w:t>
      </w:r>
      <w:r w:rsidRPr="00F90A5F">
        <w:rPr>
          <w:rFonts w:ascii="Arabic Typesetting" w:hAnsi="Arabic Typesetting" w:cs="Arabic Typesetting"/>
          <w:sz w:val="34"/>
          <w:szCs w:val="34"/>
          <w:rtl/>
        </w:rPr>
        <w:tab/>
      </w:r>
      <w:r w:rsidRPr="0037669F">
        <w:rPr>
          <w:rFonts w:ascii="Arabic Typesetting" w:hAnsi="Arabic Typesetting" w:cs="Arabic Typesetting"/>
          <w:i/>
          <w:iCs/>
          <w:sz w:val="34"/>
          <w:szCs w:val="34"/>
          <w:rtl/>
        </w:rPr>
        <w:t>تحسين معالجة التظلمات والمنازعات</w:t>
      </w:r>
      <w:r w:rsidRPr="00F90A5F">
        <w:rPr>
          <w:rFonts w:ascii="Arabic Typesetting" w:hAnsi="Arabic Typesetting" w:cs="Arabic Typesetting"/>
          <w:sz w:val="34"/>
          <w:szCs w:val="34"/>
          <w:rtl/>
        </w:rPr>
        <w:t>: ستستمر المنظمة في الاستعانة بآليات تسوية المنازعات بشكل غير رسمي، متى أمكن، وذلك للحؤول دون تصعيد المنازعات وللوصول إلى نتائج إيجابية. ومن أجل تحقيق هذه الغاية، ستستمر المنظمة في تطوير سياسات أماكن العمل وآلياتها وإجراءاتها وتعزيزها لكي توفر للموظفين مجموعة من الوسائل لتسوية المنازعات بشكل رسمي وغير رسمي.</w:t>
      </w:r>
    </w:p>
    <w:p w:rsidR="008D4309" w:rsidRPr="00502102" w:rsidRDefault="008D4309" w:rsidP="00DA5475">
      <w:pPr>
        <w:spacing w:after="120" w:line="340" w:lineRule="exact"/>
        <w:jc w:val="both"/>
        <w:rPr>
          <w:rFonts w:ascii="Arabic Typesetting" w:hAnsi="Arabic Typesetting" w:cs="Arabic Typesetting"/>
          <w:sz w:val="34"/>
          <w:szCs w:val="34"/>
        </w:rPr>
      </w:pPr>
    </w:p>
    <w:p w:rsidR="008D4309" w:rsidRPr="001C3524" w:rsidRDefault="008D430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1C3524">
        <w:rPr>
          <w:rFonts w:ascii="Arabic Typesetting" w:hAnsi="Arabic Typesetting" w:cs="Arabic Typesetting"/>
          <w:noProof/>
          <w:snapToGrid/>
          <w:sz w:val="38"/>
          <w:szCs w:val="38"/>
          <w:rtl/>
          <w:lang w:val="x-none" w:eastAsia="x-none" w:bidi="ar-EG"/>
        </w:rPr>
        <w:t>المخاطر الرئيسية واستراتيجيات التخفيف منها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42"/>
        <w:gridCol w:w="4478"/>
      </w:tblGrid>
      <w:tr w:rsidR="008D4309" w:rsidRPr="00F90A5F" w:rsidTr="00DA5475">
        <w:trPr>
          <w:trHeight w:val="438"/>
        </w:trPr>
        <w:tc>
          <w:tcPr>
            <w:tcW w:w="4542" w:type="dxa"/>
            <w:tcBorders>
              <w:top w:val="single" w:sz="4" w:space="0" w:color="auto"/>
              <w:bottom w:val="single" w:sz="4" w:space="0" w:color="auto"/>
            </w:tcBorders>
            <w:shd w:val="clear" w:color="auto" w:fill="C6D9F1"/>
            <w:tcMar>
              <w:top w:w="113" w:type="dxa"/>
              <w:bottom w:w="85" w:type="dxa"/>
            </w:tcMar>
          </w:tcPr>
          <w:p w:rsidR="008D4309" w:rsidRPr="00F90A5F" w:rsidRDefault="008D4309" w:rsidP="00DA5475">
            <w:pPr>
              <w:pStyle w:val="ARProgramTableHeading"/>
              <w:spacing w:line="300" w:lineRule="exact"/>
              <w:rPr>
                <w:rtl/>
                <w:lang w:bidi="ar-SA"/>
              </w:rPr>
            </w:pPr>
            <w:r w:rsidRPr="00F90A5F">
              <w:rPr>
                <w:rtl/>
                <w:lang w:bidi="ar-SA"/>
              </w:rPr>
              <w:t>المخاطر</w:t>
            </w:r>
          </w:p>
        </w:tc>
        <w:tc>
          <w:tcPr>
            <w:tcW w:w="4478" w:type="dxa"/>
            <w:tcBorders>
              <w:top w:val="single" w:sz="4" w:space="0" w:color="auto"/>
              <w:bottom w:val="single" w:sz="4" w:space="0" w:color="auto"/>
            </w:tcBorders>
            <w:shd w:val="clear" w:color="auto" w:fill="C6D9F1"/>
            <w:tcMar>
              <w:top w:w="113" w:type="dxa"/>
              <w:bottom w:w="85" w:type="dxa"/>
            </w:tcMar>
          </w:tcPr>
          <w:p w:rsidR="008D4309" w:rsidRPr="00F90A5F" w:rsidRDefault="008D4309" w:rsidP="00DA5475">
            <w:pPr>
              <w:pStyle w:val="ARProgramTableHeading"/>
              <w:spacing w:line="300" w:lineRule="exact"/>
              <w:rPr>
                <w:rtl/>
              </w:rPr>
            </w:pPr>
            <w:r w:rsidRPr="00F90A5F">
              <w:rPr>
                <w:rtl/>
              </w:rPr>
              <w:t>التخفيف منها</w:t>
            </w:r>
          </w:p>
        </w:tc>
      </w:tr>
      <w:tr w:rsidR="008D4309" w:rsidRPr="00F90A5F" w:rsidTr="00DA5475">
        <w:tc>
          <w:tcPr>
            <w:tcW w:w="4542" w:type="dxa"/>
            <w:tcBorders>
              <w:top w:val="single" w:sz="4" w:space="0" w:color="auto"/>
            </w:tcBorders>
            <w:tcMar>
              <w:top w:w="113" w:type="dxa"/>
              <w:bottom w:w="85"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يعد انخراط الويبو الفعال مع الدول الأعضاء بالغ الأهمية لتحقيق النتائج في الوقت المناسب. وثمة خطر تقلص التقدم المحرز على صعيد عمليات الويبو الحكومية، بما في ذلك مناقشات وضع القواعد والمعايير وتزايد التكاليف أو تمديد الجداول الزمنية لتنفيذ البرامج المعتمدة. وبوصفها الهيئة العالمية المختصة بوضع القواعد المنظمة لمجال الملكية الفكرية، سيؤثر مثل هذا الموقف سلبيًا على مصداقية الويبو.</w:t>
            </w:r>
          </w:p>
          <w:p w:rsidR="008D4309" w:rsidRPr="00F90A5F" w:rsidRDefault="008D4309" w:rsidP="00DA5475">
            <w:pPr>
              <w:spacing w:before="60" w:after="60" w:line="300" w:lineRule="exact"/>
              <w:rPr>
                <w:rFonts w:ascii="Arabic Typesetting" w:hAnsi="Arabic Typesetting" w:cs="Arabic Typesetting"/>
                <w:sz w:val="30"/>
                <w:szCs w:val="30"/>
              </w:rPr>
            </w:pPr>
          </w:p>
        </w:tc>
        <w:tc>
          <w:tcPr>
            <w:tcW w:w="4478" w:type="dxa"/>
            <w:tcBorders>
              <w:top w:val="single" w:sz="4" w:space="0" w:color="auto"/>
            </w:tcBorders>
            <w:tcMar>
              <w:top w:w="113" w:type="dxa"/>
              <w:bottom w:w="85"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استمرار التنسيق الوثيق والموثوق والشفاف بين الأمانة والدول الأعضاء.</w:t>
            </w:r>
          </w:p>
        </w:tc>
      </w:tr>
    </w:tbl>
    <w:p w:rsidR="008D4309" w:rsidRPr="00F90A5F" w:rsidRDefault="008D4309" w:rsidP="00DA5475">
      <w:pPr>
        <w:pStyle w:val="ARProgramHeading2"/>
        <w:rPr>
          <w:rtl/>
        </w:rPr>
      </w:pPr>
      <w:r w:rsidRPr="00F90A5F">
        <w:rPr>
          <w:rtl/>
        </w:rPr>
        <w:lastRenderedPageBreak/>
        <w:t>إطار النتائج</w:t>
      </w:r>
    </w:p>
    <w:tbl>
      <w:tblPr>
        <w:bidiVisual/>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8"/>
        <w:gridCol w:w="2175"/>
        <w:gridCol w:w="2036"/>
      </w:tblGrid>
      <w:tr w:rsidR="008D4309" w:rsidRPr="00F90A5F" w:rsidTr="00DA5475">
        <w:trPr>
          <w:cantSplit/>
          <w:trHeight w:val="425"/>
          <w:tblHeader/>
        </w:trPr>
        <w:tc>
          <w:tcPr>
            <w:tcW w:w="1248" w:type="pct"/>
            <w:tcBorders>
              <w:top w:val="single" w:sz="4" w:space="0" w:color="auto"/>
              <w:bottom w:val="single" w:sz="4" w:space="0" w:color="auto"/>
            </w:tcBorders>
            <w:shd w:val="clear" w:color="auto" w:fill="C6D9F1"/>
            <w:tcMar>
              <w:top w:w="113" w:type="dxa"/>
            </w:tcMar>
            <w:vAlign w:val="center"/>
          </w:tcPr>
          <w:p w:rsidR="008D4309" w:rsidRPr="00F90A5F" w:rsidRDefault="008D4309" w:rsidP="00DA5475">
            <w:pPr>
              <w:keepNext/>
              <w:spacing w:before="60" w:after="60" w:line="300" w:lineRule="exact"/>
              <w:jc w:val="center"/>
              <w:rPr>
                <w:rFonts w:ascii="Arabic Typesetting" w:hAnsi="Arabic Typesetting" w:cs="Arabic Typesetting"/>
                <w:sz w:val="30"/>
                <w:szCs w:val="30"/>
              </w:rPr>
            </w:pPr>
            <w:r w:rsidRPr="00F90A5F">
              <w:rPr>
                <w:rFonts w:ascii="Arabic Typesetting" w:hAnsi="Arabic Typesetting" w:cs="Arabic Typesetting"/>
                <w:bCs/>
                <w:sz w:val="30"/>
                <w:szCs w:val="30"/>
                <w:rtl/>
              </w:rPr>
              <w:t>النتائج المرتقبة</w:t>
            </w:r>
          </w:p>
        </w:tc>
        <w:tc>
          <w:tcPr>
            <w:tcW w:w="1514" w:type="pct"/>
            <w:tcBorders>
              <w:top w:val="single" w:sz="4" w:space="0" w:color="auto"/>
              <w:bottom w:val="single" w:sz="4" w:space="0" w:color="auto"/>
            </w:tcBorders>
            <w:shd w:val="clear" w:color="auto" w:fill="C6D9F1"/>
            <w:tcMar>
              <w:top w:w="113" w:type="dxa"/>
            </w:tcMar>
            <w:vAlign w:val="center"/>
          </w:tcPr>
          <w:p w:rsidR="008D4309" w:rsidRPr="00F90A5F" w:rsidRDefault="008D4309" w:rsidP="00DA5475">
            <w:pPr>
              <w:keepNext/>
              <w:spacing w:before="60" w:after="60" w:line="300" w:lineRule="exact"/>
              <w:jc w:val="center"/>
              <w:rPr>
                <w:rFonts w:ascii="Arabic Typesetting" w:hAnsi="Arabic Typesetting" w:cs="Arabic Typesetting"/>
                <w:sz w:val="30"/>
                <w:szCs w:val="30"/>
              </w:rPr>
            </w:pPr>
            <w:r w:rsidRPr="00F90A5F">
              <w:rPr>
                <w:rFonts w:ascii="Arabic Typesetting" w:hAnsi="Arabic Typesetting" w:cs="Arabic Typesetting"/>
                <w:bCs/>
                <w:sz w:val="30"/>
                <w:szCs w:val="30"/>
                <w:rtl/>
              </w:rPr>
              <w:t>مؤشرات الأداء</w:t>
            </w:r>
          </w:p>
        </w:tc>
        <w:tc>
          <w:tcPr>
            <w:tcW w:w="1156" w:type="pct"/>
            <w:tcBorders>
              <w:top w:val="single" w:sz="4" w:space="0" w:color="auto"/>
              <w:bottom w:val="single" w:sz="4" w:space="0" w:color="auto"/>
            </w:tcBorders>
            <w:shd w:val="clear" w:color="auto" w:fill="C6D9F1"/>
            <w:tcMar>
              <w:top w:w="113" w:type="dxa"/>
            </w:tcMar>
            <w:vAlign w:val="center"/>
          </w:tcPr>
          <w:p w:rsidR="008D4309" w:rsidRPr="00F90A5F" w:rsidRDefault="008D4309" w:rsidP="00DA5475">
            <w:pPr>
              <w:keepNext/>
              <w:spacing w:before="60" w:after="60" w:line="300" w:lineRule="exact"/>
              <w:ind w:left="85"/>
              <w:jc w:val="center"/>
              <w:rPr>
                <w:rFonts w:ascii="Arabic Typesetting" w:hAnsi="Arabic Typesetting" w:cs="Arabic Typesetting"/>
                <w:sz w:val="30"/>
                <w:szCs w:val="30"/>
              </w:rPr>
            </w:pPr>
            <w:r w:rsidRPr="00F90A5F">
              <w:rPr>
                <w:rFonts w:ascii="Arabic Typesetting" w:hAnsi="Arabic Typesetting" w:cs="Arabic Typesetting"/>
                <w:bCs/>
                <w:sz w:val="30"/>
                <w:szCs w:val="30"/>
                <w:rtl/>
              </w:rPr>
              <w:t>أسس المقارنة</w:t>
            </w:r>
          </w:p>
        </w:tc>
        <w:tc>
          <w:tcPr>
            <w:tcW w:w="1082" w:type="pct"/>
            <w:tcBorders>
              <w:top w:val="single" w:sz="4" w:space="0" w:color="auto"/>
              <w:bottom w:val="single" w:sz="4" w:space="0" w:color="auto"/>
            </w:tcBorders>
            <w:shd w:val="clear" w:color="auto" w:fill="C6D9F1"/>
            <w:tcMar>
              <w:top w:w="113" w:type="dxa"/>
            </w:tcMar>
            <w:vAlign w:val="center"/>
          </w:tcPr>
          <w:p w:rsidR="008D4309" w:rsidRPr="00F90A5F" w:rsidRDefault="008D4309" w:rsidP="00DA5475">
            <w:pPr>
              <w:keepNext/>
              <w:keepLines/>
              <w:spacing w:before="60" w:after="60" w:line="300" w:lineRule="exact"/>
              <w:ind w:right="221"/>
              <w:jc w:val="center"/>
              <w:rPr>
                <w:rFonts w:ascii="Arabic Typesetting" w:hAnsi="Arabic Typesetting" w:cs="Arabic Typesetting"/>
                <w:sz w:val="30"/>
                <w:szCs w:val="30"/>
              </w:rPr>
            </w:pPr>
            <w:r w:rsidRPr="00F90A5F">
              <w:rPr>
                <w:rFonts w:ascii="Arabic Typesetting" w:hAnsi="Arabic Typesetting" w:cs="Arabic Typesetting"/>
                <w:bCs/>
                <w:sz w:val="30"/>
                <w:szCs w:val="30"/>
                <w:rtl/>
              </w:rPr>
              <w:t>الأهداف</w:t>
            </w:r>
          </w:p>
        </w:tc>
      </w:tr>
      <w:tr w:rsidR="008D4309" w:rsidRPr="00F90A5F" w:rsidTr="00DA5475">
        <w:trPr>
          <w:cantSplit/>
          <w:trHeight w:val="942"/>
        </w:trPr>
        <w:tc>
          <w:tcPr>
            <w:tcW w:w="1248" w:type="pct"/>
            <w:tcBorders>
              <w:top w:val="single" w:sz="4" w:space="0" w:color="auto"/>
            </w:tcBorders>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ه 2.4 نفاذ محسّن إلى المعلومات المتعلقة بالملكية الفكرية واستخدامها من قبل مؤسسات الملكية الفكرية والجمهور لتشجيع الابتكار والإبداع</w:t>
            </w:r>
          </w:p>
        </w:tc>
        <w:tc>
          <w:tcPr>
            <w:tcW w:w="1514" w:type="pct"/>
            <w:tcBorders>
              <w:top w:val="single" w:sz="4" w:space="0" w:color="auto"/>
            </w:tcBorders>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 xml:space="preserve">زيادة عدد مستخدمي قاعدة بيانات </w:t>
            </w:r>
            <w:r w:rsidRPr="00F90A5F">
              <w:rPr>
                <w:rFonts w:ascii="Arabic Typesetting" w:hAnsi="Arabic Typesetting" w:cs="Arabic Typesetting"/>
                <w:sz w:val="30"/>
                <w:szCs w:val="30"/>
              </w:rPr>
              <w:t>WIPO Lex</w:t>
            </w:r>
          </w:p>
        </w:tc>
        <w:tc>
          <w:tcPr>
            <w:tcW w:w="1156" w:type="pct"/>
            <w:tcBorders>
              <w:top w:val="single" w:sz="4" w:space="0" w:color="auto"/>
            </w:tcBorders>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486 236 2</w:t>
            </w:r>
            <w:r w:rsidRPr="00F90A5F">
              <w:rPr>
                <w:rFonts w:ascii="Arabic Typesetting" w:hAnsi="Arabic Typesetting" w:cs="Arabic Typesetting"/>
                <w:sz w:val="30"/>
                <w:szCs w:val="30"/>
                <w:rtl/>
              </w:rPr>
              <w:t xml:space="preserve"> (2012/13)</w:t>
            </w:r>
            <w:r>
              <w:rPr>
                <w:rFonts w:ascii="Arabic Typesetting" w:hAnsi="Arabic Typesetting" w:cs="Arabic Typesetting" w:hint="cs"/>
                <w:sz w:val="30"/>
                <w:szCs w:val="30"/>
                <w:rtl/>
              </w:rPr>
              <w:br/>
              <w:t>508 506 1</w:t>
            </w:r>
            <w:r w:rsidRPr="00F90A5F">
              <w:rPr>
                <w:rFonts w:ascii="Arabic Typesetting" w:hAnsi="Arabic Typesetting" w:cs="Arabic Typesetting"/>
                <w:sz w:val="30"/>
                <w:szCs w:val="30"/>
                <w:rtl/>
              </w:rPr>
              <w:t xml:space="preserve"> (2014)</w:t>
            </w:r>
          </w:p>
        </w:tc>
        <w:tc>
          <w:tcPr>
            <w:tcW w:w="1082" w:type="pct"/>
            <w:tcBorders>
              <w:top w:val="single" w:sz="4" w:space="0" w:color="auto"/>
            </w:tcBorders>
            <w:tcMar>
              <w:top w:w="113" w:type="dxa"/>
            </w:tcMar>
          </w:tcPr>
          <w:p w:rsidR="008D4309" w:rsidRPr="00F90A5F" w:rsidRDefault="008D4309" w:rsidP="00DA5475">
            <w:pPr>
              <w:keepNext/>
              <w:keepLines/>
              <w:spacing w:before="60" w:after="60" w:line="300" w:lineRule="exact"/>
              <w:ind w:right="381"/>
              <w:jc w:val="center"/>
              <w:rPr>
                <w:rFonts w:ascii="Arabic Typesetting" w:hAnsi="Arabic Typesetting" w:cs="Arabic Typesetting"/>
                <w:b/>
                <w:sz w:val="30"/>
                <w:szCs w:val="30"/>
              </w:rPr>
            </w:pPr>
            <w:r w:rsidRPr="00F90A5F">
              <w:rPr>
                <w:rFonts w:ascii="Arabic Typesetting" w:hAnsi="Arabic Typesetting" w:cs="Arabic Typesetting"/>
                <w:b/>
                <w:sz w:val="30"/>
                <w:szCs w:val="30"/>
                <w:rtl/>
              </w:rPr>
              <w:t>زيادة بنسبة 20%</w:t>
            </w:r>
          </w:p>
        </w:tc>
      </w:tr>
      <w:tr w:rsidR="008D4309" w:rsidRPr="00F90A5F" w:rsidTr="00DA5475">
        <w:trPr>
          <w:cantSplit/>
        </w:trPr>
        <w:tc>
          <w:tcPr>
            <w:tcW w:w="1248" w:type="pct"/>
            <w:vMerge w:val="restart"/>
            <w:tcBorders>
              <w:top w:val="nil"/>
            </w:tcBorders>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ه 3.8 التزام فعال مع الدول الأعضاء</w:t>
            </w:r>
          </w:p>
        </w:tc>
        <w:tc>
          <w:tcPr>
            <w:tcW w:w="1514" w:type="pct"/>
            <w:tcBorders>
              <w:top w:val="nil"/>
            </w:tcBorders>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النسبة المئوية من اجتماعات اللجان التي عقدت من أجلها اجتماعات إعلامية للدول الأعضاء قبل اجتماع اللجنة</w:t>
            </w:r>
          </w:p>
        </w:tc>
        <w:tc>
          <w:tcPr>
            <w:tcW w:w="1156" w:type="pct"/>
            <w:tcBorders>
              <w:top w:val="nil"/>
            </w:tcBorders>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93%</w:t>
            </w:r>
            <w:r w:rsidRPr="00F90A5F">
              <w:rPr>
                <w:rFonts w:ascii="Arabic Typesetting" w:hAnsi="Arabic Typesetting" w:cs="Arabic Typesetting"/>
                <w:sz w:val="30"/>
                <w:szCs w:val="30"/>
                <w:rtl/>
              </w:rPr>
              <w:t xml:space="preserve"> (بنهاية 2014)</w:t>
            </w:r>
          </w:p>
        </w:tc>
        <w:tc>
          <w:tcPr>
            <w:tcW w:w="1082" w:type="pct"/>
            <w:tcBorders>
              <w:top w:val="nil"/>
            </w:tcBorders>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90%</w:t>
            </w:r>
          </w:p>
        </w:tc>
      </w:tr>
      <w:tr w:rsidR="008D4309" w:rsidRPr="00F90A5F" w:rsidTr="00DA5475">
        <w:trPr>
          <w:cantSplit/>
          <w:trHeight w:val="756"/>
        </w:trPr>
        <w:tc>
          <w:tcPr>
            <w:tcW w:w="1248" w:type="pct"/>
            <w:vMerge/>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 xml:space="preserve">النسبة المئوية </w:t>
            </w:r>
            <w:proofErr w:type="spellStart"/>
            <w:r w:rsidRPr="00F90A5F">
              <w:rPr>
                <w:rFonts w:ascii="Arabic Typesetting" w:hAnsi="Arabic Typesetting" w:cs="Arabic Typesetting"/>
                <w:sz w:val="30"/>
                <w:szCs w:val="30"/>
                <w:rtl/>
              </w:rPr>
              <w:t>لإخطارات</w:t>
            </w:r>
            <w:proofErr w:type="spellEnd"/>
            <w:r w:rsidRPr="00F90A5F">
              <w:rPr>
                <w:rFonts w:ascii="Arabic Typesetting" w:hAnsi="Arabic Typesetting" w:cs="Arabic Typesetting"/>
                <w:sz w:val="30"/>
                <w:szCs w:val="30"/>
                <w:rtl/>
              </w:rPr>
              <w:t xml:space="preserve"> الانضمام وغيرها من التدابير المتعلقة بالمعاهدات والمعالجة في الوقت المناسب</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95 % </w:t>
            </w:r>
            <w:r w:rsidRPr="00F90A5F">
              <w:rPr>
                <w:rFonts w:ascii="Arabic Typesetting" w:hAnsi="Arabic Typesetting" w:cs="Arabic Typesetting"/>
                <w:sz w:val="30"/>
                <w:szCs w:val="30"/>
                <w:rtl/>
              </w:rPr>
              <w:t>معالجة في غضون 3</w:t>
            </w:r>
            <w:r>
              <w:rPr>
                <w:rFonts w:ascii="Arabic Typesetting" w:hAnsi="Arabic Typesetting" w:cs="Arabic Typesetting" w:hint="cs"/>
                <w:sz w:val="30"/>
                <w:szCs w:val="30"/>
                <w:rtl/>
              </w:rPr>
              <w:t> </w:t>
            </w:r>
            <w:r w:rsidRPr="00F90A5F">
              <w:rPr>
                <w:rFonts w:ascii="Arabic Typesetting" w:hAnsi="Arabic Typesetting" w:cs="Arabic Typesetting"/>
                <w:sz w:val="30"/>
                <w:szCs w:val="30"/>
                <w:rtl/>
              </w:rPr>
              <w:t>أيام (نهاية 2014)</w:t>
            </w:r>
          </w:p>
        </w:tc>
        <w:tc>
          <w:tcPr>
            <w:tcW w:w="1082" w:type="pct"/>
            <w:tcMar>
              <w:top w:w="113" w:type="dxa"/>
            </w:tcMar>
          </w:tcPr>
          <w:p w:rsidR="008D4309" w:rsidRPr="00F90A5F" w:rsidRDefault="008D4309" w:rsidP="00DA5475">
            <w:pPr>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95%</w:t>
            </w:r>
            <w:r w:rsidRPr="00F90A5F">
              <w:rPr>
                <w:rFonts w:ascii="Arabic Typesetting" w:hAnsi="Arabic Typesetting" w:cs="Arabic Typesetting"/>
                <w:color w:val="000000"/>
                <w:sz w:val="30"/>
                <w:szCs w:val="30"/>
                <w:rtl/>
              </w:rPr>
              <w:t xml:space="preserve"> معالجة في غضون 3</w:t>
            </w:r>
            <w:r>
              <w:rPr>
                <w:rFonts w:ascii="Arabic Typesetting" w:hAnsi="Arabic Typesetting" w:cs="Arabic Typesetting" w:hint="cs"/>
                <w:color w:val="000000"/>
                <w:sz w:val="30"/>
                <w:szCs w:val="30"/>
                <w:rtl/>
              </w:rPr>
              <w:t> </w:t>
            </w:r>
            <w:r w:rsidRPr="00F90A5F">
              <w:rPr>
                <w:rFonts w:ascii="Arabic Typesetting" w:hAnsi="Arabic Typesetting" w:cs="Arabic Typesetting"/>
                <w:color w:val="000000"/>
                <w:sz w:val="30"/>
                <w:szCs w:val="30"/>
                <w:rtl/>
              </w:rPr>
              <w:t>أيام</w:t>
            </w:r>
          </w:p>
        </w:tc>
      </w:tr>
      <w:tr w:rsidR="008D4309" w:rsidRPr="00F90A5F" w:rsidTr="00DA5475">
        <w:trPr>
          <w:cantSplit/>
        </w:trPr>
        <w:tc>
          <w:tcPr>
            <w:tcW w:w="1248" w:type="pct"/>
            <w:vMerge/>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نشر وثائق الجمعيات في الوقت المحدد</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96% </w:t>
            </w:r>
            <w:r w:rsidRPr="00F90A5F">
              <w:rPr>
                <w:rFonts w:ascii="Arabic Typesetting" w:hAnsi="Arabic Typesetting" w:cs="Arabic Typesetting"/>
                <w:sz w:val="30"/>
                <w:szCs w:val="30"/>
                <w:rtl/>
              </w:rPr>
              <w:t>من الوثائق المعنية منشورة قبل انعقاد جمعيات 2014 بشهرين</w:t>
            </w:r>
          </w:p>
        </w:tc>
        <w:tc>
          <w:tcPr>
            <w:tcW w:w="1082" w:type="pct"/>
            <w:tcMar>
              <w:top w:w="113" w:type="dxa"/>
            </w:tcMar>
          </w:tcPr>
          <w:p w:rsidR="008D4309" w:rsidRPr="00F90A5F" w:rsidRDefault="008D4309" w:rsidP="00DA5475">
            <w:pPr>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95%</w:t>
            </w:r>
            <w:r w:rsidRPr="00F90A5F">
              <w:rPr>
                <w:rFonts w:ascii="Arabic Typesetting" w:hAnsi="Arabic Typesetting" w:cs="Arabic Typesetting"/>
                <w:color w:val="000000"/>
                <w:sz w:val="30"/>
                <w:szCs w:val="30"/>
                <w:rtl/>
              </w:rPr>
              <w:t xml:space="preserve"> من الوثائق المعنية منشورة قبل انعقاد الجمعيات بشهرين</w:t>
            </w:r>
          </w:p>
        </w:tc>
      </w:tr>
      <w:tr w:rsidR="008D4309" w:rsidRPr="00F90A5F" w:rsidTr="00DA5475">
        <w:trPr>
          <w:cantSplit/>
          <w:trHeight w:val="582"/>
        </w:trPr>
        <w:tc>
          <w:tcPr>
            <w:tcW w:w="1248" w:type="pct"/>
            <w:vMerge/>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مستويات رضا الدول الأعضاء وأصحاب المصالح عن تنظيم ال</w:t>
            </w:r>
            <w:r>
              <w:rPr>
                <w:rFonts w:ascii="Arabic Typesetting" w:hAnsi="Arabic Typesetting" w:cs="Arabic Typesetting" w:hint="cs"/>
                <w:sz w:val="30"/>
                <w:szCs w:val="30"/>
                <w:rtl/>
              </w:rPr>
              <w:t>تظاهرات</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نتائج استقصاء 2014: 82</w:t>
            </w:r>
            <w:r w:rsidRPr="00F90A5F">
              <w:rPr>
                <w:rFonts w:ascii="Arabic Typesetting" w:hAnsi="Arabic Typesetting" w:cs="Arabic Typesetting"/>
                <w:sz w:val="30"/>
                <w:szCs w:val="30"/>
              </w:rPr>
              <w:t>%</w:t>
            </w:r>
          </w:p>
        </w:tc>
        <w:tc>
          <w:tcPr>
            <w:tcW w:w="1082" w:type="pct"/>
            <w:tcMar>
              <w:top w:w="113" w:type="dxa"/>
            </w:tcMar>
          </w:tcPr>
          <w:p w:rsidR="008D4309" w:rsidRPr="00F90A5F" w:rsidRDefault="008D4309" w:rsidP="00DA5475">
            <w:pPr>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85%</w:t>
            </w:r>
          </w:p>
        </w:tc>
      </w:tr>
      <w:tr w:rsidR="008D4309" w:rsidRPr="00F90A5F" w:rsidTr="00DA5475">
        <w:trPr>
          <w:cantSplit/>
          <w:trHeight w:val="796"/>
        </w:trPr>
        <w:tc>
          <w:tcPr>
            <w:tcW w:w="1248" w:type="pct"/>
            <w:vMerge/>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مستويات رضاء الوفود عن تنظيم الجمعيات</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87%</w:t>
            </w:r>
            <w:r w:rsidRPr="00F90A5F">
              <w:rPr>
                <w:rFonts w:ascii="Arabic Typesetting" w:hAnsi="Arabic Typesetting" w:cs="Arabic Typesetting"/>
                <w:sz w:val="30"/>
                <w:szCs w:val="30"/>
              </w:rPr>
              <w:t xml:space="preserve"> </w:t>
            </w:r>
            <w:r w:rsidRPr="00F90A5F">
              <w:rPr>
                <w:rFonts w:ascii="Arabic Typesetting" w:hAnsi="Arabic Typesetting" w:cs="Arabic Typesetting"/>
                <w:sz w:val="30"/>
                <w:szCs w:val="30"/>
                <w:rtl/>
              </w:rPr>
              <w:t>راضون عن الترتيبات (استقصاء جمعيات الويبو</w:t>
            </w:r>
            <w:r>
              <w:rPr>
                <w:rFonts w:hint="cs"/>
                <w:rtl/>
              </w:rPr>
              <w:t> </w:t>
            </w:r>
            <w:r w:rsidRPr="00F90A5F">
              <w:rPr>
                <w:rFonts w:ascii="Arabic Typesetting" w:hAnsi="Arabic Typesetting" w:cs="Arabic Typesetting"/>
                <w:sz w:val="30"/>
                <w:szCs w:val="30"/>
                <w:rtl/>
              </w:rPr>
              <w:t>2014)</w:t>
            </w:r>
          </w:p>
        </w:tc>
        <w:tc>
          <w:tcPr>
            <w:tcW w:w="1082" w:type="pct"/>
            <w:tcMar>
              <w:top w:w="113" w:type="dxa"/>
            </w:tcMar>
          </w:tcPr>
          <w:p w:rsidR="008D4309" w:rsidRPr="00F90A5F" w:rsidRDefault="008D4309" w:rsidP="00DA5475">
            <w:pPr>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80%</w:t>
            </w:r>
            <w:r w:rsidRPr="00F90A5F">
              <w:rPr>
                <w:rFonts w:ascii="Arabic Typesetting" w:hAnsi="Arabic Typesetting" w:cs="Arabic Typesetting"/>
                <w:color w:val="000000"/>
                <w:sz w:val="30"/>
                <w:szCs w:val="30"/>
              </w:rPr>
              <w:t xml:space="preserve"> </w:t>
            </w:r>
            <w:r w:rsidRPr="00F90A5F">
              <w:rPr>
                <w:rFonts w:ascii="Arabic Typesetting" w:hAnsi="Arabic Typesetting" w:cs="Arabic Typesetting"/>
                <w:color w:val="000000"/>
                <w:sz w:val="30"/>
                <w:szCs w:val="30"/>
                <w:rtl/>
              </w:rPr>
              <w:t>راضون عن الترتيبات</w:t>
            </w:r>
          </w:p>
        </w:tc>
      </w:tr>
      <w:tr w:rsidR="008D4309" w:rsidRPr="00F90A5F" w:rsidTr="00DA5475">
        <w:trPr>
          <w:cantSplit/>
        </w:trPr>
        <w:tc>
          <w:tcPr>
            <w:tcW w:w="1248"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tl/>
                <w:lang w:bidi="ar-SA"/>
              </w:rPr>
            </w:pPr>
            <w:r w:rsidRPr="00F90A5F">
              <w:rPr>
                <w:rFonts w:ascii="Arabic Typesetting" w:hAnsi="Arabic Typesetting" w:cs="Arabic Typesetting"/>
                <w:sz w:val="30"/>
                <w:szCs w:val="30"/>
                <w:rtl/>
              </w:rPr>
              <w:t xml:space="preserve">ه </w:t>
            </w:r>
            <w:r>
              <w:rPr>
                <w:rFonts w:ascii="Arabic Typesetting" w:hAnsi="Arabic Typesetting" w:cs="Arabic Typesetting" w:hint="cs"/>
                <w:sz w:val="30"/>
                <w:szCs w:val="30"/>
                <w:rtl/>
              </w:rPr>
              <w:t>4</w:t>
            </w:r>
            <w:r w:rsidRPr="00F90A5F">
              <w:rPr>
                <w:rFonts w:ascii="Arabic Typesetting" w:hAnsi="Arabic Typesetting" w:cs="Arabic Typesetting"/>
                <w:sz w:val="30"/>
                <w:szCs w:val="30"/>
                <w:rtl/>
              </w:rPr>
              <w:t>.8</w:t>
            </w:r>
            <w:r>
              <w:rPr>
                <w:rFonts w:ascii="Arabic Typesetting" w:hAnsi="Arabic Typesetting" w:cs="Arabic Typesetting" w:hint="cs"/>
                <w:sz w:val="30"/>
                <w:szCs w:val="30"/>
                <w:rtl/>
              </w:rPr>
              <w:t xml:space="preserve"> </w:t>
            </w:r>
            <w:r w:rsidRPr="001C3524">
              <w:rPr>
                <w:rFonts w:ascii="Arabic Typesetting" w:hAnsi="Arabic Typesetting" w:cs="Arabic Typesetting"/>
                <w:sz w:val="30"/>
                <w:szCs w:val="30"/>
                <w:rtl/>
              </w:rPr>
              <w:t>تفاعل منفتح وشفاف ومتجاوب مع أصحاب المصلحة غير الحكوميين</w:t>
            </w: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المنظمات غير الحكومية التي تمتلك صفة المراقب الدائم وتشارك في عمل الويبو وتشارك الويبو في عملها</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تحدد لاحقا</w:t>
            </w:r>
          </w:p>
        </w:tc>
        <w:tc>
          <w:tcPr>
            <w:tcW w:w="1082" w:type="pct"/>
            <w:tcMar>
              <w:top w:w="113" w:type="dxa"/>
            </w:tcMar>
          </w:tcPr>
          <w:p w:rsidR="008D4309" w:rsidRPr="00F90A5F" w:rsidRDefault="008D4309" w:rsidP="00DA5475">
            <w:pPr>
              <w:keepNext/>
              <w:keepLines/>
              <w:tabs>
                <w:tab w:val="left" w:pos="2051"/>
              </w:tabs>
              <w:spacing w:before="60" w:after="60" w:line="300" w:lineRule="exact"/>
              <w:ind w:right="381"/>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الحفاظ على المشاركة أو زيادتها</w:t>
            </w:r>
          </w:p>
        </w:tc>
      </w:tr>
      <w:tr w:rsidR="008D4309" w:rsidRPr="00F90A5F" w:rsidTr="00DA5475">
        <w:trPr>
          <w:cantSplit/>
        </w:trPr>
        <w:tc>
          <w:tcPr>
            <w:tcW w:w="1248"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 xml:space="preserve">ه 5.8 </w:t>
            </w:r>
            <w:r w:rsidRPr="001C3524">
              <w:rPr>
                <w:rFonts w:ascii="Arabic Typesetting" w:hAnsi="Arabic Typesetting" w:cs="Arabic Typesetting"/>
                <w:sz w:val="30"/>
                <w:szCs w:val="30"/>
                <w:rtl/>
              </w:rPr>
              <w:t>تفاعل الويبو وتشاركها بفعالية مع مسارات ومفاوضات الأمم المتحدة وسائر المنظمات الحكومية الدولية</w:t>
            </w: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مبادرات جديدة مشتركة مع الوكالات الأخرى التابعة للأمم المتحدة/المنظمات الحكومية الدولية</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واحدة (2014)</w:t>
            </w:r>
          </w:p>
        </w:tc>
        <w:tc>
          <w:tcPr>
            <w:tcW w:w="1082" w:type="pct"/>
            <w:tcMar>
              <w:top w:w="113" w:type="dxa"/>
            </w:tcMar>
          </w:tcPr>
          <w:p w:rsidR="008D4309" w:rsidRPr="00F90A5F" w:rsidRDefault="008D4309" w:rsidP="00DA5475">
            <w:pPr>
              <w:keepNext/>
              <w:keepLines/>
              <w:tabs>
                <w:tab w:val="left" w:pos="2051"/>
              </w:tabs>
              <w:spacing w:before="60" w:after="60" w:line="300" w:lineRule="exact"/>
              <w:ind w:right="381"/>
              <w:rPr>
                <w:rFonts w:ascii="Arabic Typesetting" w:hAnsi="Arabic Typesetting" w:cs="Arabic Typesetting"/>
                <w:color w:val="000000"/>
                <w:sz w:val="30"/>
                <w:szCs w:val="30"/>
              </w:rPr>
            </w:pPr>
            <w:r w:rsidRPr="00F90A5F">
              <w:rPr>
                <w:rFonts w:ascii="Arabic Typesetting" w:hAnsi="Arabic Typesetting" w:cs="Arabic Typesetting"/>
                <w:color w:val="000000"/>
                <w:sz w:val="30"/>
                <w:szCs w:val="30"/>
                <w:rtl/>
              </w:rPr>
              <w:t>اثنتان</w:t>
            </w:r>
          </w:p>
        </w:tc>
      </w:tr>
      <w:tr w:rsidR="008D4309" w:rsidRPr="00F90A5F" w:rsidTr="00DA5475">
        <w:trPr>
          <w:cantSplit/>
        </w:trPr>
        <w:tc>
          <w:tcPr>
            <w:tcW w:w="1248" w:type="pct"/>
            <w:tcMar>
              <w:top w:w="113" w:type="dxa"/>
            </w:tcMar>
          </w:tcPr>
          <w:p w:rsidR="008D4309" w:rsidRPr="00F90A5F" w:rsidRDefault="009800D4"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sz w:val="30"/>
                <w:szCs w:val="30"/>
                <w:rtl/>
              </w:rPr>
              <w:t>ه</w:t>
            </w:r>
            <w:r w:rsidR="008D4309" w:rsidRPr="00971071">
              <w:rPr>
                <w:rFonts w:ascii="Arabic Typesetting" w:hAnsi="Arabic Typesetting" w:cs="Arabic Typesetting"/>
                <w:sz w:val="30"/>
                <w:szCs w:val="30"/>
                <w:rtl/>
              </w:rPr>
              <w:t>1.9 خدمات دعم موجهة للزبون بفعالية وكفاءة وجودة لفائدة الزبائن الداخليين وأصحاب المصلحة الخارجيين</w:t>
            </w: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color w:val="000000"/>
                <w:sz w:val="30"/>
                <w:szCs w:val="30"/>
                <w:rtl/>
              </w:rPr>
              <w:t>النسبة المئوية لطلبات المشورة والخدمات القانونية التي تلقت ردودا سريعة من مكتب المستشار القانوني</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sidRPr="00F90A5F">
              <w:rPr>
                <w:rFonts w:ascii="Arabic Typesetting" w:hAnsi="Arabic Typesetting" w:cs="Arabic Typesetting"/>
                <w:color w:val="000000"/>
                <w:sz w:val="30"/>
                <w:szCs w:val="30"/>
                <w:rtl/>
              </w:rPr>
              <w:t>95%</w:t>
            </w:r>
          </w:p>
        </w:tc>
        <w:tc>
          <w:tcPr>
            <w:tcW w:w="1082" w:type="pct"/>
            <w:tcMar>
              <w:top w:w="113" w:type="dxa"/>
            </w:tcMar>
          </w:tcPr>
          <w:p w:rsidR="008D4309" w:rsidRPr="00F90A5F" w:rsidRDefault="008D4309" w:rsidP="00DA5475">
            <w:pPr>
              <w:keepNext/>
              <w:keepLines/>
              <w:spacing w:before="60" w:after="60" w:line="300" w:lineRule="exact"/>
              <w:ind w:right="51"/>
              <w:rPr>
                <w:rFonts w:ascii="Arabic Typesetting" w:hAnsi="Arabic Typesetting" w:cs="Arabic Typesetting"/>
                <w:color w:val="000000"/>
                <w:sz w:val="30"/>
                <w:szCs w:val="30"/>
              </w:rPr>
            </w:pPr>
            <w:r w:rsidRPr="00020E14">
              <w:rPr>
                <w:rFonts w:ascii="Arabic Typesetting" w:hAnsi="Arabic Typesetting" w:cs="Arabic Typesetting"/>
                <w:color w:val="000000"/>
                <w:sz w:val="30"/>
                <w:szCs w:val="30"/>
                <w:rtl/>
              </w:rPr>
              <w:t>95%</w:t>
            </w:r>
          </w:p>
        </w:tc>
      </w:tr>
      <w:tr w:rsidR="008D4309" w:rsidRPr="00F90A5F" w:rsidTr="00DA5475">
        <w:trPr>
          <w:cantSplit/>
          <w:trHeight w:val="879"/>
        </w:trPr>
        <w:tc>
          <w:tcPr>
            <w:tcW w:w="1248"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t>ه 2.9 أمانة نبيهة تعمل بسلاسة وموظفون يعملون تحت إدارة جيّدة وبمهارات مناسبة ويحققون النتائج بكفاءة</w:t>
            </w: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sidRPr="00F90A5F">
              <w:rPr>
                <w:rFonts w:ascii="Arabic Typesetting" w:hAnsi="Arabic Typesetting" w:cs="Arabic Typesetting"/>
                <w:color w:val="000000"/>
                <w:sz w:val="30"/>
                <w:szCs w:val="30"/>
                <w:rtl/>
              </w:rPr>
              <w:t>إنشاء إطار جديد للمرونة التنظيمية واستمرارية العمل وإعداد الوثائق اللازمة</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sidRPr="00F90A5F">
              <w:rPr>
                <w:rFonts w:ascii="Arabic Typesetting" w:hAnsi="Arabic Typesetting" w:cs="Arabic Typesetting"/>
                <w:color w:val="000000"/>
                <w:sz w:val="30"/>
                <w:szCs w:val="30"/>
                <w:rtl/>
              </w:rPr>
              <w:t>الإطار الحالي ليس شاملاً ويجب استبداله</w:t>
            </w:r>
          </w:p>
        </w:tc>
        <w:tc>
          <w:tcPr>
            <w:tcW w:w="1082" w:type="pct"/>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sidRPr="00F90A5F">
              <w:rPr>
                <w:rFonts w:ascii="Arabic Typesetting" w:hAnsi="Arabic Typesetting" w:cs="Arabic Typesetting"/>
                <w:color w:val="000000"/>
                <w:sz w:val="30"/>
                <w:szCs w:val="30"/>
                <w:rtl/>
              </w:rPr>
              <w:t>وضع استراتيجيات المرونة التنظيمية واستمرارية العمل وخططها فيما يخص القطاعات الجوهرية في المنظمة</w:t>
            </w:r>
          </w:p>
        </w:tc>
      </w:tr>
      <w:tr w:rsidR="008D4309" w:rsidRPr="00F90A5F" w:rsidTr="00DA5475">
        <w:trPr>
          <w:cantSplit/>
          <w:trHeight w:val="1089"/>
        </w:trPr>
        <w:tc>
          <w:tcPr>
            <w:tcW w:w="1248" w:type="pct"/>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r w:rsidRPr="00F90A5F">
              <w:rPr>
                <w:rFonts w:ascii="Arabic Typesetting" w:hAnsi="Arabic Typesetting" w:cs="Arabic Typesetting"/>
                <w:sz w:val="30"/>
                <w:szCs w:val="30"/>
                <w:rtl/>
              </w:rPr>
              <w:lastRenderedPageBreak/>
              <w:t>ه 3.9 بيئة عمل داعمة ومسنودة بإطار تنظيمي فعال وقنوات مناسبة لمعالجة مشاغل الموظفين</w:t>
            </w:r>
          </w:p>
        </w:tc>
        <w:tc>
          <w:tcPr>
            <w:tcW w:w="1514" w:type="pct"/>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sidRPr="00F90A5F">
              <w:rPr>
                <w:rFonts w:ascii="Arabic Typesetting" w:hAnsi="Arabic Typesetting" w:cs="Arabic Typesetting"/>
                <w:color w:val="000000"/>
                <w:sz w:val="30"/>
                <w:szCs w:val="30"/>
                <w:rtl/>
              </w:rPr>
              <w:t>النسبة المئوية لموظفي الويبو الواعين بالخدمات التي يقدمها مكتب أمين المظالم وآلية تسوية المنازعات بشكل غير رسمي</w:t>
            </w:r>
          </w:p>
        </w:tc>
        <w:tc>
          <w:tcPr>
            <w:tcW w:w="1156" w:type="pct"/>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tl/>
              </w:rPr>
            </w:pPr>
            <w:r w:rsidRPr="00F90A5F">
              <w:rPr>
                <w:rFonts w:ascii="Arabic Typesetting" w:hAnsi="Arabic Typesetting" w:cs="Arabic Typesetting"/>
                <w:color w:val="000000"/>
                <w:sz w:val="30"/>
                <w:szCs w:val="30"/>
                <w:rtl/>
              </w:rPr>
              <w:t>استقصاء 2013:</w:t>
            </w:r>
          </w:p>
          <w:p w:rsidR="008D4309" w:rsidRPr="00F90A5F" w:rsidRDefault="008D4309" w:rsidP="00DA5475">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63%</w:t>
            </w:r>
            <w:r w:rsidRPr="00F90A5F">
              <w:rPr>
                <w:rFonts w:ascii="Arabic Typesetting" w:hAnsi="Arabic Typesetting" w:cs="Arabic Typesetting"/>
                <w:color w:val="000000"/>
                <w:sz w:val="30"/>
                <w:szCs w:val="30"/>
                <w:rtl/>
              </w:rPr>
              <w:t xml:space="preserve"> على وعي تام. من المخطط إجراء استقصاء آخر في 2015</w:t>
            </w:r>
            <w:r w:rsidRPr="00F90A5F">
              <w:rPr>
                <w:rFonts w:ascii="Arabic Typesetting" w:hAnsi="Arabic Typesetting" w:cs="Arabic Typesetting"/>
                <w:color w:val="000000"/>
                <w:sz w:val="30"/>
                <w:szCs w:val="30"/>
              </w:rPr>
              <w:t>.</w:t>
            </w:r>
          </w:p>
        </w:tc>
        <w:tc>
          <w:tcPr>
            <w:tcW w:w="1082" w:type="pct"/>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70%</w:t>
            </w:r>
          </w:p>
        </w:tc>
      </w:tr>
      <w:tr w:rsidR="008D4309" w:rsidRPr="00F90A5F" w:rsidTr="00DA5475">
        <w:trPr>
          <w:cantSplit/>
          <w:trHeight w:val="606"/>
        </w:trPr>
        <w:tc>
          <w:tcPr>
            <w:tcW w:w="1248" w:type="pct"/>
            <w:tcBorders>
              <w:bottom w:val="single" w:sz="4" w:space="0" w:color="auto"/>
            </w:tcBorders>
            <w:tcMar>
              <w:top w:w="113" w:type="dxa"/>
            </w:tcMar>
          </w:tcPr>
          <w:p w:rsidR="008D4309" w:rsidRPr="00F90A5F" w:rsidRDefault="008D4309" w:rsidP="00DA5475">
            <w:pPr>
              <w:spacing w:before="60" w:after="60" w:line="300" w:lineRule="exact"/>
              <w:rPr>
                <w:rFonts w:ascii="Arabic Typesetting" w:hAnsi="Arabic Typesetting" w:cs="Arabic Typesetting"/>
                <w:sz w:val="30"/>
                <w:szCs w:val="30"/>
              </w:rPr>
            </w:pPr>
          </w:p>
        </w:tc>
        <w:tc>
          <w:tcPr>
            <w:tcW w:w="1514" w:type="pct"/>
            <w:tcBorders>
              <w:bottom w:val="single" w:sz="4" w:space="0" w:color="auto"/>
            </w:tcBorders>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sidRPr="00F90A5F">
              <w:rPr>
                <w:rFonts w:ascii="Arabic Typesetting" w:hAnsi="Arabic Typesetting" w:cs="Arabic Typesetting"/>
                <w:color w:val="000000"/>
                <w:sz w:val="30"/>
                <w:szCs w:val="30"/>
                <w:rtl/>
              </w:rPr>
              <w:t>النسبة المئوية لموظفي الويبو الواعين بالمبادئ والسياسات الأخلاقية للويبو</w:t>
            </w:r>
          </w:p>
        </w:tc>
        <w:tc>
          <w:tcPr>
            <w:tcW w:w="1156" w:type="pct"/>
            <w:tcBorders>
              <w:bottom w:val="single" w:sz="4" w:space="0" w:color="auto"/>
            </w:tcBorders>
            <w:shd w:val="clear" w:color="auto" w:fill="FFFFFF"/>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98%</w:t>
            </w:r>
            <w:r w:rsidRPr="00F90A5F">
              <w:rPr>
                <w:rFonts w:ascii="Arabic Typesetting" w:hAnsi="Arabic Typesetting" w:cs="Arabic Typesetting"/>
                <w:color w:val="000000"/>
                <w:sz w:val="30"/>
                <w:szCs w:val="30"/>
                <w:rtl/>
              </w:rPr>
              <w:t xml:space="preserve"> من استقصاء القيم الأساسية لبرنامج التقويم الاستراتيجي (أُجري في 2013). من المخطط إجراء استقصاء آخر في 2015</w:t>
            </w:r>
            <w:r w:rsidRPr="00F90A5F">
              <w:rPr>
                <w:rFonts w:ascii="Arabic Typesetting" w:hAnsi="Arabic Typesetting" w:cs="Arabic Typesetting"/>
                <w:color w:val="000000"/>
                <w:sz w:val="30"/>
                <w:szCs w:val="30"/>
              </w:rPr>
              <w:t>.</w:t>
            </w:r>
          </w:p>
        </w:tc>
        <w:tc>
          <w:tcPr>
            <w:tcW w:w="1082" w:type="pct"/>
            <w:tcBorders>
              <w:bottom w:val="single" w:sz="4" w:space="0" w:color="auto"/>
            </w:tcBorders>
            <w:tcMar>
              <w:top w:w="113" w:type="dxa"/>
            </w:tcMar>
          </w:tcPr>
          <w:p w:rsidR="008D4309" w:rsidRPr="00F90A5F" w:rsidRDefault="008D4309" w:rsidP="00DA5475">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95%</w:t>
            </w:r>
            <w:r w:rsidRPr="00F90A5F">
              <w:rPr>
                <w:rFonts w:ascii="Arabic Typesetting" w:hAnsi="Arabic Typesetting" w:cs="Arabic Typesetting"/>
                <w:color w:val="000000"/>
                <w:sz w:val="30"/>
                <w:szCs w:val="30"/>
              </w:rPr>
              <w:t xml:space="preserve"> </w:t>
            </w:r>
            <w:r w:rsidRPr="00F90A5F">
              <w:rPr>
                <w:rFonts w:ascii="Arabic Typesetting" w:hAnsi="Arabic Typesetting" w:cs="Arabic Typesetting"/>
                <w:color w:val="000000"/>
                <w:sz w:val="30"/>
                <w:szCs w:val="30"/>
                <w:rtl/>
              </w:rPr>
              <w:t>من الموظفين على وعي</w:t>
            </w:r>
          </w:p>
        </w:tc>
      </w:tr>
    </w:tbl>
    <w:p w:rsidR="008D4309" w:rsidRPr="00F90A5F" w:rsidRDefault="008D4309" w:rsidP="00DA5475">
      <w:pPr>
        <w:rPr>
          <w:rFonts w:ascii="Arabic Typesetting" w:hAnsi="Arabic Typesetting" w:cs="Arabic Typesetting"/>
          <w:sz w:val="30"/>
          <w:szCs w:val="30"/>
        </w:rPr>
      </w:pPr>
    </w:p>
    <w:p w:rsidR="008D4309" w:rsidRDefault="008D4309" w:rsidP="00DA5475">
      <w:pPr>
        <w:pStyle w:val="ARProgramHeading2"/>
        <w:rPr>
          <w:rtl/>
        </w:rPr>
      </w:pPr>
      <w:r>
        <w:rPr>
          <w:rFonts w:hint="cs"/>
          <w:rtl/>
        </w:rPr>
        <w:t>الموارد المخصصة للبرنامج 21</w:t>
      </w:r>
    </w:p>
    <w:p w:rsidR="008D4309" w:rsidRDefault="008D4309" w:rsidP="00861CFF">
      <w:pPr>
        <w:numPr>
          <w:ilvl w:val="0"/>
          <w:numId w:val="36"/>
        </w:numPr>
        <w:spacing w:after="120" w:line="340" w:lineRule="exact"/>
        <w:jc w:val="both"/>
        <w:rPr>
          <w:rFonts w:ascii="Arabic Typesetting" w:hAnsi="Arabic Typesetting" w:cs="Arabic Typesetting"/>
          <w:sz w:val="34"/>
          <w:szCs w:val="34"/>
        </w:rPr>
      </w:pPr>
      <w:r>
        <w:rPr>
          <w:rFonts w:ascii="Arabic Typesetting" w:hAnsi="Arabic Typesetting" w:cs="Arabic Typesetting" w:hint="cs"/>
          <w:sz w:val="34"/>
          <w:szCs w:val="34"/>
          <w:rtl/>
        </w:rPr>
        <w:t>تُلاحظ زيادة طفيفة في إجمالي الموارد المخصصة للبرنامج 21 في الثنائية 2016/17 مقارنة بميزانية 2014/15 بعد التحويلات. وتُعزى الزيادة إلى ارتفاع طفيف في الموارد المخصصة لتنظيم جمعيات الويبو، استنادا إلى أنماط الإنفاق في الثنائية</w:t>
      </w:r>
      <w:r>
        <w:rPr>
          <w:rFonts w:ascii="Arabic Typesetting" w:hAnsi="Arabic Typesetting" w:cs="Arabic Typesetting" w:hint="eastAsia"/>
          <w:sz w:val="34"/>
          <w:szCs w:val="34"/>
          <w:rtl/>
        </w:rPr>
        <w:t> </w:t>
      </w:r>
      <w:r>
        <w:rPr>
          <w:rFonts w:ascii="Arabic Typesetting" w:hAnsi="Arabic Typesetting" w:cs="Arabic Typesetting" w:hint="cs"/>
          <w:sz w:val="34"/>
          <w:szCs w:val="34"/>
          <w:rtl/>
        </w:rPr>
        <w:t xml:space="preserve">2014/15، ومواصلة تطوير قاعدة بيانات الويبو </w:t>
      </w:r>
      <w:r w:rsidRPr="00C23744">
        <w:rPr>
          <w:rFonts w:ascii="Arabic Typesetting" w:hAnsi="Arabic Typesetting" w:cs="Arabic Typesetting"/>
          <w:sz w:val="34"/>
          <w:szCs w:val="34"/>
        </w:rPr>
        <w:t>WIPO Lex</w:t>
      </w:r>
      <w:r>
        <w:rPr>
          <w:rFonts w:ascii="Arabic Typesetting" w:hAnsi="Arabic Typesetting" w:cs="Arabic Typesetting" w:hint="cs"/>
          <w:sz w:val="34"/>
          <w:szCs w:val="34"/>
          <w:rtl/>
        </w:rPr>
        <w:t xml:space="preserve"> وأنشطة تنسيق المكاتب الخارجية.</w:t>
      </w:r>
    </w:p>
    <w:p w:rsidR="008D4309" w:rsidRDefault="008D4309" w:rsidP="00861CFF">
      <w:pPr>
        <w:numPr>
          <w:ilvl w:val="0"/>
          <w:numId w:val="36"/>
        </w:numPr>
        <w:spacing w:after="120" w:line="340" w:lineRule="exact"/>
        <w:jc w:val="both"/>
        <w:rPr>
          <w:rFonts w:ascii="Arabic Typesetting" w:hAnsi="Arabic Typesetting" w:cs="Arabic Typesetting"/>
          <w:sz w:val="34"/>
          <w:szCs w:val="34"/>
        </w:rPr>
      </w:pPr>
      <w:r>
        <w:rPr>
          <w:rFonts w:ascii="Arabic Typesetting" w:hAnsi="Arabic Typesetting" w:cs="Arabic Typesetting" w:hint="cs"/>
          <w:sz w:val="34"/>
          <w:szCs w:val="34"/>
          <w:rtl/>
        </w:rPr>
        <w:t xml:space="preserve">وفيما يخص الاختلافات في الموارد المخصصة للنتائج المرتقبة، فإنه يُعتبر من الأنسب ربط الموارد الخاصة بالخدمات القانونية وأنشطة المشورة بالنتيجة المرتقبة </w:t>
      </w:r>
      <w:r w:rsidRPr="00A462FB">
        <w:rPr>
          <w:rFonts w:ascii="Arabic Typesetting" w:hAnsi="Arabic Typesetting" w:cs="Arabic Typesetting"/>
          <w:sz w:val="34"/>
          <w:szCs w:val="34"/>
          <w:rtl/>
        </w:rPr>
        <w:t xml:space="preserve">ه </w:t>
      </w:r>
      <w:r>
        <w:rPr>
          <w:rFonts w:ascii="Arabic Typesetting" w:hAnsi="Arabic Typesetting" w:cs="Arabic Typesetting" w:hint="cs"/>
          <w:sz w:val="34"/>
          <w:szCs w:val="34"/>
          <w:rtl/>
        </w:rPr>
        <w:t>1</w:t>
      </w:r>
      <w:r w:rsidRPr="00A462FB">
        <w:rPr>
          <w:rFonts w:ascii="Arabic Typesetting" w:hAnsi="Arabic Typesetting" w:cs="Arabic Typesetting"/>
          <w:sz w:val="34"/>
          <w:szCs w:val="34"/>
          <w:rtl/>
        </w:rPr>
        <w:t>.9</w:t>
      </w:r>
      <w:r>
        <w:rPr>
          <w:rFonts w:ascii="Arabic Typesetting" w:hAnsi="Arabic Typesetting" w:cs="Arabic Typesetting" w:hint="cs"/>
          <w:sz w:val="34"/>
          <w:szCs w:val="34"/>
          <w:rtl/>
        </w:rPr>
        <w:t xml:space="preserve"> بدلا من النتيجة </w:t>
      </w:r>
      <w:r w:rsidRPr="00A462FB">
        <w:rPr>
          <w:rFonts w:ascii="Arabic Typesetting" w:hAnsi="Arabic Typesetting" w:cs="Arabic Typesetting"/>
          <w:sz w:val="34"/>
          <w:szCs w:val="34"/>
          <w:rtl/>
        </w:rPr>
        <w:t xml:space="preserve">ه </w:t>
      </w:r>
      <w:r>
        <w:rPr>
          <w:rFonts w:ascii="Arabic Typesetting" w:hAnsi="Arabic Typesetting" w:cs="Arabic Typesetting" w:hint="cs"/>
          <w:sz w:val="34"/>
          <w:szCs w:val="34"/>
          <w:rtl/>
        </w:rPr>
        <w:t>2</w:t>
      </w:r>
      <w:r w:rsidRPr="00A462FB">
        <w:rPr>
          <w:rFonts w:ascii="Arabic Typesetting" w:hAnsi="Arabic Typesetting" w:cs="Arabic Typesetting"/>
          <w:sz w:val="34"/>
          <w:szCs w:val="34"/>
          <w:rtl/>
        </w:rPr>
        <w:t>.9</w:t>
      </w:r>
      <w:r>
        <w:rPr>
          <w:rFonts w:ascii="Arabic Typesetting" w:hAnsi="Arabic Typesetting" w:cs="Arabic Typesetting" w:hint="cs"/>
          <w:sz w:val="34"/>
          <w:szCs w:val="34"/>
          <w:rtl/>
        </w:rPr>
        <w:t xml:space="preserve"> كما في الثنائية 2014/15.</w:t>
      </w:r>
    </w:p>
    <w:p w:rsidR="008D4309" w:rsidRDefault="008D4309" w:rsidP="00861CFF">
      <w:pPr>
        <w:numPr>
          <w:ilvl w:val="0"/>
          <w:numId w:val="36"/>
        </w:numPr>
        <w:spacing w:after="120" w:line="340" w:lineRule="exact"/>
        <w:jc w:val="both"/>
        <w:rPr>
          <w:rFonts w:ascii="Arabic Typesetting" w:hAnsi="Arabic Typesetting" w:cs="Arabic Typesetting"/>
          <w:sz w:val="34"/>
          <w:szCs w:val="34"/>
        </w:rPr>
      </w:pPr>
      <w:r>
        <w:rPr>
          <w:rFonts w:ascii="Arabic Typesetting" w:hAnsi="Arabic Typesetting" w:cs="Arabic Typesetting" w:hint="cs"/>
          <w:sz w:val="34"/>
          <w:szCs w:val="34"/>
          <w:rtl/>
        </w:rPr>
        <w:t xml:space="preserve">وتعكس الموارد المخصصة ضمن النتيجة المرتقبة </w:t>
      </w:r>
      <w:r w:rsidRPr="00A462FB">
        <w:rPr>
          <w:rFonts w:ascii="Arabic Typesetting" w:hAnsi="Arabic Typesetting" w:cs="Arabic Typesetting"/>
          <w:sz w:val="34"/>
          <w:szCs w:val="34"/>
          <w:rtl/>
        </w:rPr>
        <w:t xml:space="preserve">ه </w:t>
      </w:r>
      <w:r>
        <w:rPr>
          <w:rFonts w:ascii="Arabic Typesetting" w:hAnsi="Arabic Typesetting" w:cs="Arabic Typesetting" w:hint="cs"/>
          <w:sz w:val="34"/>
          <w:szCs w:val="34"/>
          <w:rtl/>
        </w:rPr>
        <w:t>4</w:t>
      </w:r>
      <w:r w:rsidRPr="00A462FB">
        <w:rPr>
          <w:rFonts w:ascii="Arabic Typesetting" w:hAnsi="Arabic Typesetting" w:cs="Arabic Typesetting"/>
          <w:sz w:val="34"/>
          <w:szCs w:val="34"/>
          <w:rtl/>
        </w:rPr>
        <w:t>.</w:t>
      </w:r>
      <w:r>
        <w:rPr>
          <w:rFonts w:ascii="Arabic Typesetting" w:hAnsi="Arabic Typesetting" w:cs="Arabic Typesetting" w:hint="cs"/>
          <w:sz w:val="34"/>
          <w:szCs w:val="34"/>
          <w:rtl/>
        </w:rPr>
        <w:t>8 في الثنائية 2016/17 العمل المرتبط بمنح صفة المراقب الدائم للمنظمات غير الحكومية.</w:t>
      </w:r>
    </w:p>
    <w:p w:rsidR="008D4309" w:rsidRPr="00FB6525" w:rsidRDefault="008D4309" w:rsidP="00DA5475">
      <w:pPr>
        <w:keepNext/>
        <w:spacing w:line="340" w:lineRule="exact"/>
        <w:jc w:val="center"/>
        <w:rPr>
          <w:rFonts w:ascii="Arabic Typesetting" w:hAnsi="Arabic Typesetting" w:cs="Arabic Typesetting"/>
          <w:b/>
          <w:bCs/>
          <w:sz w:val="34"/>
          <w:szCs w:val="34"/>
          <w:rtl/>
          <w:lang w:val="fr-CH" w:bidi="ar-SA"/>
        </w:rPr>
      </w:pPr>
      <w:r w:rsidRPr="00FB6525">
        <w:rPr>
          <w:rFonts w:ascii="Arabic Typesetting" w:hAnsi="Arabic Typesetting" w:cs="Arabic Typesetting" w:hint="cs"/>
          <w:b/>
          <w:bCs/>
          <w:sz w:val="34"/>
          <w:szCs w:val="34"/>
          <w:rtl/>
          <w:lang w:val="fr-CH" w:bidi="ar-SA"/>
        </w:rPr>
        <w:t xml:space="preserve">البرنامج </w:t>
      </w:r>
      <w:r>
        <w:rPr>
          <w:rFonts w:ascii="Arabic Typesetting" w:hAnsi="Arabic Typesetting" w:cs="Arabic Typesetting" w:hint="cs"/>
          <w:b/>
          <w:bCs/>
          <w:sz w:val="34"/>
          <w:szCs w:val="34"/>
          <w:rtl/>
          <w:lang w:val="fr-CH" w:bidi="ar-SA"/>
        </w:rPr>
        <w:t>21</w:t>
      </w:r>
      <w:r w:rsidRPr="00FB6525">
        <w:rPr>
          <w:rFonts w:ascii="Arabic Typesetting" w:hAnsi="Arabic Typesetting" w:cs="Arabic Typesetting" w:hint="cs"/>
          <w:b/>
          <w:bCs/>
          <w:sz w:val="34"/>
          <w:szCs w:val="34"/>
          <w:rtl/>
          <w:lang w:val="fr-CH" w:bidi="ar-SA"/>
        </w:rPr>
        <w:t>: الموارد بحسب كل نتيجة</w:t>
      </w:r>
    </w:p>
    <w:p w:rsidR="008D4309" w:rsidRPr="00FB6525" w:rsidRDefault="008D4309" w:rsidP="00DA5475">
      <w:pPr>
        <w:spacing w:line="340" w:lineRule="exact"/>
        <w:jc w:val="center"/>
        <w:rPr>
          <w:rFonts w:ascii="Arabic Typesetting" w:hAnsi="Arabic Typesetting" w:cs="Arabic Typesetting"/>
          <w:i/>
          <w:iCs/>
          <w:sz w:val="34"/>
          <w:szCs w:val="34"/>
          <w:lang w:val="fr-CH" w:bidi="ar-SA"/>
        </w:rPr>
      </w:pPr>
      <w:r w:rsidRPr="00FB6525">
        <w:rPr>
          <w:rFonts w:ascii="Arabic Typesetting" w:hAnsi="Arabic Typesetting" w:cs="Arabic Typesetting" w:hint="cs"/>
          <w:i/>
          <w:iCs/>
          <w:sz w:val="34"/>
          <w:szCs w:val="34"/>
          <w:rtl/>
          <w:lang w:val="fr-CH" w:bidi="ar-SA"/>
        </w:rPr>
        <w:t>(بآلاف الفرنكات السويسرية)</w:t>
      </w:r>
    </w:p>
    <w:p w:rsidR="008D4309" w:rsidRDefault="008D4309" w:rsidP="008D4309">
      <w:pPr>
        <w:pStyle w:val="ARNormal"/>
        <w:spacing w:line="240" w:lineRule="auto"/>
        <w:jc w:val="center"/>
        <w:rPr>
          <w:i/>
          <w:rtl/>
        </w:rPr>
      </w:pPr>
      <w:r w:rsidRPr="008D4309">
        <w:rPr>
          <w:noProof/>
          <w:rtl/>
          <w:lang w:val="en-US"/>
        </w:rPr>
        <w:drawing>
          <wp:inline distT="0" distB="0" distL="0" distR="0" wp14:anchorId="284ABABF" wp14:editId="55EAE935">
            <wp:extent cx="5041426" cy="3400425"/>
            <wp:effectExtent l="0" t="0" r="698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041426" cy="3400425"/>
                    </a:xfrm>
                    <a:prstGeom prst="rect">
                      <a:avLst/>
                    </a:prstGeom>
                    <a:noFill/>
                    <a:ln>
                      <a:noFill/>
                    </a:ln>
                  </pic:spPr>
                </pic:pic>
              </a:graphicData>
            </a:graphic>
          </wp:inline>
        </w:drawing>
      </w:r>
    </w:p>
    <w:p w:rsidR="008D4309" w:rsidRPr="00EB30FA" w:rsidRDefault="008D4309" w:rsidP="00DA5475">
      <w:pPr>
        <w:keepNext/>
        <w:spacing w:line="340" w:lineRule="exact"/>
        <w:jc w:val="center"/>
        <w:rPr>
          <w:rFonts w:ascii="Arabic Typesetting" w:hAnsi="Arabic Typesetting" w:cs="Arabic Typesetting"/>
          <w:b/>
          <w:bCs/>
          <w:sz w:val="34"/>
          <w:szCs w:val="34"/>
          <w:rtl/>
          <w:lang w:val="fr-CH" w:bidi="ar-SA"/>
        </w:rPr>
      </w:pPr>
      <w:r w:rsidRPr="00EB30FA">
        <w:rPr>
          <w:rFonts w:ascii="Arabic Typesetting" w:hAnsi="Arabic Typesetting" w:cs="Arabic Typesetting" w:hint="cs"/>
          <w:b/>
          <w:bCs/>
          <w:sz w:val="34"/>
          <w:szCs w:val="34"/>
          <w:rtl/>
          <w:lang w:val="fr-CH" w:bidi="ar-SA"/>
        </w:rPr>
        <w:lastRenderedPageBreak/>
        <w:t xml:space="preserve">البرنامج </w:t>
      </w:r>
      <w:r>
        <w:rPr>
          <w:rFonts w:ascii="Arabic Typesetting" w:hAnsi="Arabic Typesetting" w:cs="Arabic Typesetting" w:hint="cs"/>
          <w:b/>
          <w:bCs/>
          <w:sz w:val="34"/>
          <w:szCs w:val="34"/>
          <w:rtl/>
          <w:lang w:val="fr-CH" w:bidi="ar-SA"/>
        </w:rPr>
        <w:t>21</w:t>
      </w:r>
      <w:r w:rsidRPr="00EB30FA">
        <w:rPr>
          <w:rFonts w:ascii="Arabic Typesetting" w:hAnsi="Arabic Typesetting" w:cs="Arabic Typesetting" w:hint="cs"/>
          <w:b/>
          <w:bCs/>
          <w:sz w:val="34"/>
          <w:szCs w:val="34"/>
          <w:rtl/>
          <w:lang w:val="fr-CH" w:bidi="ar-SA"/>
        </w:rPr>
        <w:t>: الموارد بحسب غرض الإنفاق</w:t>
      </w:r>
    </w:p>
    <w:p w:rsidR="008D4309" w:rsidRPr="00EB30FA" w:rsidRDefault="008D4309" w:rsidP="00DA5475">
      <w:pPr>
        <w:spacing w:line="340" w:lineRule="exact"/>
        <w:jc w:val="center"/>
        <w:rPr>
          <w:rFonts w:ascii="Arabic Typesetting" w:hAnsi="Arabic Typesetting" w:cs="Arabic Typesetting"/>
          <w:i/>
          <w:iCs/>
          <w:sz w:val="34"/>
          <w:szCs w:val="34"/>
          <w:lang w:val="fr-CH" w:bidi="ar-SA"/>
        </w:rPr>
      </w:pPr>
      <w:r w:rsidRPr="00EB30FA">
        <w:rPr>
          <w:rFonts w:ascii="Arabic Typesetting" w:hAnsi="Arabic Typesetting" w:cs="Arabic Typesetting" w:hint="cs"/>
          <w:i/>
          <w:iCs/>
          <w:sz w:val="34"/>
          <w:szCs w:val="34"/>
          <w:rtl/>
          <w:lang w:val="fr-CH" w:bidi="ar-SA"/>
        </w:rPr>
        <w:t>(بآلاف الفرنكات السويسرية)</w:t>
      </w:r>
    </w:p>
    <w:p w:rsidR="008D4309" w:rsidRDefault="008D4309" w:rsidP="008D4309">
      <w:pPr>
        <w:pStyle w:val="ARNormal"/>
        <w:spacing w:line="240" w:lineRule="auto"/>
        <w:jc w:val="center"/>
        <w:rPr>
          <w:i/>
          <w:rtl/>
        </w:rPr>
      </w:pPr>
      <w:r w:rsidRPr="008D4309">
        <w:rPr>
          <w:noProof/>
          <w:rtl/>
          <w:lang w:val="en-US"/>
        </w:rPr>
        <w:drawing>
          <wp:inline distT="0" distB="0" distL="0" distR="0" wp14:anchorId="30017C75" wp14:editId="4410650D">
            <wp:extent cx="5299998" cy="610552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99998" cy="6105525"/>
                    </a:xfrm>
                    <a:prstGeom prst="rect">
                      <a:avLst/>
                    </a:prstGeom>
                    <a:noFill/>
                    <a:ln>
                      <a:noFill/>
                    </a:ln>
                  </pic:spPr>
                </pic:pic>
              </a:graphicData>
            </a:graphic>
          </wp:inline>
        </w:drawing>
      </w:r>
    </w:p>
    <w:p w:rsidR="008D4309" w:rsidRPr="00462891" w:rsidRDefault="008D4309" w:rsidP="00DA5475">
      <w:pPr>
        <w:pStyle w:val="ARNormal"/>
        <w:keepNext/>
        <w:spacing w:after="0"/>
        <w:jc w:val="center"/>
        <w:rPr>
          <w:b/>
          <w:bCs/>
          <w:rtl/>
        </w:rPr>
      </w:pPr>
      <w:r w:rsidRPr="00487D33">
        <w:rPr>
          <w:rFonts w:hint="cs"/>
          <w:b/>
          <w:bCs/>
          <w:rtl/>
        </w:rPr>
        <w:t>الموارد الاستئمانية المحتمل توافرها لأغراض البرامج في</w:t>
      </w:r>
      <w:r w:rsidRPr="00487D33">
        <w:rPr>
          <w:b/>
          <w:bCs/>
          <w:rtl/>
        </w:rPr>
        <w:t xml:space="preserve"> </w:t>
      </w:r>
      <w:r>
        <w:rPr>
          <w:rFonts w:hint="cs"/>
          <w:b/>
          <w:bCs/>
          <w:rtl/>
        </w:rPr>
        <w:t>2016</w:t>
      </w:r>
      <w:r w:rsidRPr="00487D33">
        <w:rPr>
          <w:b/>
          <w:bCs/>
          <w:rtl/>
        </w:rPr>
        <w:t>/</w:t>
      </w:r>
      <w:r>
        <w:rPr>
          <w:rFonts w:hint="cs"/>
          <w:b/>
          <w:bCs/>
          <w:rtl/>
        </w:rPr>
        <w:t>17 (بحسب البرنامج)</w:t>
      </w:r>
      <w:r w:rsidRPr="00487D33">
        <w:rPr>
          <w:rFonts w:hint="cs"/>
          <w:b/>
          <w:bCs/>
          <w:vertAlign w:val="superscript"/>
          <w:rtl/>
        </w:rPr>
        <w:t>1</w:t>
      </w:r>
    </w:p>
    <w:p w:rsidR="008D4309" w:rsidRPr="00487D33" w:rsidRDefault="008D4309" w:rsidP="00DA5475">
      <w:pPr>
        <w:pStyle w:val="ARNormal"/>
        <w:spacing w:after="0"/>
        <w:ind w:left="720"/>
        <w:jc w:val="center"/>
        <w:rPr>
          <w:i/>
          <w:iCs/>
          <w:rtl/>
        </w:rPr>
      </w:pPr>
      <w:r w:rsidRPr="00487D33">
        <w:rPr>
          <w:i/>
          <w:iCs/>
          <w:rtl/>
        </w:rPr>
        <w:t>(بآلاف الفرنكات السويسرية)</w:t>
      </w:r>
    </w:p>
    <w:p w:rsidR="008D4309" w:rsidRPr="008954A8" w:rsidRDefault="008D4309" w:rsidP="00DA5475">
      <w:pPr>
        <w:pStyle w:val="ARNormal"/>
        <w:spacing w:line="240" w:lineRule="auto"/>
        <w:jc w:val="center"/>
        <w:rPr>
          <w:sz w:val="30"/>
          <w:szCs w:val="30"/>
          <w:rtl/>
        </w:rPr>
      </w:pPr>
      <w:r w:rsidRPr="008D4309">
        <w:rPr>
          <w:noProof/>
          <w:rtl/>
          <w:lang w:val="en-US"/>
        </w:rPr>
        <w:drawing>
          <wp:inline distT="0" distB="0" distL="0" distR="0" wp14:anchorId="440187AD" wp14:editId="09BEDD87">
            <wp:extent cx="5939790" cy="951776"/>
            <wp:effectExtent l="0" t="0" r="3810" b="127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39790" cy="951776"/>
                    </a:xfrm>
                    <a:prstGeom prst="rect">
                      <a:avLst/>
                    </a:prstGeom>
                    <a:noFill/>
                    <a:ln>
                      <a:noFill/>
                    </a:ln>
                  </pic:spPr>
                </pic:pic>
              </a:graphicData>
            </a:graphic>
          </wp:inline>
        </w:drawing>
      </w:r>
    </w:p>
    <w:p w:rsidR="008D4309" w:rsidRPr="00825509" w:rsidRDefault="008D4309" w:rsidP="008D4309">
      <w:pPr>
        <w:adjustRightInd w:val="0"/>
        <w:snapToGrid w:val="0"/>
        <w:spacing w:line="240" w:lineRule="exact"/>
        <w:jc w:val="both"/>
        <w:rPr>
          <w:rFonts w:ascii="Arabic Typesetting" w:hAnsi="Arabic Typesetting" w:cs="Arabic Typesetting"/>
          <w:i/>
          <w:iCs/>
          <w:sz w:val="24"/>
          <w:rtl/>
        </w:rPr>
      </w:pPr>
      <w:r w:rsidRPr="00825509">
        <w:rPr>
          <w:rFonts w:ascii="Arabic Typesetting" w:hAnsi="Arabic Typesetting" w:cs="Arabic Typesetting" w:hint="cs"/>
          <w:i/>
          <w:iCs/>
          <w:sz w:val="24"/>
          <w:vertAlign w:val="superscript"/>
          <w:rtl/>
        </w:rPr>
        <w:t>1</w:t>
      </w:r>
      <w:r w:rsidRPr="00825509">
        <w:rPr>
          <w:rFonts w:ascii="Arabic Typesetting" w:hAnsi="Arabic Typesetting" w:cs="Arabic Typesetting" w:hint="cs"/>
          <w:i/>
          <w:iCs/>
          <w:sz w:val="24"/>
          <w:rtl/>
        </w:rPr>
        <w:t xml:space="preserve"> </w:t>
      </w:r>
      <w:r w:rsidRPr="00825509">
        <w:rPr>
          <w:rFonts w:ascii="Arabic Typesetting" w:hAnsi="Arabic Typesetting" w:cs="Arabic Typesetting"/>
          <w:i/>
          <w:iCs/>
          <w:sz w:val="24"/>
          <w:rtl/>
        </w:rPr>
        <w:t>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825509">
        <w:rPr>
          <w:rFonts w:ascii="Arabic Typesetting" w:hAnsi="Arabic Typesetting" w:cs="Arabic Typesetting"/>
          <w:i/>
          <w:iCs/>
          <w:sz w:val="24"/>
        </w:rPr>
        <w:t>.</w:t>
      </w:r>
    </w:p>
    <w:p w:rsidR="008D4309" w:rsidRDefault="008D4309" w:rsidP="008D4309">
      <w:pPr>
        <w:adjustRightInd w:val="0"/>
        <w:snapToGrid w:val="0"/>
        <w:spacing w:line="240" w:lineRule="exact"/>
        <w:jc w:val="both"/>
        <w:rPr>
          <w:rFonts w:ascii="Arabic Typesetting" w:hAnsi="Arabic Typesetting" w:cs="Arabic Typesetting"/>
          <w:i/>
          <w:iCs/>
          <w:sz w:val="24"/>
        </w:rPr>
      </w:pPr>
      <w:r w:rsidRPr="00487D33">
        <w:rPr>
          <w:rFonts w:ascii="Arabic Typesetting" w:hAnsi="Arabic Typesetting" w:cs="Arabic Typesetting" w:hint="cs"/>
          <w:i/>
          <w:iCs/>
          <w:sz w:val="24"/>
          <w:vertAlign w:val="superscript"/>
          <w:rtl/>
        </w:rPr>
        <w:t>2</w:t>
      </w:r>
      <w:r w:rsidRPr="00487D33">
        <w:rPr>
          <w:rFonts w:ascii="Arabic Typesetting" w:hAnsi="Arabic Typesetting" w:cs="Arabic Typesetting" w:hint="cs"/>
          <w:i/>
          <w:iCs/>
          <w:sz w:val="24"/>
          <w:rtl/>
        </w:rPr>
        <w:t xml:space="preserve"> </w:t>
      </w:r>
      <w:r w:rsidRPr="00487D33">
        <w:rPr>
          <w:rFonts w:ascii="Arabic Typesetting" w:hAnsi="Arabic Typesetting" w:cs="Arabic Typesetting"/>
          <w:i/>
          <w:iCs/>
          <w:sz w:val="24"/>
          <w:rtl/>
        </w:rPr>
        <w:t xml:space="preserve">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87D33">
        <w:rPr>
          <w:rFonts w:ascii="Arabic Typesetting" w:hAnsi="Arabic Typesetting" w:cs="Arabic Typesetting"/>
          <w:i/>
          <w:iCs/>
          <w:sz w:val="24"/>
          <w:rtl/>
        </w:rPr>
        <w:t>الاستئماني</w:t>
      </w:r>
      <w:proofErr w:type="spellEnd"/>
      <w:r w:rsidRPr="00487D33">
        <w:rPr>
          <w:rFonts w:ascii="Arabic Typesetting" w:hAnsi="Arabic Typesetting" w:cs="Arabic Typesetting"/>
          <w:i/>
          <w:iCs/>
          <w:sz w:val="24"/>
          <w:rtl/>
        </w:rPr>
        <w:t xml:space="preserve"> التزاما من هذا القبيل</w:t>
      </w:r>
      <w:r w:rsidRPr="00487D33">
        <w:rPr>
          <w:rFonts w:ascii="Arabic Typesetting" w:hAnsi="Arabic Typesetting" w:cs="Arabic Typesetting"/>
          <w:i/>
          <w:iCs/>
          <w:sz w:val="24"/>
        </w:rPr>
        <w:t>.</w:t>
      </w:r>
    </w:p>
    <w:p w:rsidR="008D4309" w:rsidRDefault="008D4309">
      <w:pPr>
        <w:bidi w:val="0"/>
        <w:rPr>
          <w:rFonts w:ascii="Arabic Typesetting" w:hAnsi="Arabic Typesetting" w:cs="Arabic Typesetting"/>
          <w:i/>
          <w:iCs/>
          <w:sz w:val="24"/>
        </w:rPr>
      </w:pPr>
      <w:r>
        <w:rPr>
          <w:rFonts w:ascii="Arabic Typesetting" w:hAnsi="Arabic Typesetting" w:cs="Arabic Typesetting"/>
          <w:i/>
          <w:iCs/>
          <w:sz w:val="24"/>
        </w:rPr>
        <w:br w:type="page"/>
      </w:r>
    </w:p>
    <w:p w:rsidR="00C65A54" w:rsidRPr="008954A8" w:rsidRDefault="00C65A54"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bookmarkStart w:id="111" w:name="_Toc364355410"/>
      <w:bookmarkStart w:id="112" w:name="_Toc420595530"/>
      <w:r w:rsidRPr="008954A8">
        <w:rPr>
          <w:rFonts w:ascii="Arabic Typesetting" w:hAnsi="Arabic Typesetting" w:cs="Arabic Typesetting"/>
          <w:bCs/>
          <w:iCs w:val="0"/>
          <w:noProof/>
          <w:snapToGrid/>
          <w:sz w:val="42"/>
          <w:szCs w:val="42"/>
          <w:rtl/>
          <w:lang w:bidi="ar-EG"/>
        </w:rPr>
        <w:lastRenderedPageBreak/>
        <w:t>البرنامج 22</w:t>
      </w:r>
      <w:r w:rsidRPr="008954A8">
        <w:rPr>
          <w:rFonts w:ascii="Arabic Typesetting" w:hAnsi="Arabic Typesetting" w:cs="Arabic Typesetting"/>
          <w:bCs/>
          <w:iCs w:val="0"/>
          <w:noProof/>
          <w:snapToGrid/>
          <w:sz w:val="42"/>
          <w:szCs w:val="42"/>
          <w:lang w:bidi="ar-EG"/>
        </w:rPr>
        <w:tab/>
      </w:r>
      <w:r w:rsidRPr="008954A8">
        <w:rPr>
          <w:rFonts w:ascii="Arabic Typesetting" w:hAnsi="Arabic Typesetting" w:cs="Arabic Typesetting"/>
          <w:bCs/>
          <w:iCs w:val="0"/>
          <w:noProof/>
          <w:snapToGrid/>
          <w:sz w:val="42"/>
          <w:szCs w:val="42"/>
          <w:rtl/>
          <w:lang w:bidi="ar-EG"/>
        </w:rPr>
        <w:t>إدارة البرامج والموارد</w:t>
      </w:r>
      <w:bookmarkEnd w:id="111"/>
      <w:bookmarkEnd w:id="112"/>
    </w:p>
    <w:p w:rsidR="00C65A54" w:rsidRPr="008954A8" w:rsidRDefault="00C65A54"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C65A54" w:rsidRPr="000C1CD7" w:rsidRDefault="00C65A54" w:rsidP="00861CFF">
      <w:pPr>
        <w:numPr>
          <w:ilvl w:val="0"/>
          <w:numId w:val="37"/>
        </w:numPr>
        <w:spacing w:after="120" w:line="340" w:lineRule="exact"/>
        <w:rPr>
          <w:rFonts w:ascii="Arabic Typesetting" w:hAnsi="Arabic Typesetting" w:cs="Arabic Typesetting"/>
          <w:sz w:val="34"/>
          <w:szCs w:val="34"/>
          <w:lang w:val="en-GB"/>
        </w:rPr>
      </w:pPr>
      <w:r w:rsidRPr="00D96702">
        <w:rPr>
          <w:rFonts w:ascii="Arabic Typesetting" w:hAnsi="Arabic Typesetting" w:cs="Arabic Typesetting"/>
          <w:sz w:val="34"/>
          <w:szCs w:val="34"/>
          <w:rtl/>
          <w:lang w:val="en-GB"/>
        </w:rPr>
        <w:t xml:space="preserve">إن الغموض الذي يكتنف الاقتصادَ العالمي، وتقلبات أسواق العملات، وتغيرات البيئة المصرفية، والارتفاع الطفيف في نمو الإيرادات، والزيادة في تكاليف الموظفين، وتزايد الطلب الإجمالي على خدمات الويبو، </w:t>
      </w:r>
      <w:r>
        <w:rPr>
          <w:rFonts w:ascii="Arabic Typesetting" w:hAnsi="Arabic Typesetting" w:cs="Arabic Typesetting" w:hint="cs"/>
          <w:sz w:val="34"/>
          <w:szCs w:val="34"/>
          <w:rtl/>
          <w:lang w:val="en-GB"/>
        </w:rPr>
        <w:t>من الأمور التي</w:t>
      </w:r>
      <w:r>
        <w:rPr>
          <w:rFonts w:ascii="Arabic Typesetting" w:hAnsi="Arabic Typesetting" w:cs="Arabic Typesetting"/>
          <w:sz w:val="34"/>
          <w:szCs w:val="34"/>
          <w:rtl/>
          <w:lang w:val="en-GB"/>
        </w:rPr>
        <w:t xml:space="preserve"> لا </w:t>
      </w:r>
      <w:r>
        <w:rPr>
          <w:rFonts w:ascii="Arabic Typesetting" w:hAnsi="Arabic Typesetting" w:cs="Arabic Typesetting" w:hint="cs"/>
          <w:sz w:val="34"/>
          <w:szCs w:val="34"/>
          <w:rtl/>
          <w:lang w:val="en-GB"/>
        </w:rPr>
        <w:t>ت</w:t>
      </w:r>
      <w:r w:rsidRPr="00D96702">
        <w:rPr>
          <w:rFonts w:ascii="Arabic Typesetting" w:hAnsi="Arabic Typesetting" w:cs="Arabic Typesetting"/>
          <w:sz w:val="34"/>
          <w:szCs w:val="34"/>
          <w:rtl/>
          <w:lang w:val="en-GB"/>
        </w:rPr>
        <w:t xml:space="preserve">زال </w:t>
      </w:r>
      <w:r>
        <w:rPr>
          <w:rFonts w:ascii="Arabic Typesetting" w:hAnsi="Arabic Typesetting" w:cs="Arabic Typesetting" w:hint="cs"/>
          <w:sz w:val="34"/>
          <w:szCs w:val="34"/>
          <w:rtl/>
          <w:lang w:val="en-GB"/>
        </w:rPr>
        <w:t>ت</w:t>
      </w:r>
      <w:r w:rsidRPr="00D96702">
        <w:rPr>
          <w:rFonts w:ascii="Arabic Typesetting" w:hAnsi="Arabic Typesetting" w:cs="Arabic Typesetting"/>
          <w:sz w:val="34"/>
          <w:szCs w:val="34"/>
          <w:rtl/>
          <w:lang w:val="en-GB"/>
        </w:rPr>
        <w:t>ضع هذا البرنامج في سياق صعب في الثنائية 2016/17. وقد شهدت الثنائية الحالية الأثرَ الإيجابي الناتج عن التطبيق الكامل لنهج الإدارة القائمة على النتائج، واتباع عملية</w:t>
      </w:r>
      <w:r>
        <w:rPr>
          <w:rFonts w:ascii="Arabic Typesetting" w:hAnsi="Arabic Typesetting" w:cs="Arabic Typesetting" w:hint="cs"/>
          <w:sz w:val="34"/>
          <w:szCs w:val="34"/>
          <w:rtl/>
          <w:lang w:val="en-GB"/>
        </w:rPr>
        <w:t xml:space="preserve"> أنضج</w:t>
      </w:r>
      <w:r w:rsidRPr="00D96702">
        <w:rPr>
          <w:rFonts w:ascii="Arabic Typesetting" w:hAnsi="Arabic Typesetting" w:cs="Arabic Typesetting"/>
          <w:sz w:val="34"/>
          <w:szCs w:val="34"/>
          <w:rtl/>
          <w:lang w:val="en-GB"/>
        </w:rPr>
        <w:t xml:space="preserve"> لإدارة المخاطر، وزيادة التركيز على تعزيز الإدارة المالية و</w:t>
      </w:r>
      <w:r>
        <w:rPr>
          <w:rFonts w:ascii="Arabic Typesetting" w:hAnsi="Arabic Typesetting" w:cs="Arabic Typesetting" w:hint="cs"/>
          <w:sz w:val="34"/>
          <w:szCs w:val="34"/>
          <w:rtl/>
          <w:lang w:val="en-GB"/>
        </w:rPr>
        <w:t xml:space="preserve">الضوابط </w:t>
      </w:r>
      <w:r w:rsidRPr="00D96702">
        <w:rPr>
          <w:rFonts w:ascii="Arabic Typesetting" w:hAnsi="Arabic Typesetting" w:cs="Arabic Typesetting"/>
          <w:sz w:val="34"/>
          <w:szCs w:val="34"/>
          <w:rtl/>
          <w:lang w:val="en-GB"/>
        </w:rPr>
        <w:t xml:space="preserve">الداخلية. ونتيجةً لتحسين إدماج أداء البرنامج، وعمليات وأنظمة إدارة المخاطر والموازنة والإدارة المالية، </w:t>
      </w:r>
      <w:r>
        <w:rPr>
          <w:rFonts w:ascii="Arabic Typesetting" w:hAnsi="Arabic Typesetting" w:cs="Arabic Typesetting" w:hint="cs"/>
          <w:sz w:val="34"/>
          <w:szCs w:val="34"/>
          <w:rtl/>
          <w:lang w:val="en-GB"/>
        </w:rPr>
        <w:t>بات</w:t>
      </w:r>
      <w:r w:rsidRPr="00D96702">
        <w:rPr>
          <w:rFonts w:ascii="Arabic Typesetting" w:hAnsi="Arabic Typesetting" w:cs="Arabic Typesetting"/>
          <w:sz w:val="34"/>
          <w:szCs w:val="34"/>
          <w:rtl/>
          <w:lang w:val="en-GB"/>
        </w:rPr>
        <w:t xml:space="preserve"> هذا البرنامج مهيأ بشكل أفضل لاتباع نهج أكثر شمولاً </w:t>
      </w:r>
      <w:r>
        <w:rPr>
          <w:rFonts w:ascii="Arabic Typesetting" w:hAnsi="Arabic Typesetting" w:cs="Arabic Typesetting" w:hint="cs"/>
          <w:sz w:val="34"/>
          <w:szCs w:val="34"/>
          <w:rtl/>
          <w:lang w:val="en-GB"/>
        </w:rPr>
        <w:t xml:space="preserve">في </w:t>
      </w:r>
      <w:r w:rsidRPr="00D96702">
        <w:rPr>
          <w:rFonts w:ascii="Arabic Typesetting" w:hAnsi="Arabic Typesetting" w:cs="Arabic Typesetting"/>
          <w:sz w:val="34"/>
          <w:szCs w:val="34"/>
          <w:rtl/>
          <w:lang w:val="en-GB"/>
        </w:rPr>
        <w:t xml:space="preserve">إدارة أداء المنظمة يشمل مبادئ </w:t>
      </w:r>
      <w:r>
        <w:rPr>
          <w:rFonts w:ascii="Arabic Typesetting" w:hAnsi="Arabic Typesetting" w:cs="Arabic Typesetting" w:hint="cs"/>
          <w:sz w:val="34"/>
          <w:szCs w:val="34"/>
          <w:rtl/>
          <w:lang w:val="en-GB"/>
        </w:rPr>
        <w:t>الإدارة التشغيلية والمالية على الصعيد المؤسسي.</w:t>
      </w:r>
    </w:p>
    <w:p w:rsidR="00C65A54" w:rsidRPr="004F4A39" w:rsidRDefault="00C65A54"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4F4A39">
        <w:rPr>
          <w:rFonts w:ascii="Arabic Typesetting" w:hAnsi="Arabic Typesetting" w:cs="Arabic Typesetting"/>
          <w:noProof/>
          <w:snapToGrid/>
          <w:sz w:val="38"/>
          <w:szCs w:val="38"/>
          <w:rtl/>
          <w:lang w:val="x-none" w:eastAsia="x-none" w:bidi="ar-EG"/>
        </w:rPr>
        <w:t>استراتيجيات التنفيذ</w:t>
      </w:r>
    </w:p>
    <w:p w:rsidR="00C65A54" w:rsidRDefault="00C65A54" w:rsidP="00861CFF">
      <w:pPr>
        <w:numPr>
          <w:ilvl w:val="0"/>
          <w:numId w:val="37"/>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إن</w:t>
      </w:r>
      <w:r w:rsidRPr="00D96702">
        <w:rPr>
          <w:rFonts w:ascii="Arabic Typesetting" w:hAnsi="Arabic Typesetting" w:cs="Arabic Typesetting"/>
          <w:sz w:val="34"/>
          <w:szCs w:val="34"/>
          <w:rtl/>
        </w:rPr>
        <w:t xml:space="preserve"> أحد الأهداف الرئيسية التي سيتم التركيز عليها خلال الثنائية 2016/17 هو ضمان أن تكون المجموعة الكاملة من العمليات، بدءاً من التخطيط وصولاً إلى الرصد والتقييم والإبلاغ، ذات جودة متناسقة عبر المنظمة، مما يُمكِّن هذا البرنامج من تقديم دعم أفضل للمدير العام و</w:t>
      </w:r>
      <w:r>
        <w:rPr>
          <w:rFonts w:ascii="Arabic Typesetting" w:hAnsi="Arabic Typesetting" w:cs="Arabic Typesetting"/>
          <w:sz w:val="34"/>
          <w:szCs w:val="34"/>
          <w:rtl/>
        </w:rPr>
        <w:t xml:space="preserve">الانخراط مع مديري البرامج لزيادة تحسين </w:t>
      </w:r>
      <w:r>
        <w:rPr>
          <w:rFonts w:ascii="Arabic Typesetting" w:hAnsi="Arabic Typesetting" w:cs="Arabic Typesetting" w:hint="cs"/>
          <w:sz w:val="34"/>
          <w:szCs w:val="34"/>
          <w:rtl/>
        </w:rPr>
        <w:t>إنجاز</w:t>
      </w:r>
      <w:r>
        <w:rPr>
          <w:rFonts w:ascii="Arabic Typesetting" w:hAnsi="Arabic Typesetting" w:cs="Arabic Typesetting"/>
          <w:sz w:val="34"/>
          <w:szCs w:val="34"/>
          <w:rtl/>
        </w:rPr>
        <w:t xml:space="preserve"> البر</w:t>
      </w:r>
      <w:r>
        <w:rPr>
          <w:rFonts w:ascii="Arabic Typesetting" w:hAnsi="Arabic Typesetting" w:cs="Arabic Typesetting" w:hint="cs"/>
          <w:sz w:val="34"/>
          <w:szCs w:val="34"/>
          <w:rtl/>
        </w:rPr>
        <w:t>نا</w:t>
      </w:r>
      <w:r w:rsidRPr="00D96702">
        <w:rPr>
          <w:rFonts w:ascii="Arabic Typesetting" w:hAnsi="Arabic Typesetting" w:cs="Arabic Typesetting"/>
          <w:sz w:val="34"/>
          <w:szCs w:val="34"/>
          <w:rtl/>
        </w:rPr>
        <w:t>مج</w:t>
      </w:r>
      <w:r>
        <w:rPr>
          <w:rFonts w:ascii="Arabic Typesetting" w:hAnsi="Arabic Typesetting" w:cs="Arabic Typesetting"/>
          <w:sz w:val="34"/>
          <w:szCs w:val="34"/>
          <w:rtl/>
        </w:rPr>
        <w:t>. وسوف تزداد إمكانية إنجاز البر</w:t>
      </w:r>
      <w:r>
        <w:rPr>
          <w:rFonts w:ascii="Arabic Typesetting" w:hAnsi="Arabic Typesetting" w:cs="Arabic Typesetting" w:hint="cs"/>
          <w:sz w:val="34"/>
          <w:szCs w:val="34"/>
          <w:rtl/>
        </w:rPr>
        <w:t>نا</w:t>
      </w:r>
      <w:r w:rsidRPr="00D96702">
        <w:rPr>
          <w:rFonts w:ascii="Arabic Typesetting" w:hAnsi="Arabic Typesetting" w:cs="Arabic Typesetting"/>
          <w:sz w:val="34"/>
          <w:szCs w:val="34"/>
          <w:rtl/>
        </w:rPr>
        <w:t>مج من خلال ما نُشر حديثاً من القدرات الخاصة باستخبارات الأعمال التي سوف تعمل على بيانات متكاملة من أنظمة التخطيط للموارد المؤسسية التي تدمج الآن البيانات المتعلقة بالمالية والمشتريات وأداء البرنامج والميزانية والموارد البشرية والمخاطر. وسوف يواصل البرنامج، في ا</w:t>
      </w:r>
      <w:r>
        <w:rPr>
          <w:rFonts w:ascii="Arabic Typesetting" w:hAnsi="Arabic Typesetting" w:cs="Arabic Typesetting"/>
          <w:sz w:val="34"/>
          <w:szCs w:val="34"/>
          <w:rtl/>
        </w:rPr>
        <w:t>لثنائية المقبلة، دعم مديري البر</w:t>
      </w:r>
      <w:r w:rsidRPr="00D96702">
        <w:rPr>
          <w:rFonts w:ascii="Arabic Typesetting" w:hAnsi="Arabic Typesetting" w:cs="Arabic Typesetting"/>
          <w:sz w:val="34"/>
          <w:szCs w:val="34"/>
          <w:rtl/>
        </w:rPr>
        <w:t xml:space="preserve">امج في تحليل عملياتهم </w:t>
      </w:r>
      <w:r>
        <w:rPr>
          <w:rFonts w:ascii="Arabic Typesetting" w:hAnsi="Arabic Typesetting" w:cs="Arabic Typesetting" w:hint="cs"/>
          <w:sz w:val="34"/>
          <w:szCs w:val="34"/>
          <w:rtl/>
        </w:rPr>
        <w:t>المؤسسية</w:t>
      </w:r>
      <w:r w:rsidRPr="00D96702">
        <w:rPr>
          <w:rFonts w:ascii="Arabic Typesetting" w:hAnsi="Arabic Typesetting" w:cs="Arabic Typesetting"/>
          <w:sz w:val="34"/>
          <w:szCs w:val="34"/>
          <w:rtl/>
        </w:rPr>
        <w:t xml:space="preserve"> ونماذج التنفيذ من أجل تحديد الفرص المتاحة للتحسين المستمر للأداء والفعالية من حيث التكلفة. وسوف يشمل ذلك تعزيز الإدارة المالية للمشاريع.</w:t>
      </w:r>
      <w:r>
        <w:rPr>
          <w:rFonts w:ascii="Arabic Typesetting" w:hAnsi="Arabic Typesetting" w:cs="Arabic Typesetting" w:hint="cs"/>
          <w:sz w:val="34"/>
          <w:szCs w:val="34"/>
          <w:rtl/>
        </w:rPr>
        <w:t xml:space="preserve"> وستفضي هذه المبادرات إلى زيادة نضج إدارة المنظمة القائمة على النتائج.</w:t>
      </w:r>
    </w:p>
    <w:p w:rsidR="00C65A54" w:rsidRPr="008954A8" w:rsidRDefault="00C65A54" w:rsidP="00861CFF">
      <w:pPr>
        <w:numPr>
          <w:ilvl w:val="0"/>
          <w:numId w:val="37"/>
        </w:numPr>
        <w:spacing w:after="120" w:line="340" w:lineRule="exact"/>
        <w:rPr>
          <w:rFonts w:ascii="Arabic Typesetting" w:hAnsi="Arabic Typesetting" w:cs="Arabic Typesetting"/>
          <w:sz w:val="34"/>
          <w:szCs w:val="34"/>
        </w:rPr>
      </w:pPr>
      <w:r w:rsidRPr="00D96702">
        <w:rPr>
          <w:rFonts w:ascii="Arabic Typesetting" w:hAnsi="Arabic Typesetting" w:cs="Arabic Typesetting"/>
          <w:sz w:val="34"/>
          <w:szCs w:val="34"/>
          <w:rtl/>
        </w:rPr>
        <w:t>وسوف تشمل أولويات البرنامج مزيداً من التحسين لكل من آليات إدارة إيرادات الويبو والتنبؤ به</w:t>
      </w:r>
      <w:r>
        <w:rPr>
          <w:rFonts w:ascii="Arabic Typesetting" w:hAnsi="Arabic Typesetting" w:cs="Arabic Typesetting"/>
          <w:sz w:val="34"/>
          <w:szCs w:val="34"/>
          <w:rtl/>
        </w:rPr>
        <w:t>ا وآليات تتبع النفقات. و</w:t>
      </w:r>
      <w:r>
        <w:rPr>
          <w:rFonts w:ascii="Arabic Typesetting" w:hAnsi="Arabic Typesetting" w:cs="Arabic Typesetting" w:hint="cs"/>
          <w:sz w:val="34"/>
          <w:szCs w:val="34"/>
          <w:rtl/>
        </w:rPr>
        <w:t>س</w:t>
      </w:r>
      <w:r w:rsidRPr="00D96702">
        <w:rPr>
          <w:rFonts w:ascii="Arabic Typesetting" w:hAnsi="Arabic Typesetting" w:cs="Arabic Typesetting"/>
          <w:sz w:val="34"/>
          <w:szCs w:val="34"/>
          <w:rtl/>
        </w:rPr>
        <w:t xml:space="preserve">يعني </w:t>
      </w:r>
      <w:r>
        <w:rPr>
          <w:rFonts w:ascii="Arabic Typesetting" w:hAnsi="Arabic Typesetting" w:cs="Arabic Typesetting" w:hint="cs"/>
          <w:sz w:val="34"/>
          <w:szCs w:val="34"/>
          <w:rtl/>
        </w:rPr>
        <w:t xml:space="preserve">ذلك </w:t>
      </w:r>
      <w:r w:rsidRPr="00D96702">
        <w:rPr>
          <w:rFonts w:ascii="Arabic Typesetting" w:hAnsi="Arabic Typesetting" w:cs="Arabic Typesetting"/>
          <w:sz w:val="34"/>
          <w:szCs w:val="34"/>
          <w:rtl/>
        </w:rPr>
        <w:t>مواصلة التعاون مع البرامج المدر</w:t>
      </w:r>
      <w:r>
        <w:rPr>
          <w:rFonts w:ascii="Arabic Typesetting" w:hAnsi="Arabic Typesetting" w:cs="Arabic Typesetting" w:hint="cs"/>
          <w:sz w:val="34"/>
          <w:szCs w:val="34"/>
          <w:rtl/>
        </w:rPr>
        <w:t>ّ</w:t>
      </w:r>
      <w:r w:rsidRPr="00D96702">
        <w:rPr>
          <w:rFonts w:ascii="Arabic Typesetting" w:hAnsi="Arabic Typesetting" w:cs="Arabic Typesetting"/>
          <w:sz w:val="34"/>
          <w:szCs w:val="34"/>
          <w:rtl/>
        </w:rPr>
        <w:t xml:space="preserve">ة للدخل لاستحداث مزيد من الرؤى عن أنماط الدفع فيما يتعلق برسوم معاهدة التعاون بشأن البراءات المستلمة من مكاتب </w:t>
      </w:r>
      <w:r>
        <w:rPr>
          <w:rFonts w:ascii="Arabic Typesetting" w:hAnsi="Arabic Typesetting" w:cs="Arabic Typesetting" w:hint="cs"/>
          <w:sz w:val="34"/>
          <w:szCs w:val="34"/>
          <w:rtl/>
        </w:rPr>
        <w:t>تسلم</w:t>
      </w:r>
      <w:r w:rsidRPr="00D96702">
        <w:rPr>
          <w:rFonts w:ascii="Arabic Typesetting" w:hAnsi="Arabic Typesetting" w:cs="Arabic Typesetting"/>
          <w:sz w:val="34"/>
          <w:szCs w:val="34"/>
          <w:rtl/>
        </w:rPr>
        <w:t xml:space="preserve"> الطلبات وتحسي</w:t>
      </w:r>
      <w:r>
        <w:rPr>
          <w:rFonts w:ascii="Arabic Typesetting" w:hAnsi="Arabic Typesetting" w:cs="Arabic Typesetting"/>
          <w:sz w:val="34"/>
          <w:szCs w:val="34"/>
          <w:rtl/>
        </w:rPr>
        <w:t>ن مستويات العمليات وخدمة ال</w:t>
      </w:r>
      <w:r>
        <w:rPr>
          <w:rFonts w:ascii="Arabic Typesetting" w:hAnsi="Arabic Typesetting" w:cs="Arabic Typesetting" w:hint="cs"/>
          <w:sz w:val="34"/>
          <w:szCs w:val="34"/>
          <w:rtl/>
        </w:rPr>
        <w:t>زبائن</w:t>
      </w:r>
      <w:r w:rsidRPr="00D96702">
        <w:rPr>
          <w:rFonts w:ascii="Arabic Typesetting" w:hAnsi="Arabic Typesetting" w:cs="Arabic Typesetting"/>
          <w:sz w:val="34"/>
          <w:szCs w:val="34"/>
          <w:rtl/>
        </w:rPr>
        <w:t xml:space="preserve"> فيما يتعلق برسوم نظام مدريد. </w:t>
      </w:r>
      <w:r>
        <w:rPr>
          <w:rFonts w:ascii="Arabic Typesetting" w:hAnsi="Arabic Typesetting" w:cs="Arabic Typesetting" w:hint="cs"/>
          <w:sz w:val="34"/>
          <w:szCs w:val="34"/>
          <w:rtl/>
        </w:rPr>
        <w:t xml:space="preserve">وسيتابع البرنامج أيضا، بالتعاون مع البرنامج 5، قرارات الدول الأعضاء بشأن التحوّط من الخسائر الناجمة عن أسعار صرف العملات فيما يخص رسوم معاهدة التعاون بشأن البراءات. </w:t>
      </w:r>
      <w:r w:rsidRPr="00D96702">
        <w:rPr>
          <w:rFonts w:ascii="Arabic Typesetting" w:hAnsi="Arabic Typesetting" w:cs="Arabic Typesetting"/>
          <w:sz w:val="34"/>
          <w:szCs w:val="34"/>
          <w:rtl/>
        </w:rPr>
        <w:t>ومن المتوقع أن تؤدي هذه المبادرات إلى زيادة تعزيز إدارة المخاطر المالية. وسوف تتميز الثنائية القادمة بالعديد من التغييرات في المجال المصرفي والاستثماري نظراً للتسهيل المصرفي المفيد الحالي المُقدَّم إلى الويبو من ا</w:t>
      </w:r>
      <w:r>
        <w:rPr>
          <w:rFonts w:ascii="Arabic Typesetting" w:hAnsi="Arabic Typesetting" w:cs="Arabic Typesetting"/>
          <w:sz w:val="34"/>
          <w:szCs w:val="34"/>
          <w:rtl/>
        </w:rPr>
        <w:t>لإدارة الفيدرالية السويسرية للش</w:t>
      </w:r>
      <w:r>
        <w:rPr>
          <w:rFonts w:ascii="Arabic Typesetting" w:hAnsi="Arabic Typesetting" w:cs="Arabic Typesetting" w:hint="cs"/>
          <w:sz w:val="34"/>
          <w:szCs w:val="34"/>
          <w:rtl/>
        </w:rPr>
        <w:t>ؤ</w:t>
      </w:r>
      <w:r w:rsidRPr="00D96702">
        <w:rPr>
          <w:rFonts w:ascii="Arabic Typesetting" w:hAnsi="Arabic Typesetting" w:cs="Arabic Typesetting"/>
          <w:sz w:val="34"/>
          <w:szCs w:val="34"/>
          <w:rtl/>
        </w:rPr>
        <w:t xml:space="preserve">ون المالية الذي سوف ينتهي في ديسمبر 2015، وإدخال معدلات فائدة سلبية على ودائع الفرنك السويسري. ولذلك سوف يحتاج هذا البرنامج إلى ضمان اتباع نهج أكثر نشاطاً وأكثر حكمةً في التخطيط للاستثمارات وإدارتها يسترشد بسياسة استثمار </w:t>
      </w:r>
      <w:r>
        <w:rPr>
          <w:rFonts w:ascii="Arabic Typesetting" w:hAnsi="Arabic Typesetting" w:cs="Arabic Typesetting" w:hint="cs"/>
          <w:sz w:val="34"/>
          <w:szCs w:val="34"/>
          <w:rtl/>
        </w:rPr>
        <w:t>مراجعة</w:t>
      </w:r>
      <w:r w:rsidRPr="00D96702">
        <w:rPr>
          <w:rFonts w:ascii="Arabic Typesetting" w:hAnsi="Arabic Typesetting" w:cs="Arabic Typesetting"/>
          <w:sz w:val="34"/>
          <w:szCs w:val="34"/>
          <w:rtl/>
        </w:rPr>
        <w:t xml:space="preserve"> وافقت عليها الدول الأعضاء.</w:t>
      </w:r>
      <w:r>
        <w:rPr>
          <w:rFonts w:ascii="Arabic Typesetting" w:hAnsi="Arabic Typesetting" w:cs="Arabic Typesetting" w:hint="cs"/>
          <w:sz w:val="34"/>
          <w:szCs w:val="34"/>
          <w:rtl/>
        </w:rPr>
        <w:t xml:space="preserve"> وسيكفل كذلك، بالتعاون مع البرنامج 23، (</w:t>
      </w:r>
      <w:r w:rsidRPr="007948E4">
        <w:rPr>
          <w:rFonts w:ascii="Arabic Typesetting" w:hAnsi="Arabic Typesetting" w:cs="Arabic Typesetting"/>
          <w:sz w:val="34"/>
          <w:szCs w:val="34"/>
          <w:rtl/>
        </w:rPr>
        <w:t>إدارة الموارد البشرية وتطويرها</w:t>
      </w:r>
      <w:r>
        <w:rPr>
          <w:rFonts w:ascii="Arabic Typesetting" w:hAnsi="Arabic Typesetting" w:cs="Arabic Typesetting" w:hint="cs"/>
          <w:sz w:val="34"/>
          <w:szCs w:val="34"/>
          <w:rtl/>
        </w:rPr>
        <w:t>)، رصد تكاليف الموظفين بصرامة شديدة لضمان احتوائها طبقا للخطة.</w:t>
      </w:r>
    </w:p>
    <w:p w:rsidR="00C65A54" w:rsidRPr="008954A8" w:rsidRDefault="00C65A54" w:rsidP="00861CFF">
      <w:pPr>
        <w:numPr>
          <w:ilvl w:val="0"/>
          <w:numId w:val="37"/>
        </w:numPr>
        <w:spacing w:after="120" w:line="340" w:lineRule="exact"/>
        <w:rPr>
          <w:rFonts w:ascii="Arabic Typesetting" w:hAnsi="Arabic Typesetting" w:cs="Arabic Typesetting"/>
          <w:sz w:val="34"/>
          <w:szCs w:val="34"/>
        </w:rPr>
      </w:pPr>
      <w:r w:rsidRPr="00D96702">
        <w:rPr>
          <w:rFonts w:ascii="Arabic Typesetting" w:hAnsi="Arabic Typesetting" w:cs="Arabic Typesetting"/>
          <w:sz w:val="34"/>
          <w:szCs w:val="34"/>
          <w:rtl/>
        </w:rPr>
        <w:t>وسوف يواصل البرنامج إدخال وحدات وقدرات جديدة لنظام التخطيط للموارد المؤسسية في العمليات مما يؤدي إلى الحاجة إلى دعم وتعزيز نظام معقد ومتكامل تماما للتخطيط للموارد المؤسسية بطريقة فعالة من حيث التكلفة وموجهة نحو تقديم الخدمات. وسوف تظل الاستعانة بمصادر خارجية للقيام بالدعم والصيانة والتطوير التقني في ظل إدارة قوية وإطار لضمان الجودة من الاستراتيجيات الرئيسية. ويقدم تطبيق نظام التخطيط للموارد المؤسسية وتعزيز قدرات الإبلاغ فرصةً كبرى</w:t>
      </w:r>
      <w:r>
        <w:rPr>
          <w:rFonts w:ascii="Arabic Typesetting" w:hAnsi="Arabic Typesetting" w:cs="Arabic Typesetting"/>
          <w:sz w:val="34"/>
          <w:szCs w:val="34"/>
          <w:rtl/>
        </w:rPr>
        <w:t xml:space="preserve"> لتنظيم الانتفاع بالتحليلات و</w:t>
      </w:r>
      <w:r>
        <w:rPr>
          <w:rFonts w:ascii="Arabic Typesetting" w:hAnsi="Arabic Typesetting" w:cs="Arabic Typesetting" w:hint="cs"/>
          <w:sz w:val="34"/>
          <w:szCs w:val="34"/>
          <w:rtl/>
        </w:rPr>
        <w:t>الم</w:t>
      </w:r>
      <w:r w:rsidRPr="00D96702">
        <w:rPr>
          <w:rFonts w:ascii="Arabic Typesetting" w:hAnsi="Arabic Typesetting" w:cs="Arabic Typesetting"/>
          <w:sz w:val="34"/>
          <w:szCs w:val="34"/>
          <w:rtl/>
        </w:rPr>
        <w:t xml:space="preserve">علومات </w:t>
      </w:r>
      <w:proofErr w:type="spellStart"/>
      <w:r>
        <w:rPr>
          <w:rFonts w:ascii="Arabic Typesetting" w:hAnsi="Arabic Typesetting" w:cs="Arabic Typesetting" w:hint="cs"/>
          <w:sz w:val="34"/>
          <w:szCs w:val="34"/>
          <w:rtl/>
        </w:rPr>
        <w:t>المستقاة</w:t>
      </w:r>
      <w:proofErr w:type="spellEnd"/>
      <w:r>
        <w:rPr>
          <w:rFonts w:ascii="Arabic Typesetting" w:hAnsi="Arabic Typesetting" w:cs="Arabic Typesetting" w:hint="cs"/>
          <w:sz w:val="34"/>
          <w:szCs w:val="34"/>
          <w:rtl/>
        </w:rPr>
        <w:t xml:space="preserve"> من استخبارات الأعمال </w:t>
      </w:r>
      <w:r w:rsidRPr="00D96702">
        <w:rPr>
          <w:rFonts w:ascii="Arabic Typesetting" w:hAnsi="Arabic Typesetting" w:cs="Arabic Typesetting"/>
          <w:sz w:val="34"/>
          <w:szCs w:val="34"/>
          <w:rtl/>
        </w:rPr>
        <w:t xml:space="preserve">في إمداد </w:t>
      </w:r>
      <w:r>
        <w:rPr>
          <w:rFonts w:ascii="Arabic Typesetting" w:hAnsi="Arabic Typesetting" w:cs="Arabic Typesetting" w:hint="cs"/>
          <w:sz w:val="34"/>
          <w:szCs w:val="34"/>
          <w:rtl/>
        </w:rPr>
        <w:t xml:space="preserve">برنامج إدارة </w:t>
      </w:r>
      <w:r>
        <w:rPr>
          <w:rFonts w:ascii="Arabic Typesetting" w:hAnsi="Arabic Typesetting" w:cs="Arabic Typesetting"/>
          <w:sz w:val="34"/>
          <w:szCs w:val="34"/>
          <w:rtl/>
        </w:rPr>
        <w:t>البرامج والموارد بالمعلومات التي تعينه</w:t>
      </w:r>
      <w:r w:rsidRPr="00D96702">
        <w:rPr>
          <w:rFonts w:ascii="Arabic Typesetting" w:hAnsi="Arabic Typesetting" w:cs="Arabic Typesetting"/>
          <w:sz w:val="34"/>
          <w:szCs w:val="34"/>
          <w:rtl/>
        </w:rPr>
        <w:t xml:space="preserve"> على اتخاذ قرارات صائبة. كما أن تعزيز الإبلاغ سوف يُمكِّن البرنامجَ من تقييم </w:t>
      </w:r>
      <w:r>
        <w:rPr>
          <w:rFonts w:ascii="Arabic Typesetting" w:hAnsi="Arabic Typesetting" w:cs="Arabic Typesetting" w:hint="cs"/>
          <w:sz w:val="34"/>
          <w:szCs w:val="34"/>
          <w:rtl/>
        </w:rPr>
        <w:t>الضوابط</w:t>
      </w:r>
      <w:r w:rsidRPr="00D96702">
        <w:rPr>
          <w:rFonts w:ascii="Arabic Typesetting" w:hAnsi="Arabic Typesetting" w:cs="Arabic Typesetting"/>
          <w:sz w:val="34"/>
          <w:szCs w:val="34"/>
          <w:rtl/>
        </w:rPr>
        <w:t xml:space="preserve"> وزيادة تعزيزها عند الضرورة. وسوف يؤدي الانتهاء الفعال من محفظة مشاريع التخطيط للموارد المؤسسية، وانتقال الأنظمة المنشورة إلى </w:t>
      </w:r>
      <w:r>
        <w:rPr>
          <w:rFonts w:ascii="Arabic Typesetting" w:hAnsi="Arabic Typesetting" w:cs="Arabic Typesetting" w:hint="cs"/>
          <w:sz w:val="34"/>
          <w:szCs w:val="34"/>
          <w:rtl/>
        </w:rPr>
        <w:t>طور</w:t>
      </w:r>
      <w:r w:rsidRPr="00D96702">
        <w:rPr>
          <w:rFonts w:ascii="Arabic Typesetting" w:hAnsi="Arabic Typesetting" w:cs="Arabic Typesetting"/>
          <w:sz w:val="34"/>
          <w:szCs w:val="34"/>
          <w:rtl/>
        </w:rPr>
        <w:t xml:space="preserve"> التشغيل، وزيادة التركيز على تتبع الفوائد وتقييمها إلى ضمان استدامة القيمة التي تقدمها محفظة المشاريع.</w:t>
      </w:r>
    </w:p>
    <w:p w:rsidR="00C65A54" w:rsidRPr="008954A8" w:rsidRDefault="00C65A54" w:rsidP="00861CFF">
      <w:pPr>
        <w:numPr>
          <w:ilvl w:val="0"/>
          <w:numId w:val="37"/>
        </w:numPr>
        <w:spacing w:after="120" w:line="340" w:lineRule="exact"/>
        <w:rPr>
          <w:rFonts w:ascii="Arabic Typesetting" w:hAnsi="Arabic Typesetting" w:cs="Arabic Typesetting"/>
          <w:sz w:val="34"/>
          <w:szCs w:val="34"/>
          <w:lang w:val="en-GB"/>
        </w:rPr>
      </w:pPr>
      <w:r w:rsidRPr="00D96702">
        <w:rPr>
          <w:rFonts w:ascii="Arabic Typesetting" w:hAnsi="Arabic Typesetting" w:cs="Arabic Typesetting"/>
          <w:sz w:val="34"/>
          <w:szCs w:val="34"/>
          <w:rtl/>
        </w:rPr>
        <w:t>وقد شهدت الثنائية الحالية زيادةً كبيرةً في نضج عملية وثقافة إدارة المخاطر لدينا. وبناءً على ذلك، سوف يواصل البرنامج تسهيل عمل فريق إدارة المخاطر من خلال استعراض المخاطر الكبرى والتنظيمية</w:t>
      </w:r>
      <w:r>
        <w:rPr>
          <w:rFonts w:ascii="Arabic Typesetting" w:hAnsi="Arabic Typesetting" w:cs="Arabic Typesetting" w:hint="cs"/>
          <w:sz w:val="34"/>
          <w:szCs w:val="34"/>
          <w:rtl/>
        </w:rPr>
        <w:t xml:space="preserve"> </w:t>
      </w:r>
      <w:r w:rsidRPr="00D96702">
        <w:rPr>
          <w:rFonts w:ascii="Arabic Typesetting" w:hAnsi="Arabic Typesetting" w:cs="Arabic Typesetting"/>
          <w:sz w:val="34"/>
          <w:szCs w:val="34"/>
          <w:rtl/>
        </w:rPr>
        <w:t>ورصد</w:t>
      </w:r>
      <w:r>
        <w:rPr>
          <w:rFonts w:ascii="Arabic Typesetting" w:hAnsi="Arabic Typesetting" w:cs="Arabic Typesetting" w:hint="cs"/>
          <w:sz w:val="34"/>
          <w:szCs w:val="34"/>
          <w:rtl/>
        </w:rPr>
        <w:t>ها</w:t>
      </w:r>
      <w:r w:rsidRPr="00D96702">
        <w:rPr>
          <w:rFonts w:ascii="Arabic Typesetting" w:hAnsi="Arabic Typesetting" w:cs="Arabic Typesetting"/>
          <w:sz w:val="34"/>
          <w:szCs w:val="34"/>
          <w:rtl/>
        </w:rPr>
        <w:t xml:space="preserve">، إضافةً إلى الإبلاغ المنتظم عن المخاطر </w:t>
      </w:r>
      <w:r w:rsidRPr="00D96702">
        <w:rPr>
          <w:rFonts w:ascii="Arabic Typesetting" w:hAnsi="Arabic Typesetting" w:cs="Arabic Typesetting"/>
          <w:sz w:val="34"/>
          <w:szCs w:val="34"/>
          <w:rtl/>
        </w:rPr>
        <w:lastRenderedPageBreak/>
        <w:t xml:space="preserve">ودعم عملية إدارة المخاطر في كل </w:t>
      </w:r>
      <w:r>
        <w:rPr>
          <w:rFonts w:ascii="Arabic Typesetting" w:hAnsi="Arabic Typesetting" w:cs="Arabic Typesetting" w:hint="cs"/>
          <w:sz w:val="34"/>
          <w:szCs w:val="34"/>
          <w:rtl/>
        </w:rPr>
        <w:t>مستويات</w:t>
      </w:r>
      <w:r w:rsidRPr="00D96702">
        <w:rPr>
          <w:rFonts w:ascii="Arabic Typesetting" w:hAnsi="Arabic Typesetting" w:cs="Arabic Typesetting"/>
          <w:sz w:val="34"/>
          <w:szCs w:val="34"/>
          <w:rtl/>
        </w:rPr>
        <w:t xml:space="preserve"> المنظمة. وسوف يُركِّ</w:t>
      </w:r>
      <w:r>
        <w:rPr>
          <w:rFonts w:ascii="Arabic Typesetting" w:hAnsi="Arabic Typesetting" w:cs="Arabic Typesetting"/>
          <w:sz w:val="34"/>
          <w:szCs w:val="34"/>
          <w:rtl/>
        </w:rPr>
        <w:t xml:space="preserve">ز البرنامج تركيزاً كبيراً على </w:t>
      </w:r>
      <w:r>
        <w:rPr>
          <w:rFonts w:ascii="Arabic Typesetting" w:hAnsi="Arabic Typesetting" w:cs="Arabic Typesetting" w:hint="cs"/>
          <w:sz w:val="34"/>
          <w:szCs w:val="34"/>
          <w:rtl/>
        </w:rPr>
        <w:t xml:space="preserve">تحقيق </w:t>
      </w:r>
      <w:r>
        <w:rPr>
          <w:rFonts w:ascii="Arabic Typesetting" w:hAnsi="Arabic Typesetting" w:cs="Arabic Typesetting"/>
          <w:sz w:val="34"/>
          <w:szCs w:val="34"/>
          <w:rtl/>
        </w:rPr>
        <w:t xml:space="preserve">زيادة واضحة </w:t>
      </w:r>
      <w:r>
        <w:rPr>
          <w:rFonts w:ascii="Arabic Typesetting" w:hAnsi="Arabic Typesetting" w:cs="Arabic Typesetting" w:hint="cs"/>
          <w:sz w:val="34"/>
          <w:szCs w:val="34"/>
          <w:rtl/>
        </w:rPr>
        <w:t xml:space="preserve">في </w:t>
      </w:r>
      <w:r w:rsidRPr="00D96702">
        <w:rPr>
          <w:rFonts w:ascii="Arabic Typesetting" w:hAnsi="Arabic Typesetting" w:cs="Arabic Typesetting"/>
          <w:sz w:val="34"/>
          <w:szCs w:val="34"/>
          <w:rtl/>
        </w:rPr>
        <w:t>نضج نظام الرقابة الداخلية في المنظمة. وفي هذا السياق، سوف تستمر الجهود المبذولة لضمان توثيق مراقبة العمليات الرئيسية، وتحقيق وعي أكبر وأوسع ببيئة الرقابة وعمليات الرقابة الأساسية، وتحسين دعم نظام الرقابة بمعلومات وتحليلات من أنظمة التخطيط للموارد المؤسسية، و</w:t>
      </w:r>
      <w:r>
        <w:rPr>
          <w:rFonts w:ascii="Arabic Typesetting" w:hAnsi="Arabic Typesetting" w:cs="Arabic Typesetting" w:hint="cs"/>
          <w:sz w:val="34"/>
          <w:szCs w:val="34"/>
          <w:rtl/>
        </w:rPr>
        <w:t xml:space="preserve">من ثمَّ </w:t>
      </w:r>
      <w:r w:rsidRPr="00D96702">
        <w:rPr>
          <w:rFonts w:ascii="Arabic Typesetting" w:hAnsi="Arabic Typesetting" w:cs="Arabic Typesetting"/>
          <w:sz w:val="34"/>
          <w:szCs w:val="34"/>
          <w:rtl/>
        </w:rPr>
        <w:t>تقييم فعالية عمليات الرقابة الأساسية على أساس مستمر. وسوف يمنح البرنامجُ أولوية قصوى للحوار المستمر القائم مع هيئات التدقيق والرقابة والمتابعة المنتظمة لجميع التوصيات المعل</w:t>
      </w:r>
      <w:r>
        <w:rPr>
          <w:rFonts w:ascii="Arabic Typesetting" w:hAnsi="Arabic Typesetting" w:cs="Arabic Typesetting" w:hint="cs"/>
          <w:sz w:val="34"/>
          <w:szCs w:val="34"/>
          <w:rtl/>
        </w:rPr>
        <w:t>ّ</w:t>
      </w:r>
      <w:r w:rsidRPr="00D96702">
        <w:rPr>
          <w:rFonts w:ascii="Arabic Typesetting" w:hAnsi="Arabic Typesetting" w:cs="Arabic Typesetting"/>
          <w:sz w:val="34"/>
          <w:szCs w:val="34"/>
          <w:rtl/>
        </w:rPr>
        <w:t>قة.</w:t>
      </w:r>
    </w:p>
    <w:p w:rsidR="00C65A54" w:rsidRPr="004F4A39" w:rsidRDefault="00C65A54"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4F4A39">
        <w:rPr>
          <w:rFonts w:ascii="Arabic Typesetting" w:hAnsi="Arabic Typesetting" w:cs="Arabic Typesetting"/>
          <w:noProof/>
          <w:snapToGrid/>
          <w:sz w:val="38"/>
          <w:szCs w:val="38"/>
          <w:rtl/>
          <w:lang w:val="x-none" w:eastAsia="x-none" w:bidi="ar-EG"/>
        </w:rPr>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35"/>
        <w:gridCol w:w="4537"/>
      </w:tblGrid>
      <w:tr w:rsidR="00C65A54" w:rsidRPr="008954A8" w:rsidTr="00DA5475">
        <w:trPr>
          <w:trHeight w:val="709"/>
        </w:trPr>
        <w:tc>
          <w:tcPr>
            <w:tcW w:w="4535" w:type="dxa"/>
            <w:tcBorders>
              <w:top w:val="single" w:sz="4" w:space="0" w:color="auto"/>
              <w:bottom w:val="single" w:sz="4" w:space="0" w:color="auto"/>
            </w:tcBorders>
            <w:shd w:val="clear" w:color="auto" w:fill="C6D9F1"/>
          </w:tcPr>
          <w:p w:rsidR="00C65A54" w:rsidRPr="008954A8" w:rsidRDefault="00C65A54" w:rsidP="00DA5475">
            <w:pPr>
              <w:pStyle w:val="ARProgramTableHeading"/>
              <w:keepNext/>
              <w:spacing w:beforeLines="60" w:before="144" w:afterLines="60" w:after="144" w:line="300" w:lineRule="exact"/>
              <w:rPr>
                <w:rtl/>
                <w:lang w:bidi="ar-SA"/>
              </w:rPr>
            </w:pPr>
            <w:r>
              <w:rPr>
                <w:rFonts w:hint="cs"/>
                <w:rtl/>
                <w:lang w:bidi="ar-SA"/>
              </w:rPr>
              <w:t>المخاطر</w:t>
            </w:r>
          </w:p>
        </w:tc>
        <w:tc>
          <w:tcPr>
            <w:tcW w:w="4537" w:type="dxa"/>
            <w:tcBorders>
              <w:top w:val="single" w:sz="4" w:space="0" w:color="auto"/>
              <w:bottom w:val="single" w:sz="4" w:space="0" w:color="auto"/>
            </w:tcBorders>
            <w:shd w:val="clear" w:color="auto" w:fill="C6D9F1"/>
          </w:tcPr>
          <w:p w:rsidR="00C65A54" w:rsidRPr="008954A8" w:rsidRDefault="00C65A54" w:rsidP="00DA5475">
            <w:pPr>
              <w:pStyle w:val="ARProgramTableHeading"/>
              <w:keepNext/>
              <w:spacing w:beforeLines="60" w:before="144" w:afterLines="60" w:after="144" w:line="300" w:lineRule="exact"/>
              <w:rPr>
                <w:rtl/>
              </w:rPr>
            </w:pPr>
            <w:r>
              <w:rPr>
                <w:rFonts w:hint="cs"/>
                <w:rtl/>
              </w:rPr>
              <w:t>التخفيف منها</w:t>
            </w:r>
          </w:p>
        </w:tc>
      </w:tr>
      <w:tr w:rsidR="00C65A54" w:rsidRPr="008954A8" w:rsidTr="00DA5475">
        <w:trPr>
          <w:trHeight w:val="1222"/>
        </w:trPr>
        <w:tc>
          <w:tcPr>
            <w:tcW w:w="4535" w:type="dxa"/>
            <w:tcBorders>
              <w:top w:val="single" w:sz="4" w:space="0" w:color="auto"/>
              <w:bottom w:val="nil"/>
            </w:tcBorders>
            <w:tcMar>
              <w:top w:w="113" w:type="dxa"/>
              <w:bottom w:w="85"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D96702">
              <w:rPr>
                <w:rFonts w:ascii="Arabic Typesetting" w:hAnsi="Arabic Typesetting" w:cs="Arabic Typesetting"/>
                <w:sz w:val="30"/>
                <w:szCs w:val="30"/>
                <w:rtl/>
              </w:rPr>
              <w:t>انخفاض مستويات الإيرادات انخفاضاً كبيراً عمّا هو مخطط</w:t>
            </w:r>
            <w:r>
              <w:rPr>
                <w:rFonts w:ascii="Arabic Typesetting" w:hAnsi="Arabic Typesetting" w:cs="Arabic Typesetting" w:hint="cs"/>
                <w:sz w:val="30"/>
                <w:szCs w:val="30"/>
                <w:rtl/>
              </w:rPr>
              <w:t xml:space="preserve"> له</w:t>
            </w:r>
            <w:r>
              <w:rPr>
                <w:rFonts w:ascii="Arabic Typesetting" w:hAnsi="Arabic Typesetting" w:cs="Arabic Typesetting"/>
                <w:sz w:val="30"/>
                <w:szCs w:val="30"/>
                <w:rtl/>
              </w:rPr>
              <w:t xml:space="preserve">. وقد يؤدي ذلك، </w:t>
            </w:r>
            <w:r>
              <w:rPr>
                <w:rFonts w:ascii="Arabic Typesetting" w:hAnsi="Arabic Typesetting" w:cs="Arabic Typesetting" w:hint="cs"/>
                <w:sz w:val="30"/>
                <w:szCs w:val="30"/>
                <w:rtl/>
              </w:rPr>
              <w:t>إلى جانب</w:t>
            </w:r>
            <w:r w:rsidRPr="00D96702">
              <w:rPr>
                <w:rFonts w:ascii="Arabic Typesetting" w:hAnsi="Arabic Typesetting" w:cs="Arabic Typesetting"/>
                <w:sz w:val="30"/>
                <w:szCs w:val="30"/>
                <w:rtl/>
              </w:rPr>
              <w:t xml:space="preserve"> عدم القدرة عل</w:t>
            </w:r>
            <w:r>
              <w:rPr>
                <w:rFonts w:ascii="Arabic Typesetting" w:hAnsi="Arabic Typesetting" w:cs="Arabic Typesetting"/>
                <w:sz w:val="30"/>
                <w:szCs w:val="30"/>
                <w:rtl/>
              </w:rPr>
              <w:t xml:space="preserve">ى التصرف بسرعة لتقليص النفقات </w:t>
            </w:r>
            <w:r>
              <w:rPr>
                <w:rFonts w:ascii="Arabic Typesetting" w:hAnsi="Arabic Typesetting" w:cs="Arabic Typesetting" w:hint="cs"/>
                <w:sz w:val="30"/>
                <w:szCs w:val="30"/>
                <w:rtl/>
              </w:rPr>
              <w:t>إلى م</w:t>
            </w:r>
            <w:r w:rsidRPr="00D96702">
              <w:rPr>
                <w:rFonts w:ascii="Arabic Typesetting" w:hAnsi="Arabic Typesetting" w:cs="Arabic Typesetting"/>
                <w:sz w:val="30"/>
                <w:szCs w:val="30"/>
                <w:rtl/>
              </w:rPr>
              <w:t>ستوى مناسب، إلى حدوث عجز والتأثير سلباً على إنجاز البرنامج.</w:t>
            </w:r>
          </w:p>
        </w:tc>
        <w:tc>
          <w:tcPr>
            <w:tcW w:w="4537" w:type="dxa"/>
            <w:tcBorders>
              <w:top w:val="single" w:sz="4" w:space="0" w:color="auto"/>
              <w:bottom w:val="nil"/>
            </w:tcBorders>
            <w:tcMar>
              <w:top w:w="113" w:type="dxa"/>
              <w:bottom w:w="85" w:type="dxa"/>
            </w:tcMar>
            <w:vAlign w:val="bottom"/>
          </w:tcPr>
          <w:p w:rsidR="00C65A54" w:rsidRPr="008954A8" w:rsidRDefault="00C65A54" w:rsidP="00DA5475">
            <w:pPr>
              <w:autoSpaceDE w:val="0"/>
              <w:autoSpaceDN w:val="0"/>
              <w:adjustRightInd w:val="0"/>
              <w:spacing w:beforeLines="60" w:before="144" w:afterLines="60" w:after="144" w:line="300" w:lineRule="exact"/>
              <w:ind w:right="-59"/>
              <w:jc w:val="both"/>
              <w:rPr>
                <w:rFonts w:ascii="Arabic Typesetting" w:hAnsi="Arabic Typesetting" w:cs="Arabic Typesetting"/>
                <w:sz w:val="30"/>
                <w:szCs w:val="30"/>
              </w:rPr>
            </w:pPr>
            <w:r w:rsidRPr="00D96702">
              <w:rPr>
                <w:rFonts w:ascii="Arabic Typesetting" w:hAnsi="Arabic Typesetting" w:cs="Arabic Typesetting"/>
                <w:sz w:val="30"/>
                <w:szCs w:val="30"/>
                <w:rtl/>
              </w:rPr>
              <w:t xml:space="preserve">تحافظ المنظمة </w:t>
            </w:r>
            <w:r>
              <w:rPr>
                <w:rFonts w:ascii="Arabic Typesetting" w:hAnsi="Arabic Typesetting" w:cs="Arabic Typesetting" w:hint="cs"/>
                <w:sz w:val="30"/>
                <w:szCs w:val="30"/>
                <w:rtl/>
              </w:rPr>
              <w:t xml:space="preserve">حاليا </w:t>
            </w:r>
            <w:r w:rsidRPr="00D96702">
              <w:rPr>
                <w:rFonts w:ascii="Arabic Typesetting" w:hAnsi="Arabic Typesetting" w:cs="Arabic Typesetting"/>
                <w:sz w:val="30"/>
                <w:szCs w:val="30"/>
                <w:rtl/>
              </w:rPr>
              <w:t>على مستوى مناسب من الأموال الاحتياطية (حوالي 18% من ميزانية الثنائية) لكي تكون قادرة على مواجهة أي انخفاض محتمل في الإيرادات.</w:t>
            </w:r>
            <w:r>
              <w:rPr>
                <w:rFonts w:ascii="Arabic Typesetting" w:hAnsi="Arabic Typesetting" w:cs="Arabic Typesetting" w:hint="cs"/>
                <w:sz w:val="30"/>
                <w:szCs w:val="30"/>
                <w:rtl/>
              </w:rPr>
              <w:t xml:space="preserve"> وستسهم زيادة في المستوى المستهدف من الأموال الاحتياطية في زيادة التخفيف من هذا الخطر.</w:t>
            </w:r>
          </w:p>
          <w:p w:rsidR="00C65A54" w:rsidRPr="008954A8" w:rsidRDefault="00C65A54" w:rsidP="00DA5475">
            <w:pPr>
              <w:autoSpaceDE w:val="0"/>
              <w:autoSpaceDN w:val="0"/>
              <w:adjustRightInd w:val="0"/>
              <w:spacing w:beforeLines="60" w:before="144" w:afterLines="60" w:after="144" w:line="300" w:lineRule="exact"/>
              <w:ind w:right="-59"/>
              <w:jc w:val="both"/>
              <w:rPr>
                <w:rFonts w:ascii="Arabic Typesetting" w:hAnsi="Arabic Typesetting" w:cs="Arabic Typesetting"/>
                <w:sz w:val="30"/>
                <w:szCs w:val="30"/>
              </w:rPr>
            </w:pPr>
            <w:r w:rsidRPr="00D96702">
              <w:rPr>
                <w:rFonts w:ascii="Arabic Typesetting" w:hAnsi="Arabic Typesetting" w:cs="Arabic Typesetting"/>
                <w:sz w:val="30"/>
                <w:szCs w:val="30"/>
                <w:rtl/>
              </w:rPr>
              <w:t>وتقوم الأمانة بتحديث توقعات الإيرادات كل ثلاثة أشهر، وترصد عن كثب كلاً من الإيرادات والنفقات.</w:t>
            </w:r>
            <w:r w:rsidRPr="008954A8">
              <w:rPr>
                <w:rFonts w:ascii="Arabic Typesetting" w:hAnsi="Arabic Typesetting" w:cs="Arabic Typesetting"/>
                <w:sz w:val="30"/>
                <w:szCs w:val="30"/>
              </w:rPr>
              <w:t xml:space="preserve"> </w:t>
            </w:r>
          </w:p>
        </w:tc>
      </w:tr>
      <w:tr w:rsidR="00C65A54" w:rsidRPr="008954A8" w:rsidTr="00DA5475">
        <w:trPr>
          <w:trHeight w:val="1222"/>
        </w:trPr>
        <w:tc>
          <w:tcPr>
            <w:tcW w:w="4535" w:type="dxa"/>
            <w:tcBorders>
              <w:top w:val="nil"/>
              <w:bottom w:val="single" w:sz="4" w:space="0" w:color="auto"/>
            </w:tcBorders>
            <w:tcMar>
              <w:top w:w="113" w:type="dxa"/>
              <w:bottom w:w="85" w:type="dxa"/>
            </w:tcMar>
          </w:tcPr>
          <w:p w:rsidR="00C65A54" w:rsidRPr="00D96702" w:rsidRDefault="00C65A54" w:rsidP="00DA5475">
            <w:pPr>
              <w:spacing w:beforeLines="60" w:before="144" w:afterLines="60" w:after="144" w:line="300" w:lineRule="exact"/>
              <w:rPr>
                <w:rFonts w:ascii="Arabic Typesetting" w:hAnsi="Arabic Typesetting" w:cs="Arabic Typesetting"/>
                <w:sz w:val="30"/>
                <w:szCs w:val="30"/>
                <w:rtl/>
              </w:rPr>
            </w:pPr>
            <w:r w:rsidRPr="00D96702">
              <w:rPr>
                <w:rFonts w:ascii="Arabic Typesetting" w:hAnsi="Arabic Typesetting" w:cs="Arabic Typesetting"/>
                <w:sz w:val="30"/>
                <w:szCs w:val="30"/>
                <w:rtl/>
              </w:rPr>
              <w:t>في سياق المنظمات التي تتجنب المخاطرة وفي حالة تغير سياسة البنك الوطني السويسري فيما يتعلق بإدارة حسابات المنظمات الدولية، قد ي</w:t>
            </w:r>
            <w:r>
              <w:rPr>
                <w:rFonts w:ascii="Arabic Typesetting" w:hAnsi="Arabic Typesetting" w:cs="Arabic Typesetting" w:hint="cs"/>
                <w:sz w:val="30"/>
                <w:szCs w:val="30"/>
                <w:rtl/>
              </w:rPr>
              <w:t xml:space="preserve">قع </w:t>
            </w:r>
            <w:r w:rsidRPr="00D96702">
              <w:rPr>
                <w:rFonts w:ascii="Arabic Typesetting" w:hAnsi="Arabic Typesetting" w:cs="Arabic Typesetting"/>
                <w:sz w:val="30"/>
                <w:szCs w:val="30"/>
                <w:rtl/>
              </w:rPr>
              <w:t>الخطر المتمثل في زيادة النفقات فضلاً عن انخفاض صافي الأصول (الاحتياطيات) للأسباب التالية: "1" معدلات الفائدة السلبية، "2" والرسوم الإضافية للتوظيفات المتعددة، "3"</w:t>
            </w:r>
            <w:r>
              <w:rPr>
                <w:rFonts w:ascii="Arabic Typesetting" w:hAnsi="Arabic Typesetting" w:cs="Arabic Typesetting" w:hint="cs"/>
                <w:sz w:val="30"/>
                <w:szCs w:val="30"/>
                <w:rtl/>
              </w:rPr>
              <w:t> </w:t>
            </w:r>
            <w:r w:rsidRPr="00D96702">
              <w:rPr>
                <w:rFonts w:ascii="Arabic Typesetting" w:hAnsi="Arabic Typesetting" w:cs="Arabic Typesetting"/>
                <w:sz w:val="30"/>
                <w:szCs w:val="30"/>
                <w:rtl/>
              </w:rPr>
              <w:t>وعدم وجود الضمان الكامل لرأس المال لتغطية الأصول السائلة التي سوف تحتاج إلى أن توضع لدى بنوك تجارية متعددة أقل تصنيفاً.</w:t>
            </w:r>
          </w:p>
        </w:tc>
        <w:tc>
          <w:tcPr>
            <w:tcW w:w="4537" w:type="dxa"/>
            <w:tcBorders>
              <w:top w:val="nil"/>
              <w:bottom w:val="single" w:sz="4" w:space="0" w:color="auto"/>
            </w:tcBorders>
            <w:tcMar>
              <w:top w:w="113" w:type="dxa"/>
              <w:bottom w:w="85" w:type="dxa"/>
            </w:tcMar>
          </w:tcPr>
          <w:p w:rsidR="00C65A54" w:rsidRPr="008954A8" w:rsidRDefault="00C65A54" w:rsidP="00DA5475">
            <w:pPr>
              <w:autoSpaceDE w:val="0"/>
              <w:autoSpaceDN w:val="0"/>
              <w:adjustRightInd w:val="0"/>
              <w:spacing w:beforeLines="60" w:before="144" w:afterLines="60" w:after="144" w:line="300" w:lineRule="exact"/>
              <w:ind w:right="-59"/>
              <w:jc w:val="both"/>
              <w:rPr>
                <w:rFonts w:ascii="Arabic Typesetting" w:hAnsi="Arabic Typesetting" w:cs="Arabic Typesetting"/>
                <w:sz w:val="30"/>
                <w:szCs w:val="30"/>
                <w:rtl/>
              </w:rPr>
            </w:pPr>
            <w:r w:rsidRPr="00D96702">
              <w:rPr>
                <w:rFonts w:ascii="Arabic Typesetting" w:hAnsi="Arabic Typesetting" w:cs="Arabic Typesetting"/>
                <w:sz w:val="30"/>
                <w:szCs w:val="30"/>
                <w:rtl/>
              </w:rPr>
              <w:t>سوف تؤدي موافقة الدول الأعضاء على سياسة استثمار جديدة إلى: "1" تمكين المنظمة من وضع أصولها السائلة لدى مؤسسات مالية ذات تصنيفات أدنى من البنك الوطني السويسري، "2" والسماح باستثمار أصول المنظمة السائلة بعائد ما في حالة قبول إمكانية حدوث قدر من الخسارة المحدودة</w:t>
            </w:r>
            <w:r>
              <w:rPr>
                <w:rFonts w:ascii="Arabic Typesetting" w:hAnsi="Arabic Typesetting" w:cs="Arabic Typesetting" w:hint="cs"/>
                <w:sz w:val="30"/>
                <w:szCs w:val="30"/>
                <w:rtl/>
              </w:rPr>
              <w:t>، "3" والسماح باستثمار أموال التأمين الصحي بعد نهاية الخدمة بطريقة تمكّن من كسب عائد إيجابي على المدى البعيد.</w:t>
            </w:r>
          </w:p>
        </w:tc>
      </w:tr>
    </w:tbl>
    <w:p w:rsidR="00C65A54" w:rsidRPr="008954A8" w:rsidRDefault="00C65A54" w:rsidP="00DA5475">
      <w:pPr>
        <w:tabs>
          <w:tab w:val="left" w:pos="567"/>
          <w:tab w:val="left" w:pos="1985"/>
        </w:tabs>
        <w:jc w:val="both"/>
        <w:rPr>
          <w:rFonts w:ascii="Arabic Typesetting" w:hAnsi="Arabic Typesetting" w:cs="Arabic Typesetting"/>
          <w:b/>
          <w:sz w:val="30"/>
          <w:szCs w:val="30"/>
        </w:rPr>
      </w:pPr>
    </w:p>
    <w:p w:rsidR="00C65A54" w:rsidRPr="004F4A39" w:rsidRDefault="00C65A54"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4F4A39">
        <w:rPr>
          <w:rFonts w:ascii="Arabic Typesetting" w:hAnsi="Arabic Typesetting" w:cs="Arabic Typesetting" w:hint="cs"/>
          <w:noProof/>
          <w:snapToGrid/>
          <w:sz w:val="38"/>
          <w:szCs w:val="38"/>
          <w:rtl/>
          <w:lang w:val="x-none" w:eastAsia="x-none" w:bidi="ar-EG"/>
        </w:rPr>
        <w:t>إطار النتائج</w:t>
      </w:r>
    </w:p>
    <w:tbl>
      <w:tblPr>
        <w:bidiVisual/>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145"/>
        <w:gridCol w:w="2250"/>
        <w:gridCol w:w="2662"/>
      </w:tblGrid>
      <w:tr w:rsidR="00C65A54" w:rsidRPr="008954A8" w:rsidTr="00DA5475">
        <w:trPr>
          <w:trHeight w:val="422"/>
          <w:tblHeader/>
        </w:trPr>
        <w:tc>
          <w:tcPr>
            <w:tcW w:w="1249" w:type="pct"/>
            <w:tcBorders>
              <w:top w:val="single" w:sz="4" w:space="0" w:color="auto"/>
              <w:bottom w:val="single" w:sz="4" w:space="0" w:color="auto"/>
            </w:tcBorders>
            <w:shd w:val="clear" w:color="auto" w:fill="C6D9F1"/>
            <w:tcMar>
              <w:top w:w="113" w:type="dxa"/>
            </w:tcMar>
            <w:vAlign w:val="center"/>
          </w:tcPr>
          <w:p w:rsidR="00C65A54" w:rsidRPr="008954A8" w:rsidRDefault="00C65A54" w:rsidP="00DA5475">
            <w:pPr>
              <w:spacing w:beforeLines="60" w:before="144" w:afterLines="60" w:after="144" w:line="300" w:lineRule="exact"/>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النتائج المرتقبة</w:t>
            </w:r>
          </w:p>
        </w:tc>
        <w:tc>
          <w:tcPr>
            <w:tcW w:w="1140" w:type="pct"/>
            <w:tcBorders>
              <w:top w:val="single" w:sz="4" w:space="0" w:color="auto"/>
              <w:bottom w:val="single" w:sz="4" w:space="0" w:color="auto"/>
            </w:tcBorders>
            <w:shd w:val="clear" w:color="auto" w:fill="C6D9F1"/>
            <w:tcMar>
              <w:top w:w="113" w:type="dxa"/>
            </w:tcMar>
            <w:vAlign w:val="center"/>
          </w:tcPr>
          <w:p w:rsidR="00C65A54" w:rsidRPr="008954A8" w:rsidRDefault="00C65A54" w:rsidP="00DA5475">
            <w:pPr>
              <w:spacing w:beforeLines="60" w:before="144" w:afterLines="60" w:after="144" w:line="300" w:lineRule="exact"/>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مؤشرات الأداء</w:t>
            </w:r>
          </w:p>
        </w:tc>
        <w:tc>
          <w:tcPr>
            <w:tcW w:w="1196" w:type="pct"/>
            <w:tcBorders>
              <w:top w:val="single" w:sz="4" w:space="0" w:color="auto"/>
              <w:bottom w:val="single" w:sz="4" w:space="0" w:color="auto"/>
            </w:tcBorders>
            <w:shd w:val="clear" w:color="auto" w:fill="C6D9F1"/>
            <w:tcMar>
              <w:top w:w="113" w:type="dxa"/>
            </w:tcMar>
            <w:vAlign w:val="center"/>
          </w:tcPr>
          <w:p w:rsidR="00C65A54" w:rsidRPr="008954A8" w:rsidRDefault="00C65A54" w:rsidP="00DA5475">
            <w:pPr>
              <w:spacing w:beforeLines="60" w:before="144" w:afterLines="60" w:after="144" w:line="300" w:lineRule="exact"/>
              <w:ind w:left="85"/>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أسس المقارنة</w:t>
            </w:r>
          </w:p>
        </w:tc>
        <w:tc>
          <w:tcPr>
            <w:tcW w:w="1415" w:type="pct"/>
            <w:tcBorders>
              <w:top w:val="single" w:sz="4" w:space="0" w:color="auto"/>
              <w:bottom w:val="single" w:sz="4" w:space="0" w:color="auto"/>
            </w:tcBorders>
            <w:shd w:val="clear" w:color="auto" w:fill="C6D9F1"/>
            <w:tcMar>
              <w:top w:w="113" w:type="dxa"/>
            </w:tcMar>
            <w:vAlign w:val="center"/>
          </w:tcPr>
          <w:p w:rsidR="00C65A54" w:rsidRPr="008954A8" w:rsidRDefault="00C65A54" w:rsidP="00DA5475">
            <w:pPr>
              <w:keepNext/>
              <w:keepLines/>
              <w:spacing w:beforeLines="60" w:before="144" w:afterLines="60" w:after="144" w:line="300" w:lineRule="exact"/>
              <w:ind w:right="146"/>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الأهداف</w:t>
            </w:r>
          </w:p>
        </w:tc>
      </w:tr>
      <w:tr w:rsidR="00C65A54" w:rsidRPr="008954A8" w:rsidTr="00DA5475">
        <w:tc>
          <w:tcPr>
            <w:tcW w:w="1249" w:type="pct"/>
            <w:tcBorders>
              <w:top w:val="single" w:sz="4" w:space="0" w:color="auto"/>
              <w:bottom w:val="nil"/>
            </w:tcBorders>
            <w:tcMar>
              <w:top w:w="113" w:type="dxa"/>
            </w:tcMar>
          </w:tcPr>
          <w:p w:rsidR="00C65A54" w:rsidRPr="00D96702" w:rsidRDefault="009800D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C65A54">
              <w:rPr>
                <w:rFonts w:ascii="Arabic Typesetting" w:hAnsi="Arabic Typesetting" w:cs="Arabic Typesetting" w:hint="cs"/>
                <w:sz w:val="30"/>
                <w:szCs w:val="30"/>
                <w:rtl/>
              </w:rPr>
              <w:t xml:space="preserve"> </w:t>
            </w:r>
            <w:r w:rsidR="00C65A54" w:rsidRPr="00D96702">
              <w:rPr>
                <w:rFonts w:ascii="Arabic Typesetting" w:hAnsi="Arabic Typesetting" w:cs="Arabic Typesetting"/>
                <w:sz w:val="30"/>
                <w:szCs w:val="30"/>
                <w:rtl/>
              </w:rPr>
              <w:t>1.9 خدمات دعم موجهة للزبون بفعالية وكفاءة وجودة لفائدة الزبائن الداخليين وأصحاب المصلحة الخارجيين</w:t>
            </w:r>
          </w:p>
        </w:tc>
        <w:tc>
          <w:tcPr>
            <w:tcW w:w="1140" w:type="pct"/>
            <w:tcBorders>
              <w:top w:val="single" w:sz="4" w:space="0" w:color="auto"/>
              <w:bottom w:val="nil"/>
            </w:tcBorders>
            <w:tcMar>
              <w:top w:w="113" w:type="dxa"/>
            </w:tcMar>
          </w:tcPr>
          <w:p w:rsidR="00C65A54" w:rsidRPr="007B08CC" w:rsidRDefault="00C65A54" w:rsidP="00DA5475">
            <w:pPr>
              <w:spacing w:beforeLines="60" w:before="144" w:afterLines="60" w:after="144" w:line="300" w:lineRule="exact"/>
              <w:rPr>
                <w:rFonts w:ascii="Arabic Typesetting" w:hAnsi="Arabic Typesetting" w:cs="Arabic Typesetting"/>
                <w:sz w:val="30"/>
                <w:szCs w:val="30"/>
                <w:rtl/>
              </w:rPr>
            </w:pPr>
            <w:r w:rsidRPr="007B08CC">
              <w:rPr>
                <w:rFonts w:ascii="Arabic Typesetting" w:hAnsi="Arabic Typesetting" w:cs="Arabic Typesetting"/>
                <w:sz w:val="30"/>
                <w:szCs w:val="30"/>
                <w:rtl/>
              </w:rPr>
              <w:t>تقديم التقارير المالية والإدارية والتحليلات المطلوبة من الإدارة العليا وم</w:t>
            </w:r>
            <w:r>
              <w:rPr>
                <w:rFonts w:ascii="Arabic Typesetting" w:hAnsi="Arabic Typesetting" w:cs="Arabic Typesetting"/>
                <w:sz w:val="30"/>
                <w:szCs w:val="30"/>
                <w:rtl/>
              </w:rPr>
              <w:t>ديري البرامج والدول الأعضاء وفق</w:t>
            </w:r>
            <w:r w:rsidRPr="007B08CC">
              <w:rPr>
                <w:rFonts w:ascii="Arabic Typesetting" w:hAnsi="Arabic Typesetting" w:cs="Arabic Typesetting"/>
                <w:sz w:val="30"/>
                <w:szCs w:val="30"/>
                <w:rtl/>
              </w:rPr>
              <w:t>ا</w:t>
            </w:r>
            <w:r>
              <w:rPr>
                <w:rFonts w:ascii="Arabic Typesetting" w:hAnsi="Arabic Typesetting" w:cs="Arabic Typesetting" w:hint="cs"/>
                <w:sz w:val="30"/>
                <w:szCs w:val="30"/>
                <w:rtl/>
              </w:rPr>
              <w:t>ً</w:t>
            </w:r>
            <w:r w:rsidRPr="007B08CC">
              <w:rPr>
                <w:rFonts w:ascii="Arabic Typesetting" w:hAnsi="Arabic Typesetting" w:cs="Arabic Typesetting"/>
                <w:sz w:val="30"/>
                <w:szCs w:val="30"/>
                <w:rtl/>
              </w:rPr>
              <w:t xml:space="preserve"> للمواعيد النهائية المتفق عليها</w:t>
            </w:r>
          </w:p>
        </w:tc>
        <w:tc>
          <w:tcPr>
            <w:tcW w:w="1196" w:type="pct"/>
            <w:tcBorders>
              <w:top w:val="single" w:sz="4" w:space="0" w:color="auto"/>
              <w:bottom w:val="nil"/>
            </w:tcBorders>
            <w:shd w:val="clear" w:color="auto" w:fill="FFFFFF"/>
            <w:tcMar>
              <w:top w:w="113" w:type="dxa"/>
            </w:tcMar>
          </w:tcPr>
          <w:p w:rsidR="00C65A54" w:rsidRPr="007B08CC" w:rsidRDefault="00C65A5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إكمال الإ</w:t>
            </w:r>
            <w:r>
              <w:rPr>
                <w:rFonts w:ascii="Arabic Typesetting" w:hAnsi="Arabic Typesetting" w:cs="Arabic Typesetting" w:hint="cs"/>
                <w:sz w:val="30"/>
                <w:szCs w:val="30"/>
                <w:rtl/>
              </w:rPr>
              <w:t>قفال</w:t>
            </w:r>
            <w:r w:rsidRPr="007B08CC">
              <w:rPr>
                <w:rFonts w:ascii="Arabic Typesetting" w:hAnsi="Arabic Typesetting" w:cs="Arabic Typesetting"/>
                <w:sz w:val="30"/>
                <w:szCs w:val="30"/>
                <w:rtl/>
              </w:rPr>
              <w:t xml:space="preserve"> الشهري بعد نهاية الشهر بعشرة أ</w:t>
            </w:r>
            <w:r>
              <w:rPr>
                <w:rFonts w:ascii="Arabic Typesetting" w:hAnsi="Arabic Typesetting" w:cs="Arabic Typesetting"/>
                <w:sz w:val="30"/>
                <w:szCs w:val="30"/>
                <w:rtl/>
              </w:rPr>
              <w:t>يام (عدا يناير حيث يتحدد الإ</w:t>
            </w:r>
            <w:r>
              <w:rPr>
                <w:rFonts w:ascii="Arabic Typesetting" w:hAnsi="Arabic Typesetting" w:cs="Arabic Typesetting" w:hint="cs"/>
                <w:sz w:val="30"/>
                <w:szCs w:val="30"/>
                <w:rtl/>
              </w:rPr>
              <w:t>قفال</w:t>
            </w:r>
            <w:r w:rsidRPr="007B08CC">
              <w:rPr>
                <w:rFonts w:ascii="Arabic Typesetting" w:hAnsi="Arabic Typesetting" w:cs="Arabic Typesetting"/>
                <w:sz w:val="30"/>
                <w:szCs w:val="30"/>
                <w:rtl/>
              </w:rPr>
              <w:t xml:space="preserve"> الشهري </w:t>
            </w:r>
            <w:r>
              <w:rPr>
                <w:rFonts w:ascii="Arabic Typesetting" w:hAnsi="Arabic Typesetting" w:cs="Arabic Typesetting" w:hint="cs"/>
                <w:sz w:val="30"/>
                <w:szCs w:val="30"/>
                <w:rtl/>
              </w:rPr>
              <w:t>وفق</w:t>
            </w:r>
            <w:r>
              <w:rPr>
                <w:rFonts w:ascii="Arabic Typesetting" w:hAnsi="Arabic Typesetting" w:cs="Arabic Typesetting"/>
                <w:sz w:val="30"/>
                <w:szCs w:val="30"/>
                <w:rtl/>
              </w:rPr>
              <w:t xml:space="preserve"> تقدم الإ</w:t>
            </w:r>
            <w:r>
              <w:rPr>
                <w:rFonts w:ascii="Arabic Typesetting" w:hAnsi="Arabic Typesetting" w:cs="Arabic Typesetting" w:hint="cs"/>
                <w:sz w:val="30"/>
                <w:szCs w:val="30"/>
                <w:rtl/>
              </w:rPr>
              <w:t>قفال</w:t>
            </w:r>
            <w:r w:rsidRPr="007B08CC">
              <w:rPr>
                <w:rFonts w:ascii="Arabic Typesetting" w:hAnsi="Arabic Typesetting" w:cs="Arabic Typesetting"/>
                <w:sz w:val="30"/>
                <w:szCs w:val="30"/>
                <w:rtl/>
              </w:rPr>
              <w:t xml:space="preserve"> السنوي)</w:t>
            </w:r>
          </w:p>
        </w:tc>
        <w:tc>
          <w:tcPr>
            <w:tcW w:w="1415" w:type="pct"/>
            <w:tcBorders>
              <w:top w:val="single" w:sz="4" w:space="0" w:color="auto"/>
              <w:bottom w:val="nil"/>
            </w:tcBorders>
            <w:tcMar>
              <w:top w:w="113" w:type="dxa"/>
            </w:tcMar>
          </w:tcPr>
          <w:p w:rsidR="00C65A54" w:rsidRPr="007B08CC" w:rsidRDefault="00C65A54" w:rsidP="00DA5475">
            <w:pPr>
              <w:keepNext/>
              <w:keepLines/>
              <w:spacing w:beforeLines="60" w:before="144" w:afterLines="60" w:after="144" w:line="300" w:lineRule="exact"/>
              <w:ind w:right="381"/>
              <w:rPr>
                <w:rFonts w:ascii="Arabic Typesetting" w:hAnsi="Arabic Typesetting" w:cs="Arabic Typesetting"/>
                <w:b/>
                <w:sz w:val="30"/>
                <w:szCs w:val="30"/>
                <w:rtl/>
              </w:rPr>
            </w:pPr>
            <w:r w:rsidRPr="007B08CC">
              <w:rPr>
                <w:rFonts w:ascii="Arabic Typesetting" w:hAnsi="Arabic Typesetting" w:cs="Arabic Typesetting"/>
                <w:b/>
                <w:sz w:val="30"/>
                <w:szCs w:val="30"/>
                <w:rtl/>
              </w:rPr>
              <w:t>مثل أسس المقارنة</w:t>
            </w:r>
          </w:p>
        </w:tc>
      </w:tr>
      <w:tr w:rsidR="00C65A54" w:rsidRPr="008954A8" w:rsidTr="00DA5475">
        <w:tc>
          <w:tcPr>
            <w:tcW w:w="1249" w:type="pct"/>
            <w:tcBorders>
              <w:top w:val="nil"/>
              <w:bottom w:val="single" w:sz="4" w:space="0" w:color="auto"/>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tl/>
              </w:rPr>
            </w:pPr>
          </w:p>
        </w:tc>
        <w:tc>
          <w:tcPr>
            <w:tcW w:w="1140" w:type="pct"/>
            <w:tcBorders>
              <w:top w:val="nil"/>
              <w:bottom w:val="single" w:sz="4" w:space="0" w:color="auto"/>
            </w:tcBorders>
            <w:tcMar>
              <w:top w:w="113" w:type="dxa"/>
            </w:tcMar>
          </w:tcPr>
          <w:p w:rsidR="00C65A54" w:rsidRPr="007B08CC" w:rsidRDefault="00C65A54" w:rsidP="00DA5475">
            <w:pPr>
              <w:spacing w:beforeLines="60" w:before="144" w:afterLines="60" w:after="144" w:line="300" w:lineRule="exact"/>
              <w:rPr>
                <w:rFonts w:ascii="Arabic Typesetting" w:hAnsi="Arabic Typesetting" w:cs="Arabic Typesetting"/>
                <w:sz w:val="30"/>
                <w:szCs w:val="30"/>
                <w:rtl/>
              </w:rPr>
            </w:pPr>
            <w:r w:rsidRPr="007B08CC">
              <w:rPr>
                <w:rFonts w:ascii="Arabic Typesetting" w:hAnsi="Arabic Typesetting" w:cs="Arabic Typesetting"/>
                <w:sz w:val="30"/>
                <w:szCs w:val="30"/>
                <w:rtl/>
              </w:rPr>
              <w:t>عدد وثائق لجنة البرنامج والميزانية المُقدَّمة إلى الدول الأعضاء في وقتها</w:t>
            </w:r>
          </w:p>
        </w:tc>
        <w:tc>
          <w:tcPr>
            <w:tcW w:w="1196" w:type="pct"/>
            <w:tcBorders>
              <w:top w:val="nil"/>
              <w:bottom w:val="single" w:sz="4" w:space="0" w:color="auto"/>
            </w:tcBorders>
            <w:shd w:val="clear" w:color="auto" w:fill="FFFFFF"/>
            <w:tcMar>
              <w:top w:w="113" w:type="dxa"/>
            </w:tcMar>
          </w:tcPr>
          <w:p w:rsidR="00C65A54" w:rsidRPr="007B08CC" w:rsidRDefault="00C65A5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12</w:t>
            </w:r>
            <w:r w:rsidRPr="007B08CC">
              <w:rPr>
                <w:rFonts w:ascii="Arabic Typesetting" w:hAnsi="Arabic Typesetting" w:cs="Arabic Typesetting"/>
                <w:sz w:val="30"/>
                <w:szCs w:val="30"/>
                <w:rtl/>
              </w:rPr>
              <w:t xml:space="preserve">% (2014 على أساس أن الموعد النهائي </w:t>
            </w:r>
            <w:r>
              <w:rPr>
                <w:rFonts w:ascii="Arabic Typesetting" w:hAnsi="Arabic Typesetting" w:cs="Arabic Typesetting" w:hint="cs"/>
                <w:sz w:val="30"/>
                <w:szCs w:val="30"/>
                <w:rtl/>
              </w:rPr>
              <w:t>8</w:t>
            </w:r>
            <w:r w:rsidRPr="007B08CC">
              <w:rPr>
                <w:rFonts w:ascii="Arabic Typesetting" w:hAnsi="Arabic Typesetting" w:cs="Arabic Typesetting"/>
                <w:sz w:val="30"/>
                <w:szCs w:val="30"/>
                <w:rtl/>
              </w:rPr>
              <w:t xml:space="preserve"> أسابيع)</w:t>
            </w:r>
          </w:p>
        </w:tc>
        <w:tc>
          <w:tcPr>
            <w:tcW w:w="1415" w:type="pct"/>
            <w:tcBorders>
              <w:top w:val="nil"/>
              <w:bottom w:val="single" w:sz="4" w:space="0" w:color="auto"/>
            </w:tcBorders>
            <w:tcMar>
              <w:top w:w="113" w:type="dxa"/>
            </w:tcMar>
          </w:tcPr>
          <w:p w:rsidR="00C65A54" w:rsidRPr="007B08CC" w:rsidRDefault="00C65A54" w:rsidP="00DA5475">
            <w:pPr>
              <w:keepNext/>
              <w:keepLines/>
              <w:spacing w:beforeLines="60" w:before="144" w:afterLines="60" w:after="144" w:line="300" w:lineRule="exact"/>
              <w:ind w:right="381"/>
              <w:rPr>
                <w:rFonts w:ascii="Arabic Typesetting" w:hAnsi="Arabic Typesetting" w:cs="Arabic Typesetting"/>
                <w:b/>
                <w:sz w:val="30"/>
                <w:szCs w:val="30"/>
                <w:rtl/>
              </w:rPr>
            </w:pPr>
            <w:r>
              <w:rPr>
                <w:rFonts w:ascii="Arabic Typesetting" w:hAnsi="Arabic Typesetting" w:cs="Arabic Typesetting" w:hint="cs"/>
                <w:b/>
                <w:sz w:val="30"/>
                <w:szCs w:val="30"/>
                <w:rtl/>
              </w:rPr>
              <w:t>15</w:t>
            </w:r>
            <w:r w:rsidRPr="007B08CC">
              <w:rPr>
                <w:rFonts w:ascii="Arabic Typesetting" w:hAnsi="Arabic Typesetting" w:cs="Arabic Typesetting"/>
                <w:b/>
                <w:sz w:val="30"/>
                <w:szCs w:val="30"/>
                <w:rtl/>
              </w:rPr>
              <w:t>% (على أساس أن الموعد النهائي 8 أسابيع)</w:t>
            </w:r>
          </w:p>
        </w:tc>
      </w:tr>
      <w:tr w:rsidR="00C65A54" w:rsidRPr="008954A8" w:rsidTr="00DA5475">
        <w:trPr>
          <w:trHeight w:val="1644"/>
        </w:trPr>
        <w:tc>
          <w:tcPr>
            <w:tcW w:w="1249" w:type="pct"/>
            <w:tcBorders>
              <w:top w:val="single" w:sz="4" w:space="0" w:color="auto"/>
              <w:bottom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tl/>
              </w:rPr>
            </w:pPr>
          </w:p>
        </w:tc>
        <w:tc>
          <w:tcPr>
            <w:tcW w:w="1140" w:type="pct"/>
            <w:tcBorders>
              <w:top w:val="single" w:sz="4" w:space="0" w:color="auto"/>
              <w:bottom w:val="nil"/>
            </w:tcBorders>
            <w:tcMar>
              <w:top w:w="113" w:type="dxa"/>
            </w:tcMar>
          </w:tcPr>
          <w:p w:rsidR="00C65A54" w:rsidRDefault="00C65A5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عمل </w:t>
            </w:r>
            <w:r w:rsidRPr="007B08CC">
              <w:rPr>
                <w:rFonts w:ascii="Arabic Typesetting" w:hAnsi="Arabic Typesetting" w:cs="Arabic Typesetting"/>
                <w:sz w:val="30"/>
                <w:szCs w:val="30"/>
                <w:rtl/>
              </w:rPr>
              <w:t>نظام الويبو للتخطيط للموارد المؤسسية (</w:t>
            </w:r>
            <w:r w:rsidRPr="007B08CC">
              <w:rPr>
                <w:rFonts w:ascii="Arabic Typesetting" w:hAnsi="Arabic Typesetting" w:cs="Arabic Typesetting"/>
                <w:sz w:val="30"/>
                <w:szCs w:val="30"/>
              </w:rPr>
              <w:t>AIMS</w:t>
            </w:r>
            <w:r>
              <w:rPr>
                <w:rFonts w:ascii="Arabic Typesetting" w:hAnsi="Arabic Typesetting" w:cs="Arabic Typesetting"/>
                <w:sz w:val="30"/>
                <w:szCs w:val="30"/>
                <w:rtl/>
              </w:rPr>
              <w:t>)</w:t>
            </w:r>
            <w:r w:rsidRPr="007B08CC">
              <w:rPr>
                <w:rFonts w:ascii="Arabic Typesetting" w:hAnsi="Arabic Typesetting" w:cs="Arabic Typesetting"/>
                <w:sz w:val="30"/>
                <w:szCs w:val="30"/>
                <w:rtl/>
              </w:rPr>
              <w:t xml:space="preserve"> بكفاءة وفقاً لاحتياجات العمل وبما يتماشى مع أفضل الممارسات</w:t>
            </w:r>
          </w:p>
        </w:tc>
        <w:tc>
          <w:tcPr>
            <w:tcW w:w="1196" w:type="pct"/>
            <w:tcBorders>
              <w:top w:val="single" w:sz="4" w:space="0" w:color="auto"/>
              <w:bottom w:val="nil"/>
            </w:tcBorders>
            <w:shd w:val="clear" w:color="auto" w:fill="FFFFFF"/>
            <w:tcMar>
              <w:top w:w="113" w:type="dxa"/>
            </w:tcMar>
          </w:tcPr>
          <w:p w:rsidR="00C65A54" w:rsidRPr="007B08CC" w:rsidRDefault="00C65A54" w:rsidP="00DA5475">
            <w:pPr>
              <w:spacing w:beforeLines="60" w:before="144" w:afterLines="60" w:after="144" w:line="300" w:lineRule="exact"/>
              <w:rPr>
                <w:rFonts w:ascii="Arabic Typesetting" w:hAnsi="Arabic Typesetting" w:cs="Arabic Typesetting"/>
                <w:sz w:val="30"/>
                <w:szCs w:val="30"/>
                <w:rtl/>
              </w:rPr>
            </w:pPr>
            <w:r w:rsidRPr="007B08CC">
              <w:rPr>
                <w:rFonts w:ascii="Arabic Typesetting" w:hAnsi="Arabic Typesetting" w:cs="Arabic Typesetting"/>
                <w:sz w:val="30"/>
                <w:szCs w:val="30"/>
                <w:rtl/>
              </w:rPr>
              <w:t>كان وقت تشغيل النظام 99.80% في عام 2014. وأكبر عدد من الحوادث ذات الأولوية العليا المفتوحة في وقت واحد كان 25.</w:t>
            </w:r>
          </w:p>
        </w:tc>
        <w:tc>
          <w:tcPr>
            <w:tcW w:w="1415" w:type="pct"/>
            <w:tcBorders>
              <w:top w:val="single" w:sz="4" w:space="0" w:color="auto"/>
              <w:bottom w:val="nil"/>
            </w:tcBorders>
            <w:tcMar>
              <w:top w:w="113" w:type="dxa"/>
            </w:tcMar>
          </w:tcPr>
          <w:p w:rsidR="00C65A54" w:rsidRPr="007B08CC" w:rsidRDefault="00C65A54" w:rsidP="00DA5475">
            <w:pPr>
              <w:keepNext/>
              <w:keepLines/>
              <w:spacing w:beforeLines="60" w:before="144" w:afterLines="60" w:after="144" w:line="300" w:lineRule="exact"/>
              <w:ind w:right="381"/>
              <w:rPr>
                <w:rFonts w:ascii="Arabic Typesetting" w:hAnsi="Arabic Typesetting" w:cs="Arabic Typesetting"/>
                <w:b/>
                <w:sz w:val="30"/>
                <w:szCs w:val="30"/>
                <w:rtl/>
              </w:rPr>
            </w:pPr>
            <w:r w:rsidRPr="007B08CC">
              <w:rPr>
                <w:rFonts w:ascii="Arabic Typesetting" w:hAnsi="Arabic Typesetting" w:cs="Arabic Typesetting"/>
                <w:b/>
                <w:sz w:val="30"/>
                <w:szCs w:val="30"/>
                <w:rtl/>
              </w:rPr>
              <w:t>زيادة وقت تشغيل النظام عن 99.99%، وعدم وجود أكثر من 20 حادثة ذات أولوية عليا مفتوحة في وقت واحد. ولا تكون الحوادث ذات الأولوية العليا مفتوحة لمدة تزيد على 8 أيام.</w:t>
            </w:r>
          </w:p>
        </w:tc>
      </w:tr>
      <w:tr w:rsidR="00C65A54" w:rsidRPr="008954A8" w:rsidTr="00DA5475">
        <w:tc>
          <w:tcPr>
            <w:tcW w:w="1249" w:type="pct"/>
            <w:tcBorders>
              <w:top w:val="nil"/>
              <w:bottom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tl/>
              </w:rPr>
            </w:pPr>
          </w:p>
        </w:tc>
        <w:tc>
          <w:tcPr>
            <w:tcW w:w="1140" w:type="pct"/>
            <w:tcBorders>
              <w:top w:val="nil"/>
              <w:bottom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792C39">
              <w:rPr>
                <w:rFonts w:ascii="Arabic Typesetting" w:hAnsi="Arabic Typesetting" w:cs="Arabic Typesetting"/>
                <w:sz w:val="30"/>
                <w:szCs w:val="30"/>
                <w:rtl/>
              </w:rPr>
              <w:t>تنفيذ مشاريع التخطيط للموارد المؤسسية وفقاً</w:t>
            </w:r>
            <w:r>
              <w:rPr>
                <w:rFonts w:ascii="Arabic Typesetting" w:hAnsi="Arabic Typesetting" w:cs="Arabic Typesetting"/>
                <w:sz w:val="30"/>
                <w:szCs w:val="30"/>
                <w:rtl/>
              </w:rPr>
              <w:t xml:space="preserve"> للخطة وفي حدود ميزانية </w:t>
            </w:r>
            <w:r>
              <w:rPr>
                <w:rFonts w:ascii="Arabic Typesetting" w:hAnsi="Arabic Typesetting" w:cs="Arabic Typesetting" w:hint="cs"/>
                <w:sz w:val="30"/>
                <w:szCs w:val="30"/>
                <w:rtl/>
              </w:rPr>
              <w:t>المحفظة</w:t>
            </w:r>
          </w:p>
        </w:tc>
        <w:tc>
          <w:tcPr>
            <w:tcW w:w="1196" w:type="pct"/>
            <w:tcBorders>
              <w:top w:val="nil"/>
              <w:bottom w:val="nil"/>
            </w:tcBorders>
            <w:shd w:val="clear" w:color="auto" w:fill="FFFFFF"/>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792C39">
              <w:rPr>
                <w:rFonts w:ascii="Arabic Typesetting" w:hAnsi="Arabic Typesetting" w:cs="Arabic Typesetting"/>
                <w:sz w:val="30"/>
                <w:szCs w:val="30"/>
                <w:rtl/>
              </w:rPr>
              <w:t xml:space="preserve">الخطة </w:t>
            </w:r>
            <w:r>
              <w:rPr>
                <w:rFonts w:ascii="Arabic Typesetting" w:hAnsi="Arabic Typesetting" w:cs="Arabic Typesetting" w:hint="cs"/>
                <w:sz w:val="30"/>
                <w:szCs w:val="30"/>
                <w:rtl/>
              </w:rPr>
              <w:t>المحدثة المقدمة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إ</w:t>
            </w:r>
            <w:r w:rsidRPr="00792C39">
              <w:rPr>
                <w:rFonts w:ascii="Arabic Typesetting" w:hAnsi="Arabic Typesetting" w:cs="Arabic Typesetting"/>
                <w:sz w:val="30"/>
                <w:szCs w:val="30"/>
                <w:rtl/>
              </w:rPr>
              <w:t>لى الدول الأعضاء في عام 2015. الميزانية التي وافقت عليها الدول الأعضاء في عام 2010.</w:t>
            </w:r>
          </w:p>
        </w:tc>
        <w:tc>
          <w:tcPr>
            <w:tcW w:w="1415" w:type="pct"/>
            <w:tcBorders>
              <w:top w:val="nil"/>
              <w:bottom w:val="nil"/>
            </w:tcBorders>
            <w:tcMar>
              <w:top w:w="113" w:type="dxa"/>
            </w:tcMar>
          </w:tcPr>
          <w:p w:rsidR="00C65A54" w:rsidRPr="008954A8" w:rsidRDefault="00C65A54" w:rsidP="00DA5475">
            <w:pPr>
              <w:keepNext/>
              <w:keepLines/>
              <w:spacing w:beforeLines="60" w:before="144" w:afterLines="60" w:after="144" w:line="300" w:lineRule="exact"/>
              <w:ind w:right="381"/>
              <w:rPr>
                <w:rFonts w:ascii="Arabic Typesetting" w:hAnsi="Arabic Typesetting" w:cs="Arabic Typesetting"/>
                <w:b/>
                <w:sz w:val="30"/>
                <w:szCs w:val="30"/>
              </w:rPr>
            </w:pPr>
            <w:r w:rsidRPr="00792C39">
              <w:rPr>
                <w:rFonts w:ascii="Arabic Typesetting" w:hAnsi="Arabic Typesetting" w:cs="Arabic Typesetting"/>
                <w:b/>
                <w:sz w:val="30"/>
                <w:szCs w:val="30"/>
                <w:rtl/>
              </w:rPr>
              <w:t>وفقاً للخطة</w:t>
            </w:r>
          </w:p>
        </w:tc>
      </w:tr>
      <w:tr w:rsidR="00C65A54" w:rsidRPr="00BC7A01" w:rsidTr="00DA5475">
        <w:trPr>
          <w:trHeight w:val="1356"/>
        </w:trPr>
        <w:tc>
          <w:tcPr>
            <w:tcW w:w="1249" w:type="pct"/>
            <w:tcBorders>
              <w:top w:val="nil"/>
            </w:tcBorders>
            <w:tcMar>
              <w:top w:w="113" w:type="dxa"/>
            </w:tcMar>
          </w:tcPr>
          <w:p w:rsidR="00C65A54" w:rsidRPr="00792C39" w:rsidRDefault="009800D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C65A54">
              <w:rPr>
                <w:rFonts w:ascii="Arabic Typesetting" w:hAnsi="Arabic Typesetting" w:cs="Arabic Typesetting" w:hint="cs"/>
                <w:sz w:val="30"/>
                <w:szCs w:val="30"/>
                <w:rtl/>
              </w:rPr>
              <w:t xml:space="preserve"> </w:t>
            </w:r>
            <w:r w:rsidR="00C65A54" w:rsidRPr="00792C39">
              <w:rPr>
                <w:rFonts w:ascii="Arabic Typesetting" w:hAnsi="Arabic Typesetting" w:cs="Arabic Typesetting"/>
                <w:sz w:val="30"/>
                <w:szCs w:val="30"/>
                <w:rtl/>
              </w:rPr>
              <w:t>2.9 أمانة نبيهة تعمل بسلاسة وموظفون يعملون تحت إدارة جيّدة وبمهارات مناسبة ويحققون النتائج بكفاءة</w:t>
            </w:r>
          </w:p>
        </w:tc>
        <w:tc>
          <w:tcPr>
            <w:tcW w:w="1140" w:type="pct"/>
            <w:tcBorders>
              <w:top w:val="nil"/>
              <w:bottom w:val="nil"/>
            </w:tcBorders>
            <w:tcMar>
              <w:top w:w="113" w:type="dxa"/>
            </w:tcMar>
          </w:tcPr>
          <w:p w:rsidR="00C65A54" w:rsidRPr="002867C7" w:rsidRDefault="00C65A54" w:rsidP="00DA5475">
            <w:pPr>
              <w:spacing w:beforeLines="60" w:before="144" w:afterLines="60" w:after="144" w:line="300" w:lineRule="exact"/>
              <w:rPr>
                <w:rFonts w:ascii="Arabic Typesetting" w:hAnsi="Arabic Typesetting" w:cs="Arabic Typesetting"/>
                <w:sz w:val="30"/>
                <w:szCs w:val="30"/>
                <w:rtl/>
              </w:rPr>
            </w:pPr>
            <w:r w:rsidRPr="002867C7">
              <w:rPr>
                <w:rFonts w:ascii="Arabic Typesetting" w:hAnsi="Arabic Typesetting" w:cs="Arabic Typesetting"/>
                <w:sz w:val="30"/>
                <w:szCs w:val="30"/>
                <w:rtl/>
              </w:rPr>
              <w:t>يؤكد الت</w:t>
            </w:r>
            <w:r>
              <w:rPr>
                <w:rFonts w:ascii="Arabic Typesetting" w:hAnsi="Arabic Typesetting" w:cs="Arabic Typesetting"/>
                <w:sz w:val="30"/>
                <w:szCs w:val="30"/>
                <w:rtl/>
              </w:rPr>
              <w:t>قرير المالي المُرضي الذي قدمه مراجعو</w:t>
            </w:r>
            <w:r>
              <w:rPr>
                <w:rFonts w:ascii="Arabic Typesetting" w:hAnsi="Arabic Typesetting" w:cs="Arabic Typesetting" w:hint="cs"/>
                <w:sz w:val="30"/>
                <w:szCs w:val="30"/>
                <w:rtl/>
              </w:rPr>
              <w:t xml:space="preserve"> الحسابات</w:t>
            </w:r>
            <w:r w:rsidRPr="002867C7">
              <w:rPr>
                <w:rFonts w:ascii="Arabic Typesetting" w:hAnsi="Arabic Typesetting" w:cs="Arabic Typesetting"/>
                <w:sz w:val="30"/>
                <w:szCs w:val="30"/>
                <w:rtl/>
              </w:rPr>
              <w:t xml:space="preserve"> الخارجيون امتثال العمليات المالية لأحكام اتفاقيات ومعاهدات الويبو السارية ونظام الويبو المالي ولائحته والمعايير المحاسبية الدولية للقطاع العام (</w:t>
            </w:r>
            <w:r w:rsidRPr="002867C7">
              <w:rPr>
                <w:rFonts w:ascii="Arabic Typesetting" w:hAnsi="Arabic Typesetting" w:cs="Arabic Typesetting"/>
                <w:sz w:val="30"/>
                <w:szCs w:val="30"/>
              </w:rPr>
              <w:t>IPSAS</w:t>
            </w:r>
            <w:r w:rsidRPr="002867C7">
              <w:rPr>
                <w:rFonts w:ascii="Arabic Typesetting" w:hAnsi="Arabic Typesetting" w:cs="Arabic Typesetting"/>
                <w:sz w:val="30"/>
                <w:szCs w:val="30"/>
                <w:rtl/>
              </w:rPr>
              <w:t>)</w:t>
            </w:r>
          </w:p>
        </w:tc>
        <w:tc>
          <w:tcPr>
            <w:tcW w:w="1196" w:type="pct"/>
            <w:tcBorders>
              <w:top w:val="nil"/>
            </w:tcBorders>
            <w:shd w:val="clear" w:color="auto" w:fill="FFFFFF"/>
            <w:tcMar>
              <w:top w:w="113" w:type="dxa"/>
            </w:tcMar>
          </w:tcPr>
          <w:p w:rsidR="00C65A54" w:rsidRDefault="00C65A5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استلام</w:t>
            </w:r>
            <w:r w:rsidRPr="002867C7">
              <w:rPr>
                <w:rFonts w:ascii="Arabic Typesetting" w:hAnsi="Arabic Typesetting" w:cs="Arabic Typesetting"/>
                <w:sz w:val="30"/>
                <w:szCs w:val="30"/>
                <w:rtl/>
              </w:rPr>
              <w:t xml:space="preserve"> تقرير تدقيق خال من الملاحظا</w:t>
            </w:r>
            <w:r>
              <w:rPr>
                <w:rFonts w:ascii="Arabic Typesetting" w:hAnsi="Arabic Typesetting" w:cs="Arabic Typesetting"/>
                <w:sz w:val="30"/>
                <w:szCs w:val="30"/>
                <w:rtl/>
              </w:rPr>
              <w:t xml:space="preserve">ت </w:t>
            </w:r>
            <w:r>
              <w:rPr>
                <w:rFonts w:ascii="Arabic Typesetting" w:hAnsi="Arabic Typesetting" w:cs="Arabic Typesetting" w:hint="cs"/>
                <w:sz w:val="30"/>
                <w:szCs w:val="30"/>
                <w:rtl/>
              </w:rPr>
              <w:t xml:space="preserve">فيما يخص </w:t>
            </w:r>
            <w:r w:rsidRPr="002867C7">
              <w:rPr>
                <w:rFonts w:ascii="Arabic Typesetting" w:hAnsi="Arabic Typesetting" w:cs="Arabic Typesetting"/>
                <w:sz w:val="30"/>
                <w:szCs w:val="30"/>
                <w:rtl/>
              </w:rPr>
              <w:t>سنة 2014 وسنة 2015 والإجابة ع</w:t>
            </w:r>
            <w:r>
              <w:rPr>
                <w:rFonts w:ascii="Arabic Typesetting" w:hAnsi="Arabic Typesetting" w:cs="Arabic Typesetting" w:hint="cs"/>
                <w:sz w:val="30"/>
                <w:szCs w:val="30"/>
                <w:rtl/>
              </w:rPr>
              <w:t>لى</w:t>
            </w:r>
            <w:r w:rsidRPr="002867C7">
              <w:rPr>
                <w:rFonts w:ascii="Arabic Typesetting" w:hAnsi="Arabic Typesetting" w:cs="Arabic Typesetting"/>
                <w:sz w:val="30"/>
                <w:szCs w:val="30"/>
                <w:rtl/>
              </w:rPr>
              <w:t xml:space="preserve"> جميع توصيات التدقيق</w:t>
            </w:r>
          </w:p>
        </w:tc>
        <w:tc>
          <w:tcPr>
            <w:tcW w:w="1415" w:type="pct"/>
            <w:tcBorders>
              <w:top w:val="nil"/>
            </w:tcBorders>
            <w:tcMar>
              <w:top w:w="113" w:type="dxa"/>
            </w:tcMar>
          </w:tcPr>
          <w:p w:rsidR="00C65A54" w:rsidRPr="00BC7A01" w:rsidRDefault="00C65A54" w:rsidP="00DA5475">
            <w:pPr>
              <w:keepNext/>
              <w:keepLines/>
              <w:spacing w:beforeLines="60" w:before="144" w:afterLines="60" w:after="144" w:line="300" w:lineRule="exact"/>
              <w:ind w:right="161"/>
              <w:rPr>
                <w:rFonts w:ascii="Arabic Typesetting" w:hAnsi="Arabic Typesetting" w:cs="Arabic Typesetting"/>
                <w:sz w:val="30"/>
                <w:szCs w:val="30"/>
                <w:rtl/>
              </w:rPr>
            </w:pPr>
            <w:r w:rsidRPr="00BC7A01">
              <w:rPr>
                <w:rFonts w:ascii="Arabic Typesetting" w:hAnsi="Arabic Typesetting" w:cs="Arabic Typesetting"/>
                <w:sz w:val="30"/>
                <w:szCs w:val="30"/>
                <w:rtl/>
              </w:rPr>
              <w:t xml:space="preserve">تقرير تدقيق خال من الملاحظات </w:t>
            </w:r>
            <w:r w:rsidRPr="00BC7A01">
              <w:rPr>
                <w:rFonts w:ascii="Arabic Typesetting" w:hAnsi="Arabic Typesetting" w:cs="Arabic Typesetting" w:hint="cs"/>
                <w:sz w:val="30"/>
                <w:szCs w:val="30"/>
                <w:rtl/>
              </w:rPr>
              <w:t xml:space="preserve">فيما يخص </w:t>
            </w:r>
            <w:r w:rsidRPr="00BC7A01">
              <w:rPr>
                <w:rFonts w:ascii="Arabic Typesetting" w:hAnsi="Arabic Typesetting" w:cs="Arabic Typesetting"/>
                <w:sz w:val="30"/>
                <w:szCs w:val="30"/>
                <w:rtl/>
              </w:rPr>
              <w:t>كل</w:t>
            </w:r>
            <w:r w:rsidRPr="00BC7A01">
              <w:rPr>
                <w:rFonts w:ascii="Arabic Typesetting" w:hAnsi="Arabic Typesetting" w:cs="Arabic Typesetting" w:hint="cs"/>
                <w:sz w:val="30"/>
                <w:szCs w:val="30"/>
                <w:rtl/>
              </w:rPr>
              <w:t>ا</w:t>
            </w:r>
            <w:r w:rsidRPr="00BC7A01">
              <w:rPr>
                <w:rFonts w:ascii="Arabic Typesetting" w:hAnsi="Arabic Typesetting" w:cs="Arabic Typesetting"/>
                <w:sz w:val="30"/>
                <w:szCs w:val="30"/>
                <w:rtl/>
              </w:rPr>
              <w:t xml:space="preserve"> من سنتي الفترة</w:t>
            </w:r>
          </w:p>
        </w:tc>
      </w:tr>
      <w:tr w:rsidR="00C65A54" w:rsidRPr="00BC7A01" w:rsidTr="00DA5475">
        <w:trPr>
          <w:trHeight w:val="1356"/>
        </w:trPr>
        <w:tc>
          <w:tcPr>
            <w:tcW w:w="1249" w:type="pct"/>
            <w:tcBorders>
              <w:top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p>
        </w:tc>
        <w:tc>
          <w:tcPr>
            <w:tcW w:w="1140" w:type="pct"/>
            <w:tcBorders>
              <w:top w:val="nil"/>
              <w:bottom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2867C7">
              <w:rPr>
                <w:rFonts w:ascii="Arabic Typesetting" w:hAnsi="Arabic Typesetting" w:cs="Arabic Typesetting"/>
                <w:sz w:val="30"/>
                <w:szCs w:val="30"/>
                <w:rtl/>
              </w:rPr>
              <w:t>تعزيز نضج الإدارة القائمة على النتائج</w:t>
            </w:r>
          </w:p>
        </w:tc>
        <w:tc>
          <w:tcPr>
            <w:tcW w:w="1196" w:type="pct"/>
            <w:tcBorders>
              <w:top w:val="nil"/>
            </w:tcBorders>
            <w:shd w:val="clear" w:color="auto" w:fill="FFFFFF"/>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2867C7">
              <w:rPr>
                <w:rFonts w:ascii="Arabic Typesetting" w:hAnsi="Arabic Typesetting" w:cs="Arabic Typesetting"/>
                <w:sz w:val="30"/>
                <w:szCs w:val="30"/>
                <w:rtl/>
              </w:rPr>
              <w:t>مستوى النضج الثاني</w:t>
            </w:r>
          </w:p>
        </w:tc>
        <w:tc>
          <w:tcPr>
            <w:tcW w:w="1415" w:type="pct"/>
            <w:tcBorders>
              <w:top w:val="nil"/>
            </w:tcBorders>
            <w:tcMar>
              <w:top w:w="113" w:type="dxa"/>
            </w:tcMar>
          </w:tcPr>
          <w:p w:rsidR="00C65A54" w:rsidRPr="00BC7A01" w:rsidRDefault="00C65A54" w:rsidP="00DA5475">
            <w:pPr>
              <w:keepNext/>
              <w:keepLines/>
              <w:spacing w:beforeLines="60" w:before="144" w:afterLines="60" w:after="144" w:line="300" w:lineRule="exact"/>
              <w:ind w:right="161"/>
              <w:rPr>
                <w:rFonts w:ascii="Arabic Typesetting" w:hAnsi="Arabic Typesetting" w:cs="Arabic Typesetting"/>
                <w:sz w:val="30"/>
                <w:szCs w:val="30"/>
              </w:rPr>
            </w:pPr>
            <w:r w:rsidRPr="00BC7A01">
              <w:rPr>
                <w:rFonts w:ascii="Arabic Typesetting" w:hAnsi="Arabic Typesetting" w:cs="Arabic Typesetting"/>
                <w:sz w:val="30"/>
                <w:szCs w:val="30"/>
                <w:rtl/>
                <w:lang w:bidi="ar-SA"/>
              </w:rPr>
              <w:t>مستوى النضج الثالث</w:t>
            </w:r>
          </w:p>
        </w:tc>
      </w:tr>
      <w:tr w:rsidR="00C65A54" w:rsidRPr="00BC7A01" w:rsidTr="00DA5475">
        <w:trPr>
          <w:trHeight w:val="1356"/>
        </w:trPr>
        <w:tc>
          <w:tcPr>
            <w:tcW w:w="1249" w:type="pct"/>
            <w:tcBorders>
              <w:top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p>
        </w:tc>
        <w:tc>
          <w:tcPr>
            <w:tcW w:w="1140" w:type="pct"/>
            <w:tcBorders>
              <w:top w:val="nil"/>
              <w:bottom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sz w:val="30"/>
                <w:szCs w:val="30"/>
                <w:rtl/>
              </w:rPr>
              <w:t>تماش</w:t>
            </w:r>
            <w:r>
              <w:rPr>
                <w:rFonts w:ascii="Arabic Typesetting" w:hAnsi="Arabic Typesetting" w:cs="Arabic Typesetting" w:hint="cs"/>
                <w:sz w:val="30"/>
                <w:szCs w:val="30"/>
                <w:rtl/>
              </w:rPr>
              <w:t>ي</w:t>
            </w:r>
            <w:r w:rsidRPr="002867C7">
              <w:rPr>
                <w:rFonts w:ascii="Arabic Typesetting" w:hAnsi="Arabic Typesetting" w:cs="Arabic Typesetting"/>
                <w:sz w:val="30"/>
                <w:szCs w:val="30"/>
                <w:rtl/>
              </w:rPr>
              <w:t xml:space="preserve"> عوائد الأموال المستثمرة مع المعايير التي وضعتها اللجنة الاستشارية المعنية بالاستثمار</w:t>
            </w:r>
          </w:p>
        </w:tc>
        <w:tc>
          <w:tcPr>
            <w:tcW w:w="1196" w:type="pct"/>
            <w:tcBorders>
              <w:top w:val="nil"/>
            </w:tcBorders>
            <w:shd w:val="clear" w:color="auto" w:fill="FFFFFF"/>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2867C7">
              <w:rPr>
                <w:rFonts w:ascii="Arabic Typesetting" w:hAnsi="Arabic Typesetting" w:cs="Arabic Typesetting"/>
                <w:sz w:val="30"/>
                <w:szCs w:val="30"/>
                <w:rtl/>
              </w:rPr>
              <w:t>لا تزال الاستثمارات مع السلطات السويسرية، بما يتماشى مع المعايير التي وضعتها اللجنة الاستشارية المعنية بالاستثمار في 2014/15</w:t>
            </w:r>
          </w:p>
        </w:tc>
        <w:tc>
          <w:tcPr>
            <w:tcW w:w="1415" w:type="pct"/>
            <w:tcBorders>
              <w:top w:val="nil"/>
            </w:tcBorders>
            <w:tcMar>
              <w:top w:w="113" w:type="dxa"/>
            </w:tcMar>
          </w:tcPr>
          <w:p w:rsidR="00C65A54" w:rsidRPr="00BC7A01" w:rsidRDefault="00C65A54" w:rsidP="00DA5475">
            <w:pPr>
              <w:keepNext/>
              <w:keepLines/>
              <w:spacing w:beforeLines="60" w:before="144" w:afterLines="60" w:after="144" w:line="300" w:lineRule="exact"/>
              <w:ind w:right="161"/>
              <w:rPr>
                <w:rFonts w:ascii="Arabic Typesetting" w:hAnsi="Arabic Typesetting" w:cs="Arabic Typesetting"/>
                <w:sz w:val="30"/>
                <w:szCs w:val="30"/>
              </w:rPr>
            </w:pPr>
            <w:r w:rsidRPr="00612E11">
              <w:rPr>
                <w:rFonts w:ascii="Arabic Typesetting" w:hAnsi="Arabic Typesetting" w:cs="Arabic Typesetting"/>
                <w:b/>
                <w:sz w:val="30"/>
                <w:szCs w:val="30"/>
                <w:rtl/>
              </w:rPr>
              <w:t>تماشي عوائد الأموال المستثمرة مع المعايير التي وضعتها اللجنة الاستشارية المعنية بالاستثمار في 2016/17</w:t>
            </w:r>
          </w:p>
        </w:tc>
      </w:tr>
      <w:tr w:rsidR="00C65A54" w:rsidRPr="00BC7A01" w:rsidTr="00DA5475">
        <w:trPr>
          <w:trHeight w:val="1356"/>
        </w:trPr>
        <w:tc>
          <w:tcPr>
            <w:tcW w:w="1249" w:type="pct"/>
            <w:tcBorders>
              <w:top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p>
        </w:tc>
        <w:tc>
          <w:tcPr>
            <w:tcW w:w="1140" w:type="pct"/>
            <w:tcBorders>
              <w:top w:val="nil"/>
              <w:bottom w:val="single" w:sz="4" w:space="0" w:color="auto"/>
            </w:tcBorders>
            <w:tcMar>
              <w:top w:w="113" w:type="dxa"/>
            </w:tcMar>
          </w:tcPr>
          <w:p w:rsidR="00C65A54" w:rsidRPr="00612E11" w:rsidRDefault="00C65A54" w:rsidP="00DA5475">
            <w:pPr>
              <w:spacing w:beforeLines="60" w:before="144" w:afterLines="60" w:after="144" w:line="300" w:lineRule="exact"/>
              <w:rPr>
                <w:rFonts w:ascii="Arabic Typesetting" w:hAnsi="Arabic Typesetting" w:cs="Arabic Typesetting"/>
                <w:sz w:val="30"/>
                <w:szCs w:val="30"/>
                <w:rtl/>
              </w:rPr>
            </w:pPr>
            <w:r w:rsidRPr="00612E11">
              <w:rPr>
                <w:rFonts w:ascii="Arabic Typesetting" w:hAnsi="Arabic Typesetting" w:cs="Arabic Typesetting"/>
                <w:sz w:val="30"/>
                <w:szCs w:val="30"/>
                <w:rtl/>
              </w:rPr>
              <w:t>الإدارة الفعالة للنفقات والاحتياطيات</w:t>
            </w:r>
          </w:p>
        </w:tc>
        <w:tc>
          <w:tcPr>
            <w:tcW w:w="1196" w:type="pct"/>
            <w:tcBorders>
              <w:top w:val="nil"/>
            </w:tcBorders>
            <w:shd w:val="clear" w:color="auto" w:fill="FFFFFF"/>
            <w:tcMar>
              <w:top w:w="113" w:type="dxa"/>
            </w:tcMar>
          </w:tcPr>
          <w:p w:rsidR="00C65A54" w:rsidRPr="00612E11" w:rsidRDefault="00C65A5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توقعات الإنفاق 2014/15 (المدرجة في الميزانية قبل إدخال التسويات بناء على </w:t>
            </w:r>
            <w:r w:rsidRPr="002867C7">
              <w:rPr>
                <w:rFonts w:ascii="Arabic Typesetting" w:hAnsi="Arabic Typesetting" w:cs="Arabic Typesetting"/>
                <w:sz w:val="30"/>
                <w:szCs w:val="30"/>
                <w:rtl/>
              </w:rPr>
              <w:t>المعايير المحاسبية الدولية للقطاع العام (</w:t>
            </w:r>
            <w:r w:rsidRPr="002867C7">
              <w:rPr>
                <w:rFonts w:ascii="Arabic Typesetting" w:hAnsi="Arabic Typesetting" w:cs="Arabic Typesetting"/>
                <w:sz w:val="30"/>
                <w:szCs w:val="30"/>
              </w:rPr>
              <w:t>IPSAS</w:t>
            </w:r>
            <w:r w:rsidRPr="002867C7">
              <w:rPr>
                <w:rFonts w:ascii="Arabic Typesetting" w:hAnsi="Arabic Typesetting" w:cs="Arabic Typesetting"/>
                <w:sz w:val="30"/>
                <w:szCs w:val="30"/>
                <w:rtl/>
              </w:rPr>
              <w:t>)</w:t>
            </w:r>
            <w:r>
              <w:rPr>
                <w:rFonts w:ascii="Arabic Typesetting" w:hAnsi="Arabic Typesetting" w:cs="Arabic Typesetting" w:hint="cs"/>
                <w:sz w:val="30"/>
                <w:szCs w:val="30"/>
                <w:rtl/>
              </w:rPr>
              <w:t>: 659.9 مليون فرنك سويسري (كما في أبريل 2015)</w:t>
            </w:r>
          </w:p>
        </w:tc>
        <w:tc>
          <w:tcPr>
            <w:tcW w:w="1415" w:type="pct"/>
            <w:tcBorders>
              <w:top w:val="nil"/>
            </w:tcBorders>
            <w:tcMar>
              <w:top w:w="113" w:type="dxa"/>
            </w:tcMar>
          </w:tcPr>
          <w:p w:rsidR="00C65A54" w:rsidRDefault="00C65A54" w:rsidP="00DA5475">
            <w:pPr>
              <w:keepNext/>
              <w:keepLines/>
              <w:spacing w:beforeLines="60" w:before="144" w:afterLines="60" w:after="144" w:line="300" w:lineRule="exact"/>
              <w:ind w:right="161"/>
              <w:rPr>
                <w:rFonts w:ascii="Arabic Typesetting" w:hAnsi="Arabic Typesetting" w:cs="Arabic Typesetting"/>
                <w:b/>
                <w:sz w:val="30"/>
                <w:szCs w:val="30"/>
                <w:rtl/>
              </w:rPr>
            </w:pPr>
            <w:r>
              <w:rPr>
                <w:rFonts w:ascii="Arabic Typesetting" w:hAnsi="Arabic Typesetting" w:cs="Arabic Typesetting" w:hint="cs"/>
                <w:b/>
                <w:sz w:val="30"/>
                <w:szCs w:val="30"/>
                <w:rtl/>
              </w:rPr>
              <w:t xml:space="preserve">إدارة </w:t>
            </w:r>
            <w:r w:rsidRPr="00612E11">
              <w:rPr>
                <w:rFonts w:ascii="Arabic Typesetting" w:hAnsi="Arabic Typesetting" w:cs="Arabic Typesetting"/>
                <w:b/>
                <w:sz w:val="30"/>
                <w:szCs w:val="30"/>
                <w:rtl/>
              </w:rPr>
              <w:t xml:space="preserve">النفقات في حدود </w:t>
            </w:r>
            <w:r>
              <w:rPr>
                <w:rFonts w:ascii="Arabic Typesetting" w:hAnsi="Arabic Typesetting" w:cs="Arabic Typesetting" w:hint="cs"/>
                <w:b/>
                <w:sz w:val="30"/>
                <w:szCs w:val="30"/>
                <w:rtl/>
              </w:rPr>
              <w:t>الميزانية الإجمالية ولكن دون تجاوز النفقات</w:t>
            </w:r>
            <w:r w:rsidRPr="00612E11">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ل</w:t>
            </w:r>
            <w:r w:rsidRPr="00612E11">
              <w:rPr>
                <w:rFonts w:ascii="Arabic Typesetting" w:hAnsi="Arabic Typesetting" w:cs="Arabic Typesetting"/>
                <w:b/>
                <w:sz w:val="30"/>
                <w:szCs w:val="30"/>
                <w:rtl/>
              </w:rPr>
              <w:t>لإيرادات</w:t>
            </w:r>
            <w:r>
              <w:rPr>
                <w:rFonts w:ascii="Arabic Typesetting" w:hAnsi="Arabic Typesetting" w:cs="Arabic Typesetting" w:hint="cs"/>
                <w:b/>
                <w:sz w:val="30"/>
                <w:szCs w:val="30"/>
                <w:rtl/>
              </w:rPr>
              <w:t xml:space="preserve"> (تحسبا لحالات توقع انخفاض استثنائي للإيرادات إلى ما دون مستويات الإنفاق المتوقعة)</w:t>
            </w:r>
          </w:p>
        </w:tc>
      </w:tr>
      <w:tr w:rsidR="00C65A54" w:rsidRPr="00BC7A01" w:rsidTr="00DA5475">
        <w:trPr>
          <w:trHeight w:val="1356"/>
        </w:trPr>
        <w:tc>
          <w:tcPr>
            <w:tcW w:w="1249" w:type="pct"/>
            <w:tcBorders>
              <w:top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p>
        </w:tc>
        <w:tc>
          <w:tcPr>
            <w:tcW w:w="1140" w:type="pct"/>
            <w:tcBorders>
              <w:top w:val="single" w:sz="4" w:space="0" w:color="auto"/>
              <w:bottom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تسديد</w:t>
            </w:r>
            <w:r w:rsidRPr="00612E11">
              <w:rPr>
                <w:rFonts w:ascii="Arabic Typesetting" w:hAnsi="Arabic Typesetting" w:cs="Arabic Typesetting"/>
                <w:sz w:val="30"/>
                <w:szCs w:val="30"/>
                <w:rtl/>
              </w:rPr>
              <w:t xml:space="preserve"> </w:t>
            </w:r>
            <w:r>
              <w:rPr>
                <w:rFonts w:ascii="Arabic Typesetting" w:hAnsi="Arabic Typesetting" w:cs="Arabic Typesetting" w:hint="cs"/>
                <w:sz w:val="30"/>
                <w:szCs w:val="30"/>
                <w:rtl/>
              </w:rPr>
              <w:t>المدفوعات</w:t>
            </w:r>
            <w:r w:rsidRPr="00612E11">
              <w:rPr>
                <w:rFonts w:ascii="Arabic Typesetting" w:hAnsi="Arabic Typesetting" w:cs="Arabic Typesetting"/>
                <w:sz w:val="30"/>
                <w:szCs w:val="30"/>
                <w:rtl/>
              </w:rPr>
              <w:t xml:space="preserve"> (بما في ذلك رسوم مدريد ولاهاي) في المواعيد المحددة</w:t>
            </w:r>
          </w:p>
        </w:tc>
        <w:tc>
          <w:tcPr>
            <w:tcW w:w="1196" w:type="pct"/>
            <w:tcBorders>
              <w:top w:val="nil"/>
              <w:bottom w:val="nil"/>
            </w:tcBorders>
            <w:shd w:val="clear" w:color="auto" w:fill="FFFFFF"/>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612E11">
              <w:rPr>
                <w:rFonts w:ascii="Arabic Typesetting" w:hAnsi="Arabic Typesetting" w:cs="Arabic Typesetting"/>
                <w:sz w:val="30"/>
                <w:szCs w:val="30"/>
                <w:rtl/>
              </w:rPr>
              <w:t xml:space="preserve">90% من </w:t>
            </w:r>
            <w:r>
              <w:rPr>
                <w:rFonts w:ascii="Arabic Typesetting" w:hAnsi="Arabic Typesetting" w:cs="Arabic Typesetting" w:hint="cs"/>
                <w:sz w:val="30"/>
                <w:szCs w:val="30"/>
                <w:rtl/>
              </w:rPr>
              <w:t>المدفوعات</w:t>
            </w:r>
            <w:r w:rsidRPr="00612E11">
              <w:rPr>
                <w:rFonts w:ascii="Arabic Typesetting" w:hAnsi="Arabic Typesetting" w:cs="Arabic Typesetting"/>
                <w:sz w:val="30"/>
                <w:szCs w:val="30"/>
                <w:rtl/>
              </w:rPr>
              <w:t xml:space="preserve"> سددت </w:t>
            </w:r>
            <w:r>
              <w:rPr>
                <w:rFonts w:ascii="Arabic Typesetting" w:hAnsi="Arabic Typesetting" w:cs="Arabic Typesetting" w:hint="cs"/>
                <w:sz w:val="30"/>
                <w:szCs w:val="30"/>
                <w:rtl/>
              </w:rPr>
              <w:t>في غضون</w:t>
            </w:r>
            <w:r w:rsidRPr="00612E11">
              <w:rPr>
                <w:rFonts w:ascii="Arabic Typesetting" w:hAnsi="Arabic Typesetting" w:cs="Arabic Typesetting"/>
                <w:sz w:val="30"/>
                <w:szCs w:val="30"/>
                <w:rtl/>
              </w:rPr>
              <w:t xml:space="preserve"> 7 أيام من تاريخ شروط الدفع أو تاريخ الاستلام (في حالة تأخر الاستلام) بالنسبة لمن ليست لديهم مشاكل أخرى في تدفق العمل (على سبيل المثال، عدم إرسال أمر الشراء، إلخ)</w:t>
            </w:r>
          </w:p>
        </w:tc>
        <w:tc>
          <w:tcPr>
            <w:tcW w:w="1415" w:type="pct"/>
            <w:tcBorders>
              <w:top w:val="nil"/>
              <w:bottom w:val="nil"/>
            </w:tcBorders>
            <w:tcMar>
              <w:top w:w="113" w:type="dxa"/>
            </w:tcMar>
          </w:tcPr>
          <w:p w:rsidR="00C65A54" w:rsidRPr="00BC7A01" w:rsidRDefault="00C65A54" w:rsidP="00DA5475">
            <w:pPr>
              <w:keepNext/>
              <w:keepLines/>
              <w:spacing w:beforeLines="60" w:before="144" w:afterLines="60" w:after="144" w:line="300" w:lineRule="exact"/>
              <w:ind w:right="161"/>
              <w:rPr>
                <w:rFonts w:ascii="Arabic Typesetting" w:hAnsi="Arabic Typesetting" w:cs="Arabic Typesetting"/>
                <w:sz w:val="30"/>
                <w:szCs w:val="30"/>
              </w:rPr>
            </w:pPr>
            <w:r w:rsidRPr="00612E11">
              <w:rPr>
                <w:rFonts w:ascii="Arabic Typesetting" w:hAnsi="Arabic Typesetting" w:cs="Arabic Typesetting"/>
                <w:b/>
                <w:sz w:val="30"/>
                <w:szCs w:val="30"/>
                <w:rtl/>
              </w:rPr>
              <w:t xml:space="preserve">تسديد 90% من </w:t>
            </w:r>
            <w:r>
              <w:rPr>
                <w:rFonts w:ascii="Arabic Typesetting" w:hAnsi="Arabic Typesetting" w:cs="Arabic Typesetting" w:hint="cs"/>
                <w:b/>
                <w:sz w:val="30"/>
                <w:szCs w:val="30"/>
                <w:rtl/>
              </w:rPr>
              <w:t>المدفوعات</w:t>
            </w:r>
            <w:r w:rsidRPr="00612E11">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في غضون</w:t>
            </w:r>
            <w:r w:rsidRPr="00612E11">
              <w:rPr>
                <w:rFonts w:ascii="Arabic Typesetting" w:hAnsi="Arabic Typesetting" w:cs="Arabic Typesetting"/>
                <w:b/>
                <w:sz w:val="30"/>
                <w:szCs w:val="30"/>
                <w:rtl/>
              </w:rPr>
              <w:t xml:space="preserve"> يومين أو ثلاثة من استلام الفاتورة</w:t>
            </w:r>
          </w:p>
        </w:tc>
      </w:tr>
      <w:tr w:rsidR="00C65A54" w:rsidRPr="008954A8" w:rsidTr="00DA5475">
        <w:trPr>
          <w:trHeight w:val="1137"/>
        </w:trPr>
        <w:tc>
          <w:tcPr>
            <w:tcW w:w="1249" w:type="pct"/>
            <w:tcBorders>
              <w:top w:val="nil"/>
              <w:bottom w:val="nil"/>
            </w:tcBorders>
            <w:tcMar>
              <w:top w:w="113" w:type="dxa"/>
            </w:tcMar>
          </w:tcPr>
          <w:p w:rsidR="00C65A54" w:rsidRPr="00612E11" w:rsidRDefault="009800D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C65A54">
              <w:rPr>
                <w:rFonts w:ascii="Arabic Typesetting" w:hAnsi="Arabic Typesetting" w:cs="Arabic Typesetting" w:hint="cs"/>
                <w:sz w:val="30"/>
                <w:szCs w:val="30"/>
                <w:rtl/>
              </w:rPr>
              <w:t xml:space="preserve"> </w:t>
            </w:r>
            <w:r w:rsidR="00C65A54" w:rsidRPr="00612E11">
              <w:rPr>
                <w:rFonts w:ascii="Arabic Typesetting" w:hAnsi="Arabic Typesetting" w:cs="Arabic Typesetting"/>
                <w:sz w:val="30"/>
                <w:szCs w:val="30"/>
                <w:rtl/>
              </w:rPr>
              <w:t>3.9 بيئة عمل داعمة ومسنودة بإطار تنظيمي فعال وقنوات مناسبة لمعالجة مشاغل الموظفين</w:t>
            </w:r>
          </w:p>
        </w:tc>
        <w:tc>
          <w:tcPr>
            <w:tcW w:w="1140" w:type="pct"/>
            <w:tcBorders>
              <w:top w:val="nil"/>
              <w:bottom w:val="nil"/>
            </w:tcBorders>
            <w:tcMar>
              <w:top w:w="113" w:type="dxa"/>
            </w:tcMar>
          </w:tcPr>
          <w:p w:rsidR="00C65A54" w:rsidRPr="00612E11" w:rsidRDefault="00C65A54" w:rsidP="00DA5475">
            <w:pPr>
              <w:spacing w:beforeLines="60" w:before="144" w:afterLines="60" w:after="144" w:line="300" w:lineRule="exact"/>
              <w:rPr>
                <w:rFonts w:ascii="Arabic Typesetting" w:hAnsi="Arabic Typesetting" w:cs="Arabic Typesetting"/>
                <w:sz w:val="30"/>
                <w:szCs w:val="30"/>
                <w:rtl/>
              </w:rPr>
            </w:pPr>
            <w:r w:rsidRPr="00612E11">
              <w:rPr>
                <w:rFonts w:ascii="Arabic Typesetting" w:hAnsi="Arabic Typesetting" w:cs="Arabic Typesetting"/>
                <w:sz w:val="30"/>
                <w:szCs w:val="30"/>
                <w:rtl/>
              </w:rPr>
              <w:t>تحديث النظام المالي ولائحته والتعليمات الإدارية ذات الصلة</w:t>
            </w:r>
          </w:p>
        </w:tc>
        <w:tc>
          <w:tcPr>
            <w:tcW w:w="1196" w:type="pct"/>
            <w:tcBorders>
              <w:top w:val="nil"/>
              <w:bottom w:val="nil"/>
            </w:tcBorders>
            <w:shd w:val="clear" w:color="auto" w:fill="FFFFFF"/>
            <w:tcMar>
              <w:top w:w="113" w:type="dxa"/>
            </w:tcMar>
          </w:tcPr>
          <w:p w:rsidR="00C65A54" w:rsidRPr="00612E11" w:rsidRDefault="00C65A54" w:rsidP="00DA5475">
            <w:pPr>
              <w:spacing w:beforeLines="60" w:before="144" w:afterLines="60" w:after="144" w:line="300" w:lineRule="exact"/>
              <w:rPr>
                <w:rFonts w:ascii="Arabic Typesetting" w:hAnsi="Arabic Typesetting" w:cs="Arabic Typesetting"/>
                <w:sz w:val="30"/>
                <w:szCs w:val="30"/>
                <w:rtl/>
              </w:rPr>
            </w:pPr>
            <w:r w:rsidRPr="00612E11">
              <w:rPr>
                <w:rFonts w:ascii="Arabic Typesetting" w:hAnsi="Arabic Typesetting" w:cs="Arabic Typesetting"/>
                <w:sz w:val="30"/>
                <w:szCs w:val="30"/>
                <w:rtl/>
              </w:rPr>
              <w:t>التعليمات الإدارية الصادرة في عامي 2014 و2015. النظام المالي ولا</w:t>
            </w:r>
            <w:r>
              <w:rPr>
                <w:rFonts w:ascii="Arabic Typesetting" w:hAnsi="Arabic Typesetting" w:cs="Arabic Typesetting"/>
                <w:sz w:val="30"/>
                <w:szCs w:val="30"/>
                <w:rtl/>
              </w:rPr>
              <w:t>ئحته المعدلان في عام 2014 حسب</w:t>
            </w:r>
            <w:r>
              <w:rPr>
                <w:rFonts w:ascii="Arabic Typesetting" w:hAnsi="Arabic Typesetting" w:cs="Arabic Typesetting" w:hint="cs"/>
                <w:sz w:val="30"/>
                <w:szCs w:val="30"/>
                <w:rtl/>
              </w:rPr>
              <w:t xml:space="preserve"> الاقتضاء</w:t>
            </w:r>
          </w:p>
        </w:tc>
        <w:tc>
          <w:tcPr>
            <w:tcW w:w="1415" w:type="pct"/>
            <w:tcBorders>
              <w:top w:val="nil"/>
              <w:bottom w:val="nil"/>
            </w:tcBorders>
            <w:tcMar>
              <w:top w:w="113" w:type="dxa"/>
            </w:tcMar>
          </w:tcPr>
          <w:p w:rsidR="00C65A54" w:rsidRDefault="00C65A54" w:rsidP="00DA5475">
            <w:pPr>
              <w:keepNext/>
              <w:keepLines/>
              <w:spacing w:beforeLines="60" w:before="144" w:afterLines="60" w:after="144" w:line="300" w:lineRule="exact"/>
              <w:ind w:right="161"/>
              <w:rPr>
                <w:rFonts w:ascii="Arabic Typesetting" w:hAnsi="Arabic Typesetting" w:cs="Arabic Typesetting"/>
                <w:b/>
                <w:sz w:val="30"/>
                <w:szCs w:val="30"/>
                <w:rtl/>
              </w:rPr>
            </w:pPr>
            <w:r>
              <w:rPr>
                <w:rFonts w:ascii="Arabic Typesetting" w:hAnsi="Arabic Typesetting" w:cs="Arabic Typesetting" w:hint="cs"/>
                <w:b/>
                <w:sz w:val="30"/>
                <w:szCs w:val="30"/>
                <w:rtl/>
              </w:rPr>
              <w:t>استعراض</w:t>
            </w:r>
            <w:r w:rsidRPr="00612E11">
              <w:rPr>
                <w:rFonts w:ascii="Arabic Typesetting" w:hAnsi="Arabic Typesetting" w:cs="Arabic Typesetting"/>
                <w:b/>
                <w:sz w:val="30"/>
                <w:szCs w:val="30"/>
                <w:rtl/>
              </w:rPr>
              <w:t xml:space="preserve"> </w:t>
            </w:r>
            <w:r>
              <w:rPr>
                <w:rFonts w:ascii="Arabic Typesetting" w:hAnsi="Arabic Typesetting" w:cs="Arabic Typesetting"/>
                <w:b/>
                <w:sz w:val="30"/>
                <w:szCs w:val="30"/>
                <w:rtl/>
              </w:rPr>
              <w:t>الإطار التنظيمي و</w:t>
            </w:r>
            <w:r>
              <w:rPr>
                <w:rFonts w:ascii="Arabic Typesetting" w:hAnsi="Arabic Typesetting" w:cs="Arabic Typesetting" w:hint="cs"/>
                <w:b/>
                <w:sz w:val="30"/>
                <w:szCs w:val="30"/>
                <w:rtl/>
              </w:rPr>
              <w:t xml:space="preserve">مراجعته </w:t>
            </w:r>
            <w:r w:rsidRPr="00612E11">
              <w:rPr>
                <w:rFonts w:ascii="Arabic Typesetting" w:hAnsi="Arabic Typesetting" w:cs="Arabic Typesetting"/>
                <w:b/>
                <w:sz w:val="30"/>
                <w:szCs w:val="30"/>
                <w:rtl/>
              </w:rPr>
              <w:t>إذا اقتضى (حسبما يقتضي) الأمر</w:t>
            </w:r>
          </w:p>
        </w:tc>
      </w:tr>
      <w:tr w:rsidR="00C65A54" w:rsidRPr="008954A8" w:rsidTr="00DA5475">
        <w:trPr>
          <w:trHeight w:val="1137"/>
        </w:trPr>
        <w:tc>
          <w:tcPr>
            <w:tcW w:w="1249" w:type="pct"/>
            <w:tcBorders>
              <w:top w:val="nil"/>
              <w:bottom w:val="nil"/>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p>
        </w:tc>
        <w:tc>
          <w:tcPr>
            <w:tcW w:w="1140" w:type="pct"/>
            <w:tcBorders>
              <w:top w:val="nil"/>
              <w:bottom w:val="nil"/>
            </w:tcBorders>
            <w:tcMar>
              <w:top w:w="113" w:type="dxa"/>
            </w:tcMar>
          </w:tcPr>
          <w:p w:rsidR="00C65A54" w:rsidRDefault="00C65A54" w:rsidP="00DA5475">
            <w:pPr>
              <w:spacing w:beforeLines="60" w:before="144" w:afterLines="60" w:after="144" w:line="300" w:lineRule="exact"/>
              <w:rPr>
                <w:rFonts w:ascii="Arabic Typesetting" w:hAnsi="Arabic Typesetting" w:cs="Arabic Typesetting"/>
                <w:sz w:val="30"/>
                <w:szCs w:val="30"/>
                <w:rtl/>
              </w:rPr>
            </w:pPr>
            <w:r w:rsidRPr="00E91505">
              <w:rPr>
                <w:rFonts w:ascii="Arabic Typesetting" w:hAnsi="Arabic Typesetting" w:cs="Arabic Typesetting"/>
                <w:sz w:val="30"/>
                <w:szCs w:val="30"/>
                <w:rtl/>
              </w:rPr>
              <w:t>زيادة نضج إدارة المخاطر والضوابط الداخلية، وفقاً لخارطة الطريق</w:t>
            </w:r>
          </w:p>
        </w:tc>
        <w:tc>
          <w:tcPr>
            <w:tcW w:w="1196" w:type="pct"/>
            <w:tcBorders>
              <w:top w:val="nil"/>
              <w:bottom w:val="nil"/>
            </w:tcBorders>
            <w:shd w:val="clear" w:color="auto" w:fill="FFFFFF"/>
            <w:tcMar>
              <w:top w:w="113" w:type="dxa"/>
            </w:tcMar>
          </w:tcPr>
          <w:p w:rsidR="00C65A54" w:rsidRDefault="00C65A54" w:rsidP="00DA5475">
            <w:pPr>
              <w:spacing w:beforeLines="60" w:before="144" w:afterLines="60" w:after="144" w:line="300" w:lineRule="exact"/>
              <w:rPr>
                <w:rFonts w:ascii="Arabic Typesetting" w:hAnsi="Arabic Typesetting" w:cs="Arabic Typesetting"/>
                <w:sz w:val="30"/>
                <w:szCs w:val="30"/>
                <w:rtl/>
              </w:rPr>
            </w:pPr>
            <w:r w:rsidRPr="00E91505">
              <w:rPr>
                <w:rFonts w:ascii="Arabic Typesetting" w:hAnsi="Arabic Typesetting" w:cs="Arabic Typesetting"/>
                <w:sz w:val="30"/>
                <w:szCs w:val="30"/>
                <w:rtl/>
              </w:rPr>
              <w:t xml:space="preserve">تقدُّم بنسبة 75% في خارطة </w:t>
            </w:r>
            <w:r>
              <w:rPr>
                <w:rFonts w:ascii="Arabic Typesetting" w:hAnsi="Arabic Typesetting" w:cs="Arabic Typesetting" w:hint="cs"/>
                <w:sz w:val="30"/>
                <w:szCs w:val="30"/>
                <w:rtl/>
              </w:rPr>
              <w:t>ال</w:t>
            </w:r>
            <w:r w:rsidRPr="00E91505">
              <w:rPr>
                <w:rFonts w:ascii="Arabic Typesetting" w:hAnsi="Arabic Typesetting" w:cs="Arabic Typesetting"/>
                <w:sz w:val="30"/>
                <w:szCs w:val="30"/>
                <w:rtl/>
              </w:rPr>
              <w:t>طريق</w:t>
            </w:r>
            <w:r>
              <w:rPr>
                <w:rFonts w:ascii="Arabic Typesetting" w:hAnsi="Arabic Typesetting" w:cs="Arabic Typesetting" w:hint="cs"/>
                <w:sz w:val="30"/>
                <w:szCs w:val="30"/>
                <w:rtl/>
              </w:rPr>
              <w:t xml:space="preserve"> الخاصة</w:t>
            </w:r>
            <w:r w:rsidRPr="00E91505">
              <w:rPr>
                <w:rFonts w:ascii="Arabic Typesetting" w:hAnsi="Arabic Typesetting" w:cs="Arabic Typesetting"/>
                <w:sz w:val="30"/>
                <w:szCs w:val="30"/>
                <w:rtl/>
              </w:rPr>
              <w:t xml:space="preserve"> </w:t>
            </w:r>
            <w:r>
              <w:rPr>
                <w:rFonts w:ascii="Arabic Typesetting" w:hAnsi="Arabic Typesetting" w:cs="Arabic Typesetting" w:hint="cs"/>
                <w:sz w:val="30"/>
                <w:szCs w:val="30"/>
                <w:rtl/>
              </w:rPr>
              <w:t>ب</w:t>
            </w:r>
            <w:r w:rsidRPr="00E91505">
              <w:rPr>
                <w:rFonts w:ascii="Arabic Typesetting" w:hAnsi="Arabic Typesetting" w:cs="Arabic Typesetting"/>
                <w:sz w:val="30"/>
                <w:szCs w:val="30"/>
                <w:rtl/>
              </w:rPr>
              <w:t xml:space="preserve">إدارة المخاطر؛ وتقدُّم بنسبة 25% في خارطة </w:t>
            </w:r>
            <w:r>
              <w:rPr>
                <w:rFonts w:ascii="Arabic Typesetting" w:hAnsi="Arabic Typesetting" w:cs="Arabic Typesetting" w:hint="cs"/>
                <w:sz w:val="30"/>
                <w:szCs w:val="30"/>
                <w:rtl/>
              </w:rPr>
              <w:t>ال</w:t>
            </w:r>
            <w:r w:rsidRPr="00E91505">
              <w:rPr>
                <w:rFonts w:ascii="Arabic Typesetting" w:hAnsi="Arabic Typesetting" w:cs="Arabic Typesetting"/>
                <w:sz w:val="30"/>
                <w:szCs w:val="30"/>
                <w:rtl/>
              </w:rPr>
              <w:t xml:space="preserve">طريق </w:t>
            </w:r>
            <w:r>
              <w:rPr>
                <w:rFonts w:ascii="Arabic Typesetting" w:hAnsi="Arabic Typesetting" w:cs="Arabic Typesetting" w:hint="cs"/>
                <w:sz w:val="30"/>
                <w:szCs w:val="30"/>
                <w:rtl/>
              </w:rPr>
              <w:t>الخاصة ب</w:t>
            </w:r>
            <w:r w:rsidRPr="00E91505">
              <w:rPr>
                <w:rFonts w:ascii="Arabic Typesetting" w:hAnsi="Arabic Typesetting" w:cs="Arabic Typesetting"/>
                <w:sz w:val="30"/>
                <w:szCs w:val="30"/>
                <w:rtl/>
              </w:rPr>
              <w:t>الضوابط الداخلية</w:t>
            </w:r>
          </w:p>
        </w:tc>
        <w:tc>
          <w:tcPr>
            <w:tcW w:w="1415" w:type="pct"/>
            <w:tcBorders>
              <w:top w:val="nil"/>
              <w:bottom w:val="nil"/>
            </w:tcBorders>
            <w:tcMar>
              <w:top w:w="113" w:type="dxa"/>
            </w:tcMar>
          </w:tcPr>
          <w:p w:rsidR="00C65A54" w:rsidRDefault="00C65A54" w:rsidP="00DA5475">
            <w:pPr>
              <w:keepNext/>
              <w:keepLines/>
              <w:spacing w:beforeLines="60" w:before="144" w:afterLines="60" w:after="144" w:line="300" w:lineRule="exact"/>
              <w:ind w:right="161"/>
              <w:rPr>
                <w:rFonts w:ascii="Arabic Typesetting" w:hAnsi="Arabic Typesetting" w:cs="Arabic Typesetting"/>
                <w:b/>
                <w:sz w:val="30"/>
                <w:szCs w:val="30"/>
                <w:rtl/>
              </w:rPr>
            </w:pPr>
            <w:r w:rsidRPr="00E91505">
              <w:rPr>
                <w:rFonts w:ascii="Arabic Typesetting" w:hAnsi="Arabic Typesetting" w:cs="Arabic Typesetting"/>
                <w:b/>
                <w:sz w:val="30"/>
                <w:szCs w:val="30"/>
                <w:rtl/>
              </w:rPr>
              <w:t xml:space="preserve">تقدُّم بنسبة 100% في خارطة </w:t>
            </w:r>
            <w:r>
              <w:rPr>
                <w:rFonts w:ascii="Arabic Typesetting" w:hAnsi="Arabic Typesetting" w:cs="Arabic Typesetting" w:hint="cs"/>
                <w:b/>
                <w:sz w:val="30"/>
                <w:szCs w:val="30"/>
                <w:rtl/>
              </w:rPr>
              <w:t>ال</w:t>
            </w:r>
            <w:r w:rsidRPr="00E91505">
              <w:rPr>
                <w:rFonts w:ascii="Arabic Typesetting" w:hAnsi="Arabic Typesetting" w:cs="Arabic Typesetting"/>
                <w:b/>
                <w:sz w:val="30"/>
                <w:szCs w:val="30"/>
                <w:rtl/>
              </w:rPr>
              <w:t>طريق</w:t>
            </w:r>
            <w:r>
              <w:rPr>
                <w:rFonts w:ascii="Arabic Typesetting" w:hAnsi="Arabic Typesetting" w:cs="Arabic Typesetting" w:hint="cs"/>
                <w:b/>
                <w:sz w:val="30"/>
                <w:szCs w:val="30"/>
                <w:rtl/>
              </w:rPr>
              <w:t xml:space="preserve"> الخاصة</w:t>
            </w:r>
            <w:r w:rsidRPr="00E91505">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ب</w:t>
            </w:r>
            <w:r w:rsidRPr="00E91505">
              <w:rPr>
                <w:rFonts w:ascii="Arabic Typesetting" w:hAnsi="Arabic Typesetting" w:cs="Arabic Typesetting"/>
                <w:b/>
                <w:sz w:val="30"/>
                <w:szCs w:val="30"/>
                <w:rtl/>
              </w:rPr>
              <w:t xml:space="preserve">إدارة المخاطر؛ وتقدُّم بنسبة 80% في خارطة </w:t>
            </w:r>
            <w:r>
              <w:rPr>
                <w:rFonts w:ascii="Arabic Typesetting" w:hAnsi="Arabic Typesetting" w:cs="Arabic Typesetting" w:hint="cs"/>
                <w:b/>
                <w:sz w:val="30"/>
                <w:szCs w:val="30"/>
                <w:rtl/>
              </w:rPr>
              <w:t>ال</w:t>
            </w:r>
            <w:r w:rsidRPr="00E91505">
              <w:rPr>
                <w:rFonts w:ascii="Arabic Typesetting" w:hAnsi="Arabic Typesetting" w:cs="Arabic Typesetting"/>
                <w:b/>
                <w:sz w:val="30"/>
                <w:szCs w:val="30"/>
                <w:rtl/>
              </w:rPr>
              <w:t xml:space="preserve">طريق </w:t>
            </w:r>
            <w:r>
              <w:rPr>
                <w:rFonts w:ascii="Arabic Typesetting" w:hAnsi="Arabic Typesetting" w:cs="Arabic Typesetting" w:hint="cs"/>
                <w:b/>
                <w:sz w:val="30"/>
                <w:szCs w:val="30"/>
                <w:rtl/>
              </w:rPr>
              <w:t>الخاصة ب</w:t>
            </w:r>
            <w:r w:rsidRPr="00E91505">
              <w:rPr>
                <w:rFonts w:ascii="Arabic Typesetting" w:hAnsi="Arabic Typesetting" w:cs="Arabic Typesetting"/>
                <w:b/>
                <w:sz w:val="30"/>
                <w:szCs w:val="30"/>
                <w:rtl/>
              </w:rPr>
              <w:t>الضوابط الداخلية</w:t>
            </w:r>
          </w:p>
        </w:tc>
      </w:tr>
      <w:tr w:rsidR="00C65A54" w:rsidRPr="008954A8" w:rsidTr="00DA5475">
        <w:trPr>
          <w:trHeight w:val="1137"/>
        </w:trPr>
        <w:tc>
          <w:tcPr>
            <w:tcW w:w="1249" w:type="pct"/>
            <w:tcBorders>
              <w:top w:val="nil"/>
              <w:bottom w:val="single" w:sz="4" w:space="0" w:color="auto"/>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p>
        </w:tc>
        <w:tc>
          <w:tcPr>
            <w:tcW w:w="1140" w:type="pct"/>
            <w:tcBorders>
              <w:top w:val="nil"/>
              <w:bottom w:val="single" w:sz="4" w:space="0" w:color="auto"/>
            </w:tcBorders>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sidRPr="00E91505">
              <w:rPr>
                <w:rFonts w:ascii="Arabic Typesetting" w:hAnsi="Arabic Typesetting" w:cs="Arabic Typesetting"/>
                <w:sz w:val="30"/>
                <w:szCs w:val="30"/>
                <w:rtl/>
              </w:rPr>
              <w:t>متابعة فعالة لتوصيات الرقابة</w:t>
            </w:r>
          </w:p>
        </w:tc>
        <w:tc>
          <w:tcPr>
            <w:tcW w:w="1196" w:type="pct"/>
            <w:tcBorders>
              <w:top w:val="nil"/>
              <w:bottom w:val="single" w:sz="4" w:space="0" w:color="auto"/>
            </w:tcBorders>
            <w:shd w:val="clear" w:color="auto" w:fill="FFFFFF"/>
            <w:tcMar>
              <w:top w:w="113" w:type="dxa"/>
            </w:tcMar>
          </w:tcPr>
          <w:p w:rsidR="00C65A54" w:rsidRPr="008954A8" w:rsidRDefault="00C65A54" w:rsidP="00DA5475">
            <w:pPr>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م</w:t>
            </w:r>
            <w:r w:rsidRPr="00E91505">
              <w:rPr>
                <w:rFonts w:ascii="Arabic Typesetting" w:hAnsi="Arabic Typesetting" w:cs="Arabic Typesetting"/>
                <w:sz w:val="30"/>
                <w:szCs w:val="30"/>
                <w:rtl/>
              </w:rPr>
              <w:t xml:space="preserve">راجِع </w:t>
            </w:r>
            <w:r>
              <w:rPr>
                <w:rFonts w:ascii="Arabic Typesetting" w:hAnsi="Arabic Typesetting" w:cs="Arabic Typesetting" w:hint="cs"/>
                <w:sz w:val="30"/>
                <w:szCs w:val="30"/>
                <w:rtl/>
              </w:rPr>
              <w:t xml:space="preserve">الحسابات </w:t>
            </w:r>
            <w:r>
              <w:rPr>
                <w:rFonts w:ascii="Arabic Typesetting" w:hAnsi="Arabic Typesetting" w:cs="Arabic Typesetting"/>
                <w:sz w:val="30"/>
                <w:szCs w:val="30"/>
                <w:rtl/>
              </w:rPr>
              <w:t xml:space="preserve">الخارجي = </w:t>
            </w:r>
            <w:r>
              <w:rPr>
                <w:rFonts w:ascii="Arabic Typesetting" w:hAnsi="Arabic Typesetting" w:cs="Arabic Typesetting" w:hint="cs"/>
                <w:sz w:val="30"/>
                <w:szCs w:val="30"/>
                <w:rtl/>
              </w:rPr>
              <w:t xml:space="preserve">التمكّن </w:t>
            </w:r>
            <w:r w:rsidRPr="00E91505">
              <w:rPr>
                <w:rFonts w:ascii="Arabic Typesetting" w:hAnsi="Arabic Typesetting" w:cs="Arabic Typesetting"/>
                <w:sz w:val="30"/>
                <w:szCs w:val="30"/>
                <w:rtl/>
              </w:rPr>
              <w:t xml:space="preserve">في عام 2014 </w:t>
            </w:r>
            <w:r>
              <w:rPr>
                <w:rFonts w:ascii="Arabic Typesetting" w:hAnsi="Arabic Typesetting" w:cs="Arabic Typesetting" w:hint="cs"/>
                <w:sz w:val="30"/>
                <w:szCs w:val="30"/>
                <w:rtl/>
              </w:rPr>
              <w:t>من إقفال</w:t>
            </w:r>
            <w:r w:rsidRPr="00E91505">
              <w:rPr>
                <w:rFonts w:ascii="Arabic Typesetting" w:hAnsi="Arabic Typesetting" w:cs="Arabic Typesetting"/>
                <w:sz w:val="30"/>
                <w:szCs w:val="30"/>
                <w:rtl/>
              </w:rPr>
              <w:t xml:space="preserve"> 47% </w:t>
            </w:r>
            <w:r>
              <w:rPr>
                <w:rFonts w:ascii="Arabic Typesetting" w:hAnsi="Arabic Typesetting" w:cs="Arabic Typesetting"/>
                <w:sz w:val="30"/>
                <w:szCs w:val="30"/>
                <w:rtl/>
              </w:rPr>
              <w:t>من التوصيات ال</w:t>
            </w:r>
            <w:r w:rsidRPr="00E91505">
              <w:rPr>
                <w:rFonts w:ascii="Arabic Typesetting" w:hAnsi="Arabic Typesetting" w:cs="Arabic Typesetting"/>
                <w:sz w:val="30"/>
                <w:szCs w:val="30"/>
                <w:rtl/>
              </w:rPr>
              <w:t>مُعلَّقةً في نهاية عام 2013 (المنظمة كلها)</w:t>
            </w:r>
            <w:r>
              <w:rPr>
                <w:rFonts w:ascii="Arabic Typesetting" w:hAnsi="Arabic Typesetting" w:cs="Arabic Typesetting"/>
                <w:sz w:val="30"/>
                <w:szCs w:val="30"/>
                <w:rtl/>
              </w:rPr>
              <w:br/>
            </w:r>
            <w:r w:rsidRPr="00E91505">
              <w:rPr>
                <w:rFonts w:ascii="Arabic Typesetting" w:hAnsi="Arabic Typesetting" w:cs="Arabic Typesetting"/>
                <w:sz w:val="30"/>
                <w:szCs w:val="30"/>
                <w:rtl/>
              </w:rPr>
              <w:t xml:space="preserve">شعبة الرقابة الداخلية = </w:t>
            </w:r>
            <w:r>
              <w:rPr>
                <w:rFonts w:ascii="Arabic Typesetting" w:hAnsi="Arabic Typesetting" w:cs="Arabic Typesetting" w:hint="cs"/>
                <w:sz w:val="30"/>
                <w:szCs w:val="30"/>
                <w:rtl/>
              </w:rPr>
              <w:t xml:space="preserve">التمكّن </w:t>
            </w:r>
            <w:r w:rsidRPr="00E91505">
              <w:rPr>
                <w:rFonts w:ascii="Arabic Typesetting" w:hAnsi="Arabic Typesetting" w:cs="Arabic Typesetting"/>
                <w:sz w:val="30"/>
                <w:szCs w:val="30"/>
                <w:rtl/>
              </w:rPr>
              <w:t xml:space="preserve">في عام 2014 </w:t>
            </w:r>
            <w:r>
              <w:rPr>
                <w:rFonts w:ascii="Arabic Typesetting" w:hAnsi="Arabic Typesetting" w:cs="Arabic Typesetting" w:hint="cs"/>
                <w:sz w:val="30"/>
                <w:szCs w:val="30"/>
                <w:rtl/>
              </w:rPr>
              <w:t>من إقفال</w:t>
            </w:r>
            <w:r w:rsidRPr="00E91505">
              <w:rPr>
                <w:rFonts w:ascii="Arabic Typesetting" w:hAnsi="Arabic Typesetting" w:cs="Arabic Typesetting"/>
                <w:sz w:val="30"/>
                <w:szCs w:val="30"/>
                <w:rtl/>
              </w:rPr>
              <w:t xml:space="preserve"> 64% </w:t>
            </w:r>
            <w:r>
              <w:rPr>
                <w:rFonts w:ascii="Arabic Typesetting" w:hAnsi="Arabic Typesetting" w:cs="Arabic Typesetting"/>
                <w:sz w:val="30"/>
                <w:szCs w:val="30"/>
                <w:rtl/>
              </w:rPr>
              <w:t>من التوصيات ال</w:t>
            </w:r>
            <w:r w:rsidRPr="00E91505">
              <w:rPr>
                <w:rFonts w:ascii="Arabic Typesetting" w:hAnsi="Arabic Typesetting" w:cs="Arabic Typesetting"/>
                <w:sz w:val="30"/>
                <w:szCs w:val="30"/>
                <w:rtl/>
              </w:rPr>
              <w:t>مُعلَّقةً في نهاية عام 2013 (البرنامج</w:t>
            </w:r>
            <w:r>
              <w:rPr>
                <w:rFonts w:ascii="Arabic Typesetting" w:hAnsi="Arabic Typesetting" w:cs="Arabic Typesetting" w:hint="cs"/>
                <w:sz w:val="30"/>
                <w:szCs w:val="30"/>
                <w:rtl/>
              </w:rPr>
              <w:t> </w:t>
            </w:r>
            <w:r w:rsidRPr="00E91505">
              <w:rPr>
                <w:rFonts w:ascii="Arabic Typesetting" w:hAnsi="Arabic Typesetting" w:cs="Arabic Typesetting"/>
                <w:sz w:val="30"/>
                <w:szCs w:val="30"/>
                <w:rtl/>
              </w:rPr>
              <w:t>22)</w:t>
            </w:r>
            <w:r>
              <w:rPr>
                <w:rFonts w:ascii="Arabic Typesetting" w:hAnsi="Arabic Typesetting" w:cs="Arabic Typesetting"/>
                <w:sz w:val="30"/>
                <w:szCs w:val="30"/>
                <w:rtl/>
              </w:rPr>
              <w:br/>
            </w:r>
            <w:r w:rsidRPr="00E91505">
              <w:rPr>
                <w:rFonts w:ascii="Arabic Typesetting" w:hAnsi="Arabic Typesetting" w:cs="Arabic Typesetting"/>
                <w:sz w:val="30"/>
                <w:szCs w:val="30"/>
                <w:rtl/>
              </w:rPr>
              <w:t xml:space="preserve">وحدة التفتيش المشتركة = </w:t>
            </w:r>
            <w:r>
              <w:rPr>
                <w:rFonts w:ascii="Arabic Typesetting" w:hAnsi="Arabic Typesetting" w:cs="Arabic Typesetting" w:hint="cs"/>
                <w:sz w:val="30"/>
                <w:szCs w:val="30"/>
                <w:rtl/>
              </w:rPr>
              <w:t xml:space="preserve">التمكّن </w:t>
            </w:r>
            <w:r w:rsidRPr="00E91505">
              <w:rPr>
                <w:rFonts w:ascii="Arabic Typesetting" w:hAnsi="Arabic Typesetting" w:cs="Arabic Typesetting"/>
                <w:sz w:val="30"/>
                <w:szCs w:val="30"/>
                <w:rtl/>
              </w:rPr>
              <w:t>في عام 2014</w:t>
            </w:r>
            <w:r>
              <w:rPr>
                <w:rFonts w:ascii="Arabic Typesetting" w:hAnsi="Arabic Typesetting" w:cs="Arabic Typesetting" w:hint="cs"/>
                <w:sz w:val="30"/>
                <w:szCs w:val="30"/>
                <w:rtl/>
              </w:rPr>
              <w:t xml:space="preserve"> من إقفال</w:t>
            </w:r>
            <w:r w:rsidRPr="00E91505">
              <w:rPr>
                <w:rFonts w:ascii="Arabic Typesetting" w:hAnsi="Arabic Typesetting" w:cs="Arabic Typesetting"/>
                <w:sz w:val="30"/>
                <w:szCs w:val="30"/>
                <w:rtl/>
              </w:rPr>
              <w:t xml:space="preserve"> 61% </w:t>
            </w:r>
            <w:r>
              <w:rPr>
                <w:rFonts w:ascii="Arabic Typesetting" w:hAnsi="Arabic Typesetting" w:cs="Arabic Typesetting"/>
                <w:sz w:val="30"/>
                <w:szCs w:val="30"/>
                <w:rtl/>
              </w:rPr>
              <w:t>من ال</w:t>
            </w:r>
            <w:r w:rsidRPr="00E91505">
              <w:rPr>
                <w:rFonts w:ascii="Arabic Typesetting" w:hAnsi="Arabic Typesetting" w:cs="Arabic Typesetting"/>
                <w:sz w:val="30"/>
                <w:szCs w:val="30"/>
                <w:rtl/>
              </w:rPr>
              <w:t>مُعلَّقةً في نهاية عام 2013 (بدءاً بعام 2010)</w:t>
            </w:r>
          </w:p>
        </w:tc>
        <w:tc>
          <w:tcPr>
            <w:tcW w:w="1415" w:type="pct"/>
            <w:tcBorders>
              <w:top w:val="nil"/>
              <w:bottom w:val="single" w:sz="4" w:space="0" w:color="auto"/>
            </w:tcBorders>
            <w:tcMar>
              <w:top w:w="113" w:type="dxa"/>
            </w:tcMar>
          </w:tcPr>
          <w:p w:rsidR="00C65A54" w:rsidRPr="008954A8" w:rsidRDefault="00C65A54" w:rsidP="00DA5475">
            <w:pPr>
              <w:keepNext/>
              <w:keepLines/>
              <w:spacing w:beforeLines="60" w:before="144" w:afterLines="60" w:after="144" w:line="300" w:lineRule="exact"/>
              <w:ind w:right="161"/>
              <w:rPr>
                <w:rFonts w:ascii="Arabic Typesetting" w:hAnsi="Arabic Typesetting" w:cs="Arabic Typesetting"/>
                <w:b/>
                <w:sz w:val="30"/>
                <w:szCs w:val="30"/>
              </w:rPr>
            </w:pPr>
            <w:r>
              <w:rPr>
                <w:rFonts w:ascii="Arabic Typesetting" w:hAnsi="Arabic Typesetting" w:cs="Arabic Typesetting" w:hint="cs"/>
                <w:sz w:val="30"/>
                <w:szCs w:val="30"/>
                <w:rtl/>
              </w:rPr>
              <w:t>م</w:t>
            </w:r>
            <w:r w:rsidRPr="00E91505">
              <w:rPr>
                <w:rFonts w:ascii="Arabic Typesetting" w:hAnsi="Arabic Typesetting" w:cs="Arabic Typesetting"/>
                <w:sz w:val="30"/>
                <w:szCs w:val="30"/>
                <w:rtl/>
              </w:rPr>
              <w:t xml:space="preserve">راجِع </w:t>
            </w:r>
            <w:r>
              <w:rPr>
                <w:rFonts w:ascii="Arabic Typesetting" w:hAnsi="Arabic Typesetting" w:cs="Arabic Typesetting" w:hint="cs"/>
                <w:sz w:val="30"/>
                <w:szCs w:val="30"/>
                <w:rtl/>
              </w:rPr>
              <w:t xml:space="preserve">الحسابات </w:t>
            </w:r>
            <w:r>
              <w:rPr>
                <w:rFonts w:ascii="Arabic Typesetting" w:hAnsi="Arabic Typesetting" w:cs="Arabic Typesetting"/>
                <w:sz w:val="30"/>
                <w:szCs w:val="30"/>
                <w:rtl/>
              </w:rPr>
              <w:t xml:space="preserve">الخارجي </w:t>
            </w:r>
            <w:r w:rsidRPr="00E91505">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 xml:space="preserve">التمكّن </w:t>
            </w:r>
            <w:r w:rsidRPr="00E91505">
              <w:rPr>
                <w:rFonts w:ascii="Arabic Typesetting" w:hAnsi="Arabic Typesetting" w:cs="Arabic Typesetting"/>
                <w:b/>
                <w:sz w:val="30"/>
                <w:szCs w:val="30"/>
                <w:rtl/>
              </w:rPr>
              <w:t>في الثنائية 2016/17</w:t>
            </w:r>
            <w:r>
              <w:rPr>
                <w:rFonts w:ascii="Arabic Typesetting" w:hAnsi="Arabic Typesetting" w:cs="Arabic Typesetting" w:hint="cs"/>
                <w:b/>
                <w:sz w:val="30"/>
                <w:szCs w:val="30"/>
                <w:rtl/>
              </w:rPr>
              <w:t xml:space="preserve"> من إقفال</w:t>
            </w:r>
            <w:r w:rsidRPr="00E91505">
              <w:rPr>
                <w:rFonts w:ascii="Arabic Typesetting" w:hAnsi="Arabic Typesetting" w:cs="Arabic Typesetting"/>
                <w:b/>
                <w:sz w:val="30"/>
                <w:szCs w:val="30"/>
                <w:rtl/>
              </w:rPr>
              <w:t xml:space="preserve"> 55% من التوصيات المُعلَّقةً في نهاية عام 2015</w:t>
            </w:r>
            <w:r>
              <w:rPr>
                <w:rFonts w:ascii="Arabic Typesetting" w:hAnsi="Arabic Typesetting" w:cs="Arabic Typesetting"/>
                <w:b/>
                <w:sz w:val="30"/>
                <w:szCs w:val="30"/>
                <w:rtl/>
              </w:rPr>
              <w:br/>
            </w:r>
            <w:r w:rsidRPr="00E91505">
              <w:rPr>
                <w:rFonts w:ascii="Arabic Typesetting" w:hAnsi="Arabic Typesetting" w:cs="Arabic Typesetting"/>
                <w:b/>
                <w:sz w:val="30"/>
                <w:szCs w:val="30"/>
                <w:rtl/>
              </w:rPr>
              <w:t xml:space="preserve">شعبة الرقابة الداخلية = </w:t>
            </w:r>
            <w:r>
              <w:rPr>
                <w:rFonts w:ascii="Arabic Typesetting" w:hAnsi="Arabic Typesetting" w:cs="Arabic Typesetting" w:hint="cs"/>
                <w:b/>
                <w:sz w:val="30"/>
                <w:szCs w:val="30"/>
                <w:rtl/>
              </w:rPr>
              <w:t xml:space="preserve">التمكّن </w:t>
            </w:r>
            <w:r w:rsidRPr="00E91505">
              <w:rPr>
                <w:rFonts w:ascii="Arabic Typesetting" w:hAnsi="Arabic Typesetting" w:cs="Arabic Typesetting"/>
                <w:b/>
                <w:sz w:val="30"/>
                <w:szCs w:val="30"/>
                <w:rtl/>
              </w:rPr>
              <w:t>في الثنائية 2016/17</w:t>
            </w:r>
            <w:r>
              <w:rPr>
                <w:rFonts w:ascii="Arabic Typesetting" w:hAnsi="Arabic Typesetting" w:cs="Arabic Typesetting" w:hint="cs"/>
                <w:b/>
                <w:sz w:val="30"/>
                <w:szCs w:val="30"/>
                <w:rtl/>
              </w:rPr>
              <w:t xml:space="preserve"> من إقفال </w:t>
            </w:r>
            <w:r w:rsidRPr="00E91505">
              <w:rPr>
                <w:rFonts w:ascii="Arabic Typesetting" w:hAnsi="Arabic Typesetting" w:cs="Arabic Typesetting"/>
                <w:b/>
                <w:sz w:val="30"/>
                <w:szCs w:val="30"/>
                <w:rtl/>
              </w:rPr>
              <w:t>70% في الثنائية 2016/17 من التوصيات المُعلَّقةً في نهاية عام 2015</w:t>
            </w:r>
            <w:r>
              <w:rPr>
                <w:rFonts w:ascii="Arabic Typesetting" w:hAnsi="Arabic Typesetting" w:cs="Arabic Typesetting"/>
                <w:b/>
                <w:sz w:val="30"/>
                <w:szCs w:val="30"/>
                <w:rtl/>
              </w:rPr>
              <w:br/>
            </w:r>
            <w:r w:rsidRPr="00E91505">
              <w:rPr>
                <w:rFonts w:ascii="Arabic Typesetting" w:hAnsi="Arabic Typesetting" w:cs="Arabic Typesetting"/>
                <w:b/>
                <w:sz w:val="30"/>
                <w:szCs w:val="30"/>
                <w:rtl/>
              </w:rPr>
              <w:t xml:space="preserve">وحدة التفتيش المشتركة = </w:t>
            </w:r>
            <w:r>
              <w:rPr>
                <w:rFonts w:ascii="Arabic Typesetting" w:hAnsi="Arabic Typesetting" w:cs="Arabic Typesetting" w:hint="cs"/>
                <w:b/>
                <w:sz w:val="30"/>
                <w:szCs w:val="30"/>
                <w:rtl/>
              </w:rPr>
              <w:t xml:space="preserve">التمكّن </w:t>
            </w:r>
            <w:r w:rsidRPr="00E91505">
              <w:rPr>
                <w:rFonts w:ascii="Arabic Typesetting" w:hAnsi="Arabic Typesetting" w:cs="Arabic Typesetting"/>
                <w:b/>
                <w:sz w:val="30"/>
                <w:szCs w:val="30"/>
                <w:rtl/>
              </w:rPr>
              <w:t>في الثنائية 2016/17</w:t>
            </w:r>
            <w:r>
              <w:rPr>
                <w:rFonts w:ascii="Arabic Typesetting" w:hAnsi="Arabic Typesetting" w:cs="Arabic Typesetting" w:hint="cs"/>
                <w:b/>
                <w:sz w:val="30"/>
                <w:szCs w:val="30"/>
                <w:rtl/>
              </w:rPr>
              <w:t xml:space="preserve"> من إقفال</w:t>
            </w:r>
            <w:r w:rsidRPr="00E91505">
              <w:rPr>
                <w:rFonts w:ascii="Arabic Typesetting" w:hAnsi="Arabic Typesetting" w:cs="Arabic Typesetting"/>
                <w:b/>
                <w:sz w:val="30"/>
                <w:szCs w:val="30"/>
                <w:rtl/>
              </w:rPr>
              <w:t xml:space="preserve"> 70% من التوصيات المُعلَّقةً في نهاية عام 2015 (بدءاً بعام 2010)</w:t>
            </w:r>
          </w:p>
        </w:tc>
      </w:tr>
    </w:tbl>
    <w:p w:rsidR="00C65A54" w:rsidRDefault="00C65A54" w:rsidP="00DA5475">
      <w:pPr>
        <w:pStyle w:val="ARNormal"/>
        <w:rPr>
          <w:i/>
          <w:rtl/>
        </w:rPr>
      </w:pPr>
    </w:p>
    <w:p w:rsidR="00C65A54" w:rsidRDefault="00C65A54">
      <w:pPr>
        <w:bidi w:val="0"/>
        <w:rPr>
          <w:rFonts w:ascii="Arabic Typesetting" w:hAnsi="Arabic Typesetting" w:cs="Arabic Typesetting"/>
          <w:noProof/>
          <w:sz w:val="38"/>
          <w:szCs w:val="38"/>
          <w:rtl/>
          <w:lang w:val="x-none" w:eastAsia="x-none"/>
        </w:rPr>
      </w:pPr>
      <w:r>
        <w:rPr>
          <w:rFonts w:ascii="Arabic Typesetting" w:hAnsi="Arabic Typesetting" w:cs="Arabic Typesetting"/>
          <w:noProof/>
          <w:sz w:val="38"/>
          <w:szCs w:val="38"/>
          <w:rtl/>
          <w:lang w:val="x-none" w:eastAsia="x-none"/>
        </w:rPr>
        <w:br w:type="page"/>
      </w:r>
    </w:p>
    <w:p w:rsidR="00C65A54" w:rsidRPr="00180D0A" w:rsidRDefault="00C65A54"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180D0A">
        <w:rPr>
          <w:rFonts w:ascii="Arabic Typesetting" w:hAnsi="Arabic Typesetting" w:cs="Arabic Typesetting" w:hint="cs"/>
          <w:noProof/>
          <w:snapToGrid/>
          <w:sz w:val="38"/>
          <w:szCs w:val="38"/>
          <w:rtl/>
          <w:lang w:val="x-none" w:eastAsia="x-none" w:bidi="ar-EG"/>
        </w:rPr>
        <w:lastRenderedPageBreak/>
        <w:t>الموارد المخصصة للبرنامج 22</w:t>
      </w:r>
    </w:p>
    <w:p w:rsidR="00C65A54" w:rsidRDefault="00C65A54" w:rsidP="00861CFF">
      <w:pPr>
        <w:numPr>
          <w:ilvl w:val="0"/>
          <w:numId w:val="37"/>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تُلاحظ زيادة إجمالية قدرها 5 ملايين فرنك سويسري في الثنائية 2016/17 مقارنة بميزانية 2014/15 بعد التحويلات. وتُعزى الزيادة الصافية ضمن النتيجة المرتقبة </w:t>
      </w:r>
      <w:r w:rsidR="009800D4">
        <w:rPr>
          <w:rFonts w:ascii="Arabic Typesetting" w:hAnsi="Arabic Typesetting" w:cs="Arabic Typesetting"/>
          <w:sz w:val="34"/>
          <w:szCs w:val="34"/>
          <w:rtl/>
        </w:rPr>
        <w:t>ه</w:t>
      </w:r>
      <w:r w:rsidRPr="00180D0A">
        <w:rPr>
          <w:rFonts w:ascii="Arabic Typesetting" w:hAnsi="Arabic Typesetting" w:cs="Arabic Typesetting" w:hint="cs"/>
          <w:sz w:val="34"/>
          <w:szCs w:val="34"/>
          <w:rtl/>
        </w:rPr>
        <w:t xml:space="preserve"> </w:t>
      </w:r>
      <w:r w:rsidRPr="00180D0A">
        <w:rPr>
          <w:rFonts w:ascii="Arabic Typesetting" w:hAnsi="Arabic Typesetting" w:cs="Arabic Typesetting"/>
          <w:sz w:val="34"/>
          <w:szCs w:val="34"/>
          <w:rtl/>
        </w:rPr>
        <w:t>1.9</w:t>
      </w:r>
      <w:r>
        <w:rPr>
          <w:rFonts w:ascii="Arabic Typesetting" w:hAnsi="Arabic Typesetting" w:cs="Arabic Typesetting" w:hint="cs"/>
          <w:sz w:val="34"/>
          <w:szCs w:val="34"/>
          <w:rtl/>
        </w:rPr>
        <w:t xml:space="preserve"> أساسا إلى مبلغ إضافي قدره 1.6 مليون فرنك سويسري في خلاف موارد الموظفين لأغراض الاستيعاب التشغيلي للوحدات والقدرات الجديدة لنظام التخطيط للموارد المؤسسية وزيادة إضافية قدرها 4.3</w:t>
      </w:r>
      <w:r>
        <w:rPr>
          <w:rFonts w:ascii="Arabic Typesetting" w:hAnsi="Arabic Typesetting" w:cs="Arabic Typesetting" w:hint="eastAsia"/>
          <w:sz w:val="34"/>
          <w:szCs w:val="34"/>
          <w:rtl/>
        </w:rPr>
        <w:t> </w:t>
      </w:r>
      <w:r>
        <w:rPr>
          <w:rFonts w:ascii="Arabic Typesetting" w:hAnsi="Arabic Typesetting" w:cs="Arabic Typesetting" w:hint="cs"/>
          <w:sz w:val="34"/>
          <w:szCs w:val="34"/>
          <w:rtl/>
        </w:rPr>
        <w:t xml:space="preserve">مليون فرنك سويسري ضمن النتيجة المرتقبة </w:t>
      </w:r>
      <w:r w:rsidR="009800D4">
        <w:rPr>
          <w:rFonts w:ascii="Arabic Typesetting" w:hAnsi="Arabic Typesetting" w:cs="Arabic Typesetting"/>
          <w:sz w:val="34"/>
          <w:szCs w:val="34"/>
          <w:rtl/>
        </w:rPr>
        <w:t>ه</w:t>
      </w:r>
      <w:r w:rsidRPr="006F1DC1">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2</w:t>
      </w:r>
      <w:r w:rsidRPr="006F1DC1">
        <w:rPr>
          <w:rFonts w:ascii="Arabic Typesetting" w:hAnsi="Arabic Typesetting" w:cs="Arabic Typesetting"/>
          <w:sz w:val="34"/>
          <w:szCs w:val="34"/>
          <w:rtl/>
        </w:rPr>
        <w:t>.9</w:t>
      </w:r>
      <w:r>
        <w:rPr>
          <w:rFonts w:ascii="Arabic Typesetting" w:hAnsi="Arabic Typesetting" w:cs="Arabic Typesetting" w:hint="cs"/>
          <w:sz w:val="34"/>
          <w:szCs w:val="34"/>
          <w:rtl/>
        </w:rPr>
        <w:t xml:space="preserve"> تتعلق بالموارد المخصصة لأغراض أسعار الفائدة السلبية المُطبقة على ودائع الفرنك السويسري (2.4 مليون فرنك سويسري) والزيادات القانونية في تكاليف الموظفين. وتأخذ الزيادة الهامشية ضمن النتيجة المرتقبة </w:t>
      </w:r>
      <w:r w:rsidR="009800D4">
        <w:rPr>
          <w:rFonts w:ascii="Arabic Typesetting" w:hAnsi="Arabic Typesetting" w:cs="Arabic Typesetting"/>
          <w:sz w:val="34"/>
          <w:szCs w:val="34"/>
          <w:rtl/>
        </w:rPr>
        <w:t>ه</w:t>
      </w:r>
      <w:r w:rsidRPr="006F1DC1">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3</w:t>
      </w:r>
      <w:r w:rsidRPr="006F1DC1">
        <w:rPr>
          <w:rFonts w:ascii="Arabic Typesetting" w:hAnsi="Arabic Typesetting" w:cs="Arabic Typesetting"/>
          <w:sz w:val="34"/>
          <w:szCs w:val="34"/>
          <w:rtl/>
        </w:rPr>
        <w:t>.9</w:t>
      </w:r>
      <w:r>
        <w:rPr>
          <w:rFonts w:ascii="Arabic Typesetting" w:hAnsi="Arabic Typesetting" w:cs="Arabic Typesetting" w:hint="cs"/>
          <w:sz w:val="34"/>
          <w:szCs w:val="34"/>
          <w:rtl/>
        </w:rPr>
        <w:t xml:space="preserve"> في الحسبان الموارد المتوقعة لإدارة المخاطر المؤسسية وتعزيز الضوابط الداخلية ونقل المسؤوليات الخاصة بالتنسيق مع وحدة التفتيش المشتركة والتكاليف ذات الصلة من البرنامج 24 (</w:t>
      </w:r>
      <w:r w:rsidRPr="00D1651E">
        <w:rPr>
          <w:rFonts w:ascii="Arabic Typesetting" w:hAnsi="Arabic Typesetting" w:cs="Arabic Typesetting"/>
          <w:sz w:val="34"/>
          <w:szCs w:val="34"/>
          <w:rtl/>
        </w:rPr>
        <w:t>خدمات الدعم العامة</w:t>
      </w:r>
      <w:r>
        <w:rPr>
          <w:rFonts w:ascii="Arabic Typesetting" w:hAnsi="Arabic Typesetting" w:cs="Arabic Typesetting" w:hint="cs"/>
          <w:sz w:val="34"/>
          <w:szCs w:val="34"/>
          <w:rtl/>
        </w:rPr>
        <w:t>) إلى البرنامج.</w:t>
      </w:r>
    </w:p>
    <w:p w:rsidR="00C65A54" w:rsidRDefault="00C65A54" w:rsidP="00AA47BF">
      <w:pPr>
        <w:numPr>
          <w:ilvl w:val="0"/>
          <w:numId w:val="37"/>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وتعكس الموارد المرتبطة بالنتيجة المرتقبة </w:t>
      </w:r>
      <w:r w:rsidR="009800D4">
        <w:rPr>
          <w:rFonts w:ascii="Arabic Typesetting" w:hAnsi="Arabic Typesetting" w:cs="Arabic Typesetting"/>
          <w:sz w:val="34"/>
          <w:szCs w:val="34"/>
          <w:rtl/>
        </w:rPr>
        <w:t>ه</w:t>
      </w:r>
      <w:r w:rsidRPr="006F1DC1">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8</w:t>
      </w:r>
      <w:r w:rsidRPr="006F1DC1">
        <w:rPr>
          <w:rFonts w:ascii="Arabic Typesetting" w:hAnsi="Arabic Typesetting" w:cs="Arabic Typesetting"/>
          <w:sz w:val="34"/>
          <w:szCs w:val="34"/>
          <w:rtl/>
        </w:rPr>
        <w:t>.9</w:t>
      </w:r>
      <w:r>
        <w:rPr>
          <w:rFonts w:ascii="Arabic Typesetting" w:hAnsi="Arabic Typesetting" w:cs="Arabic Typesetting" w:hint="cs"/>
          <w:sz w:val="34"/>
          <w:szCs w:val="34"/>
          <w:rtl/>
        </w:rPr>
        <w:t xml:space="preserve"> الموارد المخصصة من الميزانية لأغراض </w:t>
      </w:r>
      <w:r w:rsidR="001E4431">
        <w:rPr>
          <w:rFonts w:ascii="Arabic Typesetting" w:hAnsi="Arabic Typesetting" w:cs="Arabic Typesetting" w:hint="cs"/>
          <w:sz w:val="34"/>
          <w:szCs w:val="34"/>
          <w:rtl/>
        </w:rPr>
        <w:t>مراجعي الحسابات الخارجيين واللحنة الاستشارية المستقلة للرقابة</w:t>
      </w:r>
      <w:r>
        <w:rPr>
          <w:rFonts w:ascii="Arabic Typesetting" w:hAnsi="Arabic Typesetting" w:cs="Arabic Typesetting" w:hint="cs"/>
          <w:sz w:val="34"/>
          <w:szCs w:val="34"/>
          <w:rtl/>
        </w:rPr>
        <w:t>.</w:t>
      </w:r>
      <w:r w:rsidR="001E4431">
        <w:rPr>
          <w:rFonts w:ascii="Arabic Typesetting" w:hAnsi="Arabic Typesetting" w:cs="Arabic Typesetting" w:hint="cs"/>
          <w:sz w:val="34"/>
          <w:szCs w:val="34"/>
          <w:rtl/>
        </w:rPr>
        <w:t xml:space="preserve"> وتبلغ موارد خلاف الموظفين المخصصة لتلك اللجنة 600</w:t>
      </w:r>
      <w:r w:rsidR="001E4431">
        <w:rPr>
          <w:rFonts w:ascii="Arabic Typesetting" w:hAnsi="Arabic Typesetting" w:cs="Arabic Typesetting" w:hint="eastAsia"/>
          <w:sz w:val="34"/>
          <w:szCs w:val="34"/>
          <w:rtl/>
        </w:rPr>
        <w:t> </w:t>
      </w:r>
      <w:r w:rsidR="001E4431">
        <w:rPr>
          <w:rFonts w:ascii="Arabic Typesetting" w:hAnsi="Arabic Typesetting" w:cs="Arabic Typesetting" w:hint="cs"/>
          <w:sz w:val="34"/>
          <w:szCs w:val="34"/>
          <w:rtl/>
        </w:rPr>
        <w:t>446 فرنك سويسري، مما يُعد زيادة بنسبة</w:t>
      </w:r>
      <w:r w:rsidR="00AA47BF">
        <w:rPr>
          <w:rFonts w:ascii="Arabic Typesetting" w:hAnsi="Arabic Typesetting" w:cs="Arabic Typesetting" w:hint="eastAsia"/>
          <w:sz w:val="34"/>
          <w:szCs w:val="34"/>
          <w:rtl/>
        </w:rPr>
        <w:t> </w:t>
      </w:r>
      <w:r w:rsidR="001E4431">
        <w:rPr>
          <w:rFonts w:ascii="Arabic Typesetting" w:hAnsi="Arabic Typesetting" w:cs="Arabic Typesetting" w:hint="cs"/>
          <w:sz w:val="34"/>
          <w:szCs w:val="34"/>
          <w:rtl/>
        </w:rPr>
        <w:t>14 بالمائة مقارنة بالميزانية المعتمدة 2014/15.</w:t>
      </w:r>
    </w:p>
    <w:p w:rsidR="00C65A54" w:rsidRPr="002D0B59" w:rsidRDefault="00C65A54" w:rsidP="00DA5475">
      <w:pPr>
        <w:keepNext/>
        <w:spacing w:line="340" w:lineRule="exact"/>
        <w:jc w:val="center"/>
        <w:rPr>
          <w:rFonts w:ascii="Arabic Typesetting" w:hAnsi="Arabic Typesetting" w:cs="Arabic Typesetting"/>
          <w:b/>
          <w:bCs/>
          <w:sz w:val="34"/>
          <w:szCs w:val="34"/>
          <w:rtl/>
          <w:lang w:val="fr-CH" w:bidi="ar-SA"/>
        </w:rPr>
      </w:pPr>
      <w:r w:rsidRPr="002D0B59">
        <w:rPr>
          <w:rFonts w:ascii="Arabic Typesetting" w:hAnsi="Arabic Typesetting" w:cs="Arabic Typesetting"/>
          <w:b/>
          <w:bCs/>
          <w:sz w:val="34"/>
          <w:szCs w:val="34"/>
          <w:rtl/>
          <w:lang w:val="fr-CH" w:bidi="ar-SA"/>
        </w:rPr>
        <w:t xml:space="preserve">البرنامج </w:t>
      </w:r>
      <w:r>
        <w:rPr>
          <w:rFonts w:ascii="Arabic Typesetting" w:hAnsi="Arabic Typesetting" w:cs="Arabic Typesetting" w:hint="cs"/>
          <w:b/>
          <w:bCs/>
          <w:sz w:val="34"/>
          <w:szCs w:val="34"/>
          <w:rtl/>
          <w:lang w:val="fr-CH" w:bidi="ar-SA"/>
        </w:rPr>
        <w:t>22</w:t>
      </w:r>
      <w:r w:rsidRPr="002D0B59">
        <w:rPr>
          <w:rFonts w:ascii="Arabic Typesetting" w:hAnsi="Arabic Typesetting" w:cs="Arabic Typesetting"/>
          <w:b/>
          <w:bCs/>
          <w:sz w:val="34"/>
          <w:szCs w:val="34"/>
          <w:rtl/>
          <w:lang w:val="fr-CH" w:bidi="ar-SA"/>
        </w:rPr>
        <w:t>: الموارد بحسب كل نتيجة</w:t>
      </w:r>
    </w:p>
    <w:p w:rsidR="00C65A54" w:rsidRPr="002D0B59" w:rsidRDefault="00C65A54" w:rsidP="00DA5475">
      <w:pPr>
        <w:spacing w:line="340" w:lineRule="exact"/>
        <w:jc w:val="center"/>
        <w:rPr>
          <w:rFonts w:ascii="Arabic Typesetting" w:hAnsi="Arabic Typesetting" w:cs="Arabic Typesetting"/>
          <w:i/>
          <w:iCs/>
          <w:sz w:val="34"/>
          <w:szCs w:val="34"/>
          <w:rtl/>
          <w:lang w:val="fr-CH" w:bidi="ar-SA"/>
        </w:rPr>
      </w:pPr>
      <w:r w:rsidRPr="002D0B59">
        <w:rPr>
          <w:rFonts w:ascii="Arabic Typesetting" w:hAnsi="Arabic Typesetting" w:cs="Arabic Typesetting"/>
          <w:i/>
          <w:iCs/>
          <w:sz w:val="34"/>
          <w:szCs w:val="34"/>
          <w:rtl/>
          <w:lang w:val="fr-CH" w:bidi="ar-SA"/>
        </w:rPr>
        <w:t>(بآلاف الفرنكات السويسرية)</w:t>
      </w:r>
    </w:p>
    <w:p w:rsidR="00C65A54" w:rsidRDefault="00C65A54" w:rsidP="00C65A54">
      <w:pPr>
        <w:spacing w:after="120"/>
        <w:ind w:left="6"/>
        <w:jc w:val="center"/>
        <w:rPr>
          <w:rFonts w:ascii="Arabic Typesetting" w:hAnsi="Arabic Typesetting" w:cs="Arabic Typesetting"/>
          <w:sz w:val="34"/>
          <w:szCs w:val="34"/>
          <w:rtl/>
        </w:rPr>
      </w:pPr>
      <w:r w:rsidRPr="00C65A54">
        <w:rPr>
          <w:noProof/>
          <w:szCs w:val="20"/>
          <w:rtl/>
          <w:lang w:bidi="ar-SA"/>
        </w:rPr>
        <w:drawing>
          <wp:inline distT="0" distB="0" distL="0" distR="0" wp14:anchorId="7A454A2C" wp14:editId="4F3B7AC9">
            <wp:extent cx="5676900" cy="291465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676900" cy="2914650"/>
                    </a:xfrm>
                    <a:prstGeom prst="rect">
                      <a:avLst/>
                    </a:prstGeom>
                    <a:noFill/>
                    <a:ln>
                      <a:noFill/>
                    </a:ln>
                  </pic:spPr>
                </pic:pic>
              </a:graphicData>
            </a:graphic>
          </wp:inline>
        </w:drawing>
      </w:r>
    </w:p>
    <w:p w:rsidR="00C65A54" w:rsidRDefault="00C65A54">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C65A54" w:rsidRPr="00EB30FA" w:rsidRDefault="00C65A54" w:rsidP="00DA5475">
      <w:pPr>
        <w:keepNext/>
        <w:spacing w:line="340" w:lineRule="exact"/>
        <w:jc w:val="center"/>
        <w:rPr>
          <w:rFonts w:ascii="Arabic Typesetting" w:hAnsi="Arabic Typesetting" w:cs="Arabic Typesetting"/>
          <w:b/>
          <w:bCs/>
          <w:sz w:val="34"/>
          <w:szCs w:val="34"/>
          <w:rtl/>
          <w:lang w:val="fr-CH" w:bidi="ar-SA"/>
        </w:rPr>
      </w:pPr>
      <w:r w:rsidRPr="00EB30FA">
        <w:rPr>
          <w:rFonts w:ascii="Arabic Typesetting" w:hAnsi="Arabic Typesetting" w:cs="Arabic Typesetting" w:hint="cs"/>
          <w:b/>
          <w:bCs/>
          <w:sz w:val="34"/>
          <w:szCs w:val="34"/>
          <w:rtl/>
          <w:lang w:val="fr-CH" w:bidi="ar-SA"/>
        </w:rPr>
        <w:lastRenderedPageBreak/>
        <w:t xml:space="preserve">البرنامج </w:t>
      </w:r>
      <w:r>
        <w:rPr>
          <w:rFonts w:ascii="Arabic Typesetting" w:hAnsi="Arabic Typesetting" w:cs="Arabic Typesetting" w:hint="cs"/>
          <w:b/>
          <w:bCs/>
          <w:sz w:val="34"/>
          <w:szCs w:val="34"/>
          <w:rtl/>
          <w:lang w:val="fr-CH" w:bidi="ar-SA"/>
        </w:rPr>
        <w:t>22</w:t>
      </w:r>
      <w:r w:rsidRPr="00EB30FA">
        <w:rPr>
          <w:rFonts w:ascii="Arabic Typesetting" w:hAnsi="Arabic Typesetting" w:cs="Arabic Typesetting" w:hint="cs"/>
          <w:b/>
          <w:bCs/>
          <w:sz w:val="34"/>
          <w:szCs w:val="34"/>
          <w:rtl/>
          <w:lang w:val="fr-CH" w:bidi="ar-SA"/>
        </w:rPr>
        <w:t>: الموارد بحسب غرض الإنفاق</w:t>
      </w:r>
    </w:p>
    <w:p w:rsidR="00C65A54" w:rsidRPr="00EB30FA" w:rsidRDefault="00C65A54" w:rsidP="00C65A54">
      <w:pPr>
        <w:keepNext/>
        <w:spacing w:line="340" w:lineRule="exact"/>
        <w:jc w:val="center"/>
        <w:rPr>
          <w:rFonts w:ascii="Arabic Typesetting" w:hAnsi="Arabic Typesetting" w:cs="Arabic Typesetting"/>
          <w:i/>
          <w:iCs/>
          <w:sz w:val="34"/>
          <w:szCs w:val="34"/>
          <w:lang w:val="fr-CH" w:bidi="ar-SA"/>
        </w:rPr>
      </w:pPr>
      <w:r w:rsidRPr="00EB30FA">
        <w:rPr>
          <w:rFonts w:ascii="Arabic Typesetting" w:hAnsi="Arabic Typesetting" w:cs="Arabic Typesetting" w:hint="cs"/>
          <w:i/>
          <w:iCs/>
          <w:sz w:val="34"/>
          <w:szCs w:val="34"/>
          <w:rtl/>
          <w:lang w:val="fr-CH" w:bidi="ar-SA"/>
        </w:rPr>
        <w:t>(بآلاف الفرنكات السويسرية)</w:t>
      </w:r>
    </w:p>
    <w:p w:rsidR="00C65A54" w:rsidRDefault="00C65A54" w:rsidP="00C65A54">
      <w:pPr>
        <w:pStyle w:val="ARNormal"/>
        <w:spacing w:line="240" w:lineRule="auto"/>
        <w:ind w:left="6"/>
        <w:jc w:val="center"/>
        <w:rPr>
          <w:i/>
          <w:rtl/>
        </w:rPr>
      </w:pPr>
      <w:r w:rsidRPr="00C65A54">
        <w:rPr>
          <w:noProof/>
          <w:rtl/>
          <w:lang w:val="en-US"/>
        </w:rPr>
        <w:drawing>
          <wp:inline distT="0" distB="0" distL="0" distR="0" wp14:anchorId="37E25427" wp14:editId="00C31B90">
            <wp:extent cx="5514975" cy="6353175"/>
            <wp:effectExtent l="0" t="0" r="9525"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lang w:bidi="ar-EG"/>
        </w:rPr>
      </w:pPr>
    </w:p>
    <w:p w:rsidR="00C65A54" w:rsidRDefault="00C65A54">
      <w:pPr>
        <w:bidi w:val="0"/>
        <w:rPr>
          <w:rFonts w:ascii="Arabic Typesetting" w:hAnsi="Arabic Typesetting" w:cs="Arabic Typesetting"/>
          <w:sz w:val="34"/>
          <w:szCs w:val="34"/>
          <w:rtl/>
          <w:lang w:val="fr-CH" w:bidi="ar-SA"/>
        </w:rPr>
      </w:pPr>
      <w:r>
        <w:rPr>
          <w:rtl/>
        </w:rPr>
        <w:br w:type="page"/>
      </w:r>
    </w:p>
    <w:p w:rsidR="00C13DC8" w:rsidRPr="008954A8" w:rsidRDefault="00C13DC8"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bookmarkStart w:id="113" w:name="_Toc364355411"/>
      <w:bookmarkStart w:id="114" w:name="_Toc420595531"/>
      <w:r w:rsidRPr="008954A8">
        <w:rPr>
          <w:rFonts w:ascii="Arabic Typesetting" w:hAnsi="Arabic Typesetting" w:cs="Arabic Typesetting"/>
          <w:bCs/>
          <w:iCs w:val="0"/>
          <w:noProof/>
          <w:snapToGrid/>
          <w:sz w:val="42"/>
          <w:szCs w:val="42"/>
          <w:rtl/>
          <w:lang w:bidi="ar-EG"/>
        </w:rPr>
        <w:lastRenderedPageBreak/>
        <w:t>البرنامج 23</w:t>
      </w:r>
      <w:r w:rsidRPr="008954A8">
        <w:rPr>
          <w:rFonts w:ascii="Arabic Typesetting" w:hAnsi="Arabic Typesetting" w:cs="Arabic Typesetting"/>
          <w:bCs/>
          <w:iCs w:val="0"/>
          <w:noProof/>
          <w:snapToGrid/>
          <w:sz w:val="42"/>
          <w:szCs w:val="42"/>
          <w:lang w:bidi="ar-EG"/>
        </w:rPr>
        <w:tab/>
      </w:r>
      <w:r w:rsidRPr="008954A8">
        <w:rPr>
          <w:rFonts w:ascii="Arabic Typesetting" w:hAnsi="Arabic Typesetting" w:cs="Arabic Typesetting"/>
          <w:bCs/>
          <w:iCs w:val="0"/>
          <w:noProof/>
          <w:snapToGrid/>
          <w:sz w:val="42"/>
          <w:szCs w:val="42"/>
          <w:rtl/>
          <w:lang w:bidi="ar-EG"/>
        </w:rPr>
        <w:t>إدارة الموارد البشرية وتطويرها</w:t>
      </w:r>
      <w:bookmarkEnd w:id="113"/>
      <w:bookmarkEnd w:id="114"/>
    </w:p>
    <w:p w:rsidR="00C13DC8" w:rsidRPr="008954A8" w:rsidRDefault="00C13DC8"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C13DC8" w:rsidRDefault="00C13DC8" w:rsidP="00861CFF">
      <w:pPr>
        <w:pStyle w:val="ONUME"/>
        <w:numPr>
          <w:ilvl w:val="0"/>
          <w:numId w:val="38"/>
        </w:numPr>
        <w:tabs>
          <w:tab w:val="clear" w:pos="683"/>
        </w:tabs>
        <w:spacing w:after="120" w:line="340" w:lineRule="exact"/>
        <w:rPr>
          <w:rFonts w:ascii="Arabic Typesetting" w:hAnsi="Arabic Typesetting" w:cs="Arabic Typesetting"/>
          <w:sz w:val="34"/>
          <w:szCs w:val="34"/>
        </w:rPr>
      </w:pPr>
      <w:r w:rsidRPr="008954A8">
        <w:rPr>
          <w:rFonts w:ascii="Arabic Typesetting" w:hAnsi="Arabic Typesetting" w:cs="Arabic Typesetting"/>
          <w:sz w:val="34"/>
          <w:szCs w:val="34"/>
          <w:rtl/>
        </w:rPr>
        <w:t>لكي تحقق المنظمة أهدافها الموضوعية،</w:t>
      </w:r>
      <w:r>
        <w:rPr>
          <w:rFonts w:ascii="Arabic Typesetting" w:hAnsi="Arabic Typesetting" w:cs="Arabic Typesetting" w:hint="cs"/>
          <w:sz w:val="34"/>
          <w:szCs w:val="34"/>
          <w:rtl/>
          <w:lang w:bidi="ar-SA"/>
        </w:rPr>
        <w:t xml:space="preserve"> يجب</w:t>
      </w:r>
      <w:r w:rsidRPr="008954A8">
        <w:rPr>
          <w:rFonts w:ascii="Arabic Typesetting" w:hAnsi="Arabic Typesetting" w:cs="Arabic Typesetting"/>
          <w:sz w:val="34"/>
          <w:szCs w:val="34"/>
          <w:rtl/>
        </w:rPr>
        <w:t xml:space="preserve"> أن يكون لديها أمانة كفؤة تمتاز بموظفين يحظون بإدارة جيدة ويتحل</w:t>
      </w:r>
      <w:r>
        <w:rPr>
          <w:rFonts w:ascii="Arabic Typesetting" w:hAnsi="Arabic Typesetting" w:cs="Arabic Typesetting" w:hint="cs"/>
          <w:sz w:val="34"/>
          <w:szCs w:val="34"/>
          <w:rtl/>
        </w:rPr>
        <w:t>ّ</w:t>
      </w:r>
      <w:r w:rsidRPr="008954A8">
        <w:rPr>
          <w:rFonts w:ascii="Arabic Typesetting" w:hAnsi="Arabic Typesetting" w:cs="Arabic Typesetting"/>
          <w:sz w:val="34"/>
          <w:szCs w:val="34"/>
          <w:rtl/>
        </w:rPr>
        <w:t xml:space="preserve">ون بالمهارات المناسبة </w:t>
      </w:r>
      <w:r>
        <w:rPr>
          <w:rFonts w:ascii="Arabic Typesetting" w:hAnsi="Arabic Typesetting" w:cs="Arabic Typesetting" w:hint="cs"/>
          <w:sz w:val="34"/>
          <w:szCs w:val="34"/>
          <w:rtl/>
        </w:rPr>
        <w:t>مقرونة بسياسات واضحة وإجراءات ناجعة وأنظمة حديثة. وقد عولج الكثير من التحديات التي تواجهها المنظمة في هذا السياق من خلال تنفيذ استراتيجية الموارد البشرية، ومع ذلك لا يزال من الضروري معالجة بعض التحديات و</w:t>
      </w:r>
      <w:r w:rsidRPr="008954A8">
        <w:rPr>
          <w:rFonts w:ascii="Arabic Typesetting" w:hAnsi="Arabic Typesetting" w:cs="Arabic Typesetting"/>
          <w:sz w:val="34"/>
          <w:szCs w:val="34"/>
          <w:rtl/>
        </w:rPr>
        <w:t xml:space="preserve">خاصة </w:t>
      </w:r>
      <w:r>
        <w:rPr>
          <w:rFonts w:ascii="Arabic Typesetting" w:hAnsi="Arabic Typesetting" w:cs="Arabic Typesetting" w:hint="cs"/>
          <w:sz w:val="34"/>
          <w:szCs w:val="34"/>
          <w:rtl/>
        </w:rPr>
        <w:t>ضمان كفاية</w:t>
      </w:r>
      <w:r>
        <w:rPr>
          <w:rFonts w:ascii="Arabic Typesetting" w:hAnsi="Arabic Typesetting" w:cs="Arabic Typesetting"/>
          <w:sz w:val="34"/>
          <w:szCs w:val="34"/>
          <w:rtl/>
        </w:rPr>
        <w:t xml:space="preserve"> مهارات</w:t>
      </w:r>
      <w:r w:rsidRPr="008954A8">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الموظفين </w:t>
      </w:r>
      <w:r>
        <w:rPr>
          <w:rFonts w:ascii="Arabic Typesetting" w:hAnsi="Arabic Typesetting" w:cs="Arabic Typesetting"/>
          <w:sz w:val="34"/>
          <w:szCs w:val="34"/>
          <w:rtl/>
        </w:rPr>
        <w:t>و</w:t>
      </w:r>
      <w:r w:rsidRPr="008954A8">
        <w:rPr>
          <w:rFonts w:ascii="Arabic Typesetting" w:hAnsi="Arabic Typesetting" w:cs="Arabic Typesetting"/>
          <w:sz w:val="34"/>
          <w:szCs w:val="34"/>
          <w:rtl/>
        </w:rPr>
        <w:t>كفاءات</w:t>
      </w:r>
      <w:r>
        <w:rPr>
          <w:rFonts w:ascii="Arabic Typesetting" w:hAnsi="Arabic Typesetting" w:cs="Arabic Typesetting" w:hint="cs"/>
          <w:sz w:val="34"/>
          <w:szCs w:val="34"/>
          <w:rtl/>
        </w:rPr>
        <w:t>هم</w:t>
      </w:r>
      <w:r w:rsidRPr="008954A8">
        <w:rPr>
          <w:rFonts w:ascii="Arabic Typesetting" w:hAnsi="Arabic Typesetting" w:cs="Arabic Typesetting"/>
          <w:sz w:val="34"/>
          <w:szCs w:val="34"/>
          <w:rtl/>
        </w:rPr>
        <w:t xml:space="preserve"> لتلبي</w:t>
      </w:r>
      <w:r>
        <w:rPr>
          <w:rFonts w:ascii="Arabic Typesetting" w:hAnsi="Arabic Typesetting" w:cs="Arabic Typesetting"/>
          <w:sz w:val="34"/>
          <w:szCs w:val="34"/>
          <w:rtl/>
        </w:rPr>
        <w:t xml:space="preserve">ة احتياجات المنظمة </w:t>
      </w:r>
      <w:r>
        <w:rPr>
          <w:rFonts w:ascii="Arabic Typesetting" w:hAnsi="Arabic Typesetting" w:cs="Arabic Typesetting" w:hint="cs"/>
          <w:sz w:val="34"/>
          <w:szCs w:val="34"/>
          <w:rtl/>
        </w:rPr>
        <w:t>المتطورة فضلا عن تعزيز التوازن</w:t>
      </w:r>
      <w:r w:rsidRPr="008954A8">
        <w:rPr>
          <w:rFonts w:ascii="Arabic Typesetting" w:hAnsi="Arabic Typesetting" w:cs="Arabic Typesetting"/>
          <w:sz w:val="34"/>
          <w:szCs w:val="34"/>
          <w:rtl/>
        </w:rPr>
        <w:t xml:space="preserve"> بين الجنسين والتنوع الجغرافي</w:t>
      </w:r>
      <w:r>
        <w:rPr>
          <w:rFonts w:ascii="Arabic Typesetting" w:hAnsi="Arabic Typesetting" w:cs="Arabic Typesetting" w:hint="cs"/>
          <w:sz w:val="34"/>
          <w:szCs w:val="34"/>
          <w:rtl/>
        </w:rPr>
        <w:t>.</w:t>
      </w:r>
    </w:p>
    <w:p w:rsidR="00C13DC8" w:rsidRPr="006A47FB" w:rsidRDefault="00C13DC8" w:rsidP="00861CFF">
      <w:pPr>
        <w:pStyle w:val="ONUME"/>
        <w:numPr>
          <w:ilvl w:val="0"/>
          <w:numId w:val="38"/>
        </w:numPr>
        <w:spacing w:before="120"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وسيتيح تنفيذ </w:t>
      </w:r>
      <w:r w:rsidRPr="006A47FB">
        <w:rPr>
          <w:rFonts w:ascii="Arabic Typesetting" w:hAnsi="Arabic Typesetting" w:cs="Arabic Typesetting"/>
          <w:sz w:val="34"/>
          <w:szCs w:val="34"/>
          <w:rtl/>
        </w:rPr>
        <w:t>نظام التخطيط للموارد المؤسسية (</w:t>
      </w:r>
      <w:r w:rsidRPr="006A47FB">
        <w:rPr>
          <w:rFonts w:ascii="Arabic Typesetting" w:hAnsi="Arabic Typesetting" w:cs="Arabic Typesetting"/>
          <w:sz w:val="34"/>
          <w:szCs w:val="34"/>
        </w:rPr>
        <w:t>ERP</w:t>
      </w:r>
      <w:r w:rsidRPr="006A47FB">
        <w:rPr>
          <w:rFonts w:ascii="Arabic Typesetting" w:hAnsi="Arabic Typesetting" w:cs="Arabic Typesetting"/>
          <w:sz w:val="34"/>
          <w:szCs w:val="34"/>
          <w:rtl/>
        </w:rPr>
        <w:t>)</w:t>
      </w:r>
      <w:r>
        <w:rPr>
          <w:rFonts w:ascii="Arabic Typesetting" w:hAnsi="Arabic Typesetting" w:cs="Arabic Typesetting" w:hint="cs"/>
          <w:sz w:val="34"/>
          <w:szCs w:val="34"/>
          <w:rtl/>
        </w:rPr>
        <w:t xml:space="preserve"> خلال هذه الثنائية مواصلة إدماج عمليات الموارد البشرية وأنظمتها في </w:t>
      </w:r>
      <w:r w:rsidRPr="006A47FB">
        <w:rPr>
          <w:rFonts w:ascii="Arabic Typesetting" w:hAnsi="Arabic Typesetting" w:cs="Arabic Typesetting"/>
          <w:sz w:val="34"/>
          <w:szCs w:val="34"/>
          <w:rtl/>
        </w:rPr>
        <w:t>شعبة إدارة الموارد البشرية</w:t>
      </w:r>
      <w:r>
        <w:rPr>
          <w:rFonts w:ascii="Arabic Typesetting" w:hAnsi="Arabic Typesetting" w:cs="Arabic Typesetting" w:hint="cs"/>
          <w:sz w:val="34"/>
          <w:szCs w:val="34"/>
          <w:rtl/>
        </w:rPr>
        <w:t xml:space="preserve"> وكذلك في سائر </w:t>
      </w:r>
      <w:r>
        <w:rPr>
          <w:rFonts w:ascii="Arabic Typesetting" w:hAnsi="Arabic Typesetting" w:cs="Arabic Typesetting" w:hint="cs"/>
          <w:sz w:val="34"/>
          <w:szCs w:val="34"/>
          <w:rtl/>
          <w:lang w:bidi="ar-SA"/>
        </w:rPr>
        <w:t>شعاب</w:t>
      </w:r>
      <w:r>
        <w:rPr>
          <w:rFonts w:ascii="Arabic Typesetting" w:hAnsi="Arabic Typesetting" w:cs="Arabic Typesetting" w:hint="cs"/>
          <w:sz w:val="34"/>
          <w:szCs w:val="34"/>
          <w:rtl/>
        </w:rPr>
        <w:t xml:space="preserve"> المنظمة.</w:t>
      </w:r>
    </w:p>
    <w:p w:rsidR="00C13DC8" w:rsidRPr="00624AB8" w:rsidRDefault="00C13DC8" w:rsidP="00DA5475">
      <w:pPr>
        <w:keepNext/>
        <w:adjustRightInd w:val="0"/>
        <w:snapToGrid w:val="0"/>
        <w:spacing w:before="120" w:after="240" w:line="340" w:lineRule="exact"/>
        <w:jc w:val="both"/>
        <w:rPr>
          <w:rFonts w:ascii="Arabic Typesetting" w:hAnsi="Arabic Typesetting" w:cs="Arabic Typesetting"/>
          <w:b/>
          <w:sz w:val="38"/>
          <w:szCs w:val="38"/>
        </w:rPr>
      </w:pPr>
      <w:r>
        <w:rPr>
          <w:rFonts w:ascii="Arabic Typesetting" w:hAnsi="Arabic Typesetting" w:cs="Arabic Typesetting"/>
          <w:b/>
          <w:sz w:val="38"/>
          <w:szCs w:val="38"/>
          <w:rtl/>
        </w:rPr>
        <w:t>استراتيجيات التنفيذ</w:t>
      </w:r>
    </w:p>
    <w:p w:rsidR="00C13DC8" w:rsidRDefault="00C13DC8" w:rsidP="00861CFF">
      <w:pPr>
        <w:pStyle w:val="ONUME"/>
        <w:numPr>
          <w:ilvl w:val="0"/>
          <w:numId w:val="38"/>
        </w:numPr>
        <w:tabs>
          <w:tab w:val="clear" w:pos="683"/>
        </w:tabs>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سيولى اهتمام خاص إلى التوازن بين الجنسين والتنوع الجغرافي خلال الثنائية. وستُبذل المزيد من الجهود لتطوير المهارات الإدارية والقيادية لدى المرأة في المنظمة، بغية تمكينها من تولي مناصب أعلى، وسيتواصل في الحين ذاته مخاطبة المرشحات المحتملات. وتماشيا مع سياسة المساواة بين الجنسين ستبني الويبو كفاءات الموظفين، وخاصة المنسقين والمديرين المعنيين بشؤون الجنسين، وستعكف مع الدول الأعضاء على إدماج شؤون الجنسين في برامج المنظمة.</w:t>
      </w:r>
    </w:p>
    <w:p w:rsidR="00C13DC8" w:rsidRDefault="00C13DC8" w:rsidP="00861CFF">
      <w:pPr>
        <w:pStyle w:val="ONUME"/>
        <w:numPr>
          <w:ilvl w:val="0"/>
          <w:numId w:val="38"/>
        </w:numPr>
        <w:tabs>
          <w:tab w:val="clear" w:pos="683"/>
        </w:tabs>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وفيما يتعلق بالتنوع الجغرافي، سيبذل المزيد من الجهود الاستباقية، بدعم من الدول الأعضاء، لمخاطبة المرشحين المحتملين من البلدان غير الممثلة جيدا بين الموظفين في الفئة المهنية وما فوقها. وستستند هذه الجهود إلى الدروس المستفادة من مبادرات المخاطبة المجربة لدى الدول الأعضاء في عام 2015. وستستخدم الوظائف الجديدة في أداة التعيين </w:t>
      </w:r>
      <w:r w:rsidRPr="00FA4B6C">
        <w:rPr>
          <w:rFonts w:ascii="Arabic Typesetting" w:hAnsi="Arabic Typesetting" w:cs="Arabic Typesetting"/>
          <w:sz w:val="34"/>
          <w:szCs w:val="34"/>
        </w:rPr>
        <w:t>TALEO</w:t>
      </w:r>
      <w:r>
        <w:rPr>
          <w:rFonts w:ascii="Arabic Typesetting" w:hAnsi="Arabic Typesetting" w:cs="Arabic Typesetting" w:hint="cs"/>
          <w:sz w:val="34"/>
          <w:szCs w:val="34"/>
          <w:rtl/>
        </w:rPr>
        <w:t xml:space="preserve"> لمواصلة تطوير كفاءة الويبو فيما يتعلق بالتعيين المستهدف، بما في ذلك المخاطبة الاستباقية والوصول إلى الأشخاص مباشرة عبر المنسقين على الصعيد الوطني.</w:t>
      </w:r>
    </w:p>
    <w:p w:rsidR="00C13DC8" w:rsidRDefault="00C13DC8" w:rsidP="00861CFF">
      <w:pPr>
        <w:pStyle w:val="ONUME"/>
        <w:numPr>
          <w:ilvl w:val="0"/>
          <w:numId w:val="38"/>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وسيتيح تعميم التخطيط للقوى العاملة، المدرج بالكامل في التخطيط لأعمال الثنائيات والأعمال السنوية، للمنظمة تدريجيا أن تسد الفجوة بين احتياجات القوى العاملة الراهنة واحتياجاتها المستقبلية عن طريق استعراض قضايا القوى العاملة على نحو منهجي وتيسير اتخاذ القرارات على الأجلين المتوسط والطويل، وسيشمل ذلك مواصلة غرس مفاهيم التخطيط للقوى العاملة واتباع أفضل الممارسات التي تيسرها تحسينات النظام. وفضلا عن ذلك سيكون المديرون في الويبو في وضع أفضل للتنبؤ بالقوى العاملة معهم وإدارتها من خلال تحسين أدوات الإبلاغ الإدارية (</w:t>
      </w:r>
      <w:r w:rsidRPr="00C214E6">
        <w:rPr>
          <w:rFonts w:ascii="Arabic Typesetting" w:hAnsi="Arabic Typesetting" w:cs="Arabic Typesetting"/>
          <w:sz w:val="34"/>
          <w:szCs w:val="34"/>
          <w:rtl/>
        </w:rPr>
        <w:t xml:space="preserve">استخبارات </w:t>
      </w:r>
      <w:r>
        <w:rPr>
          <w:rFonts w:ascii="Arabic Typesetting" w:hAnsi="Arabic Typesetting" w:cs="Arabic Typesetting" w:hint="cs"/>
          <w:sz w:val="34"/>
          <w:szCs w:val="34"/>
          <w:rtl/>
        </w:rPr>
        <w:t xml:space="preserve">أو ذكاء </w:t>
      </w:r>
      <w:r w:rsidRPr="00C214E6">
        <w:rPr>
          <w:rFonts w:ascii="Arabic Typesetting" w:hAnsi="Arabic Typesetting" w:cs="Arabic Typesetting"/>
          <w:sz w:val="34"/>
          <w:szCs w:val="34"/>
          <w:rtl/>
        </w:rPr>
        <w:t>الأعمال</w:t>
      </w:r>
      <w:r>
        <w:rPr>
          <w:rFonts w:ascii="Arabic Typesetting" w:hAnsi="Arabic Typesetting" w:cs="Arabic Typesetting" w:hint="cs"/>
          <w:sz w:val="34"/>
          <w:szCs w:val="34"/>
          <w:rtl/>
        </w:rPr>
        <w:t>).</w:t>
      </w:r>
    </w:p>
    <w:p w:rsidR="00C13DC8" w:rsidRDefault="00C13DC8" w:rsidP="00861CFF">
      <w:pPr>
        <w:pStyle w:val="ONUME"/>
        <w:numPr>
          <w:ilvl w:val="0"/>
          <w:numId w:val="38"/>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وعقب تنفيذ النسخة </w:t>
      </w:r>
      <w:r>
        <w:rPr>
          <w:rFonts w:ascii="Arabic Typesetting" w:hAnsi="Arabic Typesetting" w:cs="Arabic Typesetting"/>
          <w:sz w:val="34"/>
          <w:szCs w:val="34"/>
          <w:rtl/>
        </w:rPr>
        <w:t xml:space="preserve">المراجعة </w:t>
      </w:r>
      <w:r>
        <w:rPr>
          <w:rFonts w:ascii="Arabic Typesetting" w:hAnsi="Arabic Typesetting" w:cs="Arabic Typesetting" w:hint="cs"/>
          <w:sz w:val="34"/>
          <w:szCs w:val="34"/>
          <w:rtl/>
        </w:rPr>
        <w:t xml:space="preserve">من </w:t>
      </w:r>
      <w:r>
        <w:rPr>
          <w:rFonts w:ascii="Arabic Typesetting" w:hAnsi="Arabic Typesetting" w:cs="Arabic Typesetting"/>
          <w:sz w:val="34"/>
          <w:szCs w:val="34"/>
          <w:rtl/>
        </w:rPr>
        <w:t>نظام الموظفين ولائحته</w:t>
      </w:r>
      <w:r>
        <w:rPr>
          <w:rFonts w:ascii="Arabic Typesetting" w:hAnsi="Arabic Typesetting" w:cs="Arabic Typesetting" w:hint="cs"/>
          <w:sz w:val="34"/>
          <w:szCs w:val="34"/>
          <w:rtl/>
        </w:rPr>
        <w:t>، الذي وافقت عليه لجنة التنسيق في عامي 2012 و2013، بما في ذلك تعزيز نظام العدالة الداخلية، ستشهد الثنائية التالية مواصلة تعديل وتعزيز نظام الموظفين ولائحته وما يتعلق به من سياسات للموارد البشرية من أجل ضمان وضع إطار تنظيمي واضح وعصري ومحدث للموظفين يلبي احتياجات المنظمة المتطورة ويتماشى مع أفضل الممارسات المتبعة في منظومة الأمم المتحدة. ومن مجالات التركيز المهمة تلافي وقوع المنازعات والتخفيف من وقعها وإدارة القضايا بفعالية من خلال نظام العدالة الداخلية. وستواصل المنظمة أيضا العكوف مع لجنة الخدمة المدنية الدولية وسائر وكالات الأمم المتحدة على مراجعة مجموعة عناصر الأجر لنظام الأمم المتحدة</w:t>
      </w:r>
      <w:r w:rsidRPr="00646AE6">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الموحد.</w:t>
      </w:r>
    </w:p>
    <w:p w:rsidR="00C13DC8" w:rsidRDefault="00C13DC8" w:rsidP="00861CFF">
      <w:pPr>
        <w:pStyle w:val="ONUME"/>
        <w:numPr>
          <w:ilvl w:val="0"/>
          <w:numId w:val="38"/>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وسيُستكمل إدراج </w:t>
      </w:r>
      <w:r w:rsidRPr="000768E1">
        <w:rPr>
          <w:rFonts w:ascii="Arabic Typesetting" w:hAnsi="Arabic Typesetting" w:cs="Arabic Typesetting"/>
          <w:sz w:val="34"/>
          <w:szCs w:val="34"/>
          <w:rtl/>
        </w:rPr>
        <w:t>نظام إدارة الأداء وتطوير الموظفين</w:t>
      </w:r>
      <w:r>
        <w:rPr>
          <w:rFonts w:ascii="Arabic Typesetting" w:hAnsi="Arabic Typesetting" w:cs="Arabic Typesetting" w:hint="cs"/>
          <w:sz w:val="34"/>
          <w:szCs w:val="34"/>
          <w:rtl/>
        </w:rPr>
        <w:t xml:space="preserve"> وقاعدة البيانات التدريبية بوظائف التخطيط للموارد المؤسسية الجديدة، مثل قائمة المهارات وتحسين تتبع بيانات التدريب من أجل تحسين بساطة النظام وتيسير النفاذ إلى البيانات وتبادلها بين مختلف أقسام المنظمة.</w:t>
      </w:r>
    </w:p>
    <w:p w:rsidR="00C13DC8" w:rsidRPr="00BD65DC" w:rsidRDefault="00C13DC8" w:rsidP="00861CFF">
      <w:pPr>
        <w:pStyle w:val="ONUME"/>
        <w:numPr>
          <w:ilvl w:val="0"/>
          <w:numId w:val="38"/>
        </w:numPr>
        <w:tabs>
          <w:tab w:val="clear" w:pos="683"/>
        </w:tabs>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وسعيا إلى تعزيز الكفاءات الإدارية في المنظمة، سيُقدم للمديرين تدريب إلزامي وخصوصا بشأن إدارة البرامج والأشخاص والوقت.</w:t>
      </w:r>
    </w:p>
    <w:p w:rsidR="00C13DC8" w:rsidRDefault="00C13DC8" w:rsidP="00861CFF">
      <w:pPr>
        <w:pStyle w:val="ONUME"/>
        <w:numPr>
          <w:ilvl w:val="0"/>
          <w:numId w:val="38"/>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وستراجع إجراءات العمل وممارساته المتعلقة بمعالجة </w:t>
      </w:r>
      <w:r w:rsidRPr="004D7952">
        <w:rPr>
          <w:rFonts w:ascii="Arabic Typesetting" w:hAnsi="Arabic Typesetting" w:cs="Arabic Typesetting"/>
          <w:sz w:val="34"/>
          <w:szCs w:val="34"/>
          <w:rtl/>
        </w:rPr>
        <w:t xml:space="preserve">المزايا والمستحقات، </w:t>
      </w:r>
      <w:r>
        <w:rPr>
          <w:rFonts w:ascii="Arabic Typesetting" w:hAnsi="Arabic Typesetting" w:cs="Arabic Typesetting" w:hint="cs"/>
          <w:sz w:val="34"/>
          <w:szCs w:val="34"/>
          <w:rtl/>
        </w:rPr>
        <w:t xml:space="preserve">وتحدث وتواءم مع الحلول المؤتمتة على نحو أكبر، حيثما كان ذلك مجديا. وستُعدّل أيضا الأنظمة والإجراءات المتعلقة بإدارة الوقت بناء على توصيات من فريق العمل المعني بإدارة الوقت. وخلال المرحلة الثانية من نظام التخطيط للموارد المؤسسية، ستتاح أدوات الخدمة الذاتية للموارد البشرية على شبكة </w:t>
      </w:r>
      <w:r>
        <w:rPr>
          <w:rFonts w:ascii="Arabic Typesetting" w:hAnsi="Arabic Typesetting" w:cs="Arabic Typesetting" w:hint="cs"/>
          <w:sz w:val="34"/>
          <w:szCs w:val="34"/>
          <w:rtl/>
        </w:rPr>
        <w:lastRenderedPageBreak/>
        <w:t>الإنترنت الداخلية لجميع الموظفين لأغراض معالجة الطلبات الروتينية بطريقة مؤتمتة، ما سيمكّن إدارة الموارد البشرية من التركيز على الطلبات الأكثر تعقيدا بما يتيح تقديم طائفة كاملة من الخدمات الجيدة الموجهة نحو الزبون. ومن المزمع أيضا إنجاز أعمال ترتبط بذلك من أجل تحديث الخدمات والمعلومات المتاحة للموظفين على شبكة الإنترنت الداخلية.</w:t>
      </w:r>
    </w:p>
    <w:p w:rsidR="00C13DC8" w:rsidRPr="00BB1391" w:rsidRDefault="00C13DC8" w:rsidP="00861CFF">
      <w:pPr>
        <w:pStyle w:val="ONUME"/>
        <w:numPr>
          <w:ilvl w:val="0"/>
          <w:numId w:val="38"/>
        </w:numPr>
        <w:tabs>
          <w:tab w:val="clear" w:pos="683"/>
        </w:tabs>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وسيتواصل أيضا تحسين الخدمات الطبية في الويبو مع التركيز على الصحة الوظيفية وتعزيز متابعة الغيابات لفترات طويلة.</w:t>
      </w:r>
    </w:p>
    <w:p w:rsidR="00C13DC8" w:rsidRPr="008954A8" w:rsidRDefault="00C13DC8" w:rsidP="00DA5475">
      <w:pPr>
        <w:pStyle w:val="ARProgramHeading2"/>
        <w:rPr>
          <w:rtl/>
        </w:rPr>
      </w:pPr>
      <w:r w:rsidRPr="008954A8">
        <w:rPr>
          <w:rFonts w:hint="cs"/>
          <w:rtl/>
        </w:rPr>
        <w:t xml:space="preserve">المخاطر الرئيسية واستراتيجيات </w:t>
      </w:r>
      <w:r>
        <w:rPr>
          <w:rFonts w:hint="cs"/>
          <w:rtl/>
        </w:rPr>
        <w:t>التخفيف منها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6"/>
        <w:gridCol w:w="4641"/>
      </w:tblGrid>
      <w:tr w:rsidR="00C13DC8" w:rsidRPr="008954A8" w:rsidTr="00F01A85">
        <w:trPr>
          <w:tblHeader/>
        </w:trPr>
        <w:tc>
          <w:tcPr>
            <w:tcW w:w="4646" w:type="dxa"/>
            <w:tcBorders>
              <w:bottom w:val="single" w:sz="4" w:space="0" w:color="auto"/>
              <w:right w:val="nil"/>
            </w:tcBorders>
            <w:shd w:val="clear" w:color="auto" w:fill="C6D9F1"/>
          </w:tcPr>
          <w:p w:rsidR="00C13DC8" w:rsidRPr="008954A8" w:rsidRDefault="00C13DC8" w:rsidP="00DA5475">
            <w:pPr>
              <w:pStyle w:val="ARProgramTableHeading"/>
              <w:spacing w:beforeLines="60" w:before="144" w:afterLines="60" w:after="144" w:line="300" w:lineRule="exact"/>
              <w:rPr>
                <w:rtl/>
                <w:lang w:bidi="ar-SA"/>
              </w:rPr>
            </w:pPr>
            <w:r>
              <w:rPr>
                <w:rFonts w:hint="cs"/>
                <w:rtl/>
                <w:lang w:bidi="ar-SA"/>
              </w:rPr>
              <w:t>المخاطر</w:t>
            </w:r>
          </w:p>
        </w:tc>
        <w:tc>
          <w:tcPr>
            <w:tcW w:w="4641" w:type="dxa"/>
            <w:tcBorders>
              <w:left w:val="nil"/>
              <w:bottom w:val="single" w:sz="4" w:space="0" w:color="auto"/>
            </w:tcBorders>
            <w:shd w:val="clear" w:color="auto" w:fill="C6D9F1"/>
          </w:tcPr>
          <w:p w:rsidR="00C13DC8" w:rsidRPr="008954A8" w:rsidRDefault="00C13DC8" w:rsidP="00DA5475">
            <w:pPr>
              <w:pStyle w:val="ARProgramTableHeading"/>
              <w:spacing w:beforeLines="60" w:before="144" w:afterLines="60" w:after="144" w:line="300" w:lineRule="exact"/>
              <w:rPr>
                <w:rtl/>
              </w:rPr>
            </w:pPr>
            <w:r>
              <w:rPr>
                <w:rFonts w:hint="cs"/>
                <w:rtl/>
              </w:rPr>
              <w:t>التخفيف منها</w:t>
            </w:r>
          </w:p>
        </w:tc>
      </w:tr>
      <w:tr w:rsidR="00C13DC8" w:rsidRPr="008954A8" w:rsidTr="00F01A85">
        <w:tc>
          <w:tcPr>
            <w:tcW w:w="4646" w:type="dxa"/>
            <w:tcBorders>
              <w:top w:val="single" w:sz="4" w:space="0" w:color="auto"/>
              <w:left w:val="single" w:sz="4" w:space="0" w:color="auto"/>
              <w:bottom w:val="single" w:sz="4" w:space="0" w:color="auto"/>
              <w:right w:val="nil"/>
            </w:tcBorders>
            <w:shd w:val="clear" w:color="auto" w:fill="auto"/>
          </w:tcPr>
          <w:p w:rsidR="00C13DC8" w:rsidRPr="008954A8" w:rsidRDefault="00C13DC8" w:rsidP="00DA5475">
            <w:pPr>
              <w:autoSpaceDE w:val="0"/>
              <w:autoSpaceDN w:val="0"/>
              <w:adjustRightInd w:val="0"/>
              <w:spacing w:beforeLines="60" w:before="144" w:afterLines="60" w:after="144" w:line="300" w:lineRule="exact"/>
              <w:ind w:right="-59"/>
              <w:rPr>
                <w:rFonts w:ascii="Arabic Typesetting" w:hAnsi="Arabic Typesetting" w:cs="Arabic Typesetting"/>
                <w:sz w:val="30"/>
                <w:szCs w:val="30"/>
              </w:rPr>
            </w:pPr>
            <w:r w:rsidRPr="008954A8">
              <w:rPr>
                <w:rFonts w:ascii="Arabic Typesetting" w:hAnsi="Arabic Typesetting" w:cs="Arabic Typesetting"/>
                <w:sz w:val="30"/>
                <w:szCs w:val="30"/>
                <w:rtl/>
              </w:rPr>
              <w:t>تتطلب بيئة الأعمال الخارجية سريعة التطور عمليات ومهارات وحلول</w:t>
            </w:r>
            <w:r>
              <w:rPr>
                <w:rFonts w:ascii="Arabic Typesetting" w:hAnsi="Arabic Typesetting" w:cs="Arabic Typesetting" w:hint="cs"/>
                <w:sz w:val="30"/>
                <w:szCs w:val="30"/>
                <w:rtl/>
              </w:rPr>
              <w:t>ا</w:t>
            </w:r>
            <w:r w:rsidRPr="008954A8">
              <w:rPr>
                <w:rFonts w:ascii="Arabic Typesetting" w:hAnsi="Arabic Typesetting" w:cs="Arabic Typesetting"/>
                <w:sz w:val="30"/>
                <w:szCs w:val="30"/>
                <w:rtl/>
              </w:rPr>
              <w:t xml:space="preserve"> جديدة </w:t>
            </w:r>
            <w:r>
              <w:rPr>
                <w:rFonts w:ascii="Arabic Typesetting" w:hAnsi="Arabic Typesetting" w:cs="Arabic Typesetting" w:hint="cs"/>
                <w:sz w:val="30"/>
                <w:szCs w:val="30"/>
                <w:rtl/>
              </w:rPr>
              <w:t xml:space="preserve">في مجال </w:t>
            </w:r>
            <w:r w:rsidRPr="008954A8">
              <w:rPr>
                <w:rFonts w:ascii="Arabic Typesetting" w:hAnsi="Arabic Typesetting" w:cs="Arabic Typesetting"/>
                <w:sz w:val="30"/>
                <w:szCs w:val="30"/>
                <w:rtl/>
              </w:rPr>
              <w:t xml:space="preserve">تكنولوجيا </w:t>
            </w:r>
            <w:r>
              <w:rPr>
                <w:rFonts w:ascii="Arabic Typesetting" w:hAnsi="Arabic Typesetting" w:cs="Arabic Typesetting" w:hint="cs"/>
                <w:sz w:val="30"/>
                <w:szCs w:val="30"/>
                <w:rtl/>
              </w:rPr>
              <w:t>ال</w:t>
            </w:r>
            <w:r>
              <w:rPr>
                <w:rFonts w:ascii="Arabic Typesetting" w:hAnsi="Arabic Typesetting" w:cs="Arabic Typesetting"/>
                <w:sz w:val="30"/>
                <w:szCs w:val="30"/>
                <w:rtl/>
              </w:rPr>
              <w:t>معلومات</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ما قد</w:t>
            </w:r>
            <w:r w:rsidRPr="008954A8">
              <w:rPr>
                <w:rFonts w:ascii="Arabic Typesetting" w:hAnsi="Arabic Typesetting" w:cs="Arabic Typesetting"/>
                <w:sz w:val="30"/>
                <w:szCs w:val="30"/>
                <w:rtl/>
              </w:rPr>
              <w:t xml:space="preserve"> يؤدي إلى عدم مواءمة القوى العامل في مجالا</w:t>
            </w:r>
            <w:r>
              <w:rPr>
                <w:rFonts w:ascii="Arabic Typesetting" w:hAnsi="Arabic Typesetting" w:cs="Arabic Typesetting"/>
                <w:sz w:val="30"/>
                <w:szCs w:val="30"/>
                <w:rtl/>
              </w:rPr>
              <w:t xml:space="preserve">ت حيوية في قطاع الأعمال </w:t>
            </w:r>
            <w:proofErr w:type="spellStart"/>
            <w:r>
              <w:rPr>
                <w:rFonts w:ascii="Arabic Typesetting" w:hAnsi="Arabic Typesetting" w:cs="Arabic Typesetting"/>
                <w:sz w:val="30"/>
                <w:szCs w:val="30"/>
                <w:rtl/>
              </w:rPr>
              <w:t>بالويبو</w:t>
            </w:r>
            <w:proofErr w:type="spellEnd"/>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 xml:space="preserve"> وقد يؤدي ذلك إلى ارتفاع التكاليف لجلب موظفين إضافيين بأجل قصير وأوجه عدم الكفاءة في </w:t>
            </w:r>
            <w:r>
              <w:rPr>
                <w:rFonts w:ascii="Arabic Typesetting" w:hAnsi="Arabic Typesetting" w:cs="Arabic Typesetting" w:hint="cs"/>
                <w:sz w:val="30"/>
                <w:szCs w:val="30"/>
                <w:rtl/>
              </w:rPr>
              <w:t>العمليات</w:t>
            </w:r>
            <w:r w:rsidRPr="008954A8">
              <w:rPr>
                <w:rFonts w:ascii="Arabic Typesetting" w:hAnsi="Arabic Typesetting" w:cs="Arabic Typesetting"/>
                <w:sz w:val="30"/>
                <w:szCs w:val="30"/>
                <w:rtl/>
              </w:rPr>
              <w:t xml:space="preserve"> وتراكم الطلبات المتأخرة في مجالات الأعمال الحيوية وتدهور سمعة الويبو.</w:t>
            </w:r>
          </w:p>
        </w:tc>
        <w:tc>
          <w:tcPr>
            <w:tcW w:w="4641" w:type="dxa"/>
            <w:tcBorders>
              <w:top w:val="single" w:sz="4" w:space="0" w:color="auto"/>
              <w:left w:val="nil"/>
              <w:bottom w:val="single" w:sz="4" w:space="0" w:color="auto"/>
              <w:right w:val="single" w:sz="4" w:space="0" w:color="auto"/>
            </w:tcBorders>
            <w:shd w:val="clear" w:color="auto" w:fill="auto"/>
          </w:tcPr>
          <w:p w:rsidR="00C13DC8" w:rsidRPr="008954A8" w:rsidRDefault="00C13DC8" w:rsidP="00DA5475">
            <w:pPr>
              <w:autoSpaceDE w:val="0"/>
              <w:autoSpaceDN w:val="0"/>
              <w:adjustRightInd w:val="0"/>
              <w:spacing w:beforeLines="60" w:before="144" w:afterLines="60" w:after="144" w:line="300" w:lineRule="exact"/>
              <w:ind w:right="-59"/>
              <w:rPr>
                <w:rFonts w:ascii="Arabic Typesetting" w:hAnsi="Arabic Typesetting" w:cs="Arabic Typesetting"/>
                <w:sz w:val="30"/>
                <w:szCs w:val="30"/>
              </w:rPr>
            </w:pPr>
            <w:r w:rsidRPr="008954A8">
              <w:rPr>
                <w:rFonts w:ascii="Arabic Typesetting" w:hAnsi="Arabic Typesetting" w:cs="Arabic Typesetting"/>
                <w:sz w:val="30"/>
                <w:szCs w:val="30"/>
                <w:rtl/>
              </w:rPr>
              <w:t>التطوير التدريجي لقوة عاملة أكثر مرونة وإيجا</w:t>
            </w:r>
            <w:r>
              <w:rPr>
                <w:rFonts w:ascii="Arabic Typesetting" w:hAnsi="Arabic Typesetting" w:cs="Arabic Typesetting"/>
                <w:sz w:val="30"/>
                <w:szCs w:val="30"/>
                <w:rtl/>
              </w:rPr>
              <w:t xml:space="preserve">بية مع هيكل قادر على الاستجابة </w:t>
            </w:r>
            <w:r w:rsidRPr="008954A8">
              <w:rPr>
                <w:rFonts w:ascii="Arabic Typesetting" w:hAnsi="Arabic Typesetting" w:cs="Arabic Typesetting"/>
                <w:sz w:val="30"/>
                <w:szCs w:val="30"/>
                <w:rtl/>
              </w:rPr>
              <w:t>لتقلبات الطلب</w:t>
            </w:r>
            <w:r>
              <w:rPr>
                <w:rFonts w:ascii="Arabic Typesetting" w:hAnsi="Arabic Typesetting" w:cs="Arabic Typesetting" w:hint="cs"/>
                <w:sz w:val="30"/>
                <w:szCs w:val="30"/>
                <w:rtl/>
              </w:rPr>
              <w:t xml:space="preserve"> وأهداف البرامج الجديدة</w:t>
            </w:r>
            <w:r w:rsidRPr="008954A8">
              <w:rPr>
                <w:rFonts w:ascii="Arabic Typesetting" w:hAnsi="Arabic Typesetting" w:cs="Arabic Typesetting"/>
                <w:sz w:val="30"/>
                <w:szCs w:val="30"/>
                <w:rtl/>
              </w:rPr>
              <w:t xml:space="preserve">؛ </w:t>
            </w:r>
            <w:r>
              <w:rPr>
                <w:rFonts w:ascii="Arabic Typesetting" w:hAnsi="Arabic Typesetting" w:cs="Arabic Typesetting" w:hint="cs"/>
                <w:sz w:val="30"/>
                <w:szCs w:val="30"/>
                <w:rtl/>
              </w:rPr>
              <w:t>و</w:t>
            </w:r>
            <w:r w:rsidRPr="008954A8">
              <w:rPr>
                <w:rFonts w:ascii="Arabic Typesetting" w:hAnsi="Arabic Typesetting" w:cs="Arabic Typesetting"/>
                <w:sz w:val="30"/>
                <w:szCs w:val="30"/>
                <w:rtl/>
              </w:rPr>
              <w:t>تحليل مفصل وتقييم الاحتياجات من ناحية المهارات ومواضع قوة القوة العاملة، يلي ذلك خطط تنفيذ تشمل إعادة تخصيص الموظفين وتدريب الموظفين تدريبًا كافيًا وتوظيف ذوي المهارات</w:t>
            </w:r>
            <w:r>
              <w:rPr>
                <w:rFonts w:ascii="Arabic Typesetting" w:hAnsi="Arabic Typesetting" w:cs="Arabic Typesetting" w:hint="cs"/>
                <w:sz w:val="30"/>
                <w:szCs w:val="30"/>
                <w:rtl/>
              </w:rPr>
              <w:t xml:space="preserve"> المهمة</w:t>
            </w:r>
            <w:r w:rsidRPr="008954A8">
              <w:rPr>
                <w:rFonts w:ascii="Arabic Typesetting" w:hAnsi="Arabic Typesetting" w:cs="Arabic Typesetting"/>
                <w:sz w:val="30"/>
                <w:szCs w:val="30"/>
                <w:rtl/>
              </w:rPr>
              <w:t xml:space="preserve"> والاستعانة بالمصادر الخارجية</w:t>
            </w:r>
            <w:r>
              <w:rPr>
                <w:rFonts w:ascii="Arabic Typesetting" w:hAnsi="Arabic Typesetting" w:cs="Arabic Typesetting" w:hint="cs"/>
                <w:sz w:val="30"/>
                <w:szCs w:val="30"/>
                <w:rtl/>
              </w:rPr>
              <w:t xml:space="preserve"> واستخدام مزيج أكبر من أدوات التعاقد للوصول إلى المواهب.</w:t>
            </w:r>
          </w:p>
        </w:tc>
      </w:tr>
    </w:tbl>
    <w:p w:rsidR="00C13DC8" w:rsidRPr="008954A8" w:rsidRDefault="00C13DC8" w:rsidP="00DA5475">
      <w:pPr>
        <w:pStyle w:val="ARNormal"/>
        <w:rPr>
          <w:rtl/>
        </w:rPr>
      </w:pPr>
    </w:p>
    <w:p w:rsidR="00C13DC8" w:rsidRPr="008954A8" w:rsidRDefault="00C13DC8" w:rsidP="00DA5475">
      <w:pPr>
        <w:keepNext/>
        <w:autoSpaceDE w:val="0"/>
        <w:autoSpaceDN w:val="0"/>
        <w:adjustRightInd w:val="0"/>
        <w:jc w:val="both"/>
        <w:rPr>
          <w:rFonts w:ascii="Arabic Typesetting" w:hAnsi="Arabic Typesetting" w:cs="Arabic Typesetting"/>
          <w:sz w:val="38"/>
          <w:szCs w:val="38"/>
        </w:rPr>
      </w:pPr>
      <w:r w:rsidRPr="008954A8">
        <w:rPr>
          <w:rFonts w:ascii="Arabic Typesetting" w:hAnsi="Arabic Typesetting" w:cs="Arabic Typesetting"/>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C13DC8" w:rsidRPr="008954A8" w:rsidTr="00DA5475">
        <w:trPr>
          <w:cantSplit/>
          <w:trHeight w:val="425"/>
          <w:tblHeader/>
        </w:trPr>
        <w:tc>
          <w:tcPr>
            <w:tcW w:w="1249" w:type="pct"/>
            <w:tcBorders>
              <w:top w:val="single" w:sz="4" w:space="0" w:color="auto"/>
              <w:bottom w:val="single" w:sz="4" w:space="0" w:color="auto"/>
            </w:tcBorders>
            <w:shd w:val="clear" w:color="auto" w:fill="C6D9F1"/>
            <w:tcMar>
              <w:top w:w="113" w:type="dxa"/>
            </w:tcMar>
            <w:vAlign w:val="center"/>
          </w:tcPr>
          <w:p w:rsidR="00C13DC8" w:rsidRPr="008954A8" w:rsidRDefault="00C13DC8" w:rsidP="00DA5475">
            <w:pPr>
              <w:keepNext/>
              <w:spacing w:before="60" w:afterLines="60" w:after="144" w:line="300" w:lineRule="exact"/>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6D9F1"/>
            <w:tcMar>
              <w:top w:w="113" w:type="dxa"/>
            </w:tcMar>
            <w:vAlign w:val="center"/>
          </w:tcPr>
          <w:p w:rsidR="00C13DC8" w:rsidRPr="008954A8" w:rsidRDefault="00C13DC8" w:rsidP="00DA5475">
            <w:pPr>
              <w:keepNext/>
              <w:spacing w:before="60" w:afterLines="60" w:after="144" w:line="300" w:lineRule="exact"/>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6D9F1"/>
            <w:tcMar>
              <w:top w:w="113" w:type="dxa"/>
            </w:tcMar>
            <w:vAlign w:val="center"/>
          </w:tcPr>
          <w:p w:rsidR="00C13DC8" w:rsidRPr="008954A8" w:rsidRDefault="00C13DC8" w:rsidP="00DA5475">
            <w:pPr>
              <w:keepNext/>
              <w:spacing w:before="60" w:afterLines="60" w:after="144" w:line="300" w:lineRule="exact"/>
              <w:ind w:left="85"/>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6D9F1"/>
            <w:tcMar>
              <w:top w:w="113" w:type="dxa"/>
            </w:tcMar>
            <w:vAlign w:val="center"/>
          </w:tcPr>
          <w:p w:rsidR="00C13DC8" w:rsidRPr="008954A8" w:rsidRDefault="00C13DC8" w:rsidP="00DA5475">
            <w:pPr>
              <w:keepNext/>
              <w:keepLines/>
              <w:spacing w:before="60" w:afterLines="60" w:after="144" w:line="300" w:lineRule="exact"/>
              <w:ind w:right="111"/>
              <w:jc w:val="center"/>
              <w:rPr>
                <w:rFonts w:ascii="Arabic Typesetting" w:hAnsi="Arabic Typesetting" w:cs="Arabic Typesetting"/>
                <w:sz w:val="30"/>
                <w:szCs w:val="30"/>
              </w:rPr>
            </w:pPr>
            <w:r w:rsidRPr="008954A8">
              <w:rPr>
                <w:rFonts w:ascii="Arabic Typesetting" w:hAnsi="Arabic Typesetting" w:cs="Arabic Typesetting"/>
                <w:bCs/>
                <w:sz w:val="30"/>
                <w:szCs w:val="30"/>
                <w:rtl/>
              </w:rPr>
              <w:t>الأهداف</w:t>
            </w:r>
          </w:p>
        </w:tc>
      </w:tr>
      <w:tr w:rsidR="00C13DC8" w:rsidRPr="008954A8" w:rsidTr="00DA5475">
        <w:trPr>
          <w:cantSplit/>
        </w:trPr>
        <w:tc>
          <w:tcPr>
            <w:tcW w:w="1249" w:type="pct"/>
            <w:vMerge w:val="restart"/>
            <w:tcBorders>
              <w:top w:val="single" w:sz="4" w:space="0" w:color="auto"/>
            </w:tcBorders>
            <w:tcMar>
              <w:top w:w="113" w:type="dxa"/>
            </w:tcMar>
          </w:tcPr>
          <w:p w:rsidR="00C13DC8" w:rsidRPr="00483B1E" w:rsidRDefault="00C13DC8" w:rsidP="00DA5475">
            <w:pPr>
              <w:spacing w:before="60" w:afterLines="60" w:after="144" w:line="300" w:lineRule="exact"/>
              <w:rPr>
                <w:rFonts w:ascii="Arabic Typesetting" w:hAnsi="Arabic Typesetting" w:cs="Arabic Typesetting"/>
                <w:color w:val="000000"/>
                <w:sz w:val="30"/>
                <w:szCs w:val="30"/>
                <w:rtl/>
              </w:rPr>
            </w:pPr>
            <w:r w:rsidRPr="008954A8">
              <w:rPr>
                <w:rFonts w:ascii="Arabic Typesetting" w:hAnsi="Arabic Typesetting" w:cs="Arabic Typesetting" w:hint="cs"/>
                <w:color w:val="000000"/>
                <w:sz w:val="30"/>
                <w:szCs w:val="30"/>
                <w:rtl/>
              </w:rPr>
              <w:t xml:space="preserve">ه 1.9 </w:t>
            </w:r>
            <w:r w:rsidRPr="00483B1E">
              <w:rPr>
                <w:rFonts w:ascii="Arabic Typesetting" w:hAnsi="Arabic Typesetting" w:cs="Arabic Typesetting"/>
                <w:color w:val="000000"/>
                <w:sz w:val="30"/>
                <w:szCs w:val="30"/>
                <w:rtl/>
              </w:rPr>
              <w:t>خدمات دعم موجهة للزبون بفعالية وكفاءة وجودة لفائدة الزبائن الداخليين وأصحاب المصلحة الخارجيين</w:t>
            </w:r>
          </w:p>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Borders>
              <w:top w:val="single" w:sz="4" w:space="0" w:color="auto"/>
            </w:tcBorders>
            <w:tcMar>
              <w:top w:w="113" w:type="dxa"/>
            </w:tcMar>
          </w:tcPr>
          <w:p w:rsidR="00C13DC8" w:rsidRPr="008954A8" w:rsidRDefault="00C13DC8" w:rsidP="00DA5475">
            <w:pPr>
              <w:spacing w:before="60" w:afterLines="60" w:after="144" w:line="300" w:lineRule="exact"/>
              <w:rPr>
                <w:rFonts w:ascii="Arabic Typesetting" w:hAnsi="Arabic Typesetting" w:cs="Arabic Typesetting"/>
                <w:b/>
                <w:sz w:val="30"/>
                <w:szCs w:val="30"/>
              </w:rPr>
            </w:pPr>
            <w:r w:rsidRPr="008954A8">
              <w:rPr>
                <w:rFonts w:ascii="Arabic Typesetting" w:hAnsi="Arabic Typesetting" w:cs="Arabic Typesetting"/>
                <w:b/>
                <w:sz w:val="30"/>
                <w:szCs w:val="30"/>
                <w:rtl/>
              </w:rPr>
              <w:t>النسبة المئوية للموظفين الراضين عن الخدمات المتعلقة بالموارد البشرية</w:t>
            </w:r>
          </w:p>
        </w:tc>
        <w:tc>
          <w:tcPr>
            <w:tcW w:w="1145" w:type="pct"/>
            <w:tcBorders>
              <w:top w:val="single" w:sz="4" w:space="0" w:color="auto"/>
            </w:tcBorders>
            <w:shd w:val="clear" w:color="auto" w:fill="FFFFFF"/>
            <w:tcMar>
              <w:top w:w="113" w:type="dxa"/>
            </w:tcMar>
          </w:tcPr>
          <w:p w:rsidR="00C13DC8" w:rsidRPr="00F8522C" w:rsidRDefault="00C13DC8" w:rsidP="00DA5475">
            <w:pPr>
              <w:spacing w:before="60" w:afterLines="60" w:after="144" w:line="280" w:lineRule="exact"/>
              <w:rPr>
                <w:rFonts w:ascii="Arabic Typesetting" w:hAnsi="Arabic Typesetting" w:cs="Arabic Typesetting"/>
                <w:color w:val="000000"/>
                <w:sz w:val="30"/>
                <w:szCs w:val="30"/>
                <w:lang w:bidi="ar-SA"/>
              </w:rPr>
            </w:pPr>
            <w:r w:rsidRPr="00F8522C">
              <w:rPr>
                <w:rFonts w:ascii="Arabic Typesetting" w:hAnsi="Arabic Typesetting" w:cs="Arabic Typesetting"/>
                <w:color w:val="000000"/>
                <w:sz w:val="30"/>
                <w:szCs w:val="30"/>
                <w:rtl/>
                <w:lang w:bidi="ar-SA"/>
              </w:rPr>
              <w:t>راضون تماما:</w:t>
            </w:r>
            <w:r w:rsidRPr="00F8522C">
              <w:rPr>
                <w:rFonts w:ascii="Arabic Typesetting" w:hAnsi="Arabic Typesetting" w:cs="Arabic Typesetting"/>
                <w:color w:val="000000"/>
                <w:sz w:val="30"/>
                <w:szCs w:val="30"/>
                <w:lang w:bidi="ar-SA"/>
              </w:rPr>
              <w:t xml:space="preserve"> </w:t>
            </w:r>
            <w:r w:rsidRPr="00F8522C">
              <w:rPr>
                <w:rFonts w:ascii="Arabic Typesetting" w:hAnsi="Arabic Typesetting" w:cs="Arabic Typesetting" w:hint="cs"/>
                <w:color w:val="000000"/>
                <w:sz w:val="30"/>
                <w:szCs w:val="30"/>
                <w:rtl/>
                <w:lang w:bidi="ar-SA"/>
              </w:rPr>
              <w:t>30.8</w:t>
            </w:r>
            <w:r w:rsidRPr="00F8522C">
              <w:rPr>
                <w:rFonts w:ascii="Arabic Typesetting" w:hAnsi="Arabic Typesetting" w:cs="Arabic Typesetting"/>
                <w:color w:val="000000"/>
                <w:sz w:val="30"/>
                <w:szCs w:val="30"/>
                <w:rtl/>
                <w:lang w:bidi="ar-SA"/>
              </w:rPr>
              <w:t>%</w:t>
            </w:r>
            <w:r>
              <w:rPr>
                <w:rFonts w:ascii="Arabic Typesetting" w:hAnsi="Arabic Typesetting" w:cs="Arabic Typesetting"/>
                <w:color w:val="000000"/>
                <w:sz w:val="30"/>
                <w:szCs w:val="30"/>
                <w:rtl/>
                <w:lang w:bidi="ar-SA"/>
              </w:rPr>
              <w:br/>
            </w:r>
            <w:r w:rsidRPr="00F8522C">
              <w:rPr>
                <w:rFonts w:ascii="Arabic Typesetting" w:hAnsi="Arabic Typesetting" w:cs="Arabic Typesetting"/>
                <w:color w:val="000000"/>
                <w:sz w:val="30"/>
                <w:szCs w:val="30"/>
                <w:rtl/>
                <w:lang w:bidi="ar-SA"/>
              </w:rPr>
              <w:t>راضون:</w:t>
            </w:r>
            <w:r w:rsidRPr="00F8522C">
              <w:rPr>
                <w:rFonts w:ascii="Arabic Typesetting" w:hAnsi="Arabic Typesetting" w:cs="Arabic Typesetting"/>
                <w:color w:val="000000"/>
                <w:sz w:val="30"/>
                <w:szCs w:val="30"/>
                <w:lang w:bidi="ar-SA"/>
              </w:rPr>
              <w:t xml:space="preserve"> </w:t>
            </w:r>
            <w:r w:rsidRPr="00F8522C">
              <w:rPr>
                <w:rFonts w:ascii="Arabic Typesetting" w:hAnsi="Arabic Typesetting" w:cs="Arabic Typesetting" w:hint="cs"/>
                <w:color w:val="000000"/>
                <w:sz w:val="30"/>
                <w:szCs w:val="30"/>
                <w:rtl/>
                <w:lang w:bidi="ar-SA"/>
              </w:rPr>
              <w:t>49.1</w:t>
            </w:r>
            <w:r w:rsidRPr="00F8522C">
              <w:rPr>
                <w:rFonts w:ascii="Arabic Typesetting" w:hAnsi="Arabic Typesetting" w:cs="Arabic Typesetting"/>
                <w:color w:val="000000"/>
                <w:sz w:val="30"/>
                <w:szCs w:val="30"/>
                <w:rtl/>
                <w:lang w:bidi="ar-SA"/>
              </w:rPr>
              <w:t>%</w:t>
            </w:r>
            <w:r>
              <w:rPr>
                <w:rFonts w:ascii="Arabic Typesetting" w:hAnsi="Arabic Typesetting" w:cs="Arabic Typesetting"/>
                <w:color w:val="000000"/>
                <w:sz w:val="30"/>
                <w:szCs w:val="30"/>
                <w:rtl/>
                <w:lang w:bidi="ar-SA"/>
              </w:rPr>
              <w:br/>
            </w:r>
            <w:r w:rsidRPr="00F8522C">
              <w:rPr>
                <w:rFonts w:ascii="Arabic Typesetting" w:hAnsi="Arabic Typesetting" w:cs="Arabic Typesetting"/>
                <w:color w:val="000000"/>
                <w:sz w:val="30"/>
                <w:szCs w:val="30"/>
                <w:rtl/>
                <w:lang w:bidi="ar-SA"/>
              </w:rPr>
              <w:t>غير راضين:</w:t>
            </w:r>
            <w:r w:rsidRPr="00F8522C">
              <w:rPr>
                <w:rFonts w:ascii="Arabic Typesetting" w:hAnsi="Arabic Typesetting" w:cs="Arabic Typesetting"/>
                <w:color w:val="000000"/>
                <w:sz w:val="30"/>
                <w:szCs w:val="30"/>
                <w:lang w:bidi="ar-SA"/>
              </w:rPr>
              <w:t xml:space="preserve"> </w:t>
            </w:r>
            <w:r w:rsidRPr="00F8522C">
              <w:rPr>
                <w:rFonts w:ascii="Arabic Typesetting" w:hAnsi="Arabic Typesetting" w:cs="Arabic Typesetting" w:hint="cs"/>
                <w:color w:val="000000"/>
                <w:sz w:val="30"/>
                <w:szCs w:val="30"/>
                <w:rtl/>
                <w:lang w:bidi="ar-SA"/>
              </w:rPr>
              <w:t>17.6</w:t>
            </w:r>
            <w:r w:rsidRPr="00F8522C">
              <w:rPr>
                <w:rFonts w:ascii="Arabic Typesetting" w:hAnsi="Arabic Typesetting" w:cs="Arabic Typesetting"/>
                <w:color w:val="000000"/>
                <w:sz w:val="30"/>
                <w:szCs w:val="30"/>
                <w:rtl/>
                <w:lang w:bidi="ar-SA"/>
              </w:rPr>
              <w:t>%</w:t>
            </w:r>
            <w:r>
              <w:rPr>
                <w:rFonts w:ascii="Arabic Typesetting" w:hAnsi="Arabic Typesetting" w:cs="Arabic Typesetting"/>
                <w:color w:val="000000"/>
                <w:sz w:val="30"/>
                <w:szCs w:val="30"/>
                <w:rtl/>
                <w:lang w:bidi="ar-SA"/>
              </w:rPr>
              <w:br/>
            </w:r>
            <w:r>
              <w:rPr>
                <w:rFonts w:ascii="Arabic Typesetting" w:hAnsi="Arabic Typesetting" w:cs="Arabic Typesetting"/>
                <w:sz w:val="30"/>
                <w:szCs w:val="30"/>
                <w:rtl/>
              </w:rPr>
              <w:t>غير راضين تمام</w:t>
            </w:r>
            <w:r w:rsidRPr="008954A8">
              <w:rPr>
                <w:rFonts w:ascii="Arabic Typesetting" w:hAnsi="Arabic Typesetting" w:cs="Arabic Typesetting"/>
                <w:sz w:val="30"/>
                <w:szCs w:val="30"/>
                <w:rtl/>
              </w:rPr>
              <w:t>ا</w:t>
            </w:r>
            <w:r>
              <w:rPr>
                <w:rFonts w:ascii="Arabic Typesetting" w:hAnsi="Arabic Typesetting" w:cs="Arabic Typesetting" w:hint="cs"/>
                <w:sz w:val="30"/>
                <w:szCs w:val="30"/>
                <w:rtl/>
              </w:rPr>
              <w:t>: 2.5%</w:t>
            </w:r>
          </w:p>
        </w:tc>
        <w:tc>
          <w:tcPr>
            <w:tcW w:w="1144" w:type="pct"/>
            <w:tcBorders>
              <w:top w:val="single" w:sz="4" w:space="0" w:color="auto"/>
            </w:tcBorders>
            <w:tcMar>
              <w:top w:w="113" w:type="dxa"/>
            </w:tcMar>
          </w:tcPr>
          <w:p w:rsidR="00C13DC8" w:rsidRPr="008954A8" w:rsidRDefault="00C13DC8" w:rsidP="00DA5475">
            <w:pPr>
              <w:keepNext/>
              <w:keepLines/>
              <w:spacing w:before="60" w:afterLines="60" w:after="144" w:line="300" w:lineRule="exact"/>
              <w:ind w:right="221"/>
              <w:rPr>
                <w:rFonts w:ascii="Arabic Typesetting" w:hAnsi="Arabic Typesetting" w:cs="Arabic Typesetting"/>
                <w:b/>
                <w:sz w:val="30"/>
                <w:szCs w:val="30"/>
              </w:rPr>
            </w:pPr>
            <w:r>
              <w:rPr>
                <w:rFonts w:ascii="Arabic Typesetting" w:hAnsi="Arabic Typesetting" w:cs="Arabic Typesetting"/>
                <w:b/>
                <w:sz w:val="30"/>
                <w:szCs w:val="30"/>
                <w:rtl/>
              </w:rPr>
              <w:t>85% راضون تمام</w:t>
            </w:r>
            <w:r w:rsidRPr="008954A8">
              <w:rPr>
                <w:rFonts w:ascii="Arabic Typesetting" w:hAnsi="Arabic Typesetting" w:cs="Arabic Typesetting"/>
                <w:b/>
                <w:sz w:val="30"/>
                <w:szCs w:val="30"/>
                <w:rtl/>
              </w:rPr>
              <w:t>ا أو راضون</w:t>
            </w:r>
          </w:p>
        </w:tc>
      </w:tr>
      <w:tr w:rsidR="00C13DC8" w:rsidRPr="008954A8" w:rsidTr="00DA5475">
        <w:trPr>
          <w:cantSplit/>
          <w:trHeight w:val="623"/>
        </w:trPr>
        <w:tc>
          <w:tcPr>
            <w:tcW w:w="1249" w:type="pct"/>
            <w:vMerge/>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زيادة الإجراءات المعالجة بشكل مؤتمت مقابل الإجراءات المعالجة يدويا حاليا</w:t>
            </w:r>
          </w:p>
        </w:tc>
        <w:tc>
          <w:tcPr>
            <w:tcW w:w="1145" w:type="pct"/>
            <w:shd w:val="clear" w:color="auto" w:fill="FFFFFF"/>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0%</w:t>
            </w:r>
          </w:p>
        </w:tc>
        <w:tc>
          <w:tcPr>
            <w:tcW w:w="1144" w:type="pct"/>
            <w:tcMar>
              <w:top w:w="113" w:type="dxa"/>
            </w:tcMar>
          </w:tcPr>
          <w:p w:rsidR="00C13DC8" w:rsidRPr="008954A8" w:rsidRDefault="00C13DC8" w:rsidP="00DA5475">
            <w:pPr>
              <w:keepNext/>
              <w:keepLines/>
              <w:tabs>
                <w:tab w:val="left" w:pos="2051"/>
              </w:tabs>
              <w:spacing w:before="60" w:afterLines="60" w:after="144" w:line="300" w:lineRule="exact"/>
              <w:ind w:right="221"/>
              <w:rPr>
                <w:rFonts w:ascii="Arabic Typesetting" w:hAnsi="Arabic Typesetting" w:cs="Arabic Typesetting"/>
                <w:b/>
                <w:sz w:val="30"/>
                <w:szCs w:val="30"/>
              </w:rPr>
            </w:pPr>
            <w:r>
              <w:rPr>
                <w:rFonts w:ascii="Arabic Typesetting" w:hAnsi="Arabic Typesetting" w:cs="Arabic Typesetting" w:hint="cs"/>
                <w:b/>
                <w:sz w:val="30"/>
                <w:szCs w:val="30"/>
                <w:rtl/>
              </w:rPr>
              <w:t>67%</w:t>
            </w:r>
          </w:p>
        </w:tc>
      </w:tr>
      <w:tr w:rsidR="00C13DC8" w:rsidRPr="008954A8" w:rsidTr="00DA5475">
        <w:trPr>
          <w:cantSplit/>
          <w:trHeight w:val="623"/>
        </w:trPr>
        <w:tc>
          <w:tcPr>
            <w:tcW w:w="1249" w:type="pct"/>
            <w:vMerge/>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للاستفسارات المعالجة خلال 5 أيام عمل</w:t>
            </w:r>
          </w:p>
        </w:tc>
        <w:tc>
          <w:tcPr>
            <w:tcW w:w="1145" w:type="pct"/>
            <w:shd w:val="clear" w:color="auto" w:fill="FFFFFF"/>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تحدد في نهاية 2015</w:t>
            </w:r>
          </w:p>
        </w:tc>
        <w:tc>
          <w:tcPr>
            <w:tcW w:w="1144" w:type="pct"/>
            <w:tcMar>
              <w:top w:w="113" w:type="dxa"/>
            </w:tcMar>
          </w:tcPr>
          <w:p w:rsidR="00C13DC8" w:rsidRPr="008954A8" w:rsidRDefault="00C13DC8" w:rsidP="00DA5475">
            <w:pPr>
              <w:keepNext/>
              <w:keepLines/>
              <w:tabs>
                <w:tab w:val="left" w:pos="2051"/>
              </w:tabs>
              <w:spacing w:before="60"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90%</w:t>
            </w:r>
          </w:p>
        </w:tc>
      </w:tr>
      <w:tr w:rsidR="00C13DC8" w:rsidRPr="008954A8" w:rsidTr="00DA5475">
        <w:trPr>
          <w:cantSplit/>
          <w:trHeight w:val="623"/>
        </w:trPr>
        <w:tc>
          <w:tcPr>
            <w:tcW w:w="1249" w:type="pct"/>
            <w:vMerge/>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تغطية تأمينية مُثلى</w:t>
            </w:r>
          </w:p>
        </w:tc>
        <w:tc>
          <w:tcPr>
            <w:tcW w:w="1145" w:type="pct"/>
            <w:shd w:val="clear" w:color="auto" w:fill="FFFFFF"/>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تحدد في نهاية 2015</w:t>
            </w:r>
          </w:p>
        </w:tc>
        <w:tc>
          <w:tcPr>
            <w:tcW w:w="1144" w:type="pct"/>
            <w:tcMar>
              <w:top w:w="113" w:type="dxa"/>
            </w:tcMar>
          </w:tcPr>
          <w:p w:rsidR="00C13DC8" w:rsidRPr="008954A8" w:rsidRDefault="00C13DC8" w:rsidP="00DA5475">
            <w:pPr>
              <w:keepNext/>
              <w:keepLines/>
              <w:tabs>
                <w:tab w:val="left" w:pos="2051"/>
              </w:tabs>
              <w:spacing w:before="60"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تحدد في نهاية 2015</w:t>
            </w:r>
          </w:p>
        </w:tc>
      </w:tr>
      <w:tr w:rsidR="00C13DC8" w:rsidRPr="008954A8" w:rsidTr="00DA5475">
        <w:trPr>
          <w:cantSplit/>
          <w:trHeight w:val="3502"/>
        </w:trPr>
        <w:tc>
          <w:tcPr>
            <w:tcW w:w="1249" w:type="pct"/>
            <w:tcMar>
              <w:top w:w="113" w:type="dxa"/>
            </w:tcMar>
          </w:tcPr>
          <w:p w:rsidR="00C13DC8" w:rsidRPr="008954A8" w:rsidRDefault="00C13DC8" w:rsidP="00DA5475">
            <w:pPr>
              <w:keepNext/>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lastRenderedPageBreak/>
              <w:t>ه 2.9</w:t>
            </w:r>
            <w:r w:rsidRPr="008954A8">
              <w:rPr>
                <w:rFonts w:ascii="Arabic Typesetting" w:hAnsi="Arabic Typesetting" w:cs="Arabic Typesetting"/>
                <w:sz w:val="30"/>
                <w:szCs w:val="30"/>
                <w:rtl/>
              </w:rPr>
              <w:t xml:space="preserve"> </w:t>
            </w:r>
            <w:r w:rsidRPr="00603364">
              <w:rPr>
                <w:rFonts w:ascii="Arabic Typesetting" w:hAnsi="Arabic Typesetting" w:cs="Arabic Typesetting"/>
                <w:sz w:val="30"/>
                <w:szCs w:val="30"/>
                <w:rtl/>
              </w:rPr>
              <w:t>أمانة نبيهة تعمل بسلاسة وموظفون يعملون تحت إدارة جيّدة وبمهارات مناسبة ويحققون النتائج بكفاءة</w:t>
            </w:r>
          </w:p>
        </w:tc>
        <w:tc>
          <w:tcPr>
            <w:tcW w:w="1462" w:type="pct"/>
            <w:tcMar>
              <w:top w:w="113" w:type="dxa"/>
            </w:tcMar>
          </w:tcPr>
          <w:p w:rsidR="00C13DC8" w:rsidRDefault="00C13DC8" w:rsidP="00DA5475">
            <w:pPr>
              <w:keepNext/>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للنساء في المناصب المهنية وما فوق</w:t>
            </w:r>
          </w:p>
          <w:p w:rsidR="00C13DC8" w:rsidRDefault="00C13DC8" w:rsidP="00DA5475">
            <w:pPr>
              <w:keepNext/>
              <w:spacing w:before="60" w:afterLines="60" w:after="144" w:line="300" w:lineRule="exact"/>
              <w:rPr>
                <w:rFonts w:ascii="Arabic Typesetting" w:hAnsi="Arabic Typesetting" w:cs="Arabic Typesetting"/>
                <w:sz w:val="30"/>
                <w:szCs w:val="30"/>
                <w:rtl/>
              </w:rPr>
            </w:pPr>
          </w:p>
          <w:p w:rsidR="00C13DC8" w:rsidRDefault="00C13DC8" w:rsidP="00DA5475">
            <w:pPr>
              <w:keepNext/>
              <w:spacing w:before="60" w:afterLines="60" w:after="144" w:line="300" w:lineRule="exact"/>
              <w:rPr>
                <w:rFonts w:ascii="Arabic Typesetting" w:hAnsi="Arabic Typesetting" w:cs="Arabic Typesetting"/>
                <w:sz w:val="30"/>
                <w:szCs w:val="30"/>
                <w:rtl/>
              </w:rPr>
            </w:pPr>
          </w:p>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وقت التعيين</w:t>
            </w:r>
          </w:p>
        </w:tc>
        <w:tc>
          <w:tcPr>
            <w:tcW w:w="1145" w:type="pct"/>
            <w:shd w:val="clear" w:color="auto" w:fill="FFFFFF"/>
            <w:tcMar>
              <w:top w:w="113" w:type="dxa"/>
            </w:tcMar>
          </w:tcPr>
          <w:p w:rsidR="00C13DC8" w:rsidRPr="00CF6CF1" w:rsidRDefault="00C13DC8" w:rsidP="00DA5475">
            <w:pPr>
              <w:keepNext/>
              <w:spacing w:before="60" w:afterLines="60" w:after="144" w:line="280" w:lineRule="exact"/>
              <w:rPr>
                <w:rFonts w:ascii="Arabic Typesetting" w:hAnsi="Arabic Typesetting" w:cs="Arabic Typesetting"/>
                <w:color w:val="000000"/>
                <w:sz w:val="30"/>
                <w:szCs w:val="30"/>
                <w:rtl/>
                <w:lang w:bidi="ar-SA"/>
              </w:rPr>
            </w:pPr>
            <w:r w:rsidRPr="008954A8">
              <w:rPr>
                <w:rFonts w:ascii="Arabic Typesetting" w:hAnsi="Arabic Typesetting" w:cs="Arabic Typesetting" w:hint="cs"/>
                <w:color w:val="000000"/>
                <w:sz w:val="30"/>
                <w:szCs w:val="30"/>
                <w:rtl/>
                <w:lang w:bidi="ar-SA"/>
              </w:rPr>
              <w:t>رتبة</w:t>
            </w:r>
            <w:r w:rsidRPr="008954A8">
              <w:rPr>
                <w:rFonts w:ascii="Arabic Typesetting" w:hAnsi="Arabic Typesetting" w:cs="Arabic Typesetting" w:hint="cs"/>
                <w:color w:val="000000"/>
                <w:sz w:val="30"/>
                <w:szCs w:val="30"/>
                <w:rtl/>
              </w:rPr>
              <w:t xml:space="preserve"> </w:t>
            </w:r>
            <w:r w:rsidRPr="008954A8">
              <w:rPr>
                <w:rFonts w:ascii="Arabic Typesetting" w:hAnsi="Arabic Typesetting" w:cs="Arabic Typesetting"/>
                <w:color w:val="000000"/>
                <w:sz w:val="30"/>
                <w:szCs w:val="30"/>
              </w:rPr>
              <w:t>P4</w:t>
            </w:r>
            <w:r w:rsidRPr="008954A8">
              <w:rPr>
                <w:rFonts w:ascii="Arabic Typesetting" w:hAnsi="Arabic Typesetting" w:cs="Arabic Typesetting" w:hint="cs"/>
                <w:color w:val="000000"/>
                <w:sz w:val="30"/>
                <w:szCs w:val="30"/>
                <w:rtl/>
              </w:rPr>
              <w:t xml:space="preserve"> </w:t>
            </w:r>
            <w:r w:rsidRPr="008954A8">
              <w:rPr>
                <w:rFonts w:ascii="Arabic Typesetting" w:hAnsi="Arabic Typesetting" w:cs="Arabic Typesetting"/>
                <w:color w:val="000000"/>
                <w:sz w:val="30"/>
                <w:szCs w:val="30"/>
                <w:rtl/>
              </w:rPr>
              <w:t>–</w:t>
            </w:r>
            <w:r w:rsidRPr="008954A8">
              <w:rPr>
                <w:rFonts w:ascii="Arabic Typesetting" w:hAnsi="Arabic Typesetting" w:cs="Arabic Typesetting" w:hint="cs"/>
                <w:color w:val="000000"/>
                <w:sz w:val="30"/>
                <w:szCs w:val="30"/>
                <w:rtl/>
              </w:rPr>
              <w:t xml:space="preserve"> </w:t>
            </w:r>
            <w:r>
              <w:rPr>
                <w:rFonts w:ascii="Arabic Typesetting" w:hAnsi="Arabic Typesetting" w:cs="Arabic Typesetting" w:hint="cs"/>
                <w:color w:val="000000"/>
                <w:sz w:val="30"/>
                <w:szCs w:val="30"/>
                <w:rtl/>
              </w:rPr>
              <w:t>44.4</w:t>
            </w:r>
            <w:r w:rsidRPr="008954A8">
              <w:rPr>
                <w:rFonts w:ascii="Arabic Typesetting" w:hAnsi="Arabic Typesetting" w:cs="Arabic Typesetting" w:hint="cs"/>
                <w:color w:val="000000"/>
                <w:sz w:val="30"/>
                <w:szCs w:val="30"/>
                <w:rtl/>
              </w:rPr>
              <w:t>%</w:t>
            </w:r>
            <w:r w:rsidRPr="008954A8">
              <w:rPr>
                <w:rFonts w:ascii="Arabic Typesetting" w:hAnsi="Arabic Typesetting" w:cs="Arabic Typesetting"/>
                <w:color w:val="000000"/>
                <w:sz w:val="30"/>
                <w:szCs w:val="30"/>
                <w:rtl/>
              </w:rPr>
              <w:br/>
            </w:r>
            <w:r w:rsidRPr="008954A8">
              <w:rPr>
                <w:rFonts w:ascii="Arabic Typesetting" w:hAnsi="Arabic Typesetting" w:cs="Arabic Typesetting" w:hint="cs"/>
                <w:color w:val="000000"/>
                <w:sz w:val="30"/>
                <w:szCs w:val="30"/>
                <w:rtl/>
              </w:rPr>
              <w:t xml:space="preserve">رتبة </w:t>
            </w:r>
            <w:r w:rsidRPr="008954A8">
              <w:rPr>
                <w:rFonts w:ascii="Arabic Typesetting" w:hAnsi="Arabic Typesetting" w:cs="Arabic Typesetting"/>
                <w:color w:val="000000"/>
                <w:sz w:val="30"/>
                <w:szCs w:val="30"/>
              </w:rPr>
              <w:t>P5</w:t>
            </w:r>
            <w:r w:rsidRPr="008954A8">
              <w:rPr>
                <w:rFonts w:ascii="Arabic Typesetting" w:hAnsi="Arabic Typesetting" w:cs="Arabic Typesetting" w:hint="cs"/>
                <w:color w:val="000000"/>
                <w:sz w:val="30"/>
                <w:szCs w:val="30"/>
                <w:rtl/>
                <w:lang w:bidi="ar-SA"/>
              </w:rPr>
              <w:t xml:space="preserve"> </w:t>
            </w:r>
            <w:r w:rsidRPr="008954A8">
              <w:rPr>
                <w:rFonts w:ascii="Arabic Typesetting" w:hAnsi="Arabic Typesetting" w:cs="Arabic Typesetting"/>
                <w:color w:val="000000"/>
                <w:sz w:val="30"/>
                <w:szCs w:val="30"/>
                <w:rtl/>
                <w:lang w:bidi="ar-SA"/>
              </w:rPr>
              <w:t>–</w:t>
            </w:r>
            <w:r w:rsidRPr="008954A8">
              <w:rPr>
                <w:rFonts w:ascii="Arabic Typesetting" w:hAnsi="Arabic Typesetting" w:cs="Arabic Typesetting" w:hint="cs"/>
                <w:color w:val="000000"/>
                <w:sz w:val="30"/>
                <w:szCs w:val="30"/>
                <w:rtl/>
                <w:lang w:bidi="ar-SA"/>
              </w:rPr>
              <w:t xml:space="preserve"> </w:t>
            </w:r>
            <w:r>
              <w:rPr>
                <w:rFonts w:ascii="Arabic Typesetting" w:hAnsi="Arabic Typesetting" w:cs="Arabic Typesetting" w:hint="cs"/>
                <w:color w:val="000000"/>
                <w:sz w:val="30"/>
                <w:szCs w:val="30"/>
                <w:rtl/>
                <w:lang w:bidi="ar-SA"/>
              </w:rPr>
              <w:t>34.4</w:t>
            </w:r>
            <w:r w:rsidRPr="008954A8">
              <w:rPr>
                <w:rFonts w:ascii="Arabic Typesetting" w:hAnsi="Arabic Typesetting" w:cs="Arabic Typesetting" w:hint="cs"/>
                <w:color w:val="000000"/>
                <w:sz w:val="30"/>
                <w:szCs w:val="30"/>
                <w:rtl/>
                <w:lang w:bidi="ar-SA"/>
              </w:rPr>
              <w:t>%</w:t>
            </w:r>
            <w:r w:rsidRPr="008954A8">
              <w:rPr>
                <w:rFonts w:ascii="Arabic Typesetting" w:hAnsi="Arabic Typesetting" w:cs="Arabic Typesetting"/>
                <w:color w:val="000000"/>
                <w:sz w:val="30"/>
                <w:szCs w:val="30"/>
                <w:rtl/>
                <w:lang w:bidi="ar-SA"/>
              </w:rPr>
              <w:br/>
            </w:r>
            <w:r w:rsidRPr="008954A8">
              <w:rPr>
                <w:rFonts w:ascii="Arabic Typesetting" w:hAnsi="Arabic Typesetting" w:cs="Arabic Typesetting" w:hint="cs"/>
                <w:color w:val="000000"/>
                <w:sz w:val="30"/>
                <w:szCs w:val="30"/>
                <w:rtl/>
                <w:lang w:bidi="ar-SA"/>
              </w:rPr>
              <w:t xml:space="preserve">رتبة </w:t>
            </w:r>
            <w:r w:rsidRPr="008954A8">
              <w:rPr>
                <w:rFonts w:ascii="Arabic Typesetting" w:hAnsi="Arabic Typesetting" w:cs="Arabic Typesetting"/>
                <w:color w:val="000000"/>
                <w:sz w:val="30"/>
                <w:szCs w:val="30"/>
                <w:lang w:bidi="ar-SA"/>
              </w:rPr>
              <w:t>D1</w:t>
            </w:r>
            <w:r w:rsidRPr="008954A8">
              <w:rPr>
                <w:rFonts w:ascii="Arabic Typesetting" w:hAnsi="Arabic Typesetting" w:cs="Arabic Typesetting" w:hint="cs"/>
                <w:color w:val="000000"/>
                <w:sz w:val="30"/>
                <w:szCs w:val="30"/>
                <w:rtl/>
                <w:lang w:bidi="ar-SA"/>
              </w:rPr>
              <w:t xml:space="preserve"> </w:t>
            </w:r>
            <w:r w:rsidRPr="008954A8">
              <w:rPr>
                <w:rFonts w:ascii="Arabic Typesetting" w:hAnsi="Arabic Typesetting" w:cs="Arabic Typesetting"/>
                <w:color w:val="000000"/>
                <w:sz w:val="30"/>
                <w:szCs w:val="30"/>
                <w:rtl/>
                <w:lang w:bidi="ar-SA"/>
              </w:rPr>
              <w:t>–</w:t>
            </w:r>
            <w:r w:rsidRPr="008954A8">
              <w:rPr>
                <w:rFonts w:ascii="Arabic Typesetting" w:hAnsi="Arabic Typesetting" w:cs="Arabic Typesetting" w:hint="cs"/>
                <w:color w:val="000000"/>
                <w:sz w:val="30"/>
                <w:szCs w:val="30"/>
                <w:rtl/>
                <w:lang w:bidi="ar-SA"/>
              </w:rPr>
              <w:t xml:space="preserve"> </w:t>
            </w:r>
            <w:r>
              <w:rPr>
                <w:rFonts w:ascii="Arabic Typesetting" w:hAnsi="Arabic Typesetting" w:cs="Arabic Typesetting" w:hint="cs"/>
                <w:color w:val="000000"/>
                <w:sz w:val="30"/>
                <w:szCs w:val="30"/>
                <w:rtl/>
                <w:lang w:bidi="ar-SA"/>
              </w:rPr>
              <w:t>26.7</w:t>
            </w:r>
            <w:r w:rsidRPr="008954A8">
              <w:rPr>
                <w:rFonts w:ascii="Arabic Typesetting" w:hAnsi="Arabic Typesetting" w:cs="Arabic Typesetting" w:hint="cs"/>
                <w:color w:val="000000"/>
                <w:sz w:val="30"/>
                <w:szCs w:val="30"/>
                <w:rtl/>
                <w:lang w:bidi="ar-SA"/>
              </w:rPr>
              <w:t>%</w:t>
            </w:r>
            <w:r w:rsidRPr="008954A8">
              <w:rPr>
                <w:rFonts w:ascii="Arabic Typesetting" w:hAnsi="Arabic Typesetting" w:cs="Arabic Typesetting" w:hint="cs"/>
                <w:color w:val="000000"/>
                <w:sz w:val="30"/>
                <w:szCs w:val="30"/>
                <w:rtl/>
                <w:lang w:bidi="ar-SA"/>
              </w:rPr>
              <w:br/>
              <w:t xml:space="preserve">رتبة </w:t>
            </w:r>
            <w:r w:rsidRPr="008954A8">
              <w:rPr>
                <w:rFonts w:ascii="Arabic Typesetting" w:hAnsi="Arabic Typesetting" w:cs="Arabic Typesetting"/>
                <w:color w:val="000000"/>
                <w:sz w:val="30"/>
                <w:szCs w:val="30"/>
                <w:lang w:bidi="ar-SA"/>
              </w:rPr>
              <w:t>D2</w:t>
            </w:r>
            <w:r w:rsidRPr="008954A8">
              <w:rPr>
                <w:rFonts w:ascii="Arabic Typesetting" w:hAnsi="Arabic Typesetting" w:cs="Arabic Typesetting" w:hint="cs"/>
                <w:color w:val="000000"/>
                <w:sz w:val="30"/>
                <w:szCs w:val="30"/>
                <w:rtl/>
                <w:lang w:bidi="ar-SA"/>
              </w:rPr>
              <w:t xml:space="preserve"> </w:t>
            </w:r>
            <w:r w:rsidRPr="008954A8">
              <w:rPr>
                <w:rFonts w:ascii="Arabic Typesetting" w:hAnsi="Arabic Typesetting" w:cs="Arabic Typesetting"/>
                <w:color w:val="000000"/>
                <w:sz w:val="30"/>
                <w:szCs w:val="30"/>
                <w:rtl/>
                <w:lang w:bidi="ar-SA"/>
              </w:rPr>
              <w:t>–</w:t>
            </w:r>
            <w:r w:rsidRPr="008954A8">
              <w:rPr>
                <w:rFonts w:ascii="Arabic Typesetting" w:hAnsi="Arabic Typesetting" w:cs="Arabic Typesetting" w:hint="cs"/>
                <w:color w:val="000000"/>
                <w:sz w:val="30"/>
                <w:szCs w:val="30"/>
                <w:rtl/>
                <w:lang w:bidi="ar-SA"/>
              </w:rPr>
              <w:t xml:space="preserve"> </w:t>
            </w:r>
            <w:r>
              <w:rPr>
                <w:rFonts w:ascii="Arabic Typesetting" w:hAnsi="Arabic Typesetting" w:cs="Arabic Typesetting" w:hint="cs"/>
                <w:color w:val="000000"/>
                <w:sz w:val="30"/>
                <w:szCs w:val="30"/>
                <w:rtl/>
                <w:lang w:bidi="ar-SA"/>
              </w:rPr>
              <w:t>22.2</w:t>
            </w:r>
            <w:r w:rsidRPr="008954A8">
              <w:rPr>
                <w:rFonts w:ascii="Arabic Typesetting" w:hAnsi="Arabic Typesetting" w:cs="Arabic Typesetting" w:hint="cs"/>
                <w:color w:val="000000"/>
                <w:sz w:val="30"/>
                <w:szCs w:val="30"/>
                <w:rtl/>
                <w:lang w:bidi="ar-SA"/>
              </w:rPr>
              <w:t>%</w:t>
            </w:r>
            <w:r w:rsidRPr="008954A8">
              <w:rPr>
                <w:rFonts w:ascii="Arabic Typesetting" w:hAnsi="Arabic Typesetting" w:cs="Arabic Typesetting" w:hint="cs"/>
                <w:color w:val="000000"/>
                <w:sz w:val="30"/>
                <w:szCs w:val="30"/>
                <w:rtl/>
                <w:lang w:bidi="ar-SA"/>
              </w:rPr>
              <w:br/>
              <w:t xml:space="preserve">(ديسمبر </w:t>
            </w:r>
            <w:r>
              <w:rPr>
                <w:rFonts w:ascii="Arabic Typesetting" w:hAnsi="Arabic Typesetting" w:cs="Arabic Typesetting" w:hint="cs"/>
                <w:color w:val="000000"/>
                <w:sz w:val="30"/>
                <w:szCs w:val="30"/>
                <w:rtl/>
                <w:lang w:bidi="ar-SA"/>
              </w:rPr>
              <w:t>2014</w:t>
            </w:r>
            <w:r w:rsidRPr="008954A8">
              <w:rPr>
                <w:rFonts w:ascii="Arabic Typesetting" w:hAnsi="Arabic Typesetting" w:cs="Arabic Typesetting" w:hint="cs"/>
                <w:color w:val="000000"/>
                <w:sz w:val="30"/>
                <w:szCs w:val="30"/>
                <w:rtl/>
                <w:lang w:bidi="ar-SA"/>
              </w:rPr>
              <w:t>)</w:t>
            </w:r>
          </w:p>
          <w:p w:rsidR="00C13DC8" w:rsidRDefault="00C13DC8" w:rsidP="00DA5475">
            <w:pPr>
              <w:spacing w:before="60" w:afterLines="60" w:after="144"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14.7 أسبوعا (مع </w:t>
            </w:r>
            <w:r w:rsidRPr="00E06346">
              <w:rPr>
                <w:rFonts w:ascii="Arabic Typesetting" w:hAnsi="Arabic Typesetting" w:cs="Arabic Typesetting"/>
                <w:sz w:val="30"/>
                <w:szCs w:val="30"/>
                <w:rtl/>
                <w:lang w:bidi="ar-SA"/>
              </w:rPr>
              <w:t>الموظفين المؤقتين العاملين لفترة طويلة</w:t>
            </w:r>
            <w:r>
              <w:rPr>
                <w:rFonts w:ascii="Arabic Typesetting" w:hAnsi="Arabic Typesetting" w:cs="Arabic Typesetting" w:hint="cs"/>
                <w:sz w:val="30"/>
                <w:szCs w:val="30"/>
                <w:rtl/>
                <w:lang w:bidi="ar-SA"/>
              </w:rPr>
              <w:t>)</w:t>
            </w:r>
          </w:p>
          <w:p w:rsidR="00C13DC8" w:rsidRPr="008954A8" w:rsidRDefault="00C13DC8" w:rsidP="00DA5475">
            <w:pPr>
              <w:spacing w:before="60" w:line="300" w:lineRule="exact"/>
              <w:rPr>
                <w:rFonts w:ascii="Arabic Typesetting" w:hAnsi="Arabic Typesetting" w:cs="Arabic Typesetting"/>
                <w:sz w:val="30"/>
                <w:szCs w:val="30"/>
                <w:rtl/>
              </w:rPr>
            </w:pPr>
            <w:r>
              <w:rPr>
                <w:rFonts w:ascii="Arabic Typesetting" w:hAnsi="Arabic Typesetting" w:cs="Arabic Typesetting" w:hint="cs"/>
                <w:sz w:val="30"/>
                <w:szCs w:val="30"/>
                <w:rtl/>
                <w:lang w:bidi="ar-SA"/>
              </w:rPr>
              <w:t xml:space="preserve">19.7 (دون </w:t>
            </w:r>
            <w:r w:rsidRPr="00E06346">
              <w:rPr>
                <w:rFonts w:ascii="Arabic Typesetting" w:hAnsi="Arabic Typesetting" w:cs="Arabic Typesetting"/>
                <w:sz w:val="30"/>
                <w:szCs w:val="30"/>
                <w:rtl/>
                <w:lang w:bidi="ar-SA"/>
              </w:rPr>
              <w:t>الموظفين المؤقتين العاملين لفترة طويلة</w:t>
            </w:r>
            <w:r>
              <w:rPr>
                <w:rFonts w:ascii="Arabic Typesetting" w:hAnsi="Arabic Typesetting" w:cs="Arabic Typesetting" w:hint="cs"/>
                <w:sz w:val="30"/>
                <w:szCs w:val="30"/>
                <w:rtl/>
                <w:lang w:bidi="ar-SA"/>
              </w:rPr>
              <w:t>)</w:t>
            </w:r>
          </w:p>
        </w:tc>
        <w:tc>
          <w:tcPr>
            <w:tcW w:w="1144" w:type="pct"/>
            <w:tcMar>
              <w:top w:w="113" w:type="dxa"/>
            </w:tcMar>
          </w:tcPr>
          <w:p w:rsidR="00C13DC8" w:rsidRPr="00CF6CF1" w:rsidRDefault="00C13DC8" w:rsidP="00DA5475">
            <w:pPr>
              <w:keepNext/>
              <w:keepLines/>
              <w:spacing w:before="60" w:afterLines="60" w:after="144" w:line="280" w:lineRule="exact"/>
              <w:ind w:right="221"/>
              <w:rPr>
                <w:rFonts w:ascii="Arabic Typesetting" w:hAnsi="Arabic Typesetting" w:cs="Arabic Typesetting"/>
                <w:color w:val="000000"/>
                <w:sz w:val="30"/>
                <w:szCs w:val="30"/>
                <w:lang w:bidi="ar-SA"/>
              </w:rPr>
            </w:pPr>
            <w:r w:rsidRPr="008954A8">
              <w:rPr>
                <w:rFonts w:ascii="Arabic Typesetting" w:hAnsi="Arabic Typesetting" w:cs="Arabic Typesetting" w:hint="cs"/>
                <w:color w:val="000000"/>
                <w:sz w:val="30"/>
                <w:szCs w:val="30"/>
                <w:rtl/>
                <w:lang w:bidi="ar-SA"/>
              </w:rPr>
              <w:t>رتبة</w:t>
            </w:r>
            <w:r w:rsidRPr="008954A8">
              <w:rPr>
                <w:rFonts w:ascii="Arabic Typesetting" w:hAnsi="Arabic Typesetting" w:cs="Arabic Typesetting" w:hint="cs"/>
                <w:color w:val="000000"/>
                <w:sz w:val="30"/>
                <w:szCs w:val="30"/>
                <w:rtl/>
              </w:rPr>
              <w:t xml:space="preserve"> </w:t>
            </w:r>
            <w:r w:rsidRPr="008954A8">
              <w:rPr>
                <w:rFonts w:ascii="Arabic Typesetting" w:hAnsi="Arabic Typesetting" w:cs="Arabic Typesetting"/>
                <w:color w:val="000000"/>
                <w:sz w:val="30"/>
                <w:szCs w:val="30"/>
              </w:rPr>
              <w:t>P4</w:t>
            </w:r>
            <w:r w:rsidRPr="008954A8">
              <w:rPr>
                <w:rFonts w:ascii="Arabic Typesetting" w:hAnsi="Arabic Typesetting" w:cs="Arabic Typesetting" w:hint="cs"/>
                <w:color w:val="000000"/>
                <w:sz w:val="30"/>
                <w:szCs w:val="30"/>
                <w:rtl/>
              </w:rPr>
              <w:t xml:space="preserve"> </w:t>
            </w:r>
            <w:r w:rsidRPr="008954A8">
              <w:rPr>
                <w:rFonts w:ascii="Arabic Typesetting" w:hAnsi="Arabic Typesetting" w:cs="Arabic Typesetting"/>
                <w:color w:val="000000"/>
                <w:sz w:val="30"/>
                <w:szCs w:val="30"/>
                <w:rtl/>
              </w:rPr>
              <w:t>–</w:t>
            </w:r>
            <w:r w:rsidRPr="008954A8">
              <w:rPr>
                <w:rFonts w:ascii="Arabic Typesetting" w:hAnsi="Arabic Typesetting" w:cs="Arabic Typesetting" w:hint="cs"/>
                <w:color w:val="000000"/>
                <w:sz w:val="30"/>
                <w:szCs w:val="30"/>
                <w:rtl/>
              </w:rPr>
              <w:t xml:space="preserve"> </w:t>
            </w:r>
            <w:r>
              <w:rPr>
                <w:rFonts w:ascii="Arabic Typesetting" w:hAnsi="Arabic Typesetting" w:cs="Arabic Typesetting" w:hint="cs"/>
                <w:color w:val="000000"/>
                <w:sz w:val="30"/>
                <w:szCs w:val="30"/>
                <w:rtl/>
              </w:rPr>
              <w:t>46</w:t>
            </w:r>
            <w:r w:rsidRPr="008954A8">
              <w:rPr>
                <w:rFonts w:ascii="Arabic Typesetting" w:hAnsi="Arabic Typesetting" w:cs="Arabic Typesetting" w:hint="cs"/>
                <w:color w:val="000000"/>
                <w:sz w:val="30"/>
                <w:szCs w:val="30"/>
                <w:rtl/>
              </w:rPr>
              <w:t>%</w:t>
            </w:r>
            <w:r w:rsidRPr="008954A8">
              <w:rPr>
                <w:rFonts w:ascii="Arabic Typesetting" w:hAnsi="Arabic Typesetting" w:cs="Arabic Typesetting"/>
                <w:color w:val="000000"/>
                <w:sz w:val="30"/>
                <w:szCs w:val="30"/>
                <w:rtl/>
              </w:rPr>
              <w:br/>
            </w:r>
            <w:r w:rsidRPr="008954A8">
              <w:rPr>
                <w:rFonts w:ascii="Arabic Typesetting" w:hAnsi="Arabic Typesetting" w:cs="Arabic Typesetting" w:hint="cs"/>
                <w:color w:val="000000"/>
                <w:sz w:val="30"/>
                <w:szCs w:val="30"/>
                <w:rtl/>
              </w:rPr>
              <w:t xml:space="preserve">رتبة </w:t>
            </w:r>
            <w:r w:rsidRPr="008954A8">
              <w:rPr>
                <w:rFonts w:ascii="Arabic Typesetting" w:hAnsi="Arabic Typesetting" w:cs="Arabic Typesetting"/>
                <w:color w:val="000000"/>
                <w:sz w:val="30"/>
                <w:szCs w:val="30"/>
              </w:rPr>
              <w:t>P5</w:t>
            </w:r>
            <w:r w:rsidRPr="008954A8">
              <w:rPr>
                <w:rFonts w:ascii="Arabic Typesetting" w:hAnsi="Arabic Typesetting" w:cs="Arabic Typesetting" w:hint="cs"/>
                <w:color w:val="000000"/>
                <w:sz w:val="30"/>
                <w:szCs w:val="30"/>
                <w:rtl/>
                <w:lang w:bidi="ar-SA"/>
              </w:rPr>
              <w:t xml:space="preserve"> </w:t>
            </w:r>
            <w:r w:rsidRPr="008954A8">
              <w:rPr>
                <w:rFonts w:ascii="Arabic Typesetting" w:hAnsi="Arabic Typesetting" w:cs="Arabic Typesetting"/>
                <w:color w:val="000000"/>
                <w:sz w:val="30"/>
                <w:szCs w:val="30"/>
                <w:rtl/>
                <w:lang w:bidi="ar-SA"/>
              </w:rPr>
              <w:t>–</w:t>
            </w:r>
            <w:r w:rsidRPr="008954A8">
              <w:rPr>
                <w:rFonts w:ascii="Arabic Typesetting" w:hAnsi="Arabic Typesetting" w:cs="Arabic Typesetting" w:hint="cs"/>
                <w:color w:val="000000"/>
                <w:sz w:val="30"/>
                <w:szCs w:val="30"/>
                <w:rtl/>
                <w:lang w:bidi="ar-SA"/>
              </w:rPr>
              <w:t xml:space="preserve"> </w:t>
            </w:r>
            <w:r>
              <w:rPr>
                <w:rFonts w:ascii="Arabic Typesetting" w:hAnsi="Arabic Typesetting" w:cs="Arabic Typesetting" w:hint="cs"/>
                <w:color w:val="000000"/>
                <w:sz w:val="30"/>
                <w:szCs w:val="30"/>
                <w:rtl/>
                <w:lang w:bidi="ar-SA"/>
              </w:rPr>
              <w:t>35</w:t>
            </w:r>
            <w:r w:rsidRPr="008954A8">
              <w:rPr>
                <w:rFonts w:ascii="Arabic Typesetting" w:hAnsi="Arabic Typesetting" w:cs="Arabic Typesetting" w:hint="cs"/>
                <w:color w:val="000000"/>
                <w:sz w:val="30"/>
                <w:szCs w:val="30"/>
                <w:rtl/>
                <w:lang w:bidi="ar-SA"/>
              </w:rPr>
              <w:t>%</w:t>
            </w:r>
            <w:r w:rsidRPr="008954A8">
              <w:rPr>
                <w:rFonts w:ascii="Arabic Typesetting" w:hAnsi="Arabic Typesetting" w:cs="Arabic Typesetting"/>
                <w:color w:val="000000"/>
                <w:sz w:val="30"/>
                <w:szCs w:val="30"/>
                <w:rtl/>
                <w:lang w:bidi="ar-SA"/>
              </w:rPr>
              <w:br/>
            </w:r>
            <w:r w:rsidRPr="008954A8">
              <w:rPr>
                <w:rFonts w:ascii="Arabic Typesetting" w:hAnsi="Arabic Typesetting" w:cs="Arabic Typesetting" w:hint="cs"/>
                <w:color w:val="000000"/>
                <w:sz w:val="30"/>
                <w:szCs w:val="30"/>
                <w:rtl/>
                <w:lang w:bidi="ar-SA"/>
              </w:rPr>
              <w:t xml:space="preserve">رتبة </w:t>
            </w:r>
            <w:r w:rsidRPr="008954A8">
              <w:rPr>
                <w:rFonts w:ascii="Arabic Typesetting" w:hAnsi="Arabic Typesetting" w:cs="Arabic Typesetting"/>
                <w:color w:val="000000"/>
                <w:sz w:val="30"/>
                <w:szCs w:val="30"/>
                <w:lang w:bidi="ar-SA"/>
              </w:rPr>
              <w:t>D1</w:t>
            </w:r>
            <w:r w:rsidRPr="008954A8">
              <w:rPr>
                <w:rFonts w:ascii="Arabic Typesetting" w:hAnsi="Arabic Typesetting" w:cs="Arabic Typesetting" w:hint="cs"/>
                <w:color w:val="000000"/>
                <w:sz w:val="30"/>
                <w:szCs w:val="30"/>
                <w:rtl/>
                <w:lang w:bidi="ar-SA"/>
              </w:rPr>
              <w:t xml:space="preserve"> </w:t>
            </w:r>
            <w:r w:rsidRPr="008954A8">
              <w:rPr>
                <w:rFonts w:ascii="Arabic Typesetting" w:hAnsi="Arabic Typesetting" w:cs="Arabic Typesetting"/>
                <w:color w:val="000000"/>
                <w:sz w:val="30"/>
                <w:szCs w:val="30"/>
                <w:rtl/>
                <w:lang w:bidi="ar-SA"/>
              </w:rPr>
              <w:t>–</w:t>
            </w:r>
            <w:r w:rsidRPr="008954A8">
              <w:rPr>
                <w:rFonts w:ascii="Arabic Typesetting" w:hAnsi="Arabic Typesetting" w:cs="Arabic Typesetting" w:hint="cs"/>
                <w:color w:val="000000"/>
                <w:sz w:val="30"/>
                <w:szCs w:val="30"/>
                <w:rtl/>
                <w:lang w:bidi="ar-SA"/>
              </w:rPr>
              <w:t xml:space="preserve"> </w:t>
            </w:r>
            <w:r>
              <w:rPr>
                <w:rFonts w:ascii="Arabic Typesetting" w:hAnsi="Arabic Typesetting" w:cs="Arabic Typesetting" w:hint="cs"/>
                <w:color w:val="000000"/>
                <w:sz w:val="30"/>
                <w:szCs w:val="30"/>
                <w:rtl/>
                <w:lang w:bidi="ar-SA"/>
              </w:rPr>
              <w:t>30</w:t>
            </w:r>
            <w:r w:rsidRPr="008954A8">
              <w:rPr>
                <w:rFonts w:ascii="Arabic Typesetting" w:hAnsi="Arabic Typesetting" w:cs="Arabic Typesetting" w:hint="cs"/>
                <w:color w:val="000000"/>
                <w:sz w:val="30"/>
                <w:szCs w:val="30"/>
                <w:rtl/>
                <w:lang w:bidi="ar-SA"/>
              </w:rPr>
              <w:t>%</w:t>
            </w:r>
            <w:r w:rsidRPr="008954A8">
              <w:rPr>
                <w:rFonts w:ascii="Arabic Typesetting" w:hAnsi="Arabic Typesetting" w:cs="Arabic Typesetting" w:hint="cs"/>
                <w:color w:val="000000"/>
                <w:sz w:val="30"/>
                <w:szCs w:val="30"/>
                <w:rtl/>
                <w:lang w:bidi="ar-SA"/>
              </w:rPr>
              <w:br/>
              <w:t xml:space="preserve">رتبة </w:t>
            </w:r>
            <w:r w:rsidRPr="008954A8">
              <w:rPr>
                <w:rFonts w:ascii="Arabic Typesetting" w:hAnsi="Arabic Typesetting" w:cs="Arabic Typesetting"/>
                <w:color w:val="000000"/>
                <w:sz w:val="30"/>
                <w:szCs w:val="30"/>
                <w:lang w:bidi="ar-SA"/>
              </w:rPr>
              <w:t>D2</w:t>
            </w:r>
            <w:r w:rsidRPr="008954A8">
              <w:rPr>
                <w:rFonts w:ascii="Arabic Typesetting" w:hAnsi="Arabic Typesetting" w:cs="Arabic Typesetting" w:hint="cs"/>
                <w:color w:val="000000"/>
                <w:sz w:val="30"/>
                <w:szCs w:val="30"/>
                <w:rtl/>
                <w:lang w:bidi="ar-SA"/>
              </w:rPr>
              <w:t xml:space="preserve"> </w:t>
            </w:r>
            <w:r w:rsidRPr="008954A8">
              <w:rPr>
                <w:rFonts w:ascii="Arabic Typesetting" w:hAnsi="Arabic Typesetting" w:cs="Arabic Typesetting"/>
                <w:color w:val="000000"/>
                <w:sz w:val="30"/>
                <w:szCs w:val="30"/>
                <w:rtl/>
                <w:lang w:bidi="ar-SA"/>
              </w:rPr>
              <w:t>–</w:t>
            </w:r>
            <w:r w:rsidRPr="008954A8">
              <w:rPr>
                <w:rFonts w:ascii="Arabic Typesetting" w:hAnsi="Arabic Typesetting" w:cs="Arabic Typesetting" w:hint="cs"/>
                <w:color w:val="000000"/>
                <w:sz w:val="30"/>
                <w:szCs w:val="30"/>
                <w:rtl/>
                <w:lang w:bidi="ar-SA"/>
              </w:rPr>
              <w:t xml:space="preserve"> </w:t>
            </w:r>
            <w:r>
              <w:rPr>
                <w:rFonts w:ascii="Arabic Typesetting" w:hAnsi="Arabic Typesetting" w:cs="Arabic Typesetting" w:hint="cs"/>
                <w:color w:val="000000"/>
                <w:sz w:val="30"/>
                <w:szCs w:val="30"/>
                <w:rtl/>
                <w:lang w:bidi="ar-SA"/>
              </w:rPr>
              <w:t>30</w:t>
            </w:r>
            <w:r w:rsidRPr="008954A8">
              <w:rPr>
                <w:rFonts w:ascii="Arabic Typesetting" w:hAnsi="Arabic Typesetting" w:cs="Arabic Typesetting" w:hint="cs"/>
                <w:color w:val="000000"/>
                <w:sz w:val="30"/>
                <w:szCs w:val="30"/>
                <w:rtl/>
                <w:lang w:bidi="ar-SA"/>
              </w:rPr>
              <w:t>%</w:t>
            </w:r>
            <w:r>
              <w:rPr>
                <w:rFonts w:ascii="Arabic Typesetting" w:hAnsi="Arabic Typesetting" w:cs="Arabic Typesetting"/>
                <w:color w:val="000000"/>
                <w:sz w:val="30"/>
                <w:szCs w:val="30"/>
                <w:rtl/>
                <w:lang w:bidi="ar-SA"/>
              </w:rPr>
              <w:br/>
            </w:r>
          </w:p>
          <w:p w:rsidR="00C13DC8" w:rsidRPr="00E06346" w:rsidRDefault="00C13DC8" w:rsidP="00DA5475">
            <w:pPr>
              <w:keepNext/>
              <w:keepLines/>
              <w:spacing w:before="60" w:afterLines="60" w:after="144" w:line="300" w:lineRule="exact"/>
              <w:ind w:right="221"/>
              <w:rPr>
                <w:rFonts w:ascii="Arabic Typesetting" w:hAnsi="Arabic Typesetting" w:cs="Arabic Typesetting"/>
                <w:sz w:val="30"/>
                <w:szCs w:val="30"/>
              </w:rPr>
            </w:pPr>
            <w:r>
              <w:rPr>
                <w:rFonts w:ascii="Arabic Typesetting" w:hAnsi="Arabic Typesetting" w:cs="Arabic Typesetting" w:hint="cs"/>
                <w:sz w:val="30"/>
                <w:szCs w:val="30"/>
                <w:rtl/>
                <w:lang w:bidi="ar-SA"/>
              </w:rPr>
              <w:t>19 أسبوعا</w:t>
            </w:r>
          </w:p>
        </w:tc>
      </w:tr>
      <w:tr w:rsidR="00C13DC8" w:rsidRPr="008954A8" w:rsidTr="00DA5475">
        <w:trPr>
          <w:cantSplit/>
          <w:trHeight w:val="685"/>
        </w:trPr>
        <w:tc>
          <w:tcPr>
            <w:tcW w:w="1249"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color w:val="000000"/>
                <w:sz w:val="30"/>
                <w:szCs w:val="30"/>
                <w:rtl/>
              </w:rPr>
              <w:t>النسبة المئوية للموظفين الذين يقي</w:t>
            </w:r>
            <w:r>
              <w:rPr>
                <w:rFonts w:ascii="Arabic Typesetting" w:hAnsi="Arabic Typesetting" w:cs="Arabic Typesetting" w:hint="cs"/>
                <w:color w:val="000000"/>
                <w:sz w:val="30"/>
                <w:szCs w:val="30"/>
                <w:rtl/>
              </w:rPr>
              <w:t>ّ</w:t>
            </w:r>
            <w:r w:rsidRPr="008954A8">
              <w:rPr>
                <w:rFonts w:ascii="Arabic Typesetting" w:hAnsi="Arabic Typesetting" w:cs="Arabic Typesetting"/>
                <w:color w:val="000000"/>
                <w:sz w:val="30"/>
                <w:szCs w:val="30"/>
                <w:rtl/>
              </w:rPr>
              <w:t>م أداؤهم مقارنة مع أهدافهم وكفاءاتهم الفردية</w:t>
            </w:r>
          </w:p>
        </w:tc>
        <w:tc>
          <w:tcPr>
            <w:tcW w:w="1145" w:type="pct"/>
            <w:shd w:val="clear" w:color="auto" w:fill="FFFFFF"/>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82.9% (2014)</w:t>
            </w:r>
          </w:p>
        </w:tc>
        <w:tc>
          <w:tcPr>
            <w:tcW w:w="1144" w:type="pct"/>
            <w:tcMar>
              <w:top w:w="113" w:type="dxa"/>
            </w:tcMar>
          </w:tcPr>
          <w:p w:rsidR="00C13DC8" w:rsidRPr="00E06346" w:rsidRDefault="00C13DC8" w:rsidP="00DA5475">
            <w:pPr>
              <w:keepNext/>
              <w:keepLines/>
              <w:spacing w:before="60" w:afterLines="60" w:after="144" w:line="300" w:lineRule="exact"/>
              <w:ind w:right="221"/>
              <w:rPr>
                <w:rFonts w:ascii="Arabic Typesetting" w:hAnsi="Arabic Typesetting" w:cs="Arabic Typesetting"/>
                <w:b/>
                <w:sz w:val="30"/>
                <w:szCs w:val="30"/>
              </w:rPr>
            </w:pPr>
            <w:r w:rsidRPr="00E06346">
              <w:rPr>
                <w:rFonts w:ascii="Arabic Typesetting" w:hAnsi="Arabic Typesetting" w:cs="Arabic Typesetting" w:hint="cs"/>
                <w:b/>
                <w:sz w:val="30"/>
                <w:szCs w:val="30"/>
                <w:rtl/>
              </w:rPr>
              <w:t>90</w:t>
            </w:r>
            <w:r>
              <w:rPr>
                <w:rFonts w:ascii="Arabic Typesetting" w:hAnsi="Arabic Typesetting" w:cs="Arabic Typesetting" w:hint="cs"/>
                <w:b/>
                <w:sz w:val="30"/>
                <w:szCs w:val="30"/>
                <w:rtl/>
              </w:rPr>
              <w:t>%</w:t>
            </w:r>
          </w:p>
        </w:tc>
      </w:tr>
      <w:tr w:rsidR="00C13DC8" w:rsidRPr="008954A8" w:rsidTr="00DA5475">
        <w:trPr>
          <w:cantSplit/>
          <w:trHeight w:val="606"/>
        </w:trPr>
        <w:tc>
          <w:tcPr>
            <w:tcW w:w="1249"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عدد الأيام المستغرقة من أجل: "1"</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 xml:space="preserve">إخطار الموظفين بالقرارات في </w:t>
            </w:r>
            <w:proofErr w:type="spellStart"/>
            <w:r w:rsidRPr="00E06346">
              <w:rPr>
                <w:rFonts w:ascii="Arabic Typesetting" w:hAnsi="Arabic Typesetting" w:cs="Arabic Typesetting"/>
                <w:sz w:val="30"/>
                <w:szCs w:val="30"/>
                <w:rtl/>
              </w:rPr>
              <w:t>التماس</w:t>
            </w:r>
            <w:r>
              <w:rPr>
                <w:rFonts w:ascii="Arabic Typesetting" w:hAnsi="Arabic Typesetting" w:cs="Arabic Typesetting" w:hint="cs"/>
                <w:sz w:val="30"/>
                <w:szCs w:val="30"/>
                <w:rtl/>
              </w:rPr>
              <w:t>ات</w:t>
            </w:r>
            <w:proofErr w:type="spellEnd"/>
            <w:r w:rsidRPr="00E06346">
              <w:rPr>
                <w:rFonts w:ascii="Arabic Typesetting" w:hAnsi="Arabic Typesetting" w:cs="Arabic Typesetting"/>
                <w:sz w:val="30"/>
                <w:szCs w:val="30"/>
                <w:rtl/>
              </w:rPr>
              <w:t xml:space="preserve"> إعادة النظر</w:t>
            </w:r>
            <w:r>
              <w:rPr>
                <w:rFonts w:ascii="Arabic Typesetting" w:hAnsi="Arabic Typesetting" w:cs="Arabic Typesetting" w:hint="cs"/>
                <w:sz w:val="30"/>
                <w:szCs w:val="30"/>
                <w:rtl/>
              </w:rPr>
              <w:t>/التظلمات، "2"</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وإخطار الموظفين بالقرارات في حالات النقض/الحالات التأديبية، "3"</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 xml:space="preserve">الرد على </w:t>
            </w:r>
            <w:proofErr w:type="spellStart"/>
            <w:r>
              <w:rPr>
                <w:rFonts w:ascii="Arabic Typesetting" w:hAnsi="Arabic Typesetting" w:cs="Arabic Typesetting" w:hint="cs"/>
                <w:sz w:val="30"/>
                <w:szCs w:val="30"/>
                <w:rtl/>
              </w:rPr>
              <w:t>التماسات</w:t>
            </w:r>
            <w:proofErr w:type="spellEnd"/>
            <w:r>
              <w:rPr>
                <w:rFonts w:ascii="Arabic Typesetting" w:hAnsi="Arabic Typesetting" w:cs="Arabic Typesetting" w:hint="cs"/>
                <w:sz w:val="30"/>
                <w:szCs w:val="30"/>
                <w:rtl/>
              </w:rPr>
              <w:t xml:space="preserve"> المشورة</w:t>
            </w:r>
          </w:p>
        </w:tc>
        <w:tc>
          <w:tcPr>
            <w:tcW w:w="1145" w:type="pct"/>
            <w:shd w:val="clear" w:color="auto" w:fill="FFFFFF"/>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غير متوفرة</w:t>
            </w:r>
          </w:p>
        </w:tc>
        <w:tc>
          <w:tcPr>
            <w:tcW w:w="1144" w:type="pct"/>
            <w:tcMar>
              <w:top w:w="113" w:type="dxa"/>
            </w:tcMar>
          </w:tcPr>
          <w:p w:rsidR="00C13DC8" w:rsidRPr="008954A8" w:rsidRDefault="00C13DC8" w:rsidP="00DA5475">
            <w:pPr>
              <w:keepNext/>
              <w:keepLines/>
              <w:spacing w:before="60" w:afterLines="60" w:after="144" w:line="300" w:lineRule="exact"/>
              <w:ind w:right="221"/>
              <w:rPr>
                <w:rFonts w:ascii="Arabic Typesetting" w:hAnsi="Arabic Typesetting" w:cs="Arabic Typesetting"/>
                <w:b/>
                <w:sz w:val="30"/>
                <w:szCs w:val="30"/>
              </w:rPr>
            </w:pPr>
            <w:r>
              <w:rPr>
                <w:rFonts w:ascii="Arabic Typesetting" w:hAnsi="Arabic Typesetting" w:cs="Arabic Typesetting" w:hint="cs"/>
                <w:b/>
                <w:sz w:val="30"/>
                <w:szCs w:val="30"/>
                <w:rtl/>
              </w:rPr>
              <w:t>"1" 60 يوما من موعد استلام التماس إعادة النظر/الرد على التظلم، "2" و30 يوما من موعد استلام النقض/الرد على رسالة الاتهام، "3" و10</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أيام من موعد استلام الالتماس</w:t>
            </w:r>
          </w:p>
        </w:tc>
      </w:tr>
      <w:tr w:rsidR="00C13DC8" w:rsidRPr="008954A8" w:rsidTr="00DA5475">
        <w:trPr>
          <w:cantSplit/>
          <w:trHeight w:val="778"/>
        </w:trPr>
        <w:tc>
          <w:tcPr>
            <w:tcW w:w="1249"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التنوع الجغرافي: النسبة المئوية للموظفين بحسب الإقليم</w:t>
            </w:r>
          </w:p>
        </w:tc>
        <w:tc>
          <w:tcPr>
            <w:tcW w:w="1145" w:type="pct"/>
            <w:shd w:val="clear" w:color="auto" w:fill="FFFFFF"/>
            <w:tcMar>
              <w:top w:w="113" w:type="dxa"/>
            </w:tcMar>
          </w:tcPr>
          <w:p w:rsidR="00C13DC8" w:rsidRPr="00CF6CF1" w:rsidRDefault="00C13DC8" w:rsidP="00DA5475">
            <w:pPr>
              <w:spacing w:before="60" w:line="280" w:lineRule="exact"/>
              <w:rPr>
                <w:rFonts w:ascii="Arabic Typesetting" w:hAnsi="Arabic Typesetting" w:cs="Arabic Typesetting"/>
                <w:color w:val="000000"/>
                <w:sz w:val="30"/>
                <w:szCs w:val="30"/>
                <w:lang w:bidi="ar-SA"/>
              </w:rPr>
            </w:pPr>
            <w:r w:rsidRPr="00F8522C">
              <w:rPr>
                <w:rFonts w:ascii="Arabic Typesetting" w:hAnsi="Arabic Typesetting" w:cs="Arabic Typesetting" w:hint="cs"/>
                <w:color w:val="000000"/>
                <w:sz w:val="30"/>
                <w:szCs w:val="30"/>
                <w:rtl/>
                <w:lang w:bidi="ar-SA"/>
              </w:rPr>
              <w:t xml:space="preserve">أفريقيا </w:t>
            </w:r>
            <w:r w:rsidRPr="00F8522C">
              <w:rPr>
                <w:rFonts w:ascii="Arabic Typesetting" w:hAnsi="Arabic Typesetting" w:cs="Arabic Typesetting"/>
                <w:color w:val="000000"/>
                <w:sz w:val="30"/>
                <w:szCs w:val="30"/>
                <w:rtl/>
                <w:lang w:bidi="ar-SA"/>
              </w:rPr>
              <w:t>–</w:t>
            </w:r>
            <w:r w:rsidRPr="00F8522C">
              <w:rPr>
                <w:rFonts w:ascii="Arabic Typesetting" w:hAnsi="Arabic Typesetting" w:cs="Arabic Typesetting" w:hint="cs"/>
                <w:color w:val="000000"/>
                <w:sz w:val="30"/>
                <w:szCs w:val="30"/>
                <w:rtl/>
                <w:lang w:bidi="ar-SA"/>
              </w:rPr>
              <w:t xml:space="preserve"> 10.8%</w:t>
            </w:r>
            <w:r>
              <w:rPr>
                <w:rFonts w:ascii="Arabic Typesetting" w:hAnsi="Arabic Typesetting" w:cs="Arabic Typesetting"/>
                <w:color w:val="000000"/>
                <w:sz w:val="30"/>
                <w:szCs w:val="30"/>
                <w:rtl/>
                <w:lang w:bidi="ar-SA"/>
              </w:rPr>
              <w:br/>
            </w:r>
            <w:r w:rsidRPr="00CF6CF1">
              <w:rPr>
                <w:rFonts w:ascii="Arabic Typesetting" w:hAnsi="Arabic Typesetting" w:cs="Arabic Typesetting" w:hint="cs"/>
                <w:color w:val="000000"/>
                <w:spacing w:val="-6"/>
                <w:sz w:val="30"/>
                <w:szCs w:val="30"/>
                <w:rtl/>
                <w:lang w:bidi="ar-SA"/>
              </w:rPr>
              <w:t xml:space="preserve">آسيا والمحيط الهادئ </w:t>
            </w:r>
            <w:r w:rsidRPr="00CF6CF1">
              <w:rPr>
                <w:rFonts w:ascii="Arabic Typesetting" w:hAnsi="Arabic Typesetting" w:cs="Arabic Typesetting"/>
                <w:color w:val="000000"/>
                <w:spacing w:val="-6"/>
                <w:sz w:val="30"/>
                <w:szCs w:val="30"/>
                <w:rtl/>
                <w:lang w:bidi="ar-SA"/>
              </w:rPr>
              <w:t>–</w:t>
            </w:r>
            <w:r w:rsidRPr="00CF6CF1">
              <w:rPr>
                <w:rFonts w:ascii="Arabic Typesetting" w:hAnsi="Arabic Typesetting" w:cs="Arabic Typesetting" w:hint="cs"/>
                <w:color w:val="000000"/>
                <w:spacing w:val="-6"/>
                <w:sz w:val="30"/>
                <w:szCs w:val="30"/>
                <w:rtl/>
                <w:lang w:bidi="ar-SA"/>
              </w:rPr>
              <w:t xml:space="preserve"> 13.5%</w:t>
            </w:r>
            <w:r>
              <w:rPr>
                <w:rFonts w:ascii="Arabic Typesetting" w:hAnsi="Arabic Typesetting" w:cs="Arabic Typesetting"/>
                <w:color w:val="000000"/>
                <w:sz w:val="30"/>
                <w:szCs w:val="30"/>
                <w:rtl/>
                <w:lang w:bidi="ar-SA"/>
              </w:rPr>
              <w:br/>
            </w:r>
            <w:r w:rsidRPr="00F8522C">
              <w:rPr>
                <w:rFonts w:ascii="Arabic Typesetting" w:hAnsi="Arabic Typesetting" w:cs="Arabic Typesetting" w:hint="cs"/>
                <w:color w:val="000000"/>
                <w:sz w:val="30"/>
                <w:szCs w:val="30"/>
                <w:rtl/>
                <w:lang w:bidi="ar-SA"/>
              </w:rPr>
              <w:t xml:space="preserve">أوروبا الشرقية والوسطى وآسيا الوسطى </w:t>
            </w:r>
            <w:r w:rsidRPr="00F8522C">
              <w:rPr>
                <w:rFonts w:ascii="Arabic Typesetting" w:hAnsi="Arabic Typesetting" w:cs="Arabic Typesetting"/>
                <w:color w:val="000000"/>
                <w:sz w:val="30"/>
                <w:szCs w:val="30"/>
                <w:rtl/>
                <w:lang w:bidi="ar-SA"/>
              </w:rPr>
              <w:t>–</w:t>
            </w:r>
            <w:r w:rsidRPr="00F8522C">
              <w:rPr>
                <w:rFonts w:ascii="Arabic Typesetting" w:hAnsi="Arabic Typesetting" w:cs="Arabic Typesetting" w:hint="cs"/>
                <w:color w:val="000000"/>
                <w:sz w:val="30"/>
                <w:szCs w:val="30"/>
                <w:rtl/>
                <w:lang w:bidi="ar-SA"/>
              </w:rPr>
              <w:t xml:space="preserve"> 6.7%</w:t>
            </w:r>
            <w:r>
              <w:rPr>
                <w:rFonts w:ascii="Arabic Typesetting" w:hAnsi="Arabic Typesetting" w:cs="Arabic Typesetting"/>
                <w:color w:val="000000"/>
                <w:sz w:val="30"/>
                <w:szCs w:val="30"/>
                <w:rtl/>
                <w:lang w:bidi="ar-SA"/>
              </w:rPr>
              <w:br/>
            </w:r>
            <w:r w:rsidRPr="00CF6CF1">
              <w:rPr>
                <w:rFonts w:ascii="Arabic Typesetting" w:hAnsi="Arabic Typesetting" w:cs="Arabic Typesetting" w:hint="cs"/>
                <w:color w:val="000000"/>
                <w:spacing w:val="-10"/>
                <w:sz w:val="30"/>
                <w:szCs w:val="30"/>
                <w:rtl/>
                <w:lang w:bidi="ar-SA"/>
              </w:rPr>
              <w:t xml:space="preserve">أمريكا اللاتينية والكاريبي </w:t>
            </w:r>
            <w:r w:rsidRPr="00CF6CF1">
              <w:rPr>
                <w:rFonts w:ascii="Arabic Typesetting" w:hAnsi="Arabic Typesetting" w:cs="Arabic Typesetting"/>
                <w:color w:val="000000"/>
                <w:spacing w:val="-10"/>
                <w:sz w:val="30"/>
                <w:szCs w:val="30"/>
                <w:rtl/>
                <w:lang w:bidi="ar-SA"/>
              </w:rPr>
              <w:t>–</w:t>
            </w:r>
            <w:r w:rsidRPr="00CF6CF1">
              <w:rPr>
                <w:rFonts w:ascii="Arabic Typesetting" w:hAnsi="Arabic Typesetting" w:cs="Arabic Typesetting" w:hint="cs"/>
                <w:color w:val="000000"/>
                <w:spacing w:val="-10"/>
                <w:sz w:val="30"/>
                <w:szCs w:val="30"/>
                <w:rtl/>
                <w:lang w:bidi="ar-SA"/>
              </w:rPr>
              <w:t xml:space="preserve"> 8.2%</w:t>
            </w:r>
            <w:r>
              <w:rPr>
                <w:rFonts w:ascii="Arabic Typesetting" w:hAnsi="Arabic Typesetting" w:cs="Arabic Typesetting"/>
                <w:color w:val="000000"/>
                <w:sz w:val="30"/>
                <w:szCs w:val="30"/>
                <w:rtl/>
                <w:lang w:bidi="ar-SA"/>
              </w:rPr>
              <w:br/>
            </w:r>
            <w:r w:rsidRPr="00F8522C">
              <w:rPr>
                <w:rFonts w:ascii="Arabic Typesetting" w:hAnsi="Arabic Typesetting" w:cs="Arabic Typesetting" w:hint="cs"/>
                <w:color w:val="000000"/>
                <w:sz w:val="30"/>
                <w:szCs w:val="30"/>
                <w:rtl/>
                <w:lang w:bidi="ar-SA"/>
              </w:rPr>
              <w:t xml:space="preserve">الشرق الأوسط </w:t>
            </w:r>
            <w:r w:rsidRPr="00F8522C">
              <w:rPr>
                <w:rFonts w:ascii="Arabic Typesetting" w:hAnsi="Arabic Typesetting" w:cs="Arabic Typesetting"/>
                <w:color w:val="000000"/>
                <w:sz w:val="30"/>
                <w:szCs w:val="30"/>
                <w:rtl/>
                <w:lang w:bidi="ar-SA"/>
              </w:rPr>
              <w:t>–</w:t>
            </w:r>
            <w:r w:rsidRPr="00F8522C">
              <w:rPr>
                <w:rFonts w:ascii="Arabic Typesetting" w:hAnsi="Arabic Typesetting" w:cs="Arabic Typesetting" w:hint="cs"/>
                <w:color w:val="000000"/>
                <w:sz w:val="30"/>
                <w:szCs w:val="30"/>
                <w:rtl/>
                <w:lang w:bidi="ar-SA"/>
              </w:rPr>
              <w:t xml:space="preserve"> 1.2%</w:t>
            </w:r>
            <w:r>
              <w:rPr>
                <w:rFonts w:ascii="Arabic Typesetting" w:hAnsi="Arabic Typesetting" w:cs="Arabic Typesetting"/>
                <w:color w:val="000000"/>
                <w:sz w:val="30"/>
                <w:szCs w:val="30"/>
                <w:rtl/>
                <w:lang w:bidi="ar-SA"/>
              </w:rPr>
              <w:br/>
            </w:r>
            <w:r w:rsidRPr="00F8522C">
              <w:rPr>
                <w:rFonts w:ascii="Arabic Typesetting" w:hAnsi="Arabic Typesetting" w:cs="Arabic Typesetting" w:hint="cs"/>
                <w:color w:val="000000"/>
                <w:sz w:val="30"/>
                <w:szCs w:val="30"/>
                <w:rtl/>
                <w:lang w:bidi="ar-SA"/>
              </w:rPr>
              <w:t xml:space="preserve">أمريكا الشمالية </w:t>
            </w:r>
            <w:r w:rsidRPr="00F8522C">
              <w:rPr>
                <w:rFonts w:ascii="Arabic Typesetting" w:hAnsi="Arabic Typesetting" w:cs="Arabic Typesetting"/>
                <w:color w:val="000000"/>
                <w:sz w:val="30"/>
                <w:szCs w:val="30"/>
                <w:rtl/>
                <w:lang w:bidi="ar-SA"/>
              </w:rPr>
              <w:t>–</w:t>
            </w:r>
            <w:r w:rsidRPr="00F8522C">
              <w:rPr>
                <w:rFonts w:ascii="Arabic Typesetting" w:hAnsi="Arabic Typesetting" w:cs="Arabic Typesetting" w:hint="cs"/>
                <w:color w:val="000000"/>
                <w:sz w:val="30"/>
                <w:szCs w:val="30"/>
                <w:rtl/>
                <w:lang w:bidi="ar-SA"/>
              </w:rPr>
              <w:t xml:space="preserve"> 8.4%</w:t>
            </w:r>
            <w:r>
              <w:rPr>
                <w:rFonts w:ascii="Arabic Typesetting" w:hAnsi="Arabic Typesetting" w:cs="Arabic Typesetting"/>
                <w:color w:val="000000"/>
                <w:sz w:val="30"/>
                <w:szCs w:val="30"/>
                <w:rtl/>
                <w:lang w:bidi="ar-SA"/>
              </w:rPr>
              <w:br/>
            </w:r>
            <w:r w:rsidRPr="00F8522C">
              <w:rPr>
                <w:rFonts w:ascii="Arabic Typesetting" w:hAnsi="Arabic Typesetting" w:cs="Arabic Typesetting" w:hint="cs"/>
                <w:color w:val="000000"/>
                <w:sz w:val="30"/>
                <w:szCs w:val="30"/>
                <w:rtl/>
                <w:lang w:bidi="ar-SA"/>
              </w:rPr>
              <w:t>أوروبا الغربية 51.2% (ديسمبر 2014)</w:t>
            </w:r>
          </w:p>
        </w:tc>
        <w:tc>
          <w:tcPr>
            <w:tcW w:w="1144" w:type="pct"/>
            <w:tcMar>
              <w:top w:w="113" w:type="dxa"/>
            </w:tcMar>
          </w:tcPr>
          <w:p w:rsidR="00C13DC8" w:rsidRPr="00B43714" w:rsidRDefault="00C13DC8" w:rsidP="00DA5475">
            <w:pPr>
              <w:keepNext/>
              <w:keepLines/>
              <w:spacing w:before="60" w:afterLines="60" w:after="144" w:line="300" w:lineRule="exact"/>
              <w:ind w:right="221"/>
              <w:rPr>
                <w:rFonts w:ascii="Arabic Typesetting" w:hAnsi="Arabic Typesetting" w:cs="Arabic Typesetting"/>
                <w:sz w:val="30"/>
                <w:szCs w:val="30"/>
              </w:rPr>
            </w:pPr>
            <w:r w:rsidRPr="00B43714">
              <w:rPr>
                <w:rFonts w:ascii="Arabic Typesetting" w:hAnsi="Arabic Typesetting" w:cs="Arabic Typesetting" w:hint="cs"/>
                <w:sz w:val="30"/>
                <w:szCs w:val="30"/>
                <w:rtl/>
              </w:rPr>
              <w:t xml:space="preserve">تستلزم سياسة الويبو للتوزيع الجغرافي </w:t>
            </w:r>
            <w:r>
              <w:rPr>
                <w:rFonts w:ascii="Arabic Typesetting" w:hAnsi="Arabic Typesetting" w:cs="Arabic Typesetting" w:hint="cs"/>
                <w:sz w:val="30"/>
                <w:szCs w:val="30"/>
                <w:rtl/>
              </w:rPr>
              <w:t>أن تنظر فيها</w:t>
            </w:r>
            <w:r w:rsidRPr="00B43714">
              <w:rPr>
                <w:rFonts w:ascii="Arabic Typesetting" w:hAnsi="Arabic Typesetting" w:cs="Arabic Typesetting" w:hint="cs"/>
                <w:sz w:val="30"/>
                <w:szCs w:val="30"/>
                <w:rtl/>
              </w:rPr>
              <w:t xml:space="preserve"> الدول الأعضاء</w:t>
            </w:r>
          </w:p>
        </w:tc>
      </w:tr>
      <w:tr w:rsidR="00C13DC8" w:rsidRPr="008954A8" w:rsidTr="00DA5475">
        <w:trPr>
          <w:cantSplit/>
          <w:trHeight w:val="1512"/>
        </w:trPr>
        <w:tc>
          <w:tcPr>
            <w:tcW w:w="1249"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عدد الطلبات المستلمة من الدول الأعضاء غير الممثلة كنسبة مئوية من الإجمالي</w:t>
            </w:r>
          </w:p>
        </w:tc>
        <w:tc>
          <w:tcPr>
            <w:tcW w:w="1145" w:type="pct"/>
            <w:shd w:val="clear" w:color="auto" w:fill="FFFFFF"/>
            <w:tcMar>
              <w:top w:w="113" w:type="dxa"/>
            </w:tcMar>
          </w:tcPr>
          <w:p w:rsidR="00C13DC8" w:rsidRPr="00F8522C" w:rsidRDefault="00C13DC8" w:rsidP="00DA5475">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تحدد في نهاية 2015</w:t>
            </w:r>
          </w:p>
        </w:tc>
        <w:tc>
          <w:tcPr>
            <w:tcW w:w="1144" w:type="pct"/>
            <w:tcMar>
              <w:top w:w="113" w:type="dxa"/>
            </w:tcMar>
          </w:tcPr>
          <w:p w:rsidR="00C13DC8" w:rsidRPr="008954A8" w:rsidRDefault="00C13DC8" w:rsidP="00DA5475">
            <w:pPr>
              <w:keepNext/>
              <w:keepLines/>
              <w:spacing w:before="60" w:afterLines="60" w:after="144" w:line="300" w:lineRule="exact"/>
              <w:ind w:right="221"/>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تحدد في نهاية 2015 (استنادا إلى نسبة الزيادة بين عامي 2014 و2015)</w:t>
            </w:r>
          </w:p>
        </w:tc>
      </w:tr>
      <w:tr w:rsidR="00C13DC8" w:rsidRPr="008954A8" w:rsidTr="00DA5475">
        <w:trPr>
          <w:cantSplit/>
          <w:trHeight w:val="1512"/>
        </w:trPr>
        <w:tc>
          <w:tcPr>
            <w:tcW w:w="1249"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C13DC8" w:rsidRPr="008954A8" w:rsidRDefault="00C13DC8" w:rsidP="00DA5475">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تعزيز نضج التخطيط للموارد البشرية</w:t>
            </w:r>
          </w:p>
        </w:tc>
        <w:tc>
          <w:tcPr>
            <w:tcW w:w="1145" w:type="pct"/>
            <w:shd w:val="clear" w:color="auto" w:fill="FFFFFF"/>
            <w:tcMar>
              <w:top w:w="113" w:type="dxa"/>
            </w:tcMar>
          </w:tcPr>
          <w:p w:rsidR="00C13DC8" w:rsidRPr="008954A8" w:rsidRDefault="00C13DC8" w:rsidP="00DA5475">
            <w:pPr>
              <w:spacing w:before="60" w:afterLines="60" w:after="144"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تحدد لاحقا</w:t>
            </w:r>
          </w:p>
        </w:tc>
        <w:tc>
          <w:tcPr>
            <w:tcW w:w="1144" w:type="pct"/>
            <w:tcMar>
              <w:top w:w="113" w:type="dxa"/>
            </w:tcMar>
          </w:tcPr>
          <w:p w:rsidR="00C13DC8" w:rsidRPr="008954A8" w:rsidRDefault="00C13DC8" w:rsidP="00DA5475">
            <w:pPr>
              <w:keepNext/>
              <w:keepLines/>
              <w:spacing w:before="60" w:afterLines="60" w:after="144" w:line="300" w:lineRule="exact"/>
              <w:ind w:right="221"/>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تحدد لاحقا</w:t>
            </w:r>
          </w:p>
        </w:tc>
      </w:tr>
      <w:tr w:rsidR="00C13DC8" w:rsidRPr="008954A8" w:rsidTr="00DA5475">
        <w:trPr>
          <w:cantSplit/>
          <w:trHeight w:val="1512"/>
        </w:trPr>
        <w:tc>
          <w:tcPr>
            <w:tcW w:w="1249" w:type="pct"/>
            <w:tcBorders>
              <w:bottom w:val="single" w:sz="4" w:space="0" w:color="auto"/>
            </w:tcBorders>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p>
        </w:tc>
        <w:tc>
          <w:tcPr>
            <w:tcW w:w="1462" w:type="pct"/>
            <w:tcBorders>
              <w:bottom w:val="single" w:sz="4" w:space="0" w:color="auto"/>
            </w:tcBorders>
            <w:tcMar>
              <w:top w:w="113" w:type="dxa"/>
            </w:tcMar>
          </w:tcPr>
          <w:p w:rsidR="00C13DC8" w:rsidRPr="008954A8" w:rsidRDefault="00C13DC8" w:rsidP="00DA5475">
            <w:pPr>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color w:val="000000"/>
                <w:sz w:val="30"/>
                <w:szCs w:val="30"/>
                <w:rtl/>
              </w:rPr>
              <w:t>النسبة المئوية لما استوفي من احتياجات</w:t>
            </w:r>
            <w:r>
              <w:rPr>
                <w:rFonts w:ascii="Arabic Typesetting" w:hAnsi="Arabic Typesetting" w:cs="Arabic Typesetting" w:hint="cs"/>
                <w:color w:val="000000"/>
                <w:sz w:val="30"/>
                <w:szCs w:val="30"/>
                <w:rtl/>
              </w:rPr>
              <w:t xml:space="preserve"> ومنها: "1"احتياجات</w:t>
            </w:r>
            <w:r w:rsidRPr="008954A8">
              <w:rPr>
                <w:rFonts w:ascii="Arabic Typesetting" w:hAnsi="Arabic Typesetting" w:cs="Arabic Typesetting"/>
                <w:color w:val="000000"/>
                <w:sz w:val="30"/>
                <w:szCs w:val="30"/>
                <w:rtl/>
              </w:rPr>
              <w:t xml:space="preserve"> التدريب الجماعية الهامة</w:t>
            </w:r>
            <w:r>
              <w:rPr>
                <w:rFonts w:ascii="Arabic Typesetting" w:hAnsi="Arabic Typesetting" w:cs="Arabic Typesetting" w:hint="cs"/>
                <w:color w:val="000000"/>
                <w:sz w:val="30"/>
                <w:szCs w:val="30"/>
                <w:rtl/>
              </w:rPr>
              <w:t>، "2" واحتياجات التدريب الفردية</w:t>
            </w:r>
          </w:p>
        </w:tc>
        <w:tc>
          <w:tcPr>
            <w:tcW w:w="1145" w:type="pct"/>
            <w:tcBorders>
              <w:bottom w:val="single" w:sz="4" w:space="0" w:color="auto"/>
            </w:tcBorders>
            <w:shd w:val="clear" w:color="auto" w:fill="FFFFFF"/>
            <w:tcMar>
              <w:top w:w="113" w:type="dxa"/>
            </w:tcMar>
          </w:tcPr>
          <w:p w:rsidR="00C13DC8" w:rsidRPr="008954A8" w:rsidRDefault="00C13DC8" w:rsidP="00DA5475">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تحدد في نهاية 2015</w:t>
            </w:r>
          </w:p>
        </w:tc>
        <w:tc>
          <w:tcPr>
            <w:tcW w:w="1144" w:type="pct"/>
            <w:tcBorders>
              <w:bottom w:val="single" w:sz="4" w:space="0" w:color="auto"/>
            </w:tcBorders>
            <w:tcMar>
              <w:top w:w="113" w:type="dxa"/>
            </w:tcMar>
          </w:tcPr>
          <w:p w:rsidR="00C13DC8" w:rsidRDefault="00C13DC8" w:rsidP="00DA5475">
            <w:pPr>
              <w:keepNext/>
              <w:keepLines/>
              <w:spacing w:before="60" w:afterLines="60" w:after="144" w:line="300" w:lineRule="exact"/>
              <w:ind w:right="221"/>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"1" 60% من احتياجات التدريب مستوفاة ببرنامج تدريب</w:t>
            </w:r>
          </w:p>
          <w:p w:rsidR="00C13DC8" w:rsidRPr="008954A8" w:rsidRDefault="00C13DC8" w:rsidP="00DA5475">
            <w:pPr>
              <w:keepNext/>
              <w:keepLines/>
              <w:spacing w:before="60" w:afterLines="60" w:after="144" w:line="300" w:lineRule="exact"/>
              <w:ind w:right="221"/>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"2" 55% من احتياجات التدريب الفردية مستوفاة</w:t>
            </w:r>
          </w:p>
        </w:tc>
      </w:tr>
    </w:tbl>
    <w:p w:rsidR="00C13DC8" w:rsidRPr="008954A8" w:rsidRDefault="00C13DC8" w:rsidP="00DA5475">
      <w:pPr>
        <w:pStyle w:val="ARNormal"/>
        <w:rPr>
          <w:iCs/>
        </w:rPr>
      </w:pPr>
    </w:p>
    <w:p w:rsidR="00C13DC8" w:rsidRPr="008954A8" w:rsidRDefault="00C13DC8" w:rsidP="00DA5475">
      <w:pPr>
        <w:pStyle w:val="ARProgramHeading2"/>
        <w:spacing w:before="0"/>
      </w:pPr>
      <w:r w:rsidRPr="008954A8">
        <w:rPr>
          <w:noProof/>
          <w:rtl/>
        </w:rPr>
        <w:t xml:space="preserve">الموارد المخصصة للبرنامج </w:t>
      </w:r>
      <w:r w:rsidRPr="008954A8">
        <w:rPr>
          <w:rtl/>
        </w:rPr>
        <w:t>23</w:t>
      </w:r>
    </w:p>
    <w:p w:rsidR="00C13DC8" w:rsidRPr="008954A8" w:rsidRDefault="00C13DC8" w:rsidP="00861CFF">
      <w:pPr>
        <w:pStyle w:val="ONUME"/>
        <w:numPr>
          <w:ilvl w:val="0"/>
          <w:numId w:val="38"/>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لا تزال الموارد الإجمالية المخصصة للبرنامج في ميزانية الثنائية 2016/17 ثابتة مقارنة بميزانية الثنائية 2014/15 بعد التحويلات. وتعوض الانخفاض في الموارد المخصصة للتدريب، التي تحسب الآن في الميزانية على مستوى البرنامج مباشرة، الموارد الإضافية المرتقبة من أجل (أ) الأنشطة المتعلقة بالتنوع الجغرافي والتوازن بين الجنسين، (ب) و</w:t>
      </w:r>
      <w:r>
        <w:rPr>
          <w:rFonts w:ascii="Arabic Typesetting" w:hAnsi="Arabic Typesetting" w:cs="Arabic Typesetting"/>
          <w:sz w:val="34"/>
          <w:szCs w:val="34"/>
          <w:rtl/>
        </w:rPr>
        <w:t>برنامج الويبو للمكافآت والتقدير</w:t>
      </w:r>
      <w:r>
        <w:rPr>
          <w:rFonts w:ascii="Arabic Typesetting" w:hAnsi="Arabic Typesetting" w:cs="Arabic Typesetting" w:hint="cs"/>
          <w:sz w:val="34"/>
          <w:szCs w:val="34"/>
          <w:rtl/>
        </w:rPr>
        <w:t>، (ج)</w:t>
      </w:r>
      <w:r>
        <w:rPr>
          <w:rFonts w:ascii="Arabic Typesetting" w:hAnsi="Arabic Typesetting" w:cs="Arabic Typesetting" w:hint="eastAsia"/>
          <w:sz w:val="34"/>
          <w:szCs w:val="34"/>
          <w:rtl/>
        </w:rPr>
        <w:t> </w:t>
      </w:r>
      <w:r>
        <w:rPr>
          <w:rFonts w:ascii="Arabic Typesetting" w:hAnsi="Arabic Typesetting" w:cs="Arabic Typesetting" w:hint="cs"/>
          <w:sz w:val="34"/>
          <w:szCs w:val="34"/>
          <w:rtl/>
        </w:rPr>
        <w:t>والإسهامات في التكاليف المشتركة في إطار منظومة الأمم المتحدة برمتها.</w:t>
      </w:r>
    </w:p>
    <w:p w:rsidR="00C13DC8" w:rsidRDefault="00C13DC8" w:rsidP="00861CFF">
      <w:pPr>
        <w:pStyle w:val="ONUME"/>
        <w:numPr>
          <w:ilvl w:val="0"/>
          <w:numId w:val="38"/>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وتبيّن الزيادة الملاحظة في عدد المناصب بين الميزانية المقترحة للثنائية 2016/17 والميزانية المعتمدة للثنائية 2014/15 تثبيت الموظفين المؤقتين خلال الثنائية.</w:t>
      </w:r>
    </w:p>
    <w:p w:rsidR="00C13DC8" w:rsidRPr="008954A8" w:rsidRDefault="00C13DC8" w:rsidP="00DA5475">
      <w:pPr>
        <w:pStyle w:val="ARNormal"/>
        <w:keepNext/>
        <w:spacing w:after="0"/>
        <w:jc w:val="center"/>
        <w:rPr>
          <w:b/>
          <w:bCs/>
          <w:rtl/>
        </w:rPr>
      </w:pPr>
      <w:r w:rsidRPr="008954A8">
        <w:rPr>
          <w:rFonts w:hint="cs"/>
          <w:b/>
          <w:bCs/>
          <w:rtl/>
        </w:rPr>
        <w:t>البرنامج 23: الموارد بحسب كل نتيجة</w:t>
      </w:r>
    </w:p>
    <w:p w:rsidR="00C13DC8" w:rsidRPr="008954A8" w:rsidRDefault="00C13DC8" w:rsidP="00DA5475">
      <w:pPr>
        <w:pStyle w:val="ARNormal"/>
        <w:spacing w:after="0"/>
        <w:jc w:val="center"/>
        <w:rPr>
          <w:i/>
          <w:iCs/>
        </w:rPr>
      </w:pPr>
      <w:r w:rsidRPr="008954A8">
        <w:rPr>
          <w:rFonts w:hint="cs"/>
          <w:i/>
          <w:iCs/>
          <w:rtl/>
        </w:rPr>
        <w:t>(بآلاف الفرنكات السويسرية)</w:t>
      </w:r>
    </w:p>
    <w:p w:rsidR="00C13DC8" w:rsidRPr="008954A8" w:rsidRDefault="00C13DC8" w:rsidP="00C13DC8">
      <w:pPr>
        <w:pStyle w:val="ONUME"/>
        <w:numPr>
          <w:ilvl w:val="0"/>
          <w:numId w:val="0"/>
        </w:numPr>
        <w:spacing w:after="120"/>
        <w:jc w:val="center"/>
        <w:rPr>
          <w:rFonts w:ascii="Arabic Typesetting" w:hAnsi="Arabic Typesetting" w:cs="Arabic Typesetting"/>
          <w:sz w:val="34"/>
          <w:szCs w:val="34"/>
        </w:rPr>
      </w:pPr>
      <w:r w:rsidRPr="00C13DC8">
        <w:rPr>
          <w:noProof/>
          <w:szCs w:val="20"/>
          <w:rtl/>
          <w:lang w:bidi="ar-SA"/>
        </w:rPr>
        <w:drawing>
          <wp:inline distT="0" distB="0" distL="0" distR="0" wp14:anchorId="58050A0D" wp14:editId="545F6B0A">
            <wp:extent cx="5676900" cy="1819275"/>
            <wp:effectExtent l="0" t="0" r="0"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676900" cy="1819275"/>
                    </a:xfrm>
                    <a:prstGeom prst="rect">
                      <a:avLst/>
                    </a:prstGeom>
                    <a:noFill/>
                    <a:ln>
                      <a:noFill/>
                    </a:ln>
                  </pic:spPr>
                </pic:pic>
              </a:graphicData>
            </a:graphic>
          </wp:inline>
        </w:drawing>
      </w:r>
    </w:p>
    <w:p w:rsidR="00C13DC8" w:rsidRPr="008954A8" w:rsidRDefault="00C13DC8" w:rsidP="00DA5475">
      <w:pPr>
        <w:bidi w:val="0"/>
        <w:rPr>
          <w:rFonts w:ascii="Arabic Typesetting" w:hAnsi="Arabic Typesetting" w:cs="Arabic Typesetting"/>
          <w:sz w:val="30"/>
          <w:szCs w:val="30"/>
          <w:rtl/>
          <w:lang w:val="fr-CH" w:bidi="ar-SA"/>
        </w:rPr>
      </w:pPr>
      <w:r w:rsidRPr="008954A8">
        <w:rPr>
          <w:sz w:val="30"/>
          <w:szCs w:val="30"/>
          <w:rtl/>
        </w:rPr>
        <w:br w:type="page"/>
      </w:r>
    </w:p>
    <w:p w:rsidR="00C13DC8" w:rsidRPr="008954A8" w:rsidRDefault="00C13DC8" w:rsidP="00DA5475">
      <w:pPr>
        <w:pStyle w:val="ARNormal"/>
        <w:keepNext/>
        <w:spacing w:after="0"/>
        <w:jc w:val="center"/>
        <w:rPr>
          <w:b/>
          <w:bCs/>
          <w:rtl/>
        </w:rPr>
      </w:pPr>
      <w:r w:rsidRPr="008954A8">
        <w:rPr>
          <w:rFonts w:hint="cs"/>
          <w:b/>
          <w:bCs/>
          <w:rtl/>
        </w:rPr>
        <w:lastRenderedPageBreak/>
        <w:t>البرنامج 23: الموارد بحسب غرض الإنفاق</w:t>
      </w:r>
    </w:p>
    <w:p w:rsidR="00C13DC8" w:rsidRPr="008954A8" w:rsidRDefault="00C13DC8" w:rsidP="00DA5475">
      <w:pPr>
        <w:pStyle w:val="ARNormal"/>
        <w:spacing w:after="0"/>
        <w:jc w:val="center"/>
        <w:rPr>
          <w:i/>
          <w:iCs/>
        </w:rPr>
      </w:pPr>
      <w:r w:rsidRPr="008954A8">
        <w:rPr>
          <w:rFonts w:hint="cs"/>
          <w:i/>
          <w:iCs/>
          <w:rtl/>
        </w:rPr>
        <w:t>(بآلاف الفرنكات السويسرية)</w:t>
      </w:r>
    </w:p>
    <w:p w:rsidR="00C13DC8" w:rsidRPr="00A67728" w:rsidRDefault="00C13DC8" w:rsidP="00C13DC8">
      <w:pPr>
        <w:pStyle w:val="ARNormal"/>
        <w:spacing w:line="240" w:lineRule="auto"/>
        <w:jc w:val="center"/>
        <w:rPr>
          <w:rtl/>
        </w:rPr>
      </w:pPr>
      <w:r w:rsidRPr="00C13DC8">
        <w:rPr>
          <w:noProof/>
          <w:rtl/>
          <w:lang w:val="en-US"/>
        </w:rPr>
        <w:drawing>
          <wp:inline distT="0" distB="0" distL="0" distR="0" wp14:anchorId="6B9A4D86" wp14:editId="199D074A">
            <wp:extent cx="5514975" cy="6353175"/>
            <wp:effectExtent l="0" t="0" r="9525"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C13DC8" w:rsidRDefault="00C13DC8">
      <w:pPr>
        <w:bidi w:val="0"/>
        <w:rPr>
          <w:rFonts w:ascii="Arabic Typesetting" w:hAnsi="Arabic Typesetting" w:cs="Arabic Typesetting"/>
          <w:sz w:val="34"/>
          <w:szCs w:val="34"/>
          <w:rtl/>
          <w:lang w:val="fr-CH" w:bidi="ar-SA"/>
        </w:rPr>
      </w:pPr>
      <w:r>
        <w:rPr>
          <w:rtl/>
        </w:rPr>
        <w:br w:type="page"/>
      </w:r>
    </w:p>
    <w:p w:rsidR="006D6669" w:rsidRPr="008954A8" w:rsidRDefault="006D6669"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bookmarkStart w:id="115" w:name="_Toc364355412"/>
      <w:bookmarkStart w:id="116" w:name="_Toc420595532"/>
      <w:r w:rsidRPr="008954A8">
        <w:rPr>
          <w:rFonts w:ascii="Arabic Typesetting" w:hAnsi="Arabic Typesetting" w:cs="Arabic Typesetting"/>
          <w:bCs/>
          <w:iCs w:val="0"/>
          <w:noProof/>
          <w:snapToGrid/>
          <w:sz w:val="42"/>
          <w:szCs w:val="42"/>
          <w:rtl/>
          <w:lang w:bidi="ar-EG"/>
        </w:rPr>
        <w:lastRenderedPageBreak/>
        <w:t>البرنامج 24</w:t>
      </w:r>
      <w:r w:rsidRPr="008954A8">
        <w:rPr>
          <w:rFonts w:ascii="Arabic Typesetting" w:hAnsi="Arabic Typesetting" w:cs="Arabic Typesetting"/>
          <w:bCs/>
          <w:iCs w:val="0"/>
          <w:noProof/>
          <w:snapToGrid/>
          <w:sz w:val="42"/>
          <w:szCs w:val="42"/>
          <w:lang w:bidi="ar-EG"/>
        </w:rPr>
        <w:tab/>
      </w:r>
      <w:r w:rsidRPr="008954A8">
        <w:rPr>
          <w:rFonts w:ascii="Arabic Typesetting" w:hAnsi="Arabic Typesetting" w:cs="Arabic Typesetting"/>
          <w:bCs/>
          <w:iCs w:val="0"/>
          <w:noProof/>
          <w:snapToGrid/>
          <w:sz w:val="42"/>
          <w:szCs w:val="42"/>
          <w:rtl/>
          <w:lang w:bidi="ar-EG"/>
        </w:rPr>
        <w:t>خدمات الدعم العامة</w:t>
      </w:r>
      <w:bookmarkEnd w:id="115"/>
      <w:bookmarkEnd w:id="116"/>
    </w:p>
    <w:p w:rsidR="006D6669" w:rsidRPr="008954A8"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6D6669" w:rsidRPr="008954A8" w:rsidRDefault="006D6669" w:rsidP="00861CFF">
      <w:pPr>
        <w:numPr>
          <w:ilvl w:val="0"/>
          <w:numId w:val="39"/>
        </w:numPr>
        <w:spacing w:after="120" w:line="340" w:lineRule="exact"/>
        <w:rPr>
          <w:rFonts w:ascii="Arabic Typesetting" w:hAnsi="Arabic Typesetting" w:cs="Arabic Typesetting"/>
          <w:b/>
          <w:sz w:val="34"/>
          <w:szCs w:val="34"/>
        </w:rPr>
      </w:pPr>
      <w:r w:rsidRPr="00204E5A">
        <w:rPr>
          <w:rFonts w:ascii="Arabic Typesetting" w:hAnsi="Arabic Typesetting" w:cs="Arabic Typesetting"/>
          <w:b/>
          <w:sz w:val="34"/>
          <w:szCs w:val="34"/>
          <w:rtl/>
        </w:rPr>
        <w:t xml:space="preserve">تمثل السلع والخدمات </w:t>
      </w:r>
      <w:proofErr w:type="spellStart"/>
      <w:r w:rsidRPr="00204E5A">
        <w:rPr>
          <w:rFonts w:ascii="Arabic Typesetting" w:hAnsi="Arabic Typesetting" w:cs="Arabic Typesetting"/>
          <w:b/>
          <w:sz w:val="34"/>
          <w:szCs w:val="34"/>
          <w:rtl/>
        </w:rPr>
        <w:t>المشتراة</w:t>
      </w:r>
      <w:proofErr w:type="spellEnd"/>
      <w:r w:rsidRPr="00204E5A">
        <w:rPr>
          <w:rFonts w:ascii="Arabic Typesetting" w:hAnsi="Arabic Typesetting" w:cs="Arabic Typesetting"/>
          <w:b/>
          <w:sz w:val="34"/>
          <w:szCs w:val="34"/>
          <w:rtl/>
        </w:rPr>
        <w:t xml:space="preserve"> وكذلك السفر بعض أهم </w:t>
      </w:r>
      <w:r w:rsidRPr="00C86162">
        <w:rPr>
          <w:rFonts w:ascii="Arabic Typesetting" w:hAnsi="Arabic Typesetting" w:cs="Arabic Typesetting"/>
          <w:b/>
          <w:sz w:val="34"/>
          <w:szCs w:val="34"/>
          <w:rtl/>
        </w:rPr>
        <w:t>التكاليف غير المتعلقة بالموظفين</w:t>
      </w:r>
      <w:r w:rsidRPr="00204E5A">
        <w:rPr>
          <w:rFonts w:ascii="Arabic Typesetting" w:hAnsi="Arabic Typesetting" w:cs="Arabic Typesetting"/>
          <w:b/>
          <w:sz w:val="34"/>
          <w:szCs w:val="34"/>
          <w:rtl/>
        </w:rPr>
        <w:t xml:space="preserve"> في المنظمة، ولذلك فإنها من المجالات التي قد توفر للمنظمة فرصاً كبيرةً لزيادة الكفاءة والتوفير في التكاليف. وقد استُحدثت تدابيرٌ متعددةٌ في الثنائيتين الحالية والسابقة </w:t>
      </w:r>
      <w:r>
        <w:rPr>
          <w:rFonts w:ascii="Arabic Typesetting" w:hAnsi="Arabic Typesetting" w:cs="Arabic Typesetting" w:hint="cs"/>
          <w:b/>
          <w:sz w:val="34"/>
          <w:szCs w:val="34"/>
          <w:rtl/>
        </w:rPr>
        <w:t>للترشيد الأمثل</w:t>
      </w:r>
      <w:r w:rsidRPr="00204E5A">
        <w:rPr>
          <w:rFonts w:ascii="Arabic Typesetting" w:hAnsi="Arabic Typesetting" w:cs="Arabic Typesetting"/>
          <w:b/>
          <w:sz w:val="34"/>
          <w:szCs w:val="34"/>
          <w:rtl/>
        </w:rPr>
        <w:t xml:space="preserve"> </w:t>
      </w:r>
      <w:r>
        <w:rPr>
          <w:rFonts w:ascii="Arabic Typesetting" w:hAnsi="Arabic Typesetting" w:cs="Arabic Typesetting" w:hint="cs"/>
          <w:b/>
          <w:sz w:val="34"/>
          <w:szCs w:val="34"/>
          <w:rtl/>
        </w:rPr>
        <w:t>ل</w:t>
      </w:r>
      <w:r w:rsidRPr="00204E5A">
        <w:rPr>
          <w:rFonts w:ascii="Arabic Typesetting" w:hAnsi="Arabic Typesetting" w:cs="Arabic Typesetting"/>
          <w:b/>
          <w:sz w:val="34"/>
          <w:szCs w:val="34"/>
          <w:rtl/>
        </w:rPr>
        <w:t>كُلٍّ من تكاليف المشتريات وتكاليف السفر من خلال تطبيق أدوات جديدة</w:t>
      </w:r>
      <w:r>
        <w:rPr>
          <w:rFonts w:ascii="Arabic Typesetting" w:hAnsi="Arabic Typesetting" w:cs="Arabic Typesetting" w:hint="cs"/>
          <w:b/>
          <w:sz w:val="34"/>
          <w:szCs w:val="34"/>
          <w:rtl/>
        </w:rPr>
        <w:t xml:space="preserve"> وقواعد وإجراءات مراجعة</w:t>
      </w:r>
      <w:r w:rsidRPr="00204E5A">
        <w:rPr>
          <w:rFonts w:ascii="Arabic Typesetting" w:hAnsi="Arabic Typesetting" w:cs="Arabic Typesetting"/>
          <w:b/>
          <w:sz w:val="34"/>
          <w:szCs w:val="34"/>
          <w:rtl/>
        </w:rPr>
        <w:t xml:space="preserve">، والتفاوض بشأن العقود </w:t>
      </w:r>
      <w:r>
        <w:rPr>
          <w:rFonts w:ascii="Arabic Typesetting" w:hAnsi="Arabic Typesetting" w:cs="Arabic Typesetting" w:hint="cs"/>
          <w:b/>
          <w:sz w:val="34"/>
          <w:szCs w:val="34"/>
          <w:rtl/>
        </w:rPr>
        <w:t xml:space="preserve">وأسعار </w:t>
      </w:r>
      <w:r w:rsidRPr="00204E5A">
        <w:rPr>
          <w:rFonts w:ascii="Arabic Typesetting" w:hAnsi="Arabic Typesetting" w:cs="Arabic Typesetting"/>
          <w:b/>
          <w:sz w:val="34"/>
          <w:szCs w:val="34"/>
          <w:rtl/>
        </w:rPr>
        <w:t>تذاكر الطيران، وتعزيز كفاءة العمليات، وفي نفس الوقت ضمان استمرار الجودة العالية وما يُق</w:t>
      </w:r>
      <w:r>
        <w:rPr>
          <w:rFonts w:ascii="Arabic Typesetting" w:hAnsi="Arabic Typesetting" w:cs="Arabic Typesetting"/>
          <w:b/>
          <w:sz w:val="34"/>
          <w:szCs w:val="34"/>
          <w:rtl/>
        </w:rPr>
        <w:t>دَّم إلى المستخدمين من دعم موجه</w:t>
      </w:r>
      <w:r w:rsidRPr="00204E5A">
        <w:rPr>
          <w:rFonts w:ascii="Arabic Typesetting" w:hAnsi="Arabic Typesetting" w:cs="Arabic Typesetting"/>
          <w:b/>
          <w:sz w:val="34"/>
          <w:szCs w:val="34"/>
          <w:rtl/>
        </w:rPr>
        <w:t xml:space="preserve"> للزبون في جميع أنحاء المنظمة. وفي الثنائية 2014/15، تم توسيع نطاق مسؤوليات البرنامج ليشمل أيضاً إدارة الخدمات التعاقدية الفردية بالإضافة إلى مقدمي الخدمات التجارية.</w:t>
      </w:r>
    </w:p>
    <w:p w:rsidR="006D6669" w:rsidRPr="008954A8" w:rsidRDefault="006D6669" w:rsidP="00861CFF">
      <w:pPr>
        <w:numPr>
          <w:ilvl w:val="0"/>
          <w:numId w:val="39"/>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وعقب</w:t>
      </w:r>
      <w:r w:rsidRPr="00204E5A">
        <w:rPr>
          <w:rFonts w:ascii="Arabic Typesetting" w:hAnsi="Arabic Typesetting" w:cs="Arabic Typesetting"/>
          <w:sz w:val="34"/>
          <w:szCs w:val="34"/>
          <w:rtl/>
        </w:rPr>
        <w:t xml:space="preserve"> الانتهاء من </w:t>
      </w:r>
      <w:r>
        <w:rPr>
          <w:rFonts w:ascii="Arabic Typesetting" w:hAnsi="Arabic Typesetting" w:cs="Arabic Typesetting" w:hint="cs"/>
          <w:sz w:val="34"/>
          <w:szCs w:val="34"/>
          <w:rtl/>
        </w:rPr>
        <w:t>مجمّع</w:t>
      </w:r>
      <w:r w:rsidRPr="00204E5A">
        <w:rPr>
          <w:rFonts w:ascii="Arabic Typesetting" w:hAnsi="Arabic Typesetting" w:cs="Arabic Typesetting"/>
          <w:sz w:val="34"/>
          <w:szCs w:val="34"/>
          <w:rtl/>
        </w:rPr>
        <w:t xml:space="preserve"> الويبو بعد الإضافة الأخيرة لقاعة المؤتمرات الجديدة والمرافق المُجدَّدة ذات الصلة في مبنى </w:t>
      </w:r>
      <w:proofErr w:type="spellStart"/>
      <w:r w:rsidRPr="00204E5A">
        <w:rPr>
          <w:rFonts w:ascii="Arabic Typesetting" w:hAnsi="Arabic Typesetting" w:cs="Arabic Typesetting"/>
          <w:sz w:val="34"/>
          <w:szCs w:val="34"/>
          <w:rtl/>
        </w:rPr>
        <w:t>أرباد</w:t>
      </w:r>
      <w:proofErr w:type="spellEnd"/>
      <w:r w:rsidRPr="00204E5A">
        <w:rPr>
          <w:rFonts w:ascii="Arabic Typesetting" w:hAnsi="Arabic Typesetting" w:cs="Arabic Typesetting"/>
          <w:sz w:val="34"/>
          <w:szCs w:val="34"/>
          <w:rtl/>
        </w:rPr>
        <w:t xml:space="preserve"> </w:t>
      </w:r>
      <w:proofErr w:type="spellStart"/>
      <w:r w:rsidRPr="00204E5A">
        <w:rPr>
          <w:rFonts w:ascii="Arabic Typesetting" w:hAnsi="Arabic Typesetting" w:cs="Arabic Typesetting"/>
          <w:sz w:val="34"/>
          <w:szCs w:val="34"/>
          <w:rtl/>
        </w:rPr>
        <w:t>بوكش</w:t>
      </w:r>
      <w:proofErr w:type="spellEnd"/>
      <w:r w:rsidRPr="00204E5A">
        <w:rPr>
          <w:rFonts w:ascii="Arabic Typesetting" w:hAnsi="Arabic Typesetting" w:cs="Arabic Typesetting"/>
          <w:sz w:val="34"/>
          <w:szCs w:val="34"/>
          <w:rtl/>
        </w:rPr>
        <w:t xml:space="preserve"> (</w:t>
      </w:r>
      <w:r w:rsidRPr="00204E5A">
        <w:rPr>
          <w:rFonts w:ascii="Arabic Typesetting" w:hAnsi="Arabic Typesetting" w:cs="Arabic Typesetting"/>
          <w:sz w:val="34"/>
          <w:szCs w:val="34"/>
        </w:rPr>
        <w:t>AB</w:t>
      </w:r>
      <w:r w:rsidRPr="00204E5A">
        <w:rPr>
          <w:rFonts w:ascii="Arabic Typesetting" w:hAnsi="Arabic Typesetting" w:cs="Arabic Typesetting"/>
          <w:sz w:val="34"/>
          <w:szCs w:val="34"/>
          <w:rtl/>
        </w:rPr>
        <w:t xml:space="preserve">)، سوف ينصب التركيز الرئيسي في الثنائية 2016/17 على ضمان امتثال جميع التجهيزات التقنية للمعايير المطبقة، وكذلك على الأداء الأمثل لهذه التجهيزات من أجل تسهيل تنفيذ البرنامج في جميع أنحاء المنظمة. ويحتاج </w:t>
      </w:r>
      <w:r>
        <w:rPr>
          <w:rFonts w:ascii="Arabic Typesetting" w:hAnsi="Arabic Typesetting" w:cs="Arabic Typesetting" w:hint="cs"/>
          <w:sz w:val="34"/>
          <w:szCs w:val="34"/>
          <w:rtl/>
        </w:rPr>
        <w:t>العديد</w:t>
      </w:r>
      <w:r w:rsidRPr="00204E5A">
        <w:rPr>
          <w:rFonts w:ascii="Arabic Typesetting" w:hAnsi="Arabic Typesetting" w:cs="Arabic Typesetting"/>
          <w:sz w:val="34"/>
          <w:szCs w:val="34"/>
          <w:rtl/>
        </w:rPr>
        <w:t xml:space="preserve"> من مباني </w:t>
      </w:r>
      <w:r>
        <w:rPr>
          <w:rFonts w:ascii="Arabic Typesetting" w:hAnsi="Arabic Typesetting" w:cs="Arabic Typesetting" w:hint="cs"/>
          <w:sz w:val="34"/>
          <w:szCs w:val="34"/>
          <w:rtl/>
        </w:rPr>
        <w:t xml:space="preserve">الويبو </w:t>
      </w:r>
      <w:r>
        <w:rPr>
          <w:rFonts w:ascii="Arabic Typesetting" w:hAnsi="Arabic Typesetting" w:cs="Arabic Typesetting"/>
          <w:sz w:val="34"/>
          <w:szCs w:val="34"/>
          <w:rtl/>
        </w:rPr>
        <w:t xml:space="preserve">إلى </w:t>
      </w:r>
      <w:r>
        <w:rPr>
          <w:rFonts w:ascii="Arabic Typesetting" w:hAnsi="Arabic Typesetting" w:cs="Arabic Typesetting" w:hint="cs"/>
          <w:sz w:val="34"/>
          <w:szCs w:val="34"/>
          <w:rtl/>
        </w:rPr>
        <w:t xml:space="preserve">أعمال كبرى من </w:t>
      </w:r>
      <w:r>
        <w:rPr>
          <w:rFonts w:ascii="Arabic Typesetting" w:hAnsi="Arabic Typesetting" w:cs="Arabic Typesetting"/>
          <w:sz w:val="34"/>
          <w:szCs w:val="34"/>
          <w:rtl/>
        </w:rPr>
        <w:t xml:space="preserve">تجديد </w:t>
      </w:r>
      <w:r>
        <w:rPr>
          <w:rFonts w:ascii="Arabic Typesetting" w:hAnsi="Arabic Typesetting" w:cs="Arabic Typesetting" w:hint="cs"/>
          <w:sz w:val="34"/>
          <w:szCs w:val="34"/>
          <w:rtl/>
        </w:rPr>
        <w:t>و/</w:t>
      </w:r>
      <w:r>
        <w:rPr>
          <w:rFonts w:ascii="Arabic Typesetting" w:hAnsi="Arabic Typesetting" w:cs="Arabic Typesetting"/>
          <w:sz w:val="34"/>
          <w:szCs w:val="34"/>
          <w:rtl/>
        </w:rPr>
        <w:t xml:space="preserve">أو تحويل </w:t>
      </w:r>
      <w:r>
        <w:rPr>
          <w:rFonts w:ascii="Arabic Typesetting" w:hAnsi="Arabic Typesetting" w:cs="Arabic Typesetting" w:hint="cs"/>
          <w:sz w:val="34"/>
          <w:szCs w:val="34"/>
          <w:rtl/>
        </w:rPr>
        <w:t>و/</w:t>
      </w:r>
      <w:r>
        <w:rPr>
          <w:rFonts w:ascii="Arabic Typesetting" w:hAnsi="Arabic Typesetting" w:cs="Arabic Typesetting"/>
          <w:sz w:val="34"/>
          <w:szCs w:val="34"/>
          <w:rtl/>
        </w:rPr>
        <w:t>أو تحديث</w:t>
      </w:r>
      <w:r w:rsidRPr="00204E5A">
        <w:rPr>
          <w:rFonts w:ascii="Arabic Typesetting" w:hAnsi="Arabic Typesetting" w:cs="Arabic Typesetting"/>
          <w:sz w:val="34"/>
          <w:szCs w:val="34"/>
          <w:rtl/>
        </w:rPr>
        <w:t>. وهذه مشاريع كبرى، ومن المتوقع أيضاً أن يُحدث أهمُها انخفاضاً في استهلاك الطاقة، وستكون ل</w:t>
      </w:r>
      <w:r>
        <w:rPr>
          <w:rFonts w:ascii="Arabic Typesetting" w:hAnsi="Arabic Typesetting" w:cs="Arabic Typesetting" w:hint="cs"/>
          <w:sz w:val="34"/>
          <w:szCs w:val="34"/>
          <w:rtl/>
        </w:rPr>
        <w:t>لمشاريع ا</w:t>
      </w:r>
      <w:r w:rsidRPr="00204E5A">
        <w:rPr>
          <w:rFonts w:ascii="Arabic Typesetting" w:hAnsi="Arabic Typesetting" w:cs="Arabic Typesetting"/>
          <w:sz w:val="34"/>
          <w:szCs w:val="34"/>
          <w:rtl/>
        </w:rPr>
        <w:t>لأخرى فوائد إضافية متمثلة في تحسين النفاذ المادي إلى المباني (أح</w:t>
      </w:r>
      <w:r>
        <w:rPr>
          <w:rFonts w:ascii="Arabic Typesetting" w:hAnsi="Arabic Typesetting" w:cs="Arabic Typesetting"/>
          <w:sz w:val="34"/>
          <w:szCs w:val="34"/>
          <w:rtl/>
        </w:rPr>
        <w:t>د عناصر المسؤولية الاجتماعية).</w:t>
      </w:r>
    </w:p>
    <w:p w:rsidR="006D6669" w:rsidRPr="008954A8" w:rsidRDefault="006D6669" w:rsidP="00861CFF">
      <w:pPr>
        <w:numPr>
          <w:ilvl w:val="0"/>
          <w:numId w:val="39"/>
        </w:numPr>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sidRPr="00204E5A">
        <w:rPr>
          <w:rFonts w:ascii="Arabic Typesetting" w:hAnsi="Arabic Typesetting" w:cs="Arabic Typesetting"/>
          <w:sz w:val="34"/>
          <w:szCs w:val="34"/>
          <w:rtl/>
        </w:rPr>
        <w:t>تظل المسؤولية البيئية ضمن قيم الويبو الأساسية التي يتعين تعميمها في تنفيذ البرنامج، لا سيما فيما يتعلق بإدارة المباني في إطار هدف منظومة الأمم المتحدة العام الشامل المتمثل في الوصول إلى الحياد المناخي بحلول عام 2020.</w:t>
      </w:r>
    </w:p>
    <w:p w:rsidR="006D6669" w:rsidRPr="008954A8" w:rsidRDefault="006D6669" w:rsidP="00DA5475">
      <w:pPr>
        <w:tabs>
          <w:tab w:val="left" w:pos="567"/>
          <w:tab w:val="left" w:pos="1985"/>
        </w:tabs>
        <w:rPr>
          <w:rFonts w:ascii="Arabic Typesetting" w:hAnsi="Arabic Typesetting" w:cs="Arabic Typesetting"/>
          <w:b/>
          <w:sz w:val="30"/>
          <w:szCs w:val="30"/>
        </w:rPr>
      </w:pPr>
    </w:p>
    <w:p w:rsidR="006D6669" w:rsidRPr="00705E43"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705E43">
        <w:rPr>
          <w:rFonts w:ascii="Arabic Typesetting" w:hAnsi="Arabic Typesetting" w:cs="Arabic Typesetting"/>
          <w:noProof/>
          <w:snapToGrid/>
          <w:sz w:val="38"/>
          <w:szCs w:val="38"/>
          <w:rtl/>
          <w:lang w:val="x-none" w:eastAsia="x-none" w:bidi="ar-EG"/>
        </w:rPr>
        <w:t>استراتيجيات التنفيذ</w:t>
      </w:r>
    </w:p>
    <w:p w:rsidR="006D6669" w:rsidRPr="008954A8" w:rsidRDefault="006D6669" w:rsidP="00861CFF">
      <w:pPr>
        <w:numPr>
          <w:ilvl w:val="0"/>
          <w:numId w:val="39"/>
        </w:numPr>
        <w:spacing w:after="120" w:line="340" w:lineRule="exact"/>
        <w:rPr>
          <w:rFonts w:ascii="Arabic Typesetting" w:hAnsi="Arabic Typesetting" w:cs="Arabic Typesetting"/>
          <w:sz w:val="34"/>
          <w:szCs w:val="34"/>
        </w:rPr>
      </w:pPr>
      <w:r w:rsidRPr="00204E5A">
        <w:rPr>
          <w:rFonts w:ascii="Arabic Typesetting" w:hAnsi="Arabic Typesetting" w:cs="Arabic Typesetting"/>
          <w:sz w:val="34"/>
          <w:szCs w:val="34"/>
          <w:rtl/>
        </w:rPr>
        <w:t xml:space="preserve">استكمالاً للعمل الذي بدأ في الثنائية </w:t>
      </w:r>
      <w:r>
        <w:rPr>
          <w:rFonts w:ascii="Arabic Typesetting" w:hAnsi="Arabic Typesetting" w:cs="Arabic Typesetting" w:hint="cs"/>
          <w:sz w:val="34"/>
          <w:szCs w:val="34"/>
          <w:rtl/>
        </w:rPr>
        <w:t>2</w:t>
      </w:r>
      <w:r w:rsidRPr="00204E5A">
        <w:rPr>
          <w:rFonts w:ascii="Arabic Typesetting" w:hAnsi="Arabic Typesetting" w:cs="Arabic Typesetting"/>
          <w:sz w:val="34"/>
          <w:szCs w:val="34"/>
          <w:rtl/>
        </w:rPr>
        <w:t xml:space="preserve">014/15 بتنفيذ "أداة الحجز عبر الإنترنت" وأداة جديدة لإدارة طلبات السفر، سوف يستمر استكشاف الفرص الجديدة للتوفير في تكلفة أسعار التذاكر ورسوم الخدمات. وسوف يُجرى أيضاً السعي إلى </w:t>
      </w:r>
      <w:r>
        <w:rPr>
          <w:rFonts w:ascii="Arabic Typesetting" w:hAnsi="Arabic Typesetting" w:cs="Arabic Typesetting" w:hint="cs"/>
          <w:sz w:val="34"/>
          <w:szCs w:val="34"/>
          <w:rtl/>
        </w:rPr>
        <w:t>توفير</w:t>
      </w:r>
      <w:r w:rsidRPr="00204E5A">
        <w:rPr>
          <w:rFonts w:ascii="Arabic Typesetting" w:hAnsi="Arabic Typesetting" w:cs="Arabic Typesetting"/>
          <w:sz w:val="34"/>
          <w:szCs w:val="34"/>
          <w:rtl/>
        </w:rPr>
        <w:t xml:space="preserve"> </w:t>
      </w:r>
      <w:r w:rsidRPr="002B1FE7">
        <w:rPr>
          <w:rFonts w:ascii="Arabic Typesetting" w:hAnsi="Arabic Typesetting" w:cs="Arabic Typesetting"/>
          <w:sz w:val="34"/>
          <w:szCs w:val="34"/>
          <w:rtl/>
        </w:rPr>
        <w:t>كفاءات</w:t>
      </w:r>
      <w:r w:rsidRPr="00204E5A">
        <w:rPr>
          <w:rFonts w:ascii="Arabic Typesetting" w:hAnsi="Arabic Typesetting" w:cs="Arabic Typesetting"/>
          <w:sz w:val="34"/>
          <w:szCs w:val="34"/>
          <w:rtl/>
        </w:rPr>
        <w:t xml:space="preserve"> إدارية من خلال </w:t>
      </w:r>
      <w:r>
        <w:rPr>
          <w:rFonts w:ascii="Arabic Typesetting" w:hAnsi="Arabic Typesetting" w:cs="Arabic Typesetting" w:hint="cs"/>
          <w:sz w:val="34"/>
          <w:szCs w:val="34"/>
          <w:rtl/>
        </w:rPr>
        <w:t>مراجعة الإطار التنظيمي و</w:t>
      </w:r>
      <w:r w:rsidRPr="00204E5A">
        <w:rPr>
          <w:rFonts w:ascii="Arabic Typesetting" w:hAnsi="Arabic Typesetting" w:cs="Arabic Typesetting"/>
          <w:sz w:val="34"/>
          <w:szCs w:val="34"/>
          <w:rtl/>
        </w:rPr>
        <w:t xml:space="preserve">تبسيط العمليات التي تسمح بها أدوات تكنولوجيا المعلومات الجديدة لإدارة طلبات </w:t>
      </w:r>
      <w:r>
        <w:rPr>
          <w:rFonts w:ascii="Arabic Typesetting" w:hAnsi="Arabic Typesetting" w:cs="Arabic Typesetting" w:hint="cs"/>
          <w:sz w:val="34"/>
          <w:szCs w:val="34"/>
          <w:rtl/>
        </w:rPr>
        <w:t>التظاهرات</w:t>
      </w:r>
      <w:r w:rsidRPr="00204E5A">
        <w:rPr>
          <w:rFonts w:ascii="Arabic Typesetting" w:hAnsi="Arabic Typesetting" w:cs="Arabic Typesetting"/>
          <w:sz w:val="34"/>
          <w:szCs w:val="34"/>
          <w:rtl/>
        </w:rPr>
        <w:t xml:space="preserve"> والسفر فضلاً عن وحدة "من الشراء إلى الدفع" في نظام التخطيط للموارد المؤسسية. وللاستمرار في </w:t>
      </w:r>
      <w:r w:rsidRPr="00EA7F8B">
        <w:rPr>
          <w:rFonts w:ascii="Arabic Typesetting" w:hAnsi="Arabic Typesetting" w:cs="Arabic Typesetting"/>
          <w:sz w:val="34"/>
          <w:szCs w:val="34"/>
          <w:rtl/>
        </w:rPr>
        <w:t>ترشيد</w:t>
      </w:r>
      <w:r w:rsidRPr="00204E5A">
        <w:rPr>
          <w:rFonts w:ascii="Arabic Typesetting" w:hAnsi="Arabic Typesetting" w:cs="Arabic Typesetting"/>
          <w:sz w:val="34"/>
          <w:szCs w:val="34"/>
          <w:rtl/>
        </w:rPr>
        <w:t xml:space="preserve"> تكاليف السلع والخدمات، ستركز الثنائية على تعزيز عملية التنافس على الخدمات التعاقدية الفردية بأداة مُخصَّصة من أدوات تكنولوجيا المعلومات. وفي الوقت نفسه، لزيادة القيمة المحققة نظير المال، سوف تُعزَّز إدارة أداء البائعين </w:t>
      </w:r>
      <w:r>
        <w:rPr>
          <w:rFonts w:ascii="Arabic Typesetting" w:hAnsi="Arabic Typesetting" w:cs="Arabic Typesetting" w:hint="cs"/>
          <w:sz w:val="34"/>
          <w:szCs w:val="34"/>
          <w:rtl/>
        </w:rPr>
        <w:t>استكمالا ل</w:t>
      </w:r>
      <w:r w:rsidRPr="00204E5A">
        <w:rPr>
          <w:rFonts w:ascii="Arabic Typesetting" w:hAnsi="Arabic Typesetting" w:cs="Arabic Typesetting"/>
          <w:sz w:val="34"/>
          <w:szCs w:val="34"/>
          <w:rtl/>
        </w:rPr>
        <w:t>لأدوات التي وضعت لهذا الغرض في الثنائي</w:t>
      </w:r>
      <w:r>
        <w:rPr>
          <w:rFonts w:ascii="Arabic Typesetting" w:hAnsi="Arabic Typesetting" w:cs="Arabic Typesetting"/>
          <w:sz w:val="34"/>
          <w:szCs w:val="34"/>
          <w:rtl/>
        </w:rPr>
        <w:t>ة 2014/15. وإضافةً إلى ذلك، س</w:t>
      </w:r>
      <w:r w:rsidRPr="00204E5A">
        <w:rPr>
          <w:rFonts w:ascii="Arabic Typesetting" w:hAnsi="Arabic Typesetting" w:cs="Arabic Typesetting"/>
          <w:sz w:val="34"/>
          <w:szCs w:val="34"/>
          <w:rtl/>
        </w:rPr>
        <w:t xml:space="preserve">تستمر بنشاط الجهود الرامية إلى تعزيز فرص </w:t>
      </w:r>
      <w:r>
        <w:rPr>
          <w:rFonts w:ascii="Arabic Typesetting" w:hAnsi="Arabic Typesetting" w:cs="Arabic Typesetting" w:hint="cs"/>
          <w:sz w:val="34"/>
          <w:szCs w:val="34"/>
          <w:rtl/>
        </w:rPr>
        <w:t>الاقتراض</w:t>
      </w:r>
      <w:r w:rsidRPr="00204E5A">
        <w:rPr>
          <w:rFonts w:ascii="Arabic Typesetting" w:hAnsi="Arabic Typesetting" w:cs="Arabic Typesetting"/>
          <w:sz w:val="34"/>
          <w:szCs w:val="34"/>
          <w:rtl/>
        </w:rPr>
        <w:t xml:space="preserve"> مع المنظمات الدولية الأخرى.</w:t>
      </w:r>
    </w:p>
    <w:p w:rsidR="006D6669" w:rsidRDefault="006D6669" w:rsidP="00861CFF">
      <w:pPr>
        <w:numPr>
          <w:ilvl w:val="0"/>
          <w:numId w:val="39"/>
        </w:numPr>
        <w:spacing w:after="120" w:line="340" w:lineRule="exact"/>
        <w:rPr>
          <w:rFonts w:ascii="Arabic Typesetting" w:hAnsi="Arabic Typesetting" w:cs="Arabic Typesetting"/>
          <w:sz w:val="34"/>
          <w:szCs w:val="34"/>
        </w:rPr>
      </w:pPr>
      <w:r w:rsidRPr="00204E5A">
        <w:rPr>
          <w:rFonts w:ascii="Arabic Typesetting" w:hAnsi="Arabic Typesetting" w:cs="Arabic Typesetting"/>
          <w:sz w:val="34"/>
          <w:szCs w:val="34"/>
          <w:rtl/>
        </w:rPr>
        <w:t xml:space="preserve">ولضمان </w:t>
      </w:r>
      <w:r>
        <w:rPr>
          <w:rFonts w:ascii="Arabic Typesetting" w:hAnsi="Arabic Typesetting" w:cs="Arabic Typesetting" w:hint="cs"/>
          <w:sz w:val="34"/>
          <w:szCs w:val="34"/>
          <w:rtl/>
        </w:rPr>
        <w:t>تحديث</w:t>
      </w:r>
      <w:r w:rsidRPr="00204E5A">
        <w:rPr>
          <w:rFonts w:ascii="Arabic Typesetting" w:hAnsi="Arabic Typesetting" w:cs="Arabic Typesetting"/>
          <w:sz w:val="34"/>
          <w:szCs w:val="34"/>
          <w:rtl/>
        </w:rPr>
        <w:t xml:space="preserve"> المرافق التقنية في مبا</w:t>
      </w:r>
      <w:r>
        <w:rPr>
          <w:rFonts w:ascii="Arabic Typesetting" w:hAnsi="Arabic Typesetting" w:cs="Arabic Typesetting"/>
          <w:sz w:val="34"/>
          <w:szCs w:val="34"/>
          <w:rtl/>
        </w:rPr>
        <w:t>ني الويبو بشكل مستمر وموحد، س</w:t>
      </w:r>
      <w:r w:rsidRPr="00204E5A">
        <w:rPr>
          <w:rFonts w:ascii="Arabic Typesetting" w:hAnsi="Arabic Typesetting" w:cs="Arabic Typesetting"/>
          <w:sz w:val="34"/>
          <w:szCs w:val="34"/>
          <w:rtl/>
        </w:rPr>
        <w:t xml:space="preserve">يستمر تنفيذ الخطة الشاملة لتجديد التجهيزات التقنية وتحسينها في </w:t>
      </w:r>
      <w:r>
        <w:rPr>
          <w:rFonts w:ascii="Arabic Typesetting" w:hAnsi="Arabic Typesetting" w:cs="Arabic Typesetting" w:hint="cs"/>
          <w:sz w:val="34"/>
          <w:szCs w:val="34"/>
          <w:rtl/>
        </w:rPr>
        <w:t>مجمّع</w:t>
      </w:r>
      <w:r w:rsidRPr="00204E5A">
        <w:rPr>
          <w:rFonts w:ascii="Arabic Typesetting" w:hAnsi="Arabic Typesetting" w:cs="Arabic Typesetting"/>
          <w:sz w:val="34"/>
          <w:szCs w:val="34"/>
          <w:rtl/>
        </w:rPr>
        <w:t xml:space="preserve"> الويبو برمته، التي بدأت في الثنائية السابقة. وسوف تكون الأولوية في هذه العملية للتجهيزات الحيوية. وسوف يعتمد عدد من خيارات تجديد و/أو تحسين التجهيزات التقنية</w:t>
      </w:r>
      <w:r w:rsidRPr="00300A52">
        <w:rPr>
          <w:rFonts w:ascii="Arabic Typesetting" w:hAnsi="Arabic Typesetting" w:cs="Arabic Typesetting"/>
          <w:sz w:val="34"/>
          <w:szCs w:val="34"/>
          <w:rtl/>
        </w:rPr>
        <w:t xml:space="preserve">، </w:t>
      </w:r>
      <w:r w:rsidRPr="00300A52">
        <w:rPr>
          <w:rFonts w:ascii="Arabic Typesetting" w:hAnsi="Arabic Typesetting" w:cs="Arabic Typesetting" w:hint="cs"/>
          <w:sz w:val="34"/>
          <w:szCs w:val="34"/>
          <w:rtl/>
        </w:rPr>
        <w:t xml:space="preserve">ضمن </w:t>
      </w:r>
      <w:r w:rsidRPr="00300A52">
        <w:rPr>
          <w:rFonts w:ascii="Arabic Typesetting" w:hAnsi="Arabic Typesetting" w:cs="Arabic Typesetting"/>
          <w:sz w:val="34"/>
          <w:szCs w:val="34"/>
          <w:rtl/>
        </w:rPr>
        <w:t>جملة أمور، على قدرتها</w:t>
      </w:r>
      <w:r w:rsidRPr="00204E5A">
        <w:rPr>
          <w:rFonts w:ascii="Arabic Typesetting" w:hAnsi="Arabic Typesetting" w:cs="Arabic Typesetting"/>
          <w:sz w:val="34"/>
          <w:szCs w:val="34"/>
          <w:rtl/>
        </w:rPr>
        <w:t xml:space="preserve"> على تقليل التأثير البيئي وتحسين النفاذ المادي للأشخاص ذوي الإعاقة. وسوف تُنفَّذ وتُدار عمليات التجديد والتحويل والتحديث الكبرى للمباني وفقاً لكل من الأولويات الواردة في الخطة الرأسمالية الرئيسية وفي شتى عمليات الصيانة الوقائية التي تحدث على نطاق أصغ</w:t>
      </w:r>
      <w:r>
        <w:rPr>
          <w:rFonts w:ascii="Arabic Typesetting" w:hAnsi="Arabic Typesetting" w:cs="Arabic Typesetting"/>
          <w:sz w:val="34"/>
          <w:szCs w:val="34"/>
          <w:rtl/>
        </w:rPr>
        <w:t>ر. وفيما يخص إدارة المباني، س</w:t>
      </w:r>
      <w:r>
        <w:rPr>
          <w:rFonts w:ascii="Arabic Typesetting" w:hAnsi="Arabic Typesetting" w:cs="Arabic Typesetting" w:hint="cs"/>
          <w:sz w:val="34"/>
          <w:szCs w:val="34"/>
          <w:rtl/>
        </w:rPr>
        <w:t>تُ</w:t>
      </w:r>
      <w:r w:rsidRPr="00204E5A">
        <w:rPr>
          <w:rFonts w:ascii="Arabic Typesetting" w:hAnsi="Arabic Typesetting" w:cs="Arabic Typesetting"/>
          <w:sz w:val="34"/>
          <w:szCs w:val="34"/>
          <w:rtl/>
        </w:rPr>
        <w:t xml:space="preserve">عزَّز </w:t>
      </w:r>
      <w:r>
        <w:rPr>
          <w:rFonts w:ascii="Arabic Typesetting" w:hAnsi="Arabic Typesetting" w:cs="Arabic Typesetting" w:hint="cs"/>
          <w:sz w:val="34"/>
          <w:szCs w:val="34"/>
          <w:rtl/>
        </w:rPr>
        <w:t>الأنشطة الخاصة ب</w:t>
      </w:r>
      <w:r w:rsidRPr="00204E5A">
        <w:rPr>
          <w:rFonts w:ascii="Arabic Typesetting" w:hAnsi="Arabic Typesetting" w:cs="Arabic Typesetting"/>
          <w:sz w:val="34"/>
          <w:szCs w:val="34"/>
          <w:rtl/>
        </w:rPr>
        <w:t xml:space="preserve">التوزيع الأمثل لأماكن العمل </w:t>
      </w:r>
      <w:r w:rsidRPr="00B47D07">
        <w:rPr>
          <w:rFonts w:ascii="Arabic Typesetting" w:hAnsi="Arabic Typesetting" w:cs="Arabic Typesetting"/>
          <w:sz w:val="34"/>
          <w:szCs w:val="34"/>
          <w:rtl/>
        </w:rPr>
        <w:t>لاستضافة</w:t>
      </w:r>
      <w:r w:rsidRPr="00204E5A">
        <w:rPr>
          <w:rFonts w:ascii="Arabic Typesetting" w:hAnsi="Arabic Typesetting" w:cs="Arabic Typesetting"/>
          <w:sz w:val="34"/>
          <w:szCs w:val="34"/>
          <w:rtl/>
        </w:rPr>
        <w:t xml:space="preserve"> جميع موظفي الويبو ومراجعة </w:t>
      </w:r>
      <w:r>
        <w:rPr>
          <w:rFonts w:ascii="Arabic Typesetting" w:hAnsi="Arabic Typesetting" w:cs="Arabic Typesetting" w:hint="cs"/>
          <w:sz w:val="34"/>
          <w:szCs w:val="34"/>
          <w:rtl/>
        </w:rPr>
        <w:t>الاستخدام</w:t>
      </w:r>
      <w:r w:rsidRPr="00204E5A">
        <w:rPr>
          <w:rFonts w:ascii="Arabic Typesetting" w:hAnsi="Arabic Typesetting" w:cs="Arabic Typesetting"/>
          <w:sz w:val="34"/>
          <w:szCs w:val="34"/>
          <w:rtl/>
        </w:rPr>
        <w:t xml:space="preserve"> </w:t>
      </w:r>
      <w:r>
        <w:rPr>
          <w:rFonts w:ascii="Arabic Typesetting" w:hAnsi="Arabic Typesetting" w:cs="Arabic Typesetting" w:hint="cs"/>
          <w:sz w:val="34"/>
          <w:szCs w:val="34"/>
          <w:rtl/>
        </w:rPr>
        <w:t>الأمثل</w:t>
      </w:r>
      <w:r>
        <w:rPr>
          <w:rFonts w:ascii="Arabic Typesetting" w:hAnsi="Arabic Typesetting" w:cs="Arabic Typesetting"/>
          <w:sz w:val="34"/>
          <w:szCs w:val="34"/>
          <w:rtl/>
        </w:rPr>
        <w:t xml:space="preserve"> </w:t>
      </w:r>
      <w:r>
        <w:rPr>
          <w:rFonts w:ascii="Arabic Typesetting" w:hAnsi="Arabic Typesetting" w:cs="Arabic Typesetting" w:hint="cs"/>
          <w:sz w:val="34"/>
          <w:szCs w:val="34"/>
          <w:rtl/>
        </w:rPr>
        <w:t>ل</w:t>
      </w:r>
      <w:r w:rsidRPr="00204E5A">
        <w:rPr>
          <w:rFonts w:ascii="Arabic Typesetting" w:hAnsi="Arabic Typesetting" w:cs="Arabic Typesetting"/>
          <w:sz w:val="34"/>
          <w:szCs w:val="34"/>
          <w:rtl/>
        </w:rPr>
        <w:t xml:space="preserve">أماكن معينة غير أماكن العمل أو تحويلها أو تحديثها، وذلك بناءً على </w:t>
      </w:r>
      <w:r>
        <w:rPr>
          <w:rFonts w:ascii="Arabic Typesetting" w:hAnsi="Arabic Typesetting" w:cs="Arabic Typesetting" w:hint="cs"/>
          <w:sz w:val="34"/>
          <w:szCs w:val="34"/>
          <w:rtl/>
        </w:rPr>
        <w:t>السياسة</w:t>
      </w:r>
      <w:r w:rsidRPr="00204E5A">
        <w:rPr>
          <w:rFonts w:ascii="Arabic Typesetting" w:hAnsi="Arabic Typesetting" w:cs="Arabic Typesetting"/>
          <w:sz w:val="34"/>
          <w:szCs w:val="34"/>
          <w:rtl/>
        </w:rPr>
        <w:t xml:space="preserve"> الرسمي</w:t>
      </w:r>
      <w:r>
        <w:rPr>
          <w:rFonts w:ascii="Arabic Typesetting" w:hAnsi="Arabic Typesetting" w:cs="Arabic Typesetting" w:hint="cs"/>
          <w:sz w:val="34"/>
          <w:szCs w:val="34"/>
          <w:rtl/>
        </w:rPr>
        <w:t>ة</w:t>
      </w:r>
      <w:r>
        <w:rPr>
          <w:rFonts w:ascii="Arabic Typesetting" w:hAnsi="Arabic Typesetting" w:cs="Arabic Typesetting"/>
          <w:sz w:val="34"/>
          <w:szCs w:val="34"/>
          <w:rtl/>
        </w:rPr>
        <w:t xml:space="preserve"> لإدارة الأماكن ال</w:t>
      </w:r>
      <w:r>
        <w:rPr>
          <w:rFonts w:ascii="Arabic Typesetting" w:hAnsi="Arabic Typesetting" w:cs="Arabic Typesetting" w:hint="cs"/>
          <w:sz w:val="34"/>
          <w:szCs w:val="34"/>
          <w:rtl/>
        </w:rPr>
        <w:t>ت</w:t>
      </w:r>
      <w:r w:rsidRPr="00204E5A">
        <w:rPr>
          <w:rFonts w:ascii="Arabic Typesetting" w:hAnsi="Arabic Typesetting" w:cs="Arabic Typesetting"/>
          <w:sz w:val="34"/>
          <w:szCs w:val="34"/>
          <w:rtl/>
        </w:rPr>
        <w:t>ي وُضِع</w:t>
      </w:r>
      <w:r>
        <w:rPr>
          <w:rFonts w:ascii="Arabic Typesetting" w:hAnsi="Arabic Typesetting" w:cs="Arabic Typesetting" w:hint="cs"/>
          <w:sz w:val="34"/>
          <w:szCs w:val="34"/>
          <w:rtl/>
        </w:rPr>
        <w:t>ت</w:t>
      </w:r>
      <w:r w:rsidRPr="00204E5A">
        <w:rPr>
          <w:rFonts w:ascii="Arabic Typesetting" w:hAnsi="Arabic Typesetting" w:cs="Arabic Typesetting"/>
          <w:sz w:val="34"/>
          <w:szCs w:val="34"/>
          <w:rtl/>
        </w:rPr>
        <w:t xml:space="preserve"> في الثنائية السابقة.</w:t>
      </w:r>
    </w:p>
    <w:p w:rsidR="006D6669" w:rsidRPr="008954A8" w:rsidRDefault="006D6669" w:rsidP="00861CFF">
      <w:pPr>
        <w:numPr>
          <w:ilvl w:val="0"/>
          <w:numId w:val="39"/>
        </w:numPr>
        <w:spacing w:after="120" w:line="340" w:lineRule="exact"/>
        <w:rPr>
          <w:rFonts w:ascii="Arabic Typesetting" w:hAnsi="Arabic Typesetting" w:cs="Arabic Typesetting"/>
          <w:sz w:val="34"/>
          <w:szCs w:val="34"/>
        </w:rPr>
      </w:pPr>
      <w:r w:rsidRPr="00204E5A">
        <w:rPr>
          <w:rFonts w:ascii="Arabic Typesetting" w:hAnsi="Arabic Typesetting" w:cs="Arabic Typesetting"/>
          <w:sz w:val="34"/>
          <w:szCs w:val="34"/>
          <w:rtl/>
        </w:rPr>
        <w:t>ولضمان الامتثال، بحلول عام 2020، لهدف منظومة الأمم المتحدة العام المتمثل في</w:t>
      </w:r>
      <w:r>
        <w:rPr>
          <w:rFonts w:ascii="Arabic Typesetting" w:hAnsi="Arabic Typesetting" w:cs="Arabic Typesetting"/>
          <w:sz w:val="34"/>
          <w:szCs w:val="34"/>
          <w:rtl/>
        </w:rPr>
        <w:t xml:space="preserve"> الوصول إلى الحياد المناخي، س</w:t>
      </w:r>
      <w:r w:rsidRPr="00204E5A">
        <w:rPr>
          <w:rFonts w:ascii="Arabic Typesetting" w:hAnsi="Arabic Typesetting" w:cs="Arabic Typesetting"/>
          <w:sz w:val="34"/>
          <w:szCs w:val="34"/>
          <w:rtl/>
        </w:rPr>
        <w:t>تستمر الجهود الرامية إلى تنفيذ تدابير مُحدَّدة</w:t>
      </w:r>
      <w:r>
        <w:rPr>
          <w:rFonts w:ascii="Arabic Typesetting" w:hAnsi="Arabic Typesetting" w:cs="Arabic Typesetting" w:hint="cs"/>
          <w:sz w:val="34"/>
          <w:szCs w:val="34"/>
          <w:rtl/>
        </w:rPr>
        <w:t xml:space="preserve"> لا تقتصر على المباني</w:t>
      </w:r>
      <w:r w:rsidRPr="00204E5A">
        <w:rPr>
          <w:rFonts w:ascii="Arabic Typesetting" w:hAnsi="Arabic Typesetting" w:cs="Arabic Typesetting"/>
          <w:sz w:val="34"/>
          <w:szCs w:val="34"/>
          <w:rtl/>
        </w:rPr>
        <w:t>، بما في ذلك برنامج لتعويض الكربون وغيره من الانبعا</w:t>
      </w:r>
      <w:r>
        <w:rPr>
          <w:rFonts w:ascii="Arabic Typesetting" w:hAnsi="Arabic Typesetting" w:cs="Arabic Typesetting"/>
          <w:sz w:val="34"/>
          <w:szCs w:val="34"/>
          <w:rtl/>
        </w:rPr>
        <w:t>ثات الناجمة عن أنشطة الويبو ككل</w:t>
      </w:r>
      <w:r>
        <w:rPr>
          <w:rFonts w:ascii="Arabic Typesetting" w:hAnsi="Arabic Typesetting" w:cs="Arabic Typesetting" w:hint="cs"/>
          <w:sz w:val="34"/>
          <w:szCs w:val="34"/>
          <w:rtl/>
        </w:rPr>
        <w:t>.</w:t>
      </w:r>
    </w:p>
    <w:p w:rsidR="006D6669" w:rsidRPr="00D810C2"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D810C2">
        <w:rPr>
          <w:rFonts w:ascii="Arabic Typesetting" w:hAnsi="Arabic Typesetting" w:cs="Arabic Typesetting" w:hint="cs"/>
          <w:noProof/>
          <w:snapToGrid/>
          <w:sz w:val="38"/>
          <w:szCs w:val="38"/>
          <w:rtl/>
          <w:lang w:val="x-none" w:eastAsia="x-none" w:bidi="ar-EG"/>
        </w:rPr>
        <w:lastRenderedPageBreak/>
        <w:t>المخاطر الرئيسية واستراتيجيات التخفيف منها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6D6669" w:rsidRPr="008954A8" w:rsidTr="00DA5475">
        <w:trPr>
          <w:tblHeader/>
        </w:trPr>
        <w:tc>
          <w:tcPr>
            <w:tcW w:w="4643" w:type="dxa"/>
            <w:tcBorders>
              <w:bottom w:val="single" w:sz="4" w:space="0" w:color="auto"/>
              <w:right w:val="nil"/>
            </w:tcBorders>
            <w:shd w:val="clear" w:color="auto" w:fill="C6D9F1"/>
          </w:tcPr>
          <w:p w:rsidR="006D6669" w:rsidRPr="008954A8" w:rsidRDefault="006D6669" w:rsidP="00DA5475">
            <w:pPr>
              <w:pStyle w:val="ARProgramTableHeading"/>
              <w:spacing w:beforeLines="60" w:before="144" w:afterLines="60" w:after="144" w:line="300" w:lineRule="exact"/>
              <w:rPr>
                <w:rtl/>
                <w:lang w:bidi="ar-SA"/>
              </w:rPr>
            </w:pPr>
            <w:r>
              <w:rPr>
                <w:rFonts w:hint="cs"/>
                <w:rtl/>
                <w:lang w:bidi="ar-SA"/>
              </w:rPr>
              <w:t>المخاطر</w:t>
            </w:r>
          </w:p>
        </w:tc>
        <w:tc>
          <w:tcPr>
            <w:tcW w:w="4644" w:type="dxa"/>
            <w:tcBorders>
              <w:left w:val="nil"/>
              <w:bottom w:val="single" w:sz="4" w:space="0" w:color="auto"/>
            </w:tcBorders>
            <w:shd w:val="clear" w:color="auto" w:fill="C6D9F1"/>
          </w:tcPr>
          <w:p w:rsidR="006D6669" w:rsidRPr="008954A8" w:rsidRDefault="006D6669" w:rsidP="00DA5475">
            <w:pPr>
              <w:pStyle w:val="ARProgramTableHeading"/>
              <w:spacing w:beforeLines="60" w:before="144" w:afterLines="60" w:after="144" w:line="300" w:lineRule="exact"/>
              <w:rPr>
                <w:rtl/>
              </w:rPr>
            </w:pPr>
            <w:r>
              <w:rPr>
                <w:rFonts w:hint="cs"/>
                <w:rtl/>
              </w:rPr>
              <w:t>التخفيف منها</w:t>
            </w:r>
          </w:p>
        </w:tc>
      </w:tr>
      <w:tr w:rsidR="006D6669" w:rsidRPr="008954A8" w:rsidTr="00DA5475">
        <w:tc>
          <w:tcPr>
            <w:tcW w:w="4643" w:type="dxa"/>
            <w:tcBorders>
              <w:top w:val="nil"/>
              <w:left w:val="single" w:sz="4" w:space="0" w:color="auto"/>
              <w:bottom w:val="nil"/>
              <w:right w:val="nil"/>
            </w:tcBorders>
            <w:shd w:val="clear" w:color="auto" w:fill="auto"/>
          </w:tcPr>
          <w:p w:rsidR="006D6669" w:rsidRPr="008954A8" w:rsidRDefault="006D6669" w:rsidP="00DA5475">
            <w:pPr>
              <w:autoSpaceDE w:val="0"/>
              <w:autoSpaceDN w:val="0"/>
              <w:adjustRightInd w:val="0"/>
              <w:spacing w:beforeLines="60" w:before="144" w:afterLines="60" w:after="144" w:line="300" w:lineRule="exact"/>
              <w:ind w:right="-59"/>
              <w:rPr>
                <w:rFonts w:ascii="Arabic Typesetting" w:hAnsi="Arabic Typesetting" w:cs="Arabic Typesetting"/>
                <w:sz w:val="30"/>
                <w:szCs w:val="30"/>
              </w:rPr>
            </w:pPr>
            <w:r>
              <w:rPr>
                <w:rFonts w:ascii="Arabic Typesetting" w:hAnsi="Arabic Typesetting" w:cs="Arabic Typesetting" w:hint="cs"/>
                <w:sz w:val="30"/>
                <w:szCs w:val="30"/>
                <w:rtl/>
              </w:rPr>
              <w:t xml:space="preserve">عجز الموردين الرئيسيين عن تقديم الخدمات </w:t>
            </w:r>
            <w:r w:rsidRPr="008954A8">
              <w:rPr>
                <w:rFonts w:ascii="Arabic Typesetting" w:hAnsi="Arabic Typesetting" w:cs="Arabic Typesetting"/>
                <w:sz w:val="30"/>
                <w:szCs w:val="30"/>
                <w:rtl/>
              </w:rPr>
              <w:t>يتسبب في تعطل الخدم</w:t>
            </w:r>
            <w:r>
              <w:rPr>
                <w:rFonts w:ascii="Arabic Typesetting" w:hAnsi="Arabic Typesetting" w:cs="Arabic Typesetting" w:hint="cs"/>
                <w:sz w:val="30"/>
                <w:szCs w:val="30"/>
                <w:rtl/>
              </w:rPr>
              <w:t>ة</w:t>
            </w:r>
            <w:r w:rsidRPr="008954A8">
              <w:rPr>
                <w:rFonts w:ascii="Arabic Typesetting" w:hAnsi="Arabic Typesetting" w:cs="Arabic Typesetting"/>
                <w:sz w:val="30"/>
                <w:szCs w:val="30"/>
                <w:rtl/>
              </w:rPr>
              <w:t xml:space="preserve"> الم</w:t>
            </w:r>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قد</w:t>
            </w:r>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 xml:space="preserve">مة </w:t>
            </w:r>
            <w:r>
              <w:rPr>
                <w:rFonts w:ascii="Arabic Typesetting" w:hAnsi="Arabic Typesetting" w:cs="Arabic Typesetting" w:hint="cs"/>
                <w:sz w:val="30"/>
                <w:szCs w:val="30"/>
                <w:rtl/>
              </w:rPr>
              <w:t xml:space="preserve">إلى </w:t>
            </w:r>
            <w:r w:rsidRPr="008954A8">
              <w:rPr>
                <w:rFonts w:ascii="Arabic Typesetting" w:hAnsi="Arabic Typesetting" w:cs="Arabic Typesetting"/>
                <w:sz w:val="30"/>
                <w:szCs w:val="30"/>
                <w:rtl/>
              </w:rPr>
              <w:t>زبائننا الخارجيين</w:t>
            </w:r>
          </w:p>
        </w:tc>
        <w:tc>
          <w:tcPr>
            <w:tcW w:w="4644" w:type="dxa"/>
            <w:tcBorders>
              <w:top w:val="nil"/>
              <w:left w:val="nil"/>
              <w:bottom w:val="nil"/>
              <w:right w:val="single" w:sz="4" w:space="0" w:color="auto"/>
            </w:tcBorders>
            <w:shd w:val="clear" w:color="auto" w:fill="auto"/>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وضع خطة طوارئ </w:t>
            </w:r>
            <w:r w:rsidRPr="008954A8">
              <w:rPr>
                <w:rFonts w:ascii="Arabic Typesetting" w:hAnsi="Arabic Typesetting" w:cs="Arabic Typesetting"/>
                <w:sz w:val="30"/>
                <w:szCs w:val="30"/>
                <w:rtl/>
              </w:rPr>
              <w:t>للعقود التي ت</w:t>
            </w:r>
            <w:r>
              <w:rPr>
                <w:rFonts w:ascii="Arabic Typesetting" w:hAnsi="Arabic Typesetting" w:cs="Arabic Typesetting" w:hint="cs"/>
                <w:sz w:val="30"/>
                <w:szCs w:val="30"/>
                <w:rtl/>
              </w:rPr>
              <w:t xml:space="preserve">عتبر شديدة الخطورة </w:t>
            </w:r>
            <w:r w:rsidRPr="008954A8">
              <w:rPr>
                <w:rFonts w:ascii="Arabic Typesetting" w:hAnsi="Arabic Typesetting" w:cs="Arabic Typesetting"/>
                <w:sz w:val="30"/>
                <w:szCs w:val="30"/>
                <w:rtl/>
              </w:rPr>
              <w:t>وحيوية بالنسبة لاستمرار العمل</w:t>
            </w:r>
          </w:p>
        </w:tc>
      </w:tr>
      <w:tr w:rsidR="006D6669" w:rsidRPr="008954A8" w:rsidTr="00DA5475">
        <w:tc>
          <w:tcPr>
            <w:tcW w:w="4643" w:type="dxa"/>
            <w:tcBorders>
              <w:top w:val="nil"/>
              <w:left w:val="single" w:sz="4" w:space="0" w:color="auto"/>
              <w:bottom w:val="nil"/>
              <w:right w:val="nil"/>
            </w:tcBorders>
            <w:shd w:val="clear" w:color="auto" w:fill="auto"/>
          </w:tcPr>
          <w:p w:rsidR="006D6669" w:rsidRPr="008954A8" w:rsidRDefault="006D6669" w:rsidP="00DA5475">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FE36E0">
              <w:rPr>
                <w:rFonts w:ascii="Arabic Typesetting" w:hAnsi="Arabic Typesetting" w:cs="Arabic Typesetting"/>
                <w:sz w:val="30"/>
                <w:szCs w:val="30"/>
                <w:rtl/>
              </w:rPr>
              <w:t>فقدان ال</w:t>
            </w:r>
            <w:r>
              <w:rPr>
                <w:rFonts w:ascii="Arabic Typesetting" w:hAnsi="Arabic Typesetting" w:cs="Arabic Typesetting" w:hint="cs"/>
                <w:sz w:val="30"/>
                <w:szCs w:val="30"/>
                <w:rtl/>
              </w:rPr>
              <w:t xml:space="preserve">نفاذ </w:t>
            </w:r>
            <w:r w:rsidRPr="00FE36E0">
              <w:rPr>
                <w:rFonts w:ascii="Arabic Typesetting" w:hAnsi="Arabic Typesetting" w:cs="Arabic Typesetting"/>
                <w:sz w:val="30"/>
                <w:szCs w:val="30"/>
                <w:rtl/>
              </w:rPr>
              <w:t>الآمن إلى</w:t>
            </w:r>
            <w:r>
              <w:rPr>
                <w:rFonts w:ascii="Arabic Typesetting" w:hAnsi="Arabic Typesetting" w:cs="Arabic Typesetting" w:hint="cs"/>
                <w:sz w:val="30"/>
                <w:szCs w:val="30"/>
                <w:rtl/>
              </w:rPr>
              <w:t xml:space="preserve"> مبنى أو أكثر</w:t>
            </w:r>
            <w:r w:rsidRPr="00FE36E0">
              <w:rPr>
                <w:rFonts w:ascii="Arabic Typesetting" w:hAnsi="Arabic Typesetting" w:cs="Arabic Typesetting"/>
                <w:sz w:val="30"/>
                <w:szCs w:val="30"/>
                <w:rtl/>
              </w:rPr>
              <w:t xml:space="preserve"> أو استحالة </w:t>
            </w:r>
            <w:r>
              <w:rPr>
                <w:rFonts w:ascii="Arabic Typesetting" w:hAnsi="Arabic Typesetting" w:cs="Arabic Typesetting" w:hint="cs"/>
                <w:sz w:val="30"/>
                <w:szCs w:val="30"/>
                <w:rtl/>
              </w:rPr>
              <w:t xml:space="preserve">شغل مبنى أو أكثر </w:t>
            </w:r>
            <w:r w:rsidRPr="00FE36E0">
              <w:rPr>
                <w:rFonts w:ascii="Arabic Typesetting" w:hAnsi="Arabic Typesetting" w:cs="Arabic Typesetting"/>
                <w:sz w:val="30"/>
                <w:szCs w:val="30"/>
                <w:rtl/>
              </w:rPr>
              <w:t>ل</w:t>
            </w:r>
            <w:r>
              <w:rPr>
                <w:rFonts w:ascii="Arabic Typesetting" w:hAnsi="Arabic Typesetting" w:cs="Arabic Typesetting" w:hint="cs"/>
                <w:sz w:val="30"/>
                <w:szCs w:val="30"/>
                <w:rtl/>
              </w:rPr>
              <w:t xml:space="preserve">مدة زمنية </w:t>
            </w:r>
            <w:r w:rsidRPr="00FE36E0">
              <w:rPr>
                <w:rFonts w:ascii="Arabic Typesetting" w:hAnsi="Arabic Typesetting" w:cs="Arabic Typesetting"/>
                <w:sz w:val="30"/>
                <w:szCs w:val="30"/>
                <w:rtl/>
              </w:rPr>
              <w:t>معينة.</w:t>
            </w:r>
          </w:p>
        </w:tc>
        <w:tc>
          <w:tcPr>
            <w:tcW w:w="4644" w:type="dxa"/>
            <w:tcBorders>
              <w:top w:val="nil"/>
              <w:left w:val="nil"/>
              <w:bottom w:val="nil"/>
              <w:right w:val="single" w:sz="4" w:space="0" w:color="auto"/>
            </w:tcBorders>
            <w:shd w:val="clear" w:color="auto" w:fill="auto"/>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B461B7">
              <w:rPr>
                <w:rFonts w:ascii="Arabic Typesetting" w:hAnsi="Arabic Typesetting" w:cs="Arabic Typesetting"/>
                <w:sz w:val="30"/>
                <w:szCs w:val="30"/>
                <w:rtl/>
              </w:rPr>
              <w:t xml:space="preserve">مواصلة </w:t>
            </w:r>
            <w:r>
              <w:rPr>
                <w:rFonts w:ascii="Arabic Typesetting" w:hAnsi="Arabic Typesetting" w:cs="Arabic Typesetting" w:hint="cs"/>
                <w:sz w:val="30"/>
                <w:szCs w:val="30"/>
                <w:rtl/>
              </w:rPr>
              <w:t>القيام ب</w:t>
            </w:r>
            <w:r w:rsidRPr="00B461B7">
              <w:rPr>
                <w:rFonts w:ascii="Arabic Typesetting" w:hAnsi="Arabic Typesetting" w:cs="Arabic Typesetting"/>
                <w:sz w:val="30"/>
                <w:szCs w:val="30"/>
                <w:rtl/>
              </w:rPr>
              <w:t>التجديد والصيانة الوقائية الرئيسية لجميع المباني</w:t>
            </w:r>
            <w:r>
              <w:rPr>
                <w:rFonts w:ascii="Arabic Typesetting" w:hAnsi="Arabic Typesetting" w:cs="Arabic Typesetting" w:hint="cs"/>
                <w:sz w:val="30"/>
                <w:szCs w:val="30"/>
                <w:rtl/>
              </w:rPr>
              <w:t xml:space="preserve"> و</w:t>
            </w:r>
            <w:r w:rsidRPr="00B461B7">
              <w:rPr>
                <w:rFonts w:ascii="Arabic Typesetting" w:hAnsi="Arabic Typesetting" w:cs="Arabic Typesetting"/>
                <w:sz w:val="30"/>
                <w:szCs w:val="30"/>
                <w:rtl/>
              </w:rPr>
              <w:t>ا</w:t>
            </w:r>
            <w:r>
              <w:rPr>
                <w:rFonts w:ascii="Arabic Typesetting" w:hAnsi="Arabic Typesetting" w:cs="Arabic Typesetting" w:hint="cs"/>
                <w:sz w:val="30"/>
                <w:szCs w:val="30"/>
                <w:rtl/>
              </w:rPr>
              <w:t>لتجهيزات التقنية الرئيسية</w:t>
            </w:r>
            <w:r w:rsidRPr="00B461B7">
              <w:rPr>
                <w:rFonts w:ascii="Arabic Typesetting" w:hAnsi="Arabic Typesetting" w:cs="Arabic Typesetting"/>
                <w:sz w:val="30"/>
                <w:szCs w:val="30"/>
                <w:rtl/>
              </w:rPr>
              <w:t xml:space="preserve">. </w:t>
            </w:r>
            <w:r>
              <w:rPr>
                <w:rFonts w:ascii="Arabic Typesetting" w:hAnsi="Arabic Typesetting" w:cs="Arabic Typesetting" w:hint="cs"/>
                <w:sz w:val="30"/>
                <w:szCs w:val="30"/>
                <w:rtl/>
              </w:rPr>
              <w:t>وال</w:t>
            </w:r>
            <w:r w:rsidRPr="00B461B7">
              <w:rPr>
                <w:rFonts w:ascii="Arabic Typesetting" w:hAnsi="Arabic Typesetting" w:cs="Arabic Typesetting"/>
                <w:sz w:val="30"/>
                <w:szCs w:val="30"/>
                <w:rtl/>
              </w:rPr>
              <w:t>مراجعة</w:t>
            </w:r>
            <w:r>
              <w:rPr>
                <w:rFonts w:ascii="Arabic Typesetting" w:hAnsi="Arabic Typesetting" w:cs="Arabic Typesetting" w:hint="cs"/>
                <w:sz w:val="30"/>
                <w:szCs w:val="30"/>
                <w:rtl/>
              </w:rPr>
              <w:t xml:space="preserve"> ال</w:t>
            </w:r>
            <w:r w:rsidRPr="00B461B7">
              <w:rPr>
                <w:rFonts w:ascii="Arabic Typesetting" w:hAnsi="Arabic Typesetting" w:cs="Arabic Typesetting"/>
                <w:sz w:val="30"/>
                <w:szCs w:val="30"/>
                <w:rtl/>
              </w:rPr>
              <w:t>منتظمة</w:t>
            </w:r>
            <w:r>
              <w:rPr>
                <w:rtl/>
              </w:rPr>
              <w:t xml:space="preserve"> </w:t>
            </w:r>
            <w:r w:rsidRPr="001479BE">
              <w:rPr>
                <w:rFonts w:ascii="Arabic Typesetting" w:hAnsi="Arabic Typesetting" w:cs="Arabic Typesetting"/>
                <w:sz w:val="30"/>
                <w:szCs w:val="30"/>
                <w:rtl/>
              </w:rPr>
              <w:t>لخطط مواجهة المنظمة للطوارئ</w:t>
            </w:r>
            <w:r w:rsidRPr="00B461B7">
              <w:rPr>
                <w:rFonts w:ascii="Arabic Typesetting" w:hAnsi="Arabic Typesetting" w:cs="Arabic Typesetting"/>
                <w:sz w:val="30"/>
                <w:szCs w:val="30"/>
                <w:rtl/>
              </w:rPr>
              <w:t xml:space="preserve"> </w:t>
            </w:r>
            <w:r w:rsidRPr="00B81A78">
              <w:rPr>
                <w:rFonts w:ascii="Arabic Typesetting" w:hAnsi="Arabic Typesetting" w:cs="Arabic Typesetting"/>
                <w:sz w:val="30"/>
                <w:szCs w:val="30"/>
                <w:rtl/>
              </w:rPr>
              <w:t>و</w:t>
            </w:r>
            <w:r w:rsidRPr="00B81A78">
              <w:rPr>
                <w:rFonts w:ascii="Arabic Typesetting" w:hAnsi="Arabic Typesetting" w:cs="Arabic Typesetting" w:hint="cs"/>
                <w:sz w:val="30"/>
                <w:szCs w:val="30"/>
                <w:rtl/>
              </w:rPr>
              <w:t>تفعيل هذه الخطط</w:t>
            </w:r>
            <w:r>
              <w:rPr>
                <w:rFonts w:ascii="Arabic Typesetting" w:hAnsi="Arabic Typesetting" w:cs="Arabic Typesetting" w:hint="cs"/>
                <w:sz w:val="30"/>
                <w:szCs w:val="30"/>
                <w:rtl/>
              </w:rPr>
              <w:t xml:space="preserve"> </w:t>
            </w:r>
            <w:r w:rsidRPr="00B461B7">
              <w:rPr>
                <w:rFonts w:ascii="Arabic Typesetting" w:hAnsi="Arabic Typesetting" w:cs="Arabic Typesetting"/>
                <w:sz w:val="30"/>
                <w:szCs w:val="30"/>
                <w:rtl/>
              </w:rPr>
              <w:t>حسب</w:t>
            </w:r>
            <w:r>
              <w:rPr>
                <w:rFonts w:ascii="Arabic Typesetting" w:hAnsi="Arabic Typesetting" w:cs="Arabic Typesetting" w:hint="cs"/>
                <w:sz w:val="30"/>
                <w:szCs w:val="30"/>
                <w:rtl/>
              </w:rPr>
              <w:t>ما يلزم</w:t>
            </w:r>
            <w:r w:rsidRPr="00B461B7">
              <w:rPr>
                <w:rFonts w:ascii="Arabic Typesetting" w:hAnsi="Arabic Typesetting" w:cs="Arabic Typesetting"/>
                <w:sz w:val="30"/>
                <w:szCs w:val="30"/>
                <w:rtl/>
              </w:rPr>
              <w:t>.</w:t>
            </w:r>
          </w:p>
        </w:tc>
      </w:tr>
      <w:tr w:rsidR="006D6669" w:rsidRPr="008954A8" w:rsidTr="00DA5475">
        <w:tc>
          <w:tcPr>
            <w:tcW w:w="4643" w:type="dxa"/>
            <w:tcBorders>
              <w:top w:val="nil"/>
              <w:left w:val="single" w:sz="4" w:space="0" w:color="auto"/>
              <w:bottom w:val="single" w:sz="4" w:space="0" w:color="auto"/>
              <w:right w:val="nil"/>
            </w:tcBorders>
            <w:shd w:val="clear" w:color="auto" w:fill="auto"/>
          </w:tcPr>
          <w:p w:rsidR="006D6669" w:rsidRPr="00FE36E0" w:rsidRDefault="006D6669" w:rsidP="00DA5475">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487496">
              <w:rPr>
                <w:rFonts w:ascii="Arabic Typesetting" w:hAnsi="Arabic Typesetting" w:cs="Arabic Typesetting"/>
                <w:sz w:val="30"/>
                <w:szCs w:val="30"/>
                <w:rtl/>
              </w:rPr>
              <w:t xml:space="preserve">عدم قدرة </w:t>
            </w:r>
            <w:r>
              <w:rPr>
                <w:rFonts w:ascii="Arabic Typesetting" w:hAnsi="Arabic Typesetting" w:cs="Arabic Typesetting"/>
                <w:sz w:val="30"/>
                <w:szCs w:val="30"/>
                <w:rtl/>
              </w:rPr>
              <w:t>الويبو، باعتبارها</w:t>
            </w:r>
            <w:r>
              <w:rPr>
                <w:rFonts w:ascii="Arabic Typesetting" w:hAnsi="Arabic Typesetting" w:cs="Arabic Typesetting" w:hint="cs"/>
                <w:sz w:val="30"/>
                <w:szCs w:val="30"/>
                <w:rtl/>
              </w:rPr>
              <w:t xml:space="preserve"> إحدى وكالات ا</w:t>
            </w:r>
            <w:r w:rsidRPr="00487496">
              <w:rPr>
                <w:rFonts w:ascii="Arabic Typesetting" w:hAnsi="Arabic Typesetting" w:cs="Arabic Typesetting"/>
                <w:sz w:val="30"/>
                <w:szCs w:val="30"/>
                <w:rtl/>
              </w:rPr>
              <w:t xml:space="preserve">لأمم المتحدة، </w:t>
            </w:r>
            <w:r>
              <w:rPr>
                <w:rFonts w:ascii="Arabic Typesetting" w:hAnsi="Arabic Typesetting" w:cs="Arabic Typesetting" w:hint="cs"/>
                <w:sz w:val="30"/>
                <w:szCs w:val="30"/>
                <w:rtl/>
              </w:rPr>
              <w:t xml:space="preserve">على أن </w:t>
            </w:r>
            <w:r w:rsidRPr="00487496">
              <w:rPr>
                <w:rFonts w:ascii="Arabic Typesetting" w:hAnsi="Arabic Typesetting" w:cs="Arabic Typesetting"/>
                <w:sz w:val="30"/>
                <w:szCs w:val="30"/>
                <w:rtl/>
              </w:rPr>
              <w:t>تكون محايدة مناخيا</w:t>
            </w:r>
            <w:r>
              <w:rPr>
                <w:rFonts w:ascii="Arabic Typesetting" w:hAnsi="Arabic Typesetting" w:cs="Arabic Typesetting" w:hint="cs"/>
                <w:sz w:val="30"/>
                <w:szCs w:val="30"/>
                <w:rtl/>
              </w:rPr>
              <w:t>ً</w:t>
            </w:r>
            <w:r w:rsidRPr="00487496">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على نحو فعال </w:t>
            </w:r>
            <w:r w:rsidRPr="00487496">
              <w:rPr>
                <w:rFonts w:ascii="Arabic Typesetting" w:hAnsi="Arabic Typesetting" w:cs="Arabic Typesetting"/>
                <w:sz w:val="30"/>
                <w:szCs w:val="30"/>
                <w:rtl/>
              </w:rPr>
              <w:t xml:space="preserve">بحلول عام 2020 كما </w:t>
            </w:r>
            <w:r>
              <w:rPr>
                <w:rFonts w:ascii="Arabic Typesetting" w:hAnsi="Arabic Typesetting" w:cs="Arabic Typesetting" w:hint="cs"/>
                <w:sz w:val="30"/>
                <w:szCs w:val="30"/>
                <w:rtl/>
              </w:rPr>
              <w:t>تعهدت</w:t>
            </w:r>
            <w:r w:rsidRPr="00487496">
              <w:rPr>
                <w:rFonts w:ascii="Arabic Typesetting" w:hAnsi="Arabic Typesetting" w:cs="Arabic Typesetting"/>
                <w:sz w:val="30"/>
                <w:szCs w:val="30"/>
                <w:rtl/>
              </w:rPr>
              <w:t xml:space="preserve"> </w:t>
            </w:r>
            <w:r>
              <w:rPr>
                <w:rFonts w:ascii="Arabic Typesetting" w:hAnsi="Arabic Typesetting" w:cs="Arabic Typesetting" w:hint="cs"/>
                <w:sz w:val="30"/>
                <w:szCs w:val="30"/>
                <w:rtl/>
              </w:rPr>
              <w:t>ل</w:t>
            </w:r>
            <w:r w:rsidRPr="00487496">
              <w:rPr>
                <w:rFonts w:ascii="Arabic Typesetting" w:hAnsi="Arabic Typesetting" w:cs="Arabic Typesetting"/>
                <w:sz w:val="30"/>
                <w:szCs w:val="30"/>
                <w:rtl/>
              </w:rPr>
              <w:t>لأمين العام للأمم المتحدة.</w:t>
            </w:r>
          </w:p>
        </w:tc>
        <w:tc>
          <w:tcPr>
            <w:tcW w:w="4644" w:type="dxa"/>
            <w:tcBorders>
              <w:top w:val="nil"/>
              <w:left w:val="nil"/>
              <w:bottom w:val="single" w:sz="4" w:space="0" w:color="auto"/>
              <w:right w:val="single" w:sz="4" w:space="0" w:color="auto"/>
            </w:tcBorders>
            <w:shd w:val="clear" w:color="auto" w:fill="auto"/>
          </w:tcPr>
          <w:p w:rsidR="006D6669" w:rsidRPr="00B461B7" w:rsidRDefault="006D6669" w:rsidP="00DA5475">
            <w:pPr>
              <w:spacing w:beforeLines="60" w:before="144" w:afterLines="60" w:after="144" w:line="300" w:lineRule="exact"/>
              <w:rPr>
                <w:rFonts w:ascii="Arabic Typesetting" w:hAnsi="Arabic Typesetting" w:cs="Arabic Typesetting"/>
                <w:sz w:val="30"/>
                <w:szCs w:val="30"/>
                <w:rtl/>
              </w:rPr>
            </w:pPr>
            <w:r w:rsidRPr="008465CB">
              <w:rPr>
                <w:rFonts w:ascii="Arabic Typesetting" w:hAnsi="Arabic Typesetting" w:cs="Arabic Typesetting"/>
                <w:sz w:val="30"/>
                <w:szCs w:val="30"/>
                <w:rtl/>
              </w:rPr>
              <w:t xml:space="preserve">الرصد المستمر للبيانات البيئية التنظيمية مما يؤدي إلى مقترحات </w:t>
            </w:r>
            <w:r>
              <w:rPr>
                <w:rFonts w:ascii="Arabic Typesetting" w:hAnsi="Arabic Typesetting" w:cs="Arabic Typesetting" w:hint="cs"/>
                <w:sz w:val="30"/>
                <w:szCs w:val="30"/>
                <w:rtl/>
              </w:rPr>
              <w:t xml:space="preserve">لتقليل أو تعويض </w:t>
            </w:r>
            <w:r w:rsidRPr="008465CB">
              <w:rPr>
                <w:rFonts w:ascii="Arabic Typesetting" w:hAnsi="Arabic Typesetting" w:cs="Arabic Typesetting"/>
                <w:sz w:val="30"/>
                <w:szCs w:val="30"/>
                <w:rtl/>
              </w:rPr>
              <w:t>الكربون وغيره من الانبعاثات.</w:t>
            </w:r>
          </w:p>
        </w:tc>
      </w:tr>
    </w:tbl>
    <w:p w:rsidR="006D6669" w:rsidRPr="008465CB" w:rsidRDefault="006D6669" w:rsidP="00DA5475">
      <w:pPr>
        <w:tabs>
          <w:tab w:val="left" w:pos="567"/>
          <w:tab w:val="left" w:pos="1985"/>
        </w:tabs>
        <w:rPr>
          <w:rFonts w:ascii="Arabic Typesetting" w:hAnsi="Arabic Typesetting" w:cs="Arabic Typesetting"/>
          <w:b/>
          <w:sz w:val="30"/>
          <w:szCs w:val="30"/>
        </w:rPr>
      </w:pPr>
    </w:p>
    <w:p w:rsidR="006D6669" w:rsidRPr="00D810C2"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D810C2">
        <w:rPr>
          <w:rFonts w:ascii="Arabic Typesetting" w:hAnsi="Arabic Typesetting" w:cs="Arabic Typesetting"/>
          <w:noProof/>
          <w:snapToGrid/>
          <w:sz w:val="38"/>
          <w:szCs w:val="38"/>
          <w:rtl/>
          <w:lang w:val="x-none" w:eastAsia="x-none" w:bidi="ar-EG"/>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6D6669" w:rsidRPr="008954A8" w:rsidTr="00DA5475">
        <w:trPr>
          <w:cantSplit/>
          <w:trHeight w:val="605"/>
          <w:tblHeader/>
        </w:trPr>
        <w:tc>
          <w:tcPr>
            <w:tcW w:w="1249"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spacing w:beforeLines="60" w:before="144" w:afterLines="60" w:after="144"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spacing w:beforeLines="60" w:before="144" w:afterLines="60" w:after="144"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spacing w:beforeLines="60" w:before="144" w:afterLines="60" w:after="144" w:line="300" w:lineRule="exact"/>
              <w:ind w:left="85"/>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keepNext/>
              <w:keepLines/>
              <w:spacing w:beforeLines="60" w:before="144" w:afterLines="60" w:after="144" w:line="300" w:lineRule="exact"/>
              <w:ind w:right="111"/>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الأهداف</w:t>
            </w:r>
          </w:p>
        </w:tc>
      </w:tr>
      <w:tr w:rsidR="006D6669" w:rsidRPr="008954A8" w:rsidTr="00DA5475">
        <w:trPr>
          <w:cantSplit/>
        </w:trPr>
        <w:tc>
          <w:tcPr>
            <w:tcW w:w="1249" w:type="pct"/>
            <w:tcBorders>
              <w:top w:val="single" w:sz="4" w:space="0" w:color="auto"/>
              <w:bottom w:val="nil"/>
            </w:tcBorders>
            <w:tcMar>
              <w:top w:w="113" w:type="dxa"/>
            </w:tcMar>
          </w:tcPr>
          <w:p w:rsidR="006D6669" w:rsidRPr="008954A8" w:rsidRDefault="009800D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color w:val="000000"/>
                <w:sz w:val="30"/>
                <w:szCs w:val="30"/>
                <w:rtl/>
              </w:rPr>
              <w:t>ه</w:t>
            </w:r>
            <w:r w:rsidR="006D6669">
              <w:rPr>
                <w:rFonts w:ascii="Arabic Typesetting" w:hAnsi="Arabic Typesetting" w:cs="Arabic Typesetting" w:hint="cs"/>
                <w:color w:val="000000"/>
                <w:sz w:val="30"/>
                <w:szCs w:val="30"/>
                <w:rtl/>
              </w:rPr>
              <w:t xml:space="preserve"> </w:t>
            </w:r>
            <w:r w:rsidR="006D6669" w:rsidRPr="008465CB">
              <w:rPr>
                <w:rFonts w:ascii="Arabic Typesetting" w:hAnsi="Arabic Typesetting" w:cs="Arabic Typesetting"/>
                <w:color w:val="000000"/>
                <w:sz w:val="30"/>
                <w:szCs w:val="30"/>
                <w:rtl/>
              </w:rPr>
              <w:t>5.8 تفاعل الويبو وتشاركها بفعالية مع مسارات ومفاوضات الأمم المتحدة وسائر المنظمات الحكومية الدولية</w:t>
            </w:r>
          </w:p>
        </w:tc>
        <w:tc>
          <w:tcPr>
            <w:tcW w:w="1462" w:type="pct"/>
            <w:tcBorders>
              <w:top w:val="single" w:sz="4" w:space="0" w:color="auto"/>
              <w:bottom w:val="nil"/>
            </w:tcBorders>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b/>
                <w:sz w:val="30"/>
                <w:szCs w:val="30"/>
                <w:rtl/>
              </w:rPr>
            </w:pPr>
            <w:r w:rsidRPr="008954A8">
              <w:rPr>
                <w:rFonts w:ascii="Arabic Typesetting" w:hAnsi="Arabic Typesetting" w:cs="Arabic Typesetting"/>
                <w:sz w:val="30"/>
                <w:szCs w:val="30"/>
                <w:rtl/>
              </w:rPr>
              <w:t>النسبة المئوية للسلع والخدمات ذات المصدر المحلي مقارنة</w:t>
            </w:r>
            <w:r>
              <w:rPr>
                <w:rFonts w:ascii="Arabic Typesetting" w:hAnsi="Arabic Typesetting" w:cs="Arabic Typesetting" w:hint="cs"/>
                <w:sz w:val="30"/>
                <w:szCs w:val="30"/>
                <w:rtl/>
              </w:rPr>
              <w:t>ً</w:t>
            </w:r>
            <w:r w:rsidRPr="008954A8">
              <w:rPr>
                <w:rFonts w:ascii="Arabic Typesetting" w:hAnsi="Arabic Typesetting" w:cs="Arabic Typesetting"/>
                <w:sz w:val="30"/>
                <w:szCs w:val="30"/>
                <w:rtl/>
              </w:rPr>
              <w:t xml:space="preserve"> بإجمالي المبلغ المخصص لنشاط التنمية</w:t>
            </w:r>
          </w:p>
        </w:tc>
        <w:tc>
          <w:tcPr>
            <w:tcW w:w="1145" w:type="pct"/>
            <w:tcBorders>
              <w:top w:val="single" w:sz="4" w:space="0" w:color="auto"/>
              <w:bottom w:val="nil"/>
            </w:tcBorders>
            <w:shd w:val="clear" w:color="auto" w:fill="FFFFFF"/>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45% (نهاية 2014)</w:t>
            </w:r>
          </w:p>
        </w:tc>
        <w:tc>
          <w:tcPr>
            <w:tcW w:w="1144" w:type="pct"/>
            <w:tcBorders>
              <w:top w:val="single" w:sz="4" w:space="0" w:color="auto"/>
              <w:bottom w:val="nil"/>
            </w:tcBorders>
            <w:tcMar>
              <w:top w:w="113" w:type="dxa"/>
            </w:tcMar>
          </w:tcPr>
          <w:p w:rsidR="006D6669" w:rsidRPr="008954A8"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تساوي نتيجة 2014 أو أكبر منها</w:t>
            </w:r>
          </w:p>
        </w:tc>
      </w:tr>
      <w:tr w:rsidR="006D6669" w:rsidRPr="008954A8" w:rsidTr="00DA5475">
        <w:trPr>
          <w:cantSplit/>
          <w:trHeight w:val="638"/>
        </w:trPr>
        <w:tc>
          <w:tcPr>
            <w:tcW w:w="1249" w:type="pct"/>
            <w:tcBorders>
              <w:top w:val="nil"/>
              <w:bottom w:val="nil"/>
            </w:tcBorders>
            <w:tcMar>
              <w:top w:w="113" w:type="dxa"/>
            </w:tcMar>
          </w:tcPr>
          <w:p w:rsidR="006D6669" w:rsidRPr="007A4537" w:rsidRDefault="006D6669" w:rsidP="00DA5475">
            <w:pPr>
              <w:spacing w:beforeLines="60" w:before="144" w:afterLines="60" w:after="144" w:line="300" w:lineRule="exact"/>
              <w:rPr>
                <w:rFonts w:ascii="Arabic Typesetting" w:hAnsi="Arabic Typesetting" w:cs="Arabic Typesetting"/>
                <w:sz w:val="30"/>
                <w:szCs w:val="30"/>
              </w:rPr>
            </w:pPr>
          </w:p>
        </w:tc>
        <w:tc>
          <w:tcPr>
            <w:tcW w:w="1462" w:type="pct"/>
            <w:tcBorders>
              <w:top w:val="nil"/>
              <w:bottom w:val="nil"/>
            </w:tcBorders>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النسبة المئوية للنفقات الخاضعة لعمليات التحسين التي تجريها الأمم المتحدة (</w:t>
            </w:r>
            <w:r w:rsidRPr="00B47D07">
              <w:rPr>
                <w:rFonts w:ascii="Arabic Typesetting" w:hAnsi="Arabic Typesetting" w:cs="Arabic Typesetting"/>
                <w:sz w:val="30"/>
                <w:szCs w:val="30"/>
                <w:rtl/>
              </w:rPr>
              <w:t>سواء العطاء المشترك أو الاقتداء</w:t>
            </w:r>
            <w:r w:rsidRPr="008954A8">
              <w:rPr>
                <w:rFonts w:ascii="Arabic Typesetting" w:hAnsi="Arabic Typesetting" w:cs="Arabic Typesetting"/>
                <w:sz w:val="30"/>
                <w:szCs w:val="30"/>
                <w:rtl/>
              </w:rPr>
              <w:t>)</w:t>
            </w:r>
          </w:p>
        </w:tc>
        <w:tc>
          <w:tcPr>
            <w:tcW w:w="1145" w:type="pct"/>
            <w:tcBorders>
              <w:top w:val="nil"/>
              <w:bottom w:val="nil"/>
            </w:tcBorders>
            <w:shd w:val="clear" w:color="auto" w:fill="FFFFFF"/>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4.15% (نهاية 2014)</w:t>
            </w:r>
          </w:p>
        </w:tc>
        <w:tc>
          <w:tcPr>
            <w:tcW w:w="1144" w:type="pct"/>
            <w:tcBorders>
              <w:top w:val="nil"/>
              <w:bottom w:val="nil"/>
            </w:tcBorders>
            <w:tcMar>
              <w:top w:w="113" w:type="dxa"/>
            </w:tcMar>
          </w:tcPr>
          <w:p w:rsidR="006D6669" w:rsidRPr="00F9168D" w:rsidRDefault="006D6669" w:rsidP="00DA5475">
            <w:pPr>
              <w:keepNext/>
              <w:keepLines/>
              <w:spacing w:beforeLines="60" w:before="144" w:afterLines="60" w:after="144" w:line="300" w:lineRule="exact"/>
              <w:ind w:right="221"/>
              <w:rPr>
                <w:rFonts w:ascii="Arabic Typesetting" w:hAnsi="Arabic Typesetting" w:cs="Arabic Typesetting"/>
                <w:b/>
                <w:sz w:val="30"/>
                <w:szCs w:val="30"/>
              </w:rPr>
            </w:pPr>
            <w:r w:rsidRPr="00F9168D">
              <w:rPr>
                <w:rFonts w:ascii="Arabic Typesetting" w:hAnsi="Arabic Typesetting" w:cs="Arabic Typesetting" w:hint="cs"/>
                <w:b/>
                <w:sz w:val="30"/>
                <w:szCs w:val="30"/>
                <w:rtl/>
              </w:rPr>
              <w:t>تساوي نتيجة 2014 أو أكبر منها</w:t>
            </w:r>
          </w:p>
        </w:tc>
      </w:tr>
      <w:tr w:rsidR="006D6669" w:rsidRPr="008954A8" w:rsidTr="00DA5475">
        <w:trPr>
          <w:cantSplit/>
        </w:trPr>
        <w:tc>
          <w:tcPr>
            <w:tcW w:w="1249" w:type="pct"/>
            <w:tcBorders>
              <w:top w:val="nil"/>
              <w:bottom w:val="nil"/>
            </w:tcBorders>
            <w:tcMar>
              <w:top w:w="113" w:type="dxa"/>
            </w:tcMar>
          </w:tcPr>
          <w:p w:rsidR="006D6669" w:rsidRPr="008954A8" w:rsidRDefault="009800D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color w:val="000000"/>
                <w:sz w:val="30"/>
                <w:szCs w:val="30"/>
                <w:rtl/>
              </w:rPr>
              <w:t>ه</w:t>
            </w:r>
            <w:r w:rsidR="006D6669">
              <w:rPr>
                <w:rFonts w:ascii="Arabic Typesetting" w:hAnsi="Arabic Typesetting" w:cs="Arabic Typesetting" w:hint="cs"/>
                <w:color w:val="000000"/>
                <w:sz w:val="30"/>
                <w:szCs w:val="30"/>
                <w:rtl/>
              </w:rPr>
              <w:t xml:space="preserve"> </w:t>
            </w:r>
            <w:r w:rsidR="006D6669" w:rsidRPr="006D7F55">
              <w:rPr>
                <w:rFonts w:ascii="Arabic Typesetting" w:hAnsi="Arabic Typesetting" w:cs="Arabic Typesetting"/>
                <w:color w:val="000000"/>
                <w:sz w:val="30"/>
                <w:szCs w:val="30"/>
                <w:rtl/>
              </w:rPr>
              <w:t>1.9 خدمات دعم موجهة للزبون بفعالية وكفاءة وجودة لفائدة الزبائن الداخليين وأصحاب المصلحة الخارجيين</w:t>
            </w:r>
          </w:p>
        </w:tc>
        <w:tc>
          <w:tcPr>
            <w:tcW w:w="1462" w:type="pct"/>
            <w:tcBorders>
              <w:top w:val="nil"/>
              <w:bottom w:val="nil"/>
            </w:tcBorders>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b/>
                <w:sz w:val="30"/>
                <w:szCs w:val="30"/>
                <w:rtl/>
              </w:rPr>
            </w:pPr>
            <w:r w:rsidRPr="008954A8">
              <w:rPr>
                <w:rFonts w:ascii="Arabic Typesetting" w:hAnsi="Arabic Typesetting" w:cs="Arabic Typesetting"/>
                <w:b/>
                <w:sz w:val="30"/>
                <w:szCs w:val="30"/>
                <w:rtl/>
              </w:rPr>
              <w:t>تحقيق وفورات في</w:t>
            </w:r>
            <w:r>
              <w:rPr>
                <w:rFonts w:ascii="Arabic Typesetting" w:hAnsi="Arabic Typesetting" w:cs="Arabic Typesetting" w:hint="cs"/>
                <w:b/>
                <w:sz w:val="30"/>
                <w:szCs w:val="30"/>
                <w:rtl/>
              </w:rPr>
              <w:t xml:space="preserve"> تكلفة</w:t>
            </w:r>
            <w:r w:rsidRPr="008954A8">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 xml:space="preserve">ما تشتريه الويبو من </w:t>
            </w:r>
            <w:r w:rsidRPr="008954A8">
              <w:rPr>
                <w:rFonts w:ascii="Arabic Typesetting" w:hAnsi="Arabic Typesetting" w:cs="Arabic Typesetting"/>
                <w:b/>
                <w:sz w:val="30"/>
                <w:szCs w:val="30"/>
                <w:rtl/>
              </w:rPr>
              <w:t xml:space="preserve">سلع وخدمات (مستمدة من طلبات </w:t>
            </w:r>
            <w:r>
              <w:rPr>
                <w:rFonts w:ascii="Arabic Typesetting" w:hAnsi="Arabic Typesetting" w:cs="Arabic Typesetting" w:hint="cs"/>
                <w:b/>
                <w:sz w:val="30"/>
                <w:szCs w:val="30"/>
                <w:rtl/>
              </w:rPr>
              <w:t>العروض</w:t>
            </w:r>
            <w:r w:rsidRPr="008954A8">
              <w:rPr>
                <w:rFonts w:ascii="Arabic Typesetting" w:hAnsi="Arabic Typesetting" w:cs="Arabic Typesetting"/>
                <w:b/>
                <w:sz w:val="30"/>
                <w:szCs w:val="30"/>
                <w:rtl/>
              </w:rPr>
              <w:t xml:space="preserve"> أو المفاوضات المباشرة)</w:t>
            </w:r>
          </w:p>
        </w:tc>
        <w:tc>
          <w:tcPr>
            <w:tcW w:w="1145" w:type="pct"/>
            <w:tcBorders>
              <w:top w:val="nil"/>
              <w:bottom w:val="nil"/>
            </w:tcBorders>
            <w:shd w:val="clear" w:color="auto" w:fill="FFFFFF"/>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2.6 مليون فرنك سويسري (نهاية 2014)</w:t>
            </w:r>
          </w:p>
        </w:tc>
        <w:tc>
          <w:tcPr>
            <w:tcW w:w="1144" w:type="pct"/>
            <w:tcBorders>
              <w:top w:val="nil"/>
              <w:bottom w:val="nil"/>
            </w:tcBorders>
            <w:tcMar>
              <w:top w:w="113" w:type="dxa"/>
            </w:tcMar>
          </w:tcPr>
          <w:p w:rsidR="006D6669" w:rsidRPr="008954A8" w:rsidRDefault="006D6669" w:rsidP="00DA5475">
            <w:pPr>
              <w:keepNext/>
              <w:keepLines/>
              <w:spacing w:beforeLines="60" w:before="144" w:afterLines="60" w:after="144" w:line="300" w:lineRule="exact"/>
              <w:ind w:right="221"/>
              <w:rPr>
                <w:rFonts w:ascii="Arabic Typesetting" w:hAnsi="Arabic Typesetting" w:cs="Arabic Typesetting"/>
                <w:bCs/>
                <w:sz w:val="30"/>
                <w:szCs w:val="30"/>
                <w:rtl/>
              </w:rPr>
            </w:pPr>
            <w:r w:rsidRPr="00F9168D">
              <w:rPr>
                <w:rFonts w:ascii="Arabic Typesetting" w:hAnsi="Arabic Typesetting" w:cs="Arabic Typesetting" w:hint="cs"/>
                <w:b/>
                <w:sz w:val="30"/>
                <w:szCs w:val="30"/>
                <w:rtl/>
              </w:rPr>
              <w:t>تساوي نتيجة 2014 أو أكبر منها</w:t>
            </w:r>
          </w:p>
        </w:tc>
      </w:tr>
      <w:tr w:rsidR="006D6669" w:rsidRPr="008954A8" w:rsidTr="00DA5475">
        <w:trPr>
          <w:cantSplit/>
          <w:trHeight w:val="622"/>
        </w:trPr>
        <w:tc>
          <w:tcPr>
            <w:tcW w:w="1249" w:type="pct"/>
            <w:tcBorders>
              <w:top w:val="nil"/>
            </w:tcBorders>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Pr>
            </w:pPr>
          </w:p>
        </w:tc>
        <w:tc>
          <w:tcPr>
            <w:tcW w:w="1462" w:type="pct"/>
            <w:tcBorders>
              <w:top w:val="nil"/>
            </w:tcBorders>
            <w:tcMar>
              <w:top w:w="113" w:type="dxa"/>
            </w:tcMar>
          </w:tcPr>
          <w:p w:rsidR="006D6669"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الوقت المستغرق لمعالجة </w:t>
            </w:r>
            <w:r w:rsidRPr="008246A2">
              <w:rPr>
                <w:rFonts w:ascii="Arabic Typesetting" w:hAnsi="Arabic Typesetting" w:cs="Arabic Typesetting"/>
                <w:sz w:val="30"/>
                <w:szCs w:val="30"/>
                <w:rtl/>
              </w:rPr>
              <w:t xml:space="preserve">طلبات </w:t>
            </w:r>
            <w:r>
              <w:rPr>
                <w:rFonts w:ascii="Arabic Typesetting" w:hAnsi="Arabic Typesetting" w:cs="Arabic Typesetting" w:hint="cs"/>
                <w:sz w:val="30"/>
                <w:szCs w:val="30"/>
                <w:rtl/>
              </w:rPr>
              <w:t>التظاهرات الإلكترونية</w:t>
            </w:r>
          </w:p>
          <w:p w:rsidR="006D6669" w:rsidRDefault="006D6669" w:rsidP="00DA5475">
            <w:pPr>
              <w:spacing w:beforeLines="60" w:before="144" w:afterLines="60" w:after="144" w:line="300" w:lineRule="exact"/>
              <w:rPr>
                <w:rFonts w:ascii="Arabic Typesetting" w:hAnsi="Arabic Typesetting" w:cs="Arabic Typesetting"/>
                <w:sz w:val="30"/>
                <w:szCs w:val="30"/>
                <w:rtl/>
              </w:rPr>
            </w:pPr>
            <w:r w:rsidRPr="008954A8">
              <w:rPr>
                <w:rFonts w:ascii="Arabic Typesetting" w:hAnsi="Arabic Typesetting" w:cs="Arabic Typesetting"/>
                <w:sz w:val="30"/>
                <w:szCs w:val="30"/>
                <w:rtl/>
              </w:rPr>
              <w:t>الوقت المستغرق لمعالجة تصريحات السفر الإلكترونية</w:t>
            </w:r>
          </w:p>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الوقت المستغرق لمعالجة التأشيرات</w:t>
            </w:r>
          </w:p>
        </w:tc>
        <w:tc>
          <w:tcPr>
            <w:tcW w:w="1145" w:type="pct"/>
            <w:tcBorders>
              <w:top w:val="nil"/>
            </w:tcBorders>
            <w:shd w:val="clear" w:color="auto" w:fill="FFFFFF"/>
            <w:tcMar>
              <w:top w:w="113" w:type="dxa"/>
            </w:tcMar>
          </w:tcPr>
          <w:p w:rsidR="006D6669"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نصف يوم (2014)</w:t>
            </w:r>
          </w:p>
          <w:p w:rsidR="006D6669"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نصف </w:t>
            </w:r>
            <w:r w:rsidRPr="00A456F6">
              <w:rPr>
                <w:rFonts w:ascii="Arabic Typesetting" w:hAnsi="Arabic Typesetting" w:cs="Arabic Typesetting"/>
                <w:sz w:val="30"/>
                <w:szCs w:val="30"/>
                <w:rtl/>
              </w:rPr>
              <w:t>يوم (2014)</w:t>
            </w:r>
          </w:p>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أقل من يوم (2014)</w:t>
            </w:r>
          </w:p>
        </w:tc>
        <w:tc>
          <w:tcPr>
            <w:tcW w:w="1144" w:type="pct"/>
            <w:tcBorders>
              <w:top w:val="nil"/>
            </w:tcBorders>
            <w:tcMar>
              <w:top w:w="113" w:type="dxa"/>
            </w:tcMar>
          </w:tcPr>
          <w:p w:rsidR="006D6669"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sidRPr="00A456F6">
              <w:rPr>
                <w:rFonts w:ascii="Arabic Typesetting" w:hAnsi="Arabic Typesetting" w:cs="Arabic Typesetting" w:hint="cs"/>
                <w:b/>
                <w:sz w:val="30"/>
                <w:szCs w:val="30"/>
                <w:rtl/>
              </w:rPr>
              <w:t xml:space="preserve">أقل من </w:t>
            </w:r>
            <w:r>
              <w:rPr>
                <w:rFonts w:ascii="Arabic Typesetting" w:hAnsi="Arabic Typesetting" w:cs="Arabic Typesetting" w:hint="cs"/>
                <w:b/>
                <w:sz w:val="30"/>
                <w:szCs w:val="30"/>
                <w:rtl/>
              </w:rPr>
              <w:t xml:space="preserve">نصف </w:t>
            </w:r>
            <w:r w:rsidRPr="00A456F6">
              <w:rPr>
                <w:rFonts w:ascii="Arabic Typesetting" w:hAnsi="Arabic Typesetting" w:cs="Arabic Typesetting" w:hint="cs"/>
                <w:b/>
                <w:sz w:val="30"/>
                <w:szCs w:val="30"/>
                <w:rtl/>
              </w:rPr>
              <w:t>يوم</w:t>
            </w:r>
          </w:p>
          <w:p w:rsidR="006D6669"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sidRPr="00A456F6">
              <w:rPr>
                <w:rFonts w:ascii="Arabic Typesetting" w:hAnsi="Arabic Typesetting" w:cs="Arabic Typesetting"/>
                <w:b/>
                <w:sz w:val="30"/>
                <w:szCs w:val="30"/>
                <w:rtl/>
              </w:rPr>
              <w:t xml:space="preserve">أقل من </w:t>
            </w:r>
            <w:r>
              <w:rPr>
                <w:rFonts w:ascii="Arabic Typesetting" w:hAnsi="Arabic Typesetting" w:cs="Arabic Typesetting" w:hint="cs"/>
                <w:b/>
                <w:sz w:val="30"/>
                <w:szCs w:val="30"/>
                <w:rtl/>
              </w:rPr>
              <w:t xml:space="preserve">نصف </w:t>
            </w:r>
            <w:r w:rsidRPr="00A456F6">
              <w:rPr>
                <w:rFonts w:ascii="Arabic Typesetting" w:hAnsi="Arabic Typesetting" w:cs="Arabic Typesetting"/>
                <w:b/>
                <w:sz w:val="30"/>
                <w:szCs w:val="30"/>
                <w:rtl/>
              </w:rPr>
              <w:t>يوم</w:t>
            </w:r>
          </w:p>
          <w:p w:rsidR="006D6669" w:rsidRPr="00A456F6" w:rsidRDefault="006D6669" w:rsidP="00DA5475">
            <w:pPr>
              <w:keepNext/>
              <w:keepLines/>
              <w:spacing w:beforeLines="60" w:before="144" w:afterLines="60" w:after="144" w:line="300" w:lineRule="exact"/>
              <w:ind w:right="221"/>
              <w:rPr>
                <w:rFonts w:ascii="Arabic Typesetting" w:hAnsi="Arabic Typesetting" w:cs="Arabic Typesetting"/>
                <w:b/>
                <w:sz w:val="30"/>
                <w:szCs w:val="30"/>
              </w:rPr>
            </w:pPr>
            <w:r>
              <w:rPr>
                <w:rFonts w:ascii="Arabic Typesetting" w:hAnsi="Arabic Typesetting" w:cs="Arabic Typesetting" w:hint="cs"/>
                <w:b/>
                <w:sz w:val="30"/>
                <w:szCs w:val="30"/>
                <w:rtl/>
              </w:rPr>
              <w:t>أقل من يوم</w:t>
            </w:r>
          </w:p>
        </w:tc>
      </w:tr>
      <w:tr w:rsidR="006D6669" w:rsidRPr="008954A8" w:rsidTr="00DA5475">
        <w:trPr>
          <w:cantSplit/>
          <w:trHeight w:val="778"/>
        </w:trPr>
        <w:tc>
          <w:tcPr>
            <w:tcW w:w="1249" w:type="pct"/>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6D6669" w:rsidRDefault="006D6669" w:rsidP="00DA5475">
            <w:pPr>
              <w:spacing w:beforeLines="60" w:before="144" w:afterLines="60" w:after="144" w:line="300" w:lineRule="exact"/>
              <w:rPr>
                <w:rFonts w:ascii="Arabic Typesetting" w:hAnsi="Arabic Typesetting" w:cs="Arabic Typesetting"/>
                <w:sz w:val="30"/>
                <w:szCs w:val="30"/>
                <w:rtl/>
              </w:rPr>
            </w:pPr>
            <w:r w:rsidRPr="00766FC2">
              <w:rPr>
                <w:rFonts w:ascii="Arabic Typesetting" w:hAnsi="Arabic Typesetting" w:cs="Arabic Typesetting"/>
                <w:sz w:val="30"/>
                <w:szCs w:val="30"/>
                <w:rtl/>
              </w:rPr>
              <w:t xml:space="preserve">متوسط </w:t>
            </w:r>
            <w:r>
              <w:rPr>
                <w:rFonts w:ascii="Arabic Typesetting" w:hAnsi="Arabic Typesetting" w:cs="Arabic Typesetting" w:hint="cs"/>
                <w:sz w:val="30"/>
                <w:szCs w:val="30"/>
                <w:rtl/>
              </w:rPr>
              <w:t>أسعار</w:t>
            </w:r>
            <w:r w:rsidRPr="00766FC2">
              <w:rPr>
                <w:rFonts w:ascii="Arabic Typesetting" w:hAnsi="Arabic Typesetting" w:cs="Arabic Typesetting"/>
                <w:sz w:val="30"/>
                <w:szCs w:val="30"/>
                <w:rtl/>
              </w:rPr>
              <w:t xml:space="preserve"> تذاكر </w:t>
            </w:r>
            <w:r w:rsidRPr="00766FC2">
              <w:rPr>
                <w:rFonts w:ascii="Arabic Typesetting" w:hAnsi="Arabic Typesetting" w:cs="Arabic Typesetting"/>
                <w:sz w:val="30"/>
                <w:szCs w:val="30"/>
              </w:rPr>
              <w:t>TMC</w:t>
            </w:r>
            <w:r>
              <w:rPr>
                <w:rFonts w:ascii="Arabic Typesetting" w:hAnsi="Arabic Typesetting" w:cs="Arabic Typesetting"/>
                <w:sz w:val="30"/>
                <w:szCs w:val="30"/>
                <w:rtl/>
              </w:rPr>
              <w:br/>
            </w:r>
          </w:p>
          <w:p w:rsidR="006D6669" w:rsidRPr="008954A8" w:rsidRDefault="006D6669" w:rsidP="00DA5475">
            <w:pPr>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المتوسط العالمي لأسعار التذاكر</w:t>
            </w:r>
            <w:r>
              <w:rPr>
                <w:rFonts w:ascii="Arabic Typesetting" w:hAnsi="Arabic Typesetting" w:cs="Arabic Typesetting"/>
                <w:sz w:val="30"/>
                <w:szCs w:val="30"/>
                <w:rtl/>
              </w:rPr>
              <w:br/>
            </w:r>
            <w:r>
              <w:rPr>
                <w:rFonts w:ascii="Arabic Typesetting" w:hAnsi="Arabic Typesetting" w:cs="Arabic Typesetting"/>
                <w:sz w:val="30"/>
                <w:szCs w:val="30"/>
                <w:rtl/>
              </w:rPr>
              <w:br/>
            </w:r>
            <w:r>
              <w:rPr>
                <w:rFonts w:ascii="Arabic Typesetting" w:hAnsi="Arabic Typesetting" w:cs="Arabic Typesetting" w:hint="cs"/>
                <w:sz w:val="30"/>
                <w:szCs w:val="30"/>
                <w:rtl/>
              </w:rPr>
              <w:t>متوسط رسوم الخدمات</w:t>
            </w:r>
          </w:p>
        </w:tc>
        <w:tc>
          <w:tcPr>
            <w:tcW w:w="1145" w:type="pct"/>
            <w:shd w:val="clear" w:color="auto" w:fill="FFFFFF"/>
            <w:tcMar>
              <w:top w:w="113" w:type="dxa"/>
            </w:tcMar>
          </w:tcPr>
          <w:p w:rsidR="006D6669"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1850 فرنك سويسري (ديسمبر 2014)</w:t>
            </w:r>
          </w:p>
          <w:p w:rsidR="006D6669"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1600 فرنك سويسري (ديسمبر 2014)</w:t>
            </w:r>
          </w:p>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118 فرنك سويسري (نهاية 2014)</w:t>
            </w:r>
          </w:p>
        </w:tc>
        <w:tc>
          <w:tcPr>
            <w:tcW w:w="1144" w:type="pct"/>
            <w:tcMar>
              <w:top w:w="113" w:type="dxa"/>
            </w:tcMar>
          </w:tcPr>
          <w:p w:rsidR="006D6669"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أقل من أو يساوي 1850 فرنك سويسري</w:t>
            </w:r>
          </w:p>
          <w:p w:rsidR="006D6669"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أقل من أو يساوي 1600 فرنك سويسري</w:t>
            </w:r>
          </w:p>
          <w:p w:rsidR="006D6669" w:rsidRPr="008954A8"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أقل من 100 فرنك سويسري</w:t>
            </w:r>
          </w:p>
        </w:tc>
      </w:tr>
      <w:tr w:rsidR="006D6669" w:rsidRPr="008954A8" w:rsidTr="00DA5475">
        <w:trPr>
          <w:cantSplit/>
          <w:trHeight w:val="515"/>
        </w:trPr>
        <w:tc>
          <w:tcPr>
            <w:tcW w:w="1249" w:type="pct"/>
            <w:tcMar>
              <w:top w:w="113" w:type="dxa"/>
            </w:tcMar>
          </w:tcPr>
          <w:p w:rsidR="006D6669" w:rsidRPr="00BE2F00" w:rsidRDefault="006D6669" w:rsidP="00DA5475">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BE2F00">
              <w:rPr>
                <w:rFonts w:ascii="Arabic Typesetting" w:hAnsi="Arabic Typesetting" w:cs="Arabic Typesetting"/>
                <w:color w:val="000000"/>
                <w:sz w:val="30"/>
                <w:szCs w:val="30"/>
                <w:rtl/>
              </w:rPr>
              <w:t>مباني الويبو وتجهيزاتها لا تزال ملائمة للغرض</w:t>
            </w:r>
          </w:p>
        </w:tc>
        <w:tc>
          <w:tcPr>
            <w:tcW w:w="1145" w:type="pct"/>
            <w:shd w:val="clear" w:color="auto" w:fill="FFFFFF"/>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352588">
              <w:rPr>
                <w:rFonts w:ascii="Arabic Typesetting" w:hAnsi="Arabic Typesetting" w:cs="Arabic Typesetting"/>
                <w:sz w:val="30"/>
                <w:szCs w:val="30"/>
                <w:rtl/>
              </w:rPr>
              <w:t>الحد الأقصى لتعطُّل أحد التجهيزات التقنية (الكهرباء، الماء، التدفئة، التبريد، التهوية) التي تؤثر في أنشطة الويبو الأساسية هو يوم عمل واحد في السنة.</w:t>
            </w:r>
          </w:p>
        </w:tc>
        <w:tc>
          <w:tcPr>
            <w:tcW w:w="1144" w:type="pct"/>
            <w:tcMar>
              <w:top w:w="113" w:type="dxa"/>
            </w:tcMar>
          </w:tcPr>
          <w:p w:rsidR="006D6669" w:rsidRPr="008954A8"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sz w:val="30"/>
                <w:szCs w:val="30"/>
                <w:rtl/>
              </w:rPr>
              <w:t xml:space="preserve">عدم زيادة </w:t>
            </w:r>
            <w:r w:rsidRPr="00352588">
              <w:rPr>
                <w:rFonts w:ascii="Arabic Typesetting" w:hAnsi="Arabic Typesetting" w:cs="Arabic Typesetting"/>
                <w:sz w:val="30"/>
                <w:szCs w:val="30"/>
                <w:rtl/>
              </w:rPr>
              <w:t xml:space="preserve">الحد الأقصى لتعطُّل أحد التجهيزات التقنية (الكهرباء، الماء، التدفئة، التبريد، التهوية) التي تؤثر في أنشطة الويبو الأساسية </w:t>
            </w:r>
            <w:r>
              <w:rPr>
                <w:rFonts w:ascii="Arabic Typesetting" w:hAnsi="Arabic Typesetting" w:cs="Arabic Typesetting" w:hint="cs"/>
                <w:sz w:val="30"/>
                <w:szCs w:val="30"/>
                <w:rtl/>
              </w:rPr>
              <w:t>على</w:t>
            </w:r>
            <w:r w:rsidRPr="00352588">
              <w:rPr>
                <w:rFonts w:ascii="Arabic Typesetting" w:hAnsi="Arabic Typesetting" w:cs="Arabic Typesetting"/>
                <w:sz w:val="30"/>
                <w:szCs w:val="30"/>
                <w:rtl/>
              </w:rPr>
              <w:t xml:space="preserve"> يوم عمل واحد في السنة.</w:t>
            </w:r>
          </w:p>
        </w:tc>
      </w:tr>
      <w:tr w:rsidR="006D6669" w:rsidRPr="008954A8" w:rsidTr="00DA5475">
        <w:trPr>
          <w:cantSplit/>
          <w:trHeight w:val="1027"/>
        </w:trPr>
        <w:tc>
          <w:tcPr>
            <w:tcW w:w="1249" w:type="pct"/>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643A38">
              <w:rPr>
                <w:rFonts w:ascii="Arabic Typesetting" w:hAnsi="Arabic Typesetting" w:cs="Arabic Typesetting"/>
                <w:color w:val="000000"/>
                <w:sz w:val="30"/>
                <w:szCs w:val="30"/>
                <w:rtl/>
              </w:rPr>
              <w:t>استخدام مباني الويبو وجميع أنواع الأماكن وشغلها على الوجه الأمثل</w:t>
            </w:r>
            <w:r>
              <w:rPr>
                <w:rFonts w:ascii="Arabic Typesetting" w:hAnsi="Arabic Typesetting" w:cs="Arabic Typesetting" w:hint="cs"/>
                <w:color w:val="000000"/>
                <w:sz w:val="30"/>
                <w:szCs w:val="30"/>
                <w:rtl/>
              </w:rPr>
              <w:br/>
            </w:r>
            <w:r>
              <w:rPr>
                <w:rFonts w:ascii="Arabic Typesetting" w:hAnsi="Arabic Typesetting" w:cs="Arabic Typesetting"/>
                <w:color w:val="000000"/>
                <w:sz w:val="30"/>
                <w:szCs w:val="30"/>
                <w:rtl/>
              </w:rPr>
              <w:br/>
            </w:r>
            <w:r>
              <w:rPr>
                <w:rFonts w:ascii="Arabic Typesetting" w:hAnsi="Arabic Typesetting" w:cs="Arabic Typesetting" w:hint="cs"/>
                <w:color w:val="000000"/>
                <w:sz w:val="30"/>
                <w:szCs w:val="30"/>
                <w:rtl/>
              </w:rPr>
              <w:br/>
            </w:r>
            <w:r>
              <w:rPr>
                <w:rFonts w:ascii="Arabic Typesetting" w:hAnsi="Arabic Typesetting" w:cs="Arabic Typesetting"/>
                <w:color w:val="000000"/>
                <w:sz w:val="30"/>
                <w:szCs w:val="30"/>
                <w:rtl/>
              </w:rPr>
              <w:br/>
            </w:r>
            <w:r>
              <w:rPr>
                <w:rFonts w:ascii="Arabic Typesetting" w:hAnsi="Arabic Typesetting" w:cs="Arabic Typesetting" w:hint="cs"/>
                <w:color w:val="000000"/>
                <w:sz w:val="30"/>
                <w:szCs w:val="30"/>
                <w:rtl/>
              </w:rPr>
              <w:t>النسبة المئوية للعناصر العالية القيمة (أي أعلى من 000 5 فرنك سويسري) الخاضعة للجرد</w:t>
            </w:r>
            <w:r>
              <w:rPr>
                <w:rFonts w:ascii="Arabic Typesetting" w:hAnsi="Arabic Typesetting" w:cs="Arabic Typesetting"/>
                <w:color w:val="000000"/>
                <w:sz w:val="30"/>
                <w:szCs w:val="30"/>
                <w:rtl/>
              </w:rPr>
              <w:br/>
            </w:r>
            <w:r>
              <w:rPr>
                <w:rFonts w:ascii="Arabic Typesetting" w:hAnsi="Arabic Typesetting" w:cs="Arabic Typesetting" w:hint="cs"/>
                <w:color w:val="000000"/>
                <w:sz w:val="30"/>
                <w:szCs w:val="30"/>
                <w:rtl/>
              </w:rPr>
              <w:br/>
              <w:t>النسبة المئوية للعناصر التي تتراوح قيمتها بين 000 1 و000 5 فرنك سويسري، والمصنفات الفنية والعناصر الجذّابة</w:t>
            </w:r>
          </w:p>
        </w:tc>
        <w:tc>
          <w:tcPr>
            <w:tcW w:w="1145" w:type="pct"/>
            <w:shd w:val="clear" w:color="auto" w:fill="FFFFFF"/>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135E35">
              <w:rPr>
                <w:rFonts w:ascii="Arabic Typesetting" w:hAnsi="Arabic Typesetting" w:cs="Arabic Typesetting"/>
                <w:sz w:val="30"/>
                <w:szCs w:val="30"/>
                <w:rtl/>
              </w:rPr>
              <w:t>80 مكان عمل مستأجر، 5 مناطق خارجية للتخزين/ حفظ الوثائق</w:t>
            </w:r>
            <w:r>
              <w:rPr>
                <w:rFonts w:ascii="Arabic Typesetting" w:hAnsi="Arabic Typesetting" w:cs="Arabic Typesetting" w:hint="cs"/>
                <w:sz w:val="30"/>
                <w:szCs w:val="30"/>
                <w:rtl/>
              </w:rPr>
              <w:br/>
            </w:r>
            <w:r>
              <w:rPr>
                <w:rFonts w:ascii="Arabic Typesetting" w:hAnsi="Arabic Typesetting" w:cs="Arabic Typesetting"/>
                <w:sz w:val="30"/>
                <w:szCs w:val="30"/>
                <w:rtl/>
              </w:rPr>
              <w:br/>
            </w:r>
            <w:r>
              <w:rPr>
                <w:rFonts w:ascii="Arabic Typesetting" w:hAnsi="Arabic Typesetting" w:cs="Arabic Typesetting" w:hint="cs"/>
                <w:sz w:val="30"/>
                <w:szCs w:val="30"/>
                <w:rtl/>
              </w:rPr>
              <w:br/>
              <w:t>95%</w:t>
            </w:r>
            <w:r>
              <w:rPr>
                <w:rFonts w:ascii="Arabic Typesetting" w:hAnsi="Arabic Typesetting" w:cs="Arabic Typesetting"/>
                <w:sz w:val="30"/>
                <w:szCs w:val="30"/>
                <w:rtl/>
              </w:rPr>
              <w:br/>
            </w:r>
            <w:r>
              <w:rPr>
                <w:rFonts w:ascii="Arabic Typesetting" w:hAnsi="Arabic Typesetting" w:cs="Arabic Typesetting" w:hint="cs"/>
                <w:sz w:val="30"/>
                <w:szCs w:val="30"/>
                <w:rtl/>
              </w:rPr>
              <w:br/>
            </w:r>
            <w:r>
              <w:rPr>
                <w:rFonts w:ascii="Arabic Typesetting" w:hAnsi="Arabic Typesetting" w:cs="Arabic Typesetting" w:hint="cs"/>
                <w:sz w:val="30"/>
                <w:szCs w:val="30"/>
                <w:rtl/>
              </w:rPr>
              <w:br/>
            </w:r>
            <w:r>
              <w:rPr>
                <w:rFonts w:ascii="Arabic Typesetting" w:hAnsi="Arabic Typesetting" w:cs="Arabic Typesetting" w:hint="cs"/>
                <w:sz w:val="30"/>
                <w:szCs w:val="30"/>
                <w:rtl/>
              </w:rPr>
              <w:br/>
              <w:t>غير متاحة</w:t>
            </w:r>
          </w:p>
        </w:tc>
        <w:tc>
          <w:tcPr>
            <w:tcW w:w="1144" w:type="pct"/>
            <w:tcMar>
              <w:top w:w="113" w:type="dxa"/>
            </w:tcMar>
          </w:tcPr>
          <w:p w:rsidR="006D6669" w:rsidRPr="008954A8"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sidRPr="00B47D07">
              <w:rPr>
                <w:rFonts w:ascii="Arabic Typesetting" w:hAnsi="Arabic Typesetting" w:cs="Arabic Typesetting" w:hint="cs"/>
                <w:b/>
                <w:sz w:val="30"/>
                <w:szCs w:val="30"/>
                <w:rtl/>
              </w:rPr>
              <w:t>الحفاظ على</w:t>
            </w:r>
            <w:r>
              <w:rPr>
                <w:rFonts w:ascii="Arabic Typesetting" w:hAnsi="Arabic Typesetting" w:cs="Arabic Typesetting" w:hint="cs"/>
                <w:b/>
                <w:sz w:val="30"/>
                <w:szCs w:val="30"/>
                <w:rtl/>
              </w:rPr>
              <w:t xml:space="preserve"> </w:t>
            </w:r>
            <w:r w:rsidRPr="00E14315">
              <w:rPr>
                <w:rFonts w:ascii="Arabic Typesetting" w:hAnsi="Arabic Typesetting" w:cs="Arabic Typesetting"/>
                <w:b/>
                <w:sz w:val="30"/>
                <w:szCs w:val="30"/>
                <w:rtl/>
              </w:rPr>
              <w:t>80 مكان عمل مستأجر، 5 مناطق خارجية للتخزين/ حفظ الوثائق</w:t>
            </w:r>
            <w:r>
              <w:rPr>
                <w:rFonts w:ascii="Arabic Typesetting" w:hAnsi="Arabic Typesetting" w:cs="Arabic Typesetting" w:hint="cs"/>
                <w:b/>
                <w:sz w:val="30"/>
                <w:szCs w:val="30"/>
                <w:rtl/>
              </w:rPr>
              <w:br/>
            </w:r>
            <w:r>
              <w:rPr>
                <w:rFonts w:ascii="Arabic Typesetting" w:hAnsi="Arabic Typesetting" w:cs="Arabic Typesetting" w:hint="cs"/>
                <w:b/>
                <w:sz w:val="30"/>
                <w:szCs w:val="30"/>
                <w:rtl/>
              </w:rPr>
              <w:br/>
              <w:t>الحفاظ على نسبة 95%</w:t>
            </w:r>
            <w:r>
              <w:rPr>
                <w:rFonts w:ascii="Arabic Typesetting" w:hAnsi="Arabic Typesetting" w:cs="Arabic Typesetting"/>
                <w:b/>
                <w:sz w:val="30"/>
                <w:szCs w:val="30"/>
                <w:rtl/>
              </w:rPr>
              <w:br/>
            </w:r>
            <w:r>
              <w:rPr>
                <w:rFonts w:ascii="Arabic Typesetting" w:hAnsi="Arabic Typesetting" w:cs="Arabic Typesetting" w:hint="cs"/>
                <w:b/>
                <w:sz w:val="30"/>
                <w:szCs w:val="30"/>
                <w:rtl/>
              </w:rPr>
              <w:br/>
            </w:r>
            <w:r>
              <w:rPr>
                <w:rFonts w:ascii="Arabic Typesetting" w:hAnsi="Arabic Typesetting" w:cs="Arabic Typesetting" w:hint="cs"/>
                <w:b/>
                <w:sz w:val="30"/>
                <w:szCs w:val="30"/>
                <w:rtl/>
              </w:rPr>
              <w:br/>
            </w:r>
            <w:r>
              <w:rPr>
                <w:rFonts w:ascii="Arabic Typesetting" w:hAnsi="Arabic Typesetting" w:cs="Arabic Typesetting" w:hint="cs"/>
                <w:b/>
                <w:sz w:val="30"/>
                <w:szCs w:val="30"/>
                <w:rtl/>
              </w:rPr>
              <w:br/>
              <w:t>90%</w:t>
            </w:r>
          </w:p>
        </w:tc>
      </w:tr>
      <w:tr w:rsidR="006D6669" w:rsidRPr="008954A8" w:rsidTr="00DA5475">
        <w:trPr>
          <w:cantSplit/>
          <w:trHeight w:val="1154"/>
        </w:trPr>
        <w:tc>
          <w:tcPr>
            <w:tcW w:w="1249" w:type="pct"/>
            <w:tcMar>
              <w:top w:w="113" w:type="dxa"/>
            </w:tcMar>
          </w:tcPr>
          <w:p w:rsidR="006D6669" w:rsidRPr="008954A8" w:rsidRDefault="009800D4"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6D6669">
              <w:rPr>
                <w:rFonts w:ascii="Arabic Typesetting" w:hAnsi="Arabic Typesetting" w:cs="Arabic Typesetting" w:hint="cs"/>
                <w:sz w:val="30"/>
                <w:szCs w:val="30"/>
                <w:rtl/>
              </w:rPr>
              <w:t xml:space="preserve"> </w:t>
            </w:r>
            <w:r w:rsidR="006D6669" w:rsidRPr="00E14315">
              <w:rPr>
                <w:rFonts w:ascii="Arabic Typesetting" w:hAnsi="Arabic Typesetting" w:cs="Arabic Typesetting"/>
                <w:sz w:val="30"/>
                <w:szCs w:val="30"/>
                <w:rtl/>
              </w:rPr>
              <w:t>4.9 منظمة ذات مسؤولية بيئية واجتماعية تكفل السلامة والأمن للموظفين في الويبو والمندوبين والزائرين والممتلكات المادية والمعلومات</w:t>
            </w:r>
          </w:p>
        </w:tc>
        <w:tc>
          <w:tcPr>
            <w:tcW w:w="1462" w:type="pct"/>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E14315">
              <w:rPr>
                <w:rFonts w:ascii="Arabic Typesetting" w:hAnsi="Arabic Typesetting" w:cs="Arabic Typesetting"/>
                <w:color w:val="000000"/>
                <w:sz w:val="30"/>
                <w:szCs w:val="30"/>
                <w:rtl/>
              </w:rPr>
              <w:t>انخفاض تأثير أنشطة الويبو في البيئة</w:t>
            </w:r>
          </w:p>
        </w:tc>
        <w:tc>
          <w:tcPr>
            <w:tcW w:w="1145" w:type="pct"/>
            <w:shd w:val="clear" w:color="auto" w:fill="FFFFFF"/>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9E6874">
              <w:rPr>
                <w:rFonts w:ascii="Arabic Typesetting" w:hAnsi="Arabic Typesetting" w:cs="Arabic Typesetting" w:hint="cs"/>
                <w:sz w:val="30"/>
                <w:szCs w:val="30"/>
                <w:rtl/>
              </w:rPr>
              <w:t>أ-</w:t>
            </w:r>
            <w:r>
              <w:rPr>
                <w:rFonts w:ascii="Arabic Typesetting" w:hAnsi="Arabic Typesetting" w:cs="Arabic Typesetting" w:hint="cs"/>
                <w:sz w:val="30"/>
                <w:szCs w:val="30"/>
                <w:rtl/>
              </w:rPr>
              <w:t xml:space="preserve"> </w:t>
            </w:r>
            <w:r w:rsidRPr="009E6874">
              <w:rPr>
                <w:rFonts w:ascii="Arabic Typesetting" w:hAnsi="Arabic Typesetting" w:cs="Arabic Typesetting" w:hint="cs"/>
                <w:sz w:val="30"/>
                <w:szCs w:val="30"/>
                <w:rtl/>
              </w:rPr>
              <w:t>الالتزام</w:t>
            </w:r>
            <w:r w:rsidRPr="009E6874">
              <w:rPr>
                <w:rFonts w:ascii="Arabic Typesetting" w:hAnsi="Arabic Typesetting" w:cs="Arabic Typesetting"/>
                <w:sz w:val="30"/>
                <w:szCs w:val="30"/>
                <w:rtl/>
              </w:rPr>
              <w:t xml:space="preserve"> بإطار الأمم المتحدة </w:t>
            </w:r>
            <w:r>
              <w:rPr>
                <w:rFonts w:ascii="Arabic Typesetting" w:hAnsi="Arabic Typesetting" w:cs="Arabic Typesetting" w:hint="cs"/>
                <w:sz w:val="30"/>
                <w:szCs w:val="30"/>
                <w:rtl/>
              </w:rPr>
              <w:t>للحياد المناخي</w:t>
            </w:r>
            <w:r w:rsidRPr="009E6874">
              <w:rPr>
                <w:rFonts w:ascii="Arabic Typesetting" w:hAnsi="Arabic Typesetting" w:cs="Arabic Typesetting"/>
                <w:sz w:val="30"/>
                <w:szCs w:val="30"/>
                <w:rtl/>
              </w:rPr>
              <w:t xml:space="preserve"> الذي أعلنه الأمين العام للأمم المتحدة في سبتمبر 2014</w:t>
            </w:r>
            <w:r>
              <w:rPr>
                <w:rFonts w:ascii="Arabic Typesetting" w:hAnsi="Arabic Typesetting" w:cs="Arabic Typesetting"/>
                <w:sz w:val="30"/>
                <w:szCs w:val="30"/>
                <w:rtl/>
              </w:rPr>
              <w:br/>
            </w:r>
            <w:r w:rsidRPr="009E6874">
              <w:rPr>
                <w:rFonts w:ascii="Arabic Typesetting" w:hAnsi="Arabic Typesetting" w:cs="Arabic Typesetting"/>
                <w:sz w:val="30"/>
                <w:szCs w:val="30"/>
                <w:rtl/>
              </w:rPr>
              <w:t>ب- الالتزام بلوائح البلد المضيف واللوائح المحلية بشأن استهلاك الطاقة</w:t>
            </w:r>
            <w:r>
              <w:rPr>
                <w:rFonts w:ascii="Arabic Typesetting" w:hAnsi="Arabic Typesetting" w:cs="Arabic Typesetting"/>
                <w:sz w:val="30"/>
                <w:szCs w:val="30"/>
                <w:rtl/>
              </w:rPr>
              <w:br/>
            </w:r>
            <w:r w:rsidRPr="009E6874">
              <w:rPr>
                <w:rFonts w:ascii="Arabic Typesetting" w:hAnsi="Arabic Typesetting" w:cs="Arabic Typesetting"/>
                <w:sz w:val="30"/>
                <w:szCs w:val="30"/>
                <w:rtl/>
              </w:rPr>
              <w:t>ج- مستويات استهلاك الطاقة كما في نهاية عام 2015</w:t>
            </w:r>
          </w:p>
        </w:tc>
        <w:tc>
          <w:tcPr>
            <w:tcW w:w="1144" w:type="pct"/>
            <w:tcMar>
              <w:top w:w="113" w:type="dxa"/>
            </w:tcMar>
          </w:tcPr>
          <w:p w:rsidR="006D6669" w:rsidRPr="008954A8"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sidRPr="00B941DB">
              <w:rPr>
                <w:rFonts w:ascii="Arabic Typesetting" w:hAnsi="Arabic Typesetting" w:cs="Arabic Typesetting"/>
                <w:b/>
                <w:sz w:val="30"/>
                <w:szCs w:val="30"/>
                <w:rtl/>
              </w:rPr>
              <w:t xml:space="preserve">أ- </w:t>
            </w:r>
            <w:r>
              <w:rPr>
                <w:rFonts w:ascii="Arabic Typesetting" w:hAnsi="Arabic Typesetting" w:cs="Arabic Typesetting" w:hint="cs"/>
                <w:b/>
                <w:sz w:val="30"/>
                <w:szCs w:val="30"/>
                <w:rtl/>
              </w:rPr>
              <w:t>الحفاظ على</w:t>
            </w:r>
            <w:r w:rsidRPr="00B941DB">
              <w:rPr>
                <w:rFonts w:ascii="Arabic Typesetting" w:hAnsi="Arabic Typesetting" w:cs="Arabic Typesetting"/>
                <w:b/>
                <w:sz w:val="30"/>
                <w:szCs w:val="30"/>
                <w:rtl/>
              </w:rPr>
              <w:t xml:space="preserve"> انبعاثات الكربون وغازات الدفيئة عن</w:t>
            </w:r>
            <w:r>
              <w:rPr>
                <w:rFonts w:ascii="Arabic Typesetting" w:hAnsi="Arabic Typesetting" w:cs="Arabic Typesetting" w:hint="cs"/>
                <w:b/>
                <w:sz w:val="30"/>
                <w:szCs w:val="30"/>
                <w:rtl/>
              </w:rPr>
              <w:t>د</w:t>
            </w:r>
            <w:r w:rsidRPr="00B941DB">
              <w:rPr>
                <w:rFonts w:ascii="Arabic Typesetting" w:hAnsi="Arabic Typesetting" w:cs="Arabic Typesetting"/>
                <w:b/>
                <w:sz w:val="30"/>
                <w:szCs w:val="30"/>
                <w:rtl/>
              </w:rPr>
              <w:t xml:space="preserve"> مستوياتها في نهاية 2015</w:t>
            </w:r>
            <w:r>
              <w:rPr>
                <w:rFonts w:ascii="Arabic Typesetting" w:hAnsi="Arabic Typesetting" w:cs="Arabic Typesetting"/>
                <w:b/>
                <w:sz w:val="30"/>
                <w:szCs w:val="30"/>
                <w:rtl/>
              </w:rPr>
              <w:br/>
            </w:r>
            <w:r w:rsidRPr="00B941DB">
              <w:rPr>
                <w:rFonts w:ascii="Arabic Typesetting" w:hAnsi="Arabic Typesetting" w:cs="Arabic Typesetting"/>
                <w:b/>
                <w:sz w:val="30"/>
                <w:szCs w:val="30"/>
                <w:rtl/>
              </w:rPr>
              <w:t>ب- تنفيذ تدابير بحلول نهاية عام 2017 ل</w:t>
            </w:r>
            <w:r>
              <w:rPr>
                <w:rFonts w:ascii="Arabic Typesetting" w:hAnsi="Arabic Typesetting" w:cs="Arabic Typesetting" w:hint="cs"/>
                <w:b/>
                <w:sz w:val="30"/>
                <w:szCs w:val="30"/>
                <w:rtl/>
              </w:rPr>
              <w:t>لحفاظ على</w:t>
            </w:r>
            <w:r w:rsidRPr="00B941DB">
              <w:rPr>
                <w:rFonts w:ascii="Arabic Typesetting" w:hAnsi="Arabic Typesetting" w:cs="Arabic Typesetting"/>
                <w:b/>
                <w:sz w:val="30"/>
                <w:szCs w:val="30"/>
                <w:rtl/>
              </w:rPr>
              <w:t xml:space="preserve"> استهلاك الطاقة عن</w:t>
            </w:r>
            <w:r>
              <w:rPr>
                <w:rFonts w:ascii="Arabic Typesetting" w:hAnsi="Arabic Typesetting" w:cs="Arabic Typesetting" w:hint="cs"/>
                <w:b/>
                <w:sz w:val="30"/>
                <w:szCs w:val="30"/>
                <w:rtl/>
              </w:rPr>
              <w:t>د</w:t>
            </w:r>
            <w:r>
              <w:rPr>
                <w:rFonts w:ascii="Arabic Typesetting" w:hAnsi="Arabic Typesetting" w:cs="Arabic Typesetting"/>
                <w:b/>
                <w:sz w:val="30"/>
                <w:szCs w:val="30"/>
                <w:rtl/>
              </w:rPr>
              <w:t xml:space="preserve"> مستوياته في نهاية 2015 وفي</w:t>
            </w:r>
            <w:r w:rsidRPr="00B941DB">
              <w:rPr>
                <w:rFonts w:ascii="Arabic Typesetting" w:hAnsi="Arabic Typesetting" w:cs="Arabic Typesetting"/>
                <w:b/>
                <w:sz w:val="30"/>
                <w:szCs w:val="30"/>
                <w:rtl/>
              </w:rPr>
              <w:t xml:space="preserve"> ظروف جوية مشابهة (بالنسبة للكهرباء والماء والغاز وزيت التدفئة)</w:t>
            </w:r>
            <w:r w:rsidRPr="008954A8">
              <w:rPr>
                <w:rFonts w:ascii="Arabic Typesetting" w:hAnsi="Arabic Typesetting" w:cs="Arabic Typesetting"/>
                <w:b/>
                <w:sz w:val="30"/>
                <w:szCs w:val="30"/>
              </w:rPr>
              <w:t xml:space="preserve"> </w:t>
            </w:r>
          </w:p>
        </w:tc>
      </w:tr>
      <w:tr w:rsidR="006D6669" w:rsidRPr="008954A8" w:rsidTr="00DA5475">
        <w:trPr>
          <w:cantSplit/>
          <w:trHeight w:val="1126"/>
        </w:trPr>
        <w:tc>
          <w:tcPr>
            <w:tcW w:w="1249" w:type="pct"/>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sidRPr="00B941DB">
              <w:rPr>
                <w:rFonts w:ascii="Arabic Typesetting" w:hAnsi="Arabic Typesetting" w:cs="Arabic Typesetting"/>
                <w:color w:val="000000"/>
                <w:sz w:val="30"/>
                <w:szCs w:val="30"/>
                <w:rtl/>
              </w:rPr>
              <w:t xml:space="preserve">تحسين النفاذ المادي إلى </w:t>
            </w:r>
            <w:r>
              <w:rPr>
                <w:rFonts w:ascii="Arabic Typesetting" w:hAnsi="Arabic Typesetting" w:cs="Arabic Typesetting" w:hint="cs"/>
                <w:color w:val="000000"/>
                <w:sz w:val="30"/>
                <w:szCs w:val="30"/>
                <w:rtl/>
              </w:rPr>
              <w:t>مجمّع</w:t>
            </w:r>
            <w:r w:rsidRPr="00B941DB">
              <w:rPr>
                <w:rFonts w:ascii="Arabic Typesetting" w:hAnsi="Arabic Typesetting" w:cs="Arabic Typesetting"/>
                <w:color w:val="000000"/>
                <w:sz w:val="30"/>
                <w:szCs w:val="30"/>
                <w:rtl/>
              </w:rPr>
              <w:t xml:space="preserve"> الويبو</w:t>
            </w:r>
          </w:p>
        </w:tc>
        <w:tc>
          <w:tcPr>
            <w:tcW w:w="1145" w:type="pct"/>
            <w:shd w:val="clear" w:color="auto" w:fill="FFFFFF"/>
            <w:tcMar>
              <w:top w:w="113" w:type="dxa"/>
            </w:tcMar>
          </w:tcPr>
          <w:p w:rsidR="006D6669" w:rsidRPr="008954A8" w:rsidRDefault="006D6669" w:rsidP="00DA5475">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التوصيات الواردة في فحص</w:t>
            </w:r>
            <w:r w:rsidRPr="00415095">
              <w:rPr>
                <w:rFonts w:ascii="Arabic Typesetting" w:hAnsi="Arabic Typesetting" w:cs="Arabic Typesetting"/>
                <w:sz w:val="30"/>
                <w:szCs w:val="30"/>
                <w:rtl/>
              </w:rPr>
              <w:t xml:space="preserve"> النفاذ المادي لسنة 2012</w:t>
            </w:r>
          </w:p>
        </w:tc>
        <w:tc>
          <w:tcPr>
            <w:tcW w:w="1144" w:type="pct"/>
            <w:tcMar>
              <w:top w:w="113" w:type="dxa"/>
            </w:tcMar>
          </w:tcPr>
          <w:p w:rsidR="006D6669" w:rsidRPr="008954A8" w:rsidRDefault="006D6669" w:rsidP="00DA5475">
            <w:pPr>
              <w:keepNext/>
              <w:keepLines/>
              <w:spacing w:beforeLines="60" w:before="144"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تنفيذ التدابير التالية قبل حلول نهاية 2017:</w:t>
            </w:r>
            <w:r>
              <w:rPr>
                <w:rFonts w:ascii="Arabic Typesetting" w:hAnsi="Arabic Typesetting" w:cs="Arabic Typesetting"/>
                <w:b/>
                <w:sz w:val="30"/>
                <w:szCs w:val="30"/>
                <w:rtl/>
              </w:rPr>
              <w:br/>
            </w:r>
            <w:r>
              <w:rPr>
                <w:rFonts w:ascii="Arabic Typesetting" w:hAnsi="Arabic Typesetting" w:cs="Arabic Typesetting" w:hint="cs"/>
                <w:b/>
                <w:sz w:val="30"/>
                <w:szCs w:val="30"/>
                <w:rtl/>
              </w:rPr>
              <w:t>1- أجهزة قراءة بطاقات الدخول في المستوى المطلوب من أجل الأشخاص ذوي الإعاقة</w:t>
            </w:r>
            <w:r>
              <w:rPr>
                <w:rFonts w:ascii="Arabic Typesetting" w:hAnsi="Arabic Typesetting" w:cs="Arabic Typesetting"/>
                <w:b/>
                <w:sz w:val="30"/>
                <w:szCs w:val="30"/>
                <w:rtl/>
              </w:rPr>
              <w:br/>
            </w:r>
            <w:r>
              <w:rPr>
                <w:rFonts w:ascii="Arabic Typesetting" w:hAnsi="Arabic Typesetting" w:cs="Arabic Typesetting" w:hint="cs"/>
                <w:b/>
                <w:sz w:val="30"/>
                <w:szCs w:val="30"/>
                <w:rtl/>
              </w:rPr>
              <w:t>2- قضبان وقائية أينما يلزم</w:t>
            </w:r>
          </w:p>
        </w:tc>
      </w:tr>
    </w:tbl>
    <w:p w:rsidR="006D6669" w:rsidRPr="008954A8" w:rsidRDefault="006D6669" w:rsidP="00DA5475">
      <w:pPr>
        <w:pStyle w:val="ARNormal"/>
        <w:rPr>
          <w:iCs/>
        </w:rPr>
      </w:pPr>
    </w:p>
    <w:p w:rsidR="006D6669"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FC17D3">
        <w:rPr>
          <w:rFonts w:ascii="Arabic Typesetting" w:hAnsi="Arabic Typesetting" w:cs="Arabic Typesetting"/>
          <w:noProof/>
          <w:snapToGrid/>
          <w:sz w:val="38"/>
          <w:szCs w:val="38"/>
          <w:rtl/>
          <w:lang w:val="x-none" w:eastAsia="x-none" w:bidi="ar-EG"/>
        </w:rPr>
        <w:t>الموارد المخصصة للبرنامج 24</w:t>
      </w:r>
    </w:p>
    <w:p w:rsidR="006D6669" w:rsidRDefault="006D6669" w:rsidP="00861CFF">
      <w:pPr>
        <w:numPr>
          <w:ilvl w:val="0"/>
          <w:numId w:val="39"/>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يُلاحظ انخفاض طفيف في إجمالي الموارد المخصصة للبرنامج في الثنائية 2016/17 مقارنة بميزانية 2014/15 بعد التحويلات. ويأتي الانخفاض الصافي المُسجل ضمن موارد الموظفين نتيجة الزيادات القانونية وإعادة نشر ثلاث وظائف خارج البرنامج. أما الزيادة الطفيفة في خلاف موارد الموظفين فهي النتيجة الصافية للموارد الإضافية المتوقعة لأغراض إدخال تحسينات على مباني الويبو وأعمال البنية التحتية الخاصة بالوحدة الطبية، من جهة، </w:t>
      </w:r>
      <w:proofErr w:type="spellStart"/>
      <w:r>
        <w:rPr>
          <w:rFonts w:ascii="Arabic Typesetting" w:hAnsi="Arabic Typesetting" w:cs="Arabic Typesetting" w:hint="cs"/>
          <w:sz w:val="34"/>
          <w:szCs w:val="34"/>
          <w:rtl/>
        </w:rPr>
        <w:t>والوفورات</w:t>
      </w:r>
      <w:proofErr w:type="spellEnd"/>
      <w:r>
        <w:rPr>
          <w:rFonts w:ascii="Arabic Typesetting" w:hAnsi="Arabic Typesetting" w:cs="Arabic Typesetting" w:hint="cs"/>
          <w:sz w:val="34"/>
          <w:szCs w:val="34"/>
          <w:rtl/>
        </w:rPr>
        <w:t xml:space="preserve"> المستهدفة المرتبطة بموقف السيارات الخاص بموظفي الويبو وانخفاض قدره مليوني فرنك سويسري في الموارد المخصصة لتسديد فوائد القرض الخاص بالمبنى الجديد مقارنة بموارد الميزانية المعتمدة 2014/15.</w:t>
      </w:r>
    </w:p>
    <w:p w:rsidR="006D6669" w:rsidRPr="003A16C4" w:rsidRDefault="006D6669" w:rsidP="00861CFF">
      <w:pPr>
        <w:numPr>
          <w:ilvl w:val="0"/>
          <w:numId w:val="39"/>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ويُعزى الانخفاض المُسجل ضمن النتيجة المرتقبة </w:t>
      </w:r>
      <w:r w:rsidR="009800D4">
        <w:rPr>
          <w:rFonts w:ascii="Arabic Typesetting" w:hAnsi="Arabic Typesetting" w:cs="Arabic Typesetting"/>
          <w:sz w:val="34"/>
          <w:szCs w:val="34"/>
          <w:rtl/>
        </w:rPr>
        <w:t>ه</w:t>
      </w:r>
      <w:r w:rsidRPr="005B7029">
        <w:rPr>
          <w:rFonts w:ascii="Arabic Typesetting" w:hAnsi="Arabic Typesetting" w:cs="Arabic Typesetting" w:hint="cs"/>
          <w:sz w:val="34"/>
          <w:szCs w:val="34"/>
          <w:rtl/>
        </w:rPr>
        <w:t xml:space="preserve"> </w:t>
      </w:r>
      <w:r w:rsidRPr="005B7029">
        <w:rPr>
          <w:rFonts w:ascii="Arabic Typesetting" w:hAnsi="Arabic Typesetting" w:cs="Arabic Typesetting"/>
          <w:sz w:val="34"/>
          <w:szCs w:val="34"/>
          <w:rtl/>
        </w:rPr>
        <w:t>5.8</w:t>
      </w:r>
      <w:r>
        <w:rPr>
          <w:rFonts w:ascii="Arabic Typesetting" w:hAnsi="Arabic Typesetting" w:cs="Arabic Typesetting" w:hint="cs"/>
          <w:sz w:val="34"/>
          <w:szCs w:val="34"/>
          <w:rtl/>
        </w:rPr>
        <w:t xml:space="preserve"> إلى انخفاض إجمالي في موارد الموظفين المخصصة لهذه النتيجة بسبب تحويل المسؤوليات الخاصة بخدمات الأمم المتحدة المشتركة إلى البرنامج 22. أما الزيادة الصافية المُسجلة ضمن النتيجة المرتقبة</w:t>
      </w:r>
      <w:r>
        <w:rPr>
          <w:rFonts w:ascii="Arabic Typesetting" w:hAnsi="Arabic Typesetting" w:cs="Arabic Typesetting" w:hint="eastAsia"/>
          <w:sz w:val="34"/>
          <w:szCs w:val="34"/>
          <w:rtl/>
        </w:rPr>
        <w:t> </w:t>
      </w:r>
      <w:r w:rsidR="009800D4">
        <w:rPr>
          <w:rFonts w:ascii="Arabic Typesetting" w:hAnsi="Arabic Typesetting" w:cs="Arabic Typesetting"/>
          <w:sz w:val="34"/>
          <w:szCs w:val="34"/>
          <w:rtl/>
        </w:rPr>
        <w:t>ه</w:t>
      </w:r>
      <w:r w:rsidRPr="005B7029">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1</w:t>
      </w:r>
      <w:r w:rsidRPr="005B7029">
        <w:rPr>
          <w:rFonts w:ascii="Arabic Typesetting" w:hAnsi="Arabic Typesetting" w:cs="Arabic Typesetting"/>
          <w:sz w:val="34"/>
          <w:szCs w:val="34"/>
          <w:rtl/>
        </w:rPr>
        <w:t>.</w:t>
      </w:r>
      <w:r>
        <w:rPr>
          <w:rFonts w:ascii="Arabic Typesetting" w:hAnsi="Arabic Typesetting" w:cs="Arabic Typesetting" w:hint="cs"/>
          <w:sz w:val="34"/>
          <w:szCs w:val="34"/>
          <w:rtl/>
        </w:rPr>
        <w:t xml:space="preserve">9 فهي ناتجة أساسا عن زيادة في موارد الموظفين دعما لمجلس الويبو للطعون، الذي يُعد مسؤولية جديدة بالنسبة للبرنامج. ويعكس الانخفاض المُسجل ضمن النتيجة المرتقبة </w:t>
      </w:r>
      <w:r w:rsidR="009800D4">
        <w:rPr>
          <w:rFonts w:ascii="Arabic Typesetting" w:hAnsi="Arabic Typesetting" w:cs="Arabic Typesetting"/>
          <w:sz w:val="34"/>
          <w:szCs w:val="34"/>
          <w:rtl/>
        </w:rPr>
        <w:t>ه</w:t>
      </w:r>
      <w:r w:rsidRPr="005B7029">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4</w:t>
      </w:r>
      <w:r w:rsidRPr="005B7029">
        <w:rPr>
          <w:rFonts w:ascii="Arabic Typesetting" w:hAnsi="Arabic Typesetting" w:cs="Arabic Typesetting"/>
          <w:sz w:val="34"/>
          <w:szCs w:val="34"/>
          <w:rtl/>
        </w:rPr>
        <w:t>.</w:t>
      </w:r>
      <w:r>
        <w:rPr>
          <w:rFonts w:ascii="Arabic Typesetting" w:hAnsi="Arabic Typesetting" w:cs="Arabic Typesetting" w:hint="cs"/>
          <w:sz w:val="34"/>
          <w:szCs w:val="34"/>
          <w:rtl/>
        </w:rPr>
        <w:t xml:space="preserve">9 استكمال التدابير الأمنية ضمن مشروع </w:t>
      </w:r>
      <w:r w:rsidRPr="00E172B6">
        <w:rPr>
          <w:rFonts w:ascii="Arabic Typesetting" w:hAnsi="Arabic Typesetting" w:cs="Arabic Typesetting"/>
          <w:sz w:val="34"/>
          <w:szCs w:val="34"/>
          <w:rtl/>
        </w:rPr>
        <w:t>معايير الأمم المتحدة الدنيا للأمن التشغيلي في المقار</w:t>
      </w:r>
      <w:r>
        <w:rPr>
          <w:rFonts w:ascii="Arabic Typesetting" w:hAnsi="Arabic Typesetting" w:cs="Arabic Typesetting" w:hint="cs"/>
          <w:sz w:val="34"/>
          <w:szCs w:val="34"/>
          <w:rtl/>
        </w:rPr>
        <w:t xml:space="preserve"> في الثنائية 2014/15 وما ينجم عن ذلك من انخفاض في موارد الموظفين.</w:t>
      </w:r>
    </w:p>
    <w:p w:rsidR="006D6669" w:rsidRPr="008954A8" w:rsidRDefault="006D6669" w:rsidP="00DA5475">
      <w:pPr>
        <w:pStyle w:val="ARNormal"/>
        <w:keepNext/>
        <w:spacing w:after="0"/>
        <w:jc w:val="center"/>
        <w:rPr>
          <w:b/>
          <w:bCs/>
          <w:rtl/>
        </w:rPr>
      </w:pPr>
      <w:r w:rsidRPr="008954A8">
        <w:rPr>
          <w:rFonts w:hint="cs"/>
          <w:b/>
          <w:bCs/>
          <w:rtl/>
        </w:rPr>
        <w:t>البرنامج 24: الموارد بحسب كل نتيجة</w:t>
      </w:r>
    </w:p>
    <w:p w:rsidR="006D6669" w:rsidRPr="008954A8" w:rsidRDefault="006D6669" w:rsidP="00DA5475">
      <w:pPr>
        <w:pStyle w:val="ARNormal"/>
        <w:spacing w:after="0"/>
        <w:jc w:val="center"/>
        <w:rPr>
          <w:i/>
          <w:iCs/>
        </w:rPr>
      </w:pPr>
      <w:r w:rsidRPr="008954A8">
        <w:rPr>
          <w:rFonts w:hint="cs"/>
          <w:i/>
          <w:iCs/>
          <w:rtl/>
        </w:rPr>
        <w:t>(بآلاف الفرنكات السويسرية)</w:t>
      </w:r>
    </w:p>
    <w:p w:rsidR="006D6669" w:rsidRPr="002E2866" w:rsidRDefault="006D6669" w:rsidP="006D6669">
      <w:pPr>
        <w:keepLines/>
        <w:spacing w:after="120"/>
        <w:rPr>
          <w:rFonts w:ascii="Arabic Typesetting" w:hAnsi="Arabic Typesetting" w:cs="Arabic Typesetting"/>
          <w:sz w:val="34"/>
          <w:szCs w:val="34"/>
        </w:rPr>
      </w:pPr>
      <w:r w:rsidRPr="006D6669">
        <w:rPr>
          <w:noProof/>
          <w:szCs w:val="20"/>
          <w:rtl/>
          <w:lang w:bidi="ar-SA"/>
        </w:rPr>
        <w:drawing>
          <wp:inline distT="0" distB="0" distL="0" distR="0" wp14:anchorId="382D743B" wp14:editId="42D0C6D0">
            <wp:extent cx="5676900" cy="22860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676900" cy="2286000"/>
                    </a:xfrm>
                    <a:prstGeom prst="rect">
                      <a:avLst/>
                    </a:prstGeom>
                    <a:noFill/>
                    <a:ln>
                      <a:noFill/>
                    </a:ln>
                  </pic:spPr>
                </pic:pic>
              </a:graphicData>
            </a:graphic>
          </wp:inline>
        </w:drawing>
      </w:r>
    </w:p>
    <w:p w:rsidR="006D6669" w:rsidRPr="008954A8" w:rsidRDefault="006D6669" w:rsidP="00DA5475">
      <w:pPr>
        <w:pStyle w:val="ARNormal"/>
        <w:keepNext/>
        <w:spacing w:after="0"/>
        <w:jc w:val="center"/>
        <w:rPr>
          <w:b/>
          <w:bCs/>
          <w:rtl/>
        </w:rPr>
      </w:pPr>
      <w:r w:rsidRPr="008954A8">
        <w:rPr>
          <w:rFonts w:hint="cs"/>
          <w:b/>
          <w:bCs/>
          <w:rtl/>
        </w:rPr>
        <w:lastRenderedPageBreak/>
        <w:t>البرنامج 24: الموارد بحسب غرض الإنفاق</w:t>
      </w:r>
    </w:p>
    <w:p w:rsidR="006D6669" w:rsidRPr="008954A8" w:rsidRDefault="006D6669" w:rsidP="00DA5475">
      <w:pPr>
        <w:pStyle w:val="ARNormal"/>
        <w:keepNext/>
        <w:spacing w:after="0"/>
        <w:jc w:val="center"/>
        <w:rPr>
          <w:i/>
          <w:iCs/>
        </w:rPr>
      </w:pPr>
      <w:r w:rsidRPr="008954A8">
        <w:rPr>
          <w:rFonts w:hint="cs"/>
          <w:i/>
          <w:iCs/>
          <w:rtl/>
        </w:rPr>
        <w:t>(بآلاف الفرنكات السويسرية)</w:t>
      </w:r>
    </w:p>
    <w:p w:rsidR="006D6669" w:rsidRPr="008954A8" w:rsidRDefault="006D6669" w:rsidP="00DA5475">
      <w:pPr>
        <w:spacing w:after="120"/>
        <w:jc w:val="both"/>
        <w:rPr>
          <w:rFonts w:ascii="Arabic Typesetting" w:hAnsi="Arabic Typesetting" w:cs="Arabic Typesetting"/>
          <w:sz w:val="30"/>
          <w:szCs w:val="30"/>
          <w:rtl/>
          <w:lang w:val="fr-CH"/>
        </w:rPr>
      </w:pPr>
      <w:r w:rsidRPr="006D6669">
        <w:rPr>
          <w:noProof/>
          <w:szCs w:val="20"/>
          <w:rtl/>
          <w:lang w:bidi="ar-SA"/>
        </w:rPr>
        <w:drawing>
          <wp:inline distT="0" distB="0" distL="0" distR="0" wp14:anchorId="5E67E90F" wp14:editId="5364D9F0">
            <wp:extent cx="5514975" cy="63531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D6669" w:rsidRPr="00A67728" w:rsidRDefault="006D6669" w:rsidP="00DA5475">
      <w:pPr>
        <w:pStyle w:val="ARNormal"/>
        <w:rPr>
          <w:rtl/>
        </w:rPr>
      </w:pPr>
    </w:p>
    <w:p w:rsidR="006D6669" w:rsidRDefault="006D6669">
      <w:pPr>
        <w:bidi w:val="0"/>
        <w:rPr>
          <w:rFonts w:ascii="Arabic Typesetting" w:hAnsi="Arabic Typesetting" w:cs="Arabic Typesetting"/>
          <w:sz w:val="34"/>
          <w:szCs w:val="34"/>
          <w:rtl/>
          <w:lang w:val="fr-CH" w:bidi="ar-SA"/>
        </w:rPr>
      </w:pPr>
      <w:r>
        <w:rPr>
          <w:rtl/>
        </w:rPr>
        <w:br w:type="page"/>
      </w:r>
    </w:p>
    <w:p w:rsidR="006D6669" w:rsidRPr="008954A8" w:rsidRDefault="006D6669"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bookmarkStart w:id="117" w:name="_Toc364355413"/>
      <w:bookmarkStart w:id="118" w:name="_Toc420595533"/>
      <w:r w:rsidRPr="008954A8">
        <w:rPr>
          <w:rFonts w:ascii="Arabic Typesetting" w:hAnsi="Arabic Typesetting" w:cs="Arabic Typesetting"/>
          <w:bCs/>
          <w:iCs w:val="0"/>
          <w:noProof/>
          <w:snapToGrid/>
          <w:sz w:val="42"/>
          <w:szCs w:val="42"/>
          <w:rtl/>
          <w:lang w:bidi="ar-EG"/>
        </w:rPr>
        <w:lastRenderedPageBreak/>
        <w:t>البرنامج 25</w:t>
      </w:r>
      <w:r w:rsidRPr="008954A8">
        <w:rPr>
          <w:rFonts w:ascii="Arabic Typesetting" w:hAnsi="Arabic Typesetting" w:cs="Arabic Typesetting"/>
          <w:bCs/>
          <w:iCs w:val="0"/>
          <w:noProof/>
          <w:snapToGrid/>
          <w:sz w:val="42"/>
          <w:szCs w:val="42"/>
          <w:lang w:bidi="ar-EG"/>
        </w:rPr>
        <w:tab/>
      </w:r>
      <w:r w:rsidRPr="008954A8">
        <w:rPr>
          <w:rFonts w:ascii="Arabic Typesetting" w:hAnsi="Arabic Typesetting" w:cs="Arabic Typesetting"/>
          <w:bCs/>
          <w:iCs w:val="0"/>
          <w:noProof/>
          <w:snapToGrid/>
          <w:sz w:val="42"/>
          <w:szCs w:val="42"/>
          <w:rtl/>
          <w:lang w:bidi="ar-EG"/>
        </w:rPr>
        <w:t>تكنولوجيا المعلومات والاتصالات</w:t>
      </w:r>
      <w:bookmarkEnd w:id="117"/>
      <w:bookmarkEnd w:id="118"/>
    </w:p>
    <w:p w:rsidR="006D6669" w:rsidRPr="008954A8"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6D6669" w:rsidRPr="008954A8" w:rsidRDefault="006D6669" w:rsidP="00861CFF">
      <w:pPr>
        <w:numPr>
          <w:ilvl w:val="0"/>
          <w:numId w:val="40"/>
        </w:numPr>
        <w:spacing w:after="120" w:line="340" w:lineRule="exact"/>
        <w:rPr>
          <w:rFonts w:ascii="Arabic Typesetting" w:hAnsi="Arabic Typesetting" w:cs="Arabic Typesetting"/>
          <w:bCs/>
          <w:sz w:val="34"/>
          <w:szCs w:val="34"/>
        </w:rPr>
      </w:pPr>
      <w:r w:rsidRPr="005279F4">
        <w:rPr>
          <w:rFonts w:ascii="Arabic Typesetting" w:hAnsi="Arabic Typesetting" w:cs="Arabic Typesetting"/>
          <w:sz w:val="34"/>
          <w:szCs w:val="34"/>
          <w:rtl/>
        </w:rPr>
        <w:t>لا تزال تكنولوجيا المعلومات والاتصالات تؤدي دورين حيويين في الويبو. فعلى الصعيد الخارجي، أصبحت تكنولوجيا المعلومات والاتصالات قناةً مهمةً لتقديم خدمات الويبو لزبائنها حول العالم. ويشمل ذلك خدمات التسجيل، وخدمات البنية التحتية العالمية للملكية الفكرية، والنفاذ إلى معلومات الملكية الفكرية والتحليلات المتعلقة بها، والنفاذ إلى المنصّات المتعلقة بمعالجة قضايا الملكية الفكرية في سياق قضايا السياسات العالمية، والتواصل مع الدول الأعضاء وأصحاب المصلحة من خلال بث اجتماعات الويبو مباشرة على الإنترنت، إلخ. أما على الصعيد الداخلي، فإن تكنولوجيا المعلومات والاتصالات تُمكِّن الويبو من دعم عملياتها اليومية من خلال تقديم خدمات مثل الاتصالات السلكية واللاسلكية والبريد الإلكتروني ومعالجة كم كبير من المعاملات الإدارية. ومن ثمَّ تعتمد جميع ا</w:t>
      </w:r>
      <w:r>
        <w:rPr>
          <w:rFonts w:ascii="Arabic Typesetting" w:hAnsi="Arabic Typesetting" w:cs="Arabic Typesetting"/>
          <w:sz w:val="34"/>
          <w:szCs w:val="34"/>
          <w:rtl/>
        </w:rPr>
        <w:t>لأهداف الاستراتيجية التسعة للو</w:t>
      </w:r>
      <w:r>
        <w:rPr>
          <w:rFonts w:ascii="Arabic Typesetting" w:hAnsi="Arabic Typesetting" w:cs="Arabic Typesetting" w:hint="cs"/>
          <w:sz w:val="34"/>
          <w:szCs w:val="34"/>
          <w:rtl/>
        </w:rPr>
        <w:t>يب</w:t>
      </w:r>
      <w:r w:rsidRPr="005279F4">
        <w:rPr>
          <w:rFonts w:ascii="Arabic Typesetting" w:hAnsi="Arabic Typesetting" w:cs="Arabic Typesetting"/>
          <w:sz w:val="34"/>
          <w:szCs w:val="34"/>
          <w:rtl/>
        </w:rPr>
        <w:t>و بدرجة كبيرة على البنية التحتية الموثوق بها والفعالة لتكنولوجيا المعلومات والاتصالات وخدماتها من أجل تنفيذ البرنامج.</w:t>
      </w:r>
    </w:p>
    <w:p w:rsidR="006D6669" w:rsidRPr="008954A8" w:rsidRDefault="006D6669" w:rsidP="00861CFF">
      <w:pPr>
        <w:numPr>
          <w:ilvl w:val="0"/>
          <w:numId w:val="40"/>
        </w:numPr>
        <w:spacing w:after="120" w:line="340" w:lineRule="exact"/>
        <w:rPr>
          <w:rFonts w:ascii="Arabic Typesetting" w:hAnsi="Arabic Typesetting" w:cs="Arabic Typesetting"/>
          <w:bCs/>
          <w:sz w:val="34"/>
          <w:szCs w:val="34"/>
        </w:rPr>
      </w:pPr>
      <w:r w:rsidRPr="005279F4">
        <w:rPr>
          <w:rFonts w:ascii="Arabic Typesetting" w:hAnsi="Arabic Typesetting" w:cs="Arabic Typesetting"/>
          <w:sz w:val="34"/>
          <w:szCs w:val="34"/>
          <w:rtl/>
        </w:rPr>
        <w:t>وقد</w:t>
      </w:r>
      <w:r w:rsidRPr="00644F3C">
        <w:rPr>
          <w:rFonts w:ascii="Arabic Typesetting" w:hAnsi="Arabic Typesetting" w:cs="Arabic Typesetting"/>
          <w:sz w:val="34"/>
          <w:szCs w:val="34"/>
          <w:rtl/>
        </w:rPr>
        <w:t>رة الويبو على الاستمرار في تلبية احتياجاتها الاستراتيجية والتشغيلية الخاصة بتكنولوجيا المعلومات والاتصالات سوف تعتمد على قدرتها على التحسين المستمر لأداء أنظمة تكنولوجيا المعلومات والات</w:t>
      </w:r>
      <w:r>
        <w:rPr>
          <w:rFonts w:ascii="Arabic Typesetting" w:hAnsi="Arabic Typesetting" w:cs="Arabic Typesetting"/>
          <w:sz w:val="34"/>
          <w:szCs w:val="34"/>
          <w:rtl/>
        </w:rPr>
        <w:t>صالات ونطاقها و</w:t>
      </w:r>
      <w:r>
        <w:rPr>
          <w:rFonts w:ascii="Arabic Typesetting" w:hAnsi="Arabic Typesetting" w:cs="Arabic Typesetting" w:hint="cs"/>
          <w:sz w:val="34"/>
          <w:szCs w:val="34"/>
          <w:rtl/>
        </w:rPr>
        <w:t>مرونتها</w:t>
      </w:r>
      <w:r w:rsidRPr="00644F3C">
        <w:rPr>
          <w:rFonts w:ascii="Arabic Typesetting" w:hAnsi="Arabic Typesetting" w:cs="Arabic Typesetting"/>
          <w:sz w:val="34"/>
          <w:szCs w:val="34"/>
          <w:rtl/>
        </w:rPr>
        <w:t>. وسوف يتطلب ذلك استثمارات كبيرةً</w:t>
      </w:r>
      <w:r w:rsidRPr="005279F4">
        <w:rPr>
          <w:rFonts w:ascii="Arabic Typesetting" w:hAnsi="Arabic Typesetting" w:cs="Arabic Typesetting"/>
          <w:sz w:val="34"/>
          <w:szCs w:val="34"/>
          <w:rtl/>
        </w:rPr>
        <w:t xml:space="preserve">، وتوريداً استراتيجياً وشراكات استراتيجية، وتوازناً بين الابتكار والحفاظ على الاستقرار. ويواجه البرنامج تحدياً كبيراً يتمثل في احتواء التكاليف مع الاستمرار في تلبية المطالب </w:t>
      </w:r>
      <w:r>
        <w:rPr>
          <w:rFonts w:ascii="Arabic Typesetting" w:hAnsi="Arabic Typesetting" w:cs="Arabic Typesetting" w:hint="cs"/>
          <w:sz w:val="34"/>
          <w:szCs w:val="34"/>
          <w:rtl/>
        </w:rPr>
        <w:t>المتزايدة بسرعة</w:t>
      </w:r>
      <w:r w:rsidRPr="005279F4">
        <w:rPr>
          <w:rFonts w:ascii="Arabic Typesetting" w:hAnsi="Arabic Typesetting" w:cs="Arabic Typesetting"/>
          <w:sz w:val="34"/>
          <w:szCs w:val="34"/>
          <w:rtl/>
        </w:rPr>
        <w:t>، إضافةً إلى إدارة المخاطر، الملازمة لإدخال تحسينات كبيرة على البنية التحتية لتكنولوجيا المعلومات والاتصالات.</w:t>
      </w:r>
    </w:p>
    <w:p w:rsidR="006D6669" w:rsidRPr="008954A8" w:rsidRDefault="006D6669" w:rsidP="00DA5475">
      <w:pPr>
        <w:tabs>
          <w:tab w:val="left" w:pos="567"/>
          <w:tab w:val="left" w:pos="1985"/>
        </w:tabs>
        <w:rPr>
          <w:rFonts w:ascii="Arabic Typesetting" w:hAnsi="Arabic Typesetting" w:cs="Arabic Typesetting"/>
          <w:sz w:val="30"/>
          <w:szCs w:val="30"/>
        </w:rPr>
      </w:pPr>
    </w:p>
    <w:p w:rsidR="006D6669" w:rsidRPr="00B042DB"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B042DB">
        <w:rPr>
          <w:rFonts w:ascii="Arabic Typesetting" w:hAnsi="Arabic Typesetting" w:cs="Arabic Typesetting"/>
          <w:noProof/>
          <w:snapToGrid/>
          <w:sz w:val="38"/>
          <w:szCs w:val="38"/>
          <w:rtl/>
          <w:lang w:val="x-none" w:eastAsia="x-none" w:bidi="ar-EG"/>
        </w:rPr>
        <w:t>استراتيجيات التنفيذ</w:t>
      </w:r>
    </w:p>
    <w:p w:rsidR="006D6669" w:rsidRDefault="006D6669" w:rsidP="00861CFF">
      <w:pPr>
        <w:numPr>
          <w:ilvl w:val="0"/>
          <w:numId w:val="40"/>
        </w:numPr>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س</w:t>
      </w:r>
      <w:r w:rsidRPr="00644F3C">
        <w:rPr>
          <w:rFonts w:ascii="Arabic Typesetting" w:hAnsi="Arabic Typesetting" w:cs="Arabic Typesetting"/>
          <w:sz w:val="34"/>
          <w:szCs w:val="34"/>
          <w:rtl/>
        </w:rPr>
        <w:t>يتم زيادة ترسيخ</w:t>
      </w:r>
      <w:r w:rsidRPr="005279F4">
        <w:rPr>
          <w:rFonts w:ascii="Arabic Typesetting" w:hAnsi="Arabic Typesetting" w:cs="Arabic Typesetting"/>
          <w:sz w:val="34"/>
          <w:szCs w:val="34"/>
          <w:rtl/>
        </w:rPr>
        <w:t xml:space="preserve"> نظام البنية المؤسسية الذي وُضِعَ لضمان </w:t>
      </w:r>
      <w:r>
        <w:rPr>
          <w:rFonts w:ascii="Arabic Typesetting" w:hAnsi="Arabic Typesetting" w:cs="Arabic Typesetting" w:hint="cs"/>
          <w:sz w:val="34"/>
          <w:szCs w:val="34"/>
          <w:rtl/>
        </w:rPr>
        <w:t xml:space="preserve">تماشي </w:t>
      </w:r>
      <w:r w:rsidRPr="005279F4">
        <w:rPr>
          <w:rFonts w:ascii="Arabic Typesetting" w:hAnsi="Arabic Typesetting" w:cs="Arabic Typesetting"/>
          <w:sz w:val="34"/>
          <w:szCs w:val="34"/>
          <w:rtl/>
        </w:rPr>
        <w:t xml:space="preserve">أنظمة </w:t>
      </w:r>
      <w:r>
        <w:rPr>
          <w:rFonts w:ascii="Arabic Typesetting" w:hAnsi="Arabic Typesetting" w:cs="Arabic Typesetting" w:hint="cs"/>
          <w:sz w:val="34"/>
          <w:szCs w:val="34"/>
          <w:rtl/>
        </w:rPr>
        <w:t>وبيئة الويبو الخاصة ب</w:t>
      </w:r>
      <w:r w:rsidRPr="005279F4">
        <w:rPr>
          <w:rFonts w:ascii="Arabic Typesetting" w:hAnsi="Arabic Typesetting" w:cs="Arabic Typesetting"/>
          <w:sz w:val="34"/>
          <w:szCs w:val="34"/>
          <w:rtl/>
        </w:rPr>
        <w:t>تكنولوجيا المعلومات والاتصالات مع احتياجات</w:t>
      </w:r>
      <w:r>
        <w:rPr>
          <w:rFonts w:ascii="Arabic Typesetting" w:hAnsi="Arabic Typesetting" w:cs="Arabic Typesetting" w:hint="cs"/>
          <w:sz w:val="34"/>
          <w:szCs w:val="34"/>
          <w:rtl/>
        </w:rPr>
        <w:t>ها المؤسسية</w:t>
      </w:r>
      <w:r w:rsidRPr="005279F4">
        <w:rPr>
          <w:rFonts w:ascii="Arabic Typesetting" w:hAnsi="Arabic Typesetting" w:cs="Arabic Typesetting"/>
          <w:sz w:val="34"/>
          <w:szCs w:val="34"/>
          <w:rtl/>
        </w:rPr>
        <w:t xml:space="preserve"> على نحو أفضل، وأنَّ توحيد بنية تكنولوجيا المعلومات والاتصالات واتساقها يحرزان مزيداً من التقدم، وأنَّ جهود إعادة الهيكلة تُنسَّق تنسيقاً جيداً، وأنَّ القرارات الخاصة بالحلول والتكنولوجيا والمنتجات تُتَّخَذ وفقاً للبنية المؤسسية المستهدفة، وأنَّ البيانات المؤسسية، ونفاذ المستخدمين، والمعلومات تُدار بطريقة متكاملة ومتسقة.</w:t>
      </w:r>
    </w:p>
    <w:p w:rsidR="006D6669" w:rsidRDefault="006D6669" w:rsidP="00861CFF">
      <w:pPr>
        <w:numPr>
          <w:ilvl w:val="0"/>
          <w:numId w:val="40"/>
        </w:numPr>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Pr>
          <w:rFonts w:ascii="Arabic Typesetting" w:hAnsi="Arabic Typesetting" w:cs="Arabic Typesetting" w:hint="cs"/>
          <w:sz w:val="34"/>
          <w:szCs w:val="34"/>
          <w:rtl/>
        </w:rPr>
        <w:t>ي</w:t>
      </w:r>
      <w:r w:rsidRPr="005279F4">
        <w:rPr>
          <w:rFonts w:ascii="Arabic Typesetting" w:hAnsi="Arabic Typesetting" w:cs="Arabic Typesetting"/>
          <w:sz w:val="34"/>
          <w:szCs w:val="34"/>
          <w:rtl/>
        </w:rPr>
        <w:t>عتمد التنفيذ في الثنائية الجديدة اعتماداً كبيراً على الاستثمارات والإنجازات السابقة الخاصة بتكنولوجيا المعلومات والاتصالات، مثل زيادة قدرة تكنولوجيا المعلومات والاتصالات على مو</w:t>
      </w:r>
      <w:r>
        <w:rPr>
          <w:rFonts w:ascii="Arabic Typesetting" w:hAnsi="Arabic Typesetting" w:cs="Arabic Typesetting"/>
          <w:sz w:val="34"/>
          <w:szCs w:val="34"/>
          <w:rtl/>
        </w:rPr>
        <w:t>اجهة التهديدات الإلكترونية والكوارث الواسعة النطاق</w:t>
      </w:r>
      <w:r>
        <w:rPr>
          <w:rFonts w:ascii="Arabic Typesetting" w:hAnsi="Arabic Typesetting" w:cs="Arabic Typesetting" w:hint="cs"/>
          <w:sz w:val="34"/>
          <w:szCs w:val="34"/>
          <w:rtl/>
        </w:rPr>
        <w:t xml:space="preserve"> وتحمّل الدمج السلس للمكاتب الخارجية من خلال إطلاق نظام وهيكل معياريين لمكتب عالمي</w:t>
      </w:r>
      <w:r>
        <w:rPr>
          <w:rFonts w:ascii="Arabic Typesetting" w:hAnsi="Arabic Typesetting" w:cs="Arabic Typesetting"/>
          <w:sz w:val="34"/>
          <w:szCs w:val="34"/>
          <w:rtl/>
        </w:rPr>
        <w:t>. وس</w:t>
      </w:r>
      <w:r w:rsidRPr="005279F4">
        <w:rPr>
          <w:rFonts w:ascii="Arabic Typesetting" w:hAnsi="Arabic Typesetting" w:cs="Arabic Typesetting"/>
          <w:sz w:val="34"/>
          <w:szCs w:val="34"/>
          <w:rtl/>
        </w:rPr>
        <w:t>تُفعَّل التحسينات التكنولوجية التي تم تنفيذها من خلال مشاريع. ومن المتوقع أن يحقق التوريد الاستراتيجي وإقامة الشراكات قدراً أكبر من فعالية التكاليف والاستجابة الجغرافية.</w:t>
      </w:r>
    </w:p>
    <w:p w:rsidR="006D6669" w:rsidRDefault="006D6669" w:rsidP="00861CFF">
      <w:pPr>
        <w:numPr>
          <w:ilvl w:val="0"/>
          <w:numId w:val="40"/>
        </w:numPr>
        <w:spacing w:after="120" w:line="340" w:lineRule="exact"/>
        <w:rPr>
          <w:rFonts w:ascii="Arabic Typesetting" w:hAnsi="Arabic Typesetting" w:cs="Arabic Typesetting"/>
          <w:sz w:val="34"/>
          <w:szCs w:val="34"/>
        </w:rPr>
      </w:pPr>
      <w:r w:rsidRPr="005279F4">
        <w:rPr>
          <w:rFonts w:ascii="Arabic Typesetting" w:hAnsi="Arabic Typesetting" w:cs="Arabic Typesetting"/>
          <w:sz w:val="34"/>
          <w:szCs w:val="34"/>
          <w:rtl/>
        </w:rPr>
        <w:t xml:space="preserve">وبالتعاون مع </w:t>
      </w:r>
      <w:r>
        <w:rPr>
          <w:rFonts w:ascii="Arabic Typesetting" w:hAnsi="Arabic Typesetting" w:cs="Arabic Typesetting" w:hint="cs"/>
          <w:sz w:val="34"/>
          <w:szCs w:val="34"/>
          <w:rtl/>
        </w:rPr>
        <w:t xml:space="preserve">البرامج المتخصصة </w:t>
      </w:r>
      <w:r w:rsidRPr="005279F4">
        <w:rPr>
          <w:rFonts w:ascii="Arabic Typesetting" w:hAnsi="Arabic Typesetting" w:cs="Arabic Typesetting"/>
          <w:sz w:val="34"/>
          <w:szCs w:val="34"/>
          <w:rtl/>
        </w:rPr>
        <w:t>ذات الصلة و</w:t>
      </w:r>
      <w:r>
        <w:rPr>
          <w:rFonts w:ascii="Arabic Typesetting" w:hAnsi="Arabic Typesetting" w:cs="Arabic Typesetting" w:hint="cs"/>
          <w:sz w:val="34"/>
          <w:szCs w:val="34"/>
          <w:rtl/>
        </w:rPr>
        <w:t xml:space="preserve">البرنامج المسؤول عن </w:t>
      </w:r>
      <w:r w:rsidRPr="005279F4">
        <w:rPr>
          <w:rFonts w:ascii="Arabic Typesetting" w:hAnsi="Arabic Typesetting" w:cs="Arabic Typesetting"/>
          <w:sz w:val="34"/>
          <w:szCs w:val="34"/>
          <w:rtl/>
        </w:rPr>
        <w:t>تأمين المعلومات، سوف يضمن البرنامجُ أن تكون أنظمة تكنولوجيا المعلومات والاتصالات ذات المعلومات الحساسة للغا</w:t>
      </w:r>
      <w:r>
        <w:rPr>
          <w:rFonts w:ascii="Arabic Typesetting" w:hAnsi="Arabic Typesetting" w:cs="Arabic Typesetting"/>
          <w:sz w:val="34"/>
          <w:szCs w:val="34"/>
          <w:rtl/>
        </w:rPr>
        <w:t>ية أقل عرضةً للتهديدات الخارجية</w:t>
      </w:r>
      <w:r>
        <w:rPr>
          <w:rFonts w:ascii="Arabic Typesetting" w:hAnsi="Arabic Typesetting" w:cs="Arabic Typesetting" w:hint="cs"/>
          <w:sz w:val="34"/>
          <w:szCs w:val="34"/>
          <w:rtl/>
        </w:rPr>
        <w:t xml:space="preserve">. كما سيضمن البرنامج </w:t>
      </w:r>
      <w:r w:rsidRPr="005279F4">
        <w:rPr>
          <w:rFonts w:ascii="Arabic Typesetting" w:hAnsi="Arabic Typesetting" w:cs="Arabic Typesetting"/>
          <w:sz w:val="34"/>
          <w:szCs w:val="34"/>
          <w:rtl/>
        </w:rPr>
        <w:t xml:space="preserve">أن تسعى الويبو إلى إنشاء مزيد من حلول الاستضافة الفعالة من حيث التكلفة </w:t>
      </w:r>
      <w:r>
        <w:rPr>
          <w:rFonts w:ascii="Arabic Typesetting" w:hAnsi="Arabic Typesetting" w:cs="Arabic Typesetting" w:hint="cs"/>
          <w:sz w:val="34"/>
          <w:szCs w:val="34"/>
          <w:rtl/>
        </w:rPr>
        <w:t xml:space="preserve">والمرنة </w:t>
      </w:r>
      <w:r w:rsidRPr="005279F4">
        <w:rPr>
          <w:rFonts w:ascii="Arabic Typesetting" w:hAnsi="Arabic Typesetting" w:cs="Arabic Typesetting"/>
          <w:sz w:val="34"/>
          <w:szCs w:val="34"/>
          <w:rtl/>
        </w:rPr>
        <w:t xml:space="preserve">لأنظمة تكنولوجيا المعلومات والاتصالات </w:t>
      </w:r>
      <w:r w:rsidRPr="00644F3C">
        <w:rPr>
          <w:rFonts w:ascii="Arabic Typesetting" w:hAnsi="Arabic Typesetting" w:cs="Arabic Typesetting"/>
          <w:sz w:val="34"/>
          <w:szCs w:val="34"/>
          <w:rtl/>
        </w:rPr>
        <w:t xml:space="preserve">الخالية من </w:t>
      </w:r>
      <w:r>
        <w:rPr>
          <w:rFonts w:ascii="Arabic Typesetting" w:hAnsi="Arabic Typesetting" w:cs="Arabic Typesetting" w:hint="cs"/>
          <w:sz w:val="34"/>
          <w:szCs w:val="34"/>
          <w:rtl/>
        </w:rPr>
        <w:t>الشواغل المتعلقة</w:t>
      </w:r>
      <w:r w:rsidRPr="00644F3C">
        <w:rPr>
          <w:rFonts w:ascii="Arabic Typesetting" w:hAnsi="Arabic Typesetting" w:cs="Arabic Typesetting"/>
          <w:sz w:val="34"/>
          <w:szCs w:val="34"/>
          <w:rtl/>
        </w:rPr>
        <w:t xml:space="preserve"> </w:t>
      </w:r>
      <w:r>
        <w:rPr>
          <w:rFonts w:ascii="Arabic Typesetting" w:hAnsi="Arabic Typesetting" w:cs="Arabic Typesetting" w:hint="cs"/>
          <w:sz w:val="34"/>
          <w:szCs w:val="34"/>
          <w:rtl/>
        </w:rPr>
        <w:t>ب</w:t>
      </w:r>
      <w:r w:rsidRPr="00644F3C">
        <w:rPr>
          <w:rFonts w:ascii="Arabic Typesetting" w:hAnsi="Arabic Typesetting" w:cs="Arabic Typesetting"/>
          <w:sz w:val="34"/>
          <w:szCs w:val="34"/>
          <w:rtl/>
        </w:rPr>
        <w:t>السرية</w:t>
      </w:r>
      <w:r w:rsidRPr="005279F4">
        <w:rPr>
          <w:rFonts w:ascii="Arabic Typesetting" w:hAnsi="Arabic Typesetting" w:cs="Arabic Typesetting"/>
          <w:sz w:val="34"/>
          <w:szCs w:val="34"/>
          <w:rtl/>
        </w:rPr>
        <w:t>.</w:t>
      </w:r>
    </w:p>
    <w:p w:rsidR="006D6669" w:rsidRDefault="006D6669" w:rsidP="00861CFF">
      <w:pPr>
        <w:numPr>
          <w:ilvl w:val="0"/>
          <w:numId w:val="40"/>
        </w:numPr>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sidRPr="005279F4">
        <w:rPr>
          <w:rFonts w:ascii="Arabic Typesetting" w:hAnsi="Arabic Typesetting" w:cs="Arabic Typesetting"/>
          <w:sz w:val="34"/>
          <w:szCs w:val="34"/>
          <w:rtl/>
        </w:rPr>
        <w:t xml:space="preserve">يُحرَز خلال الثنائية القادمة تقدمٌ في تنفيذ تكنولوجيا إدارة المحتوى المؤسسي لتحسين إدارة الوثائق، والتعاون، وتبادل المعلومات واسترجاعها. ومن المتوقع أن يؤدي ذلك إلى تحسين </w:t>
      </w:r>
      <w:r>
        <w:rPr>
          <w:rFonts w:ascii="Arabic Typesetting" w:hAnsi="Arabic Typesetting" w:cs="Arabic Typesetting" w:hint="cs"/>
          <w:sz w:val="34"/>
          <w:szCs w:val="34"/>
          <w:rtl/>
        </w:rPr>
        <w:t>تقاسم</w:t>
      </w:r>
      <w:r w:rsidRPr="005279F4">
        <w:rPr>
          <w:rFonts w:ascii="Arabic Typesetting" w:hAnsi="Arabic Typesetting" w:cs="Arabic Typesetting"/>
          <w:sz w:val="34"/>
          <w:szCs w:val="34"/>
          <w:rtl/>
        </w:rPr>
        <w:t xml:space="preserve"> المعارف و</w:t>
      </w:r>
      <w:r>
        <w:rPr>
          <w:rFonts w:ascii="Arabic Typesetting" w:hAnsi="Arabic Typesetting" w:cs="Arabic Typesetting" w:hint="cs"/>
          <w:sz w:val="34"/>
          <w:szCs w:val="34"/>
          <w:rtl/>
        </w:rPr>
        <w:t xml:space="preserve">إدارة </w:t>
      </w:r>
      <w:r w:rsidRPr="005279F4">
        <w:rPr>
          <w:rFonts w:ascii="Arabic Typesetting" w:hAnsi="Arabic Typesetting" w:cs="Arabic Typesetting"/>
          <w:sz w:val="34"/>
          <w:szCs w:val="34"/>
          <w:rtl/>
        </w:rPr>
        <w:t>المعلومات على نطاق المنظمة.</w:t>
      </w:r>
    </w:p>
    <w:p w:rsidR="006D6669" w:rsidRPr="008954A8" w:rsidRDefault="006D6669" w:rsidP="00DA5475">
      <w:pPr>
        <w:spacing w:after="120" w:line="340" w:lineRule="exact"/>
        <w:rPr>
          <w:rFonts w:ascii="Arabic Typesetting" w:hAnsi="Arabic Typesetting" w:cs="Arabic Typesetting"/>
          <w:sz w:val="34"/>
          <w:szCs w:val="34"/>
        </w:rPr>
      </w:pPr>
    </w:p>
    <w:p w:rsidR="006D6669" w:rsidRPr="0099400E"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99400E">
        <w:rPr>
          <w:rFonts w:ascii="Arabic Typesetting" w:hAnsi="Arabic Typesetting" w:cs="Arabic Typesetting"/>
          <w:noProof/>
          <w:snapToGrid/>
          <w:sz w:val="38"/>
          <w:szCs w:val="38"/>
          <w:rtl/>
          <w:lang w:val="x-none" w:eastAsia="x-none" w:bidi="ar-EG"/>
        </w:rPr>
        <w:lastRenderedPageBreak/>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00"/>
        <w:gridCol w:w="4620"/>
      </w:tblGrid>
      <w:tr w:rsidR="006D6669" w:rsidRPr="008954A8" w:rsidTr="00DA5475">
        <w:trPr>
          <w:trHeight w:val="476"/>
        </w:trPr>
        <w:tc>
          <w:tcPr>
            <w:tcW w:w="4400" w:type="dxa"/>
            <w:tcBorders>
              <w:top w:val="single" w:sz="4" w:space="0" w:color="auto"/>
              <w:bottom w:val="single" w:sz="4" w:space="0" w:color="auto"/>
            </w:tcBorders>
            <w:shd w:val="clear" w:color="auto" w:fill="C6D9F1"/>
            <w:tcMar>
              <w:top w:w="113" w:type="dxa"/>
              <w:bottom w:w="85" w:type="dxa"/>
            </w:tcMar>
          </w:tcPr>
          <w:p w:rsidR="006D6669" w:rsidRPr="008954A8" w:rsidRDefault="006D6669" w:rsidP="00DA5475">
            <w:pPr>
              <w:pStyle w:val="ARProgramTableHeading"/>
              <w:keepNext/>
              <w:spacing w:beforeLines="60" w:before="144" w:afterLines="60" w:after="144" w:line="300" w:lineRule="exact"/>
              <w:rPr>
                <w:rtl/>
              </w:rPr>
            </w:pPr>
            <w:r>
              <w:rPr>
                <w:rFonts w:hint="cs"/>
                <w:rtl/>
                <w:lang w:bidi="ar-SA"/>
              </w:rPr>
              <w:t>المخاطر</w:t>
            </w:r>
          </w:p>
        </w:tc>
        <w:tc>
          <w:tcPr>
            <w:tcW w:w="4620" w:type="dxa"/>
            <w:tcBorders>
              <w:top w:val="single" w:sz="4" w:space="0" w:color="auto"/>
              <w:bottom w:val="single" w:sz="4" w:space="0" w:color="auto"/>
            </w:tcBorders>
            <w:shd w:val="clear" w:color="auto" w:fill="C6D9F1"/>
            <w:tcMar>
              <w:top w:w="113" w:type="dxa"/>
              <w:bottom w:w="85" w:type="dxa"/>
            </w:tcMar>
          </w:tcPr>
          <w:p w:rsidR="006D6669" w:rsidRPr="008954A8" w:rsidRDefault="006D6669" w:rsidP="00DA5475">
            <w:pPr>
              <w:pStyle w:val="ARProgramTableHeading"/>
              <w:spacing w:beforeLines="60" w:before="144" w:afterLines="60" w:after="144" w:line="300" w:lineRule="exact"/>
              <w:rPr>
                <w:rtl/>
              </w:rPr>
            </w:pPr>
            <w:r>
              <w:rPr>
                <w:rFonts w:hint="cs"/>
                <w:rtl/>
              </w:rPr>
              <w:t>التخفيف منها</w:t>
            </w:r>
          </w:p>
        </w:tc>
      </w:tr>
      <w:tr w:rsidR="006D6669" w:rsidRPr="008954A8" w:rsidTr="00DA5475">
        <w:trPr>
          <w:trHeight w:val="985"/>
        </w:trPr>
        <w:tc>
          <w:tcPr>
            <w:tcW w:w="4400" w:type="dxa"/>
            <w:tcBorders>
              <w:top w:val="single" w:sz="4" w:space="0" w:color="auto"/>
            </w:tcBorders>
            <w:tcMar>
              <w:top w:w="113" w:type="dxa"/>
              <w:bottom w:w="85" w:type="dxa"/>
            </w:tcMar>
          </w:tcPr>
          <w:p w:rsidR="006D6669" w:rsidRPr="008954A8" w:rsidRDefault="006D6669" w:rsidP="00DA5475">
            <w:pPr>
              <w:keepNext/>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5279F4">
              <w:rPr>
                <w:rFonts w:ascii="Arabic Typesetting" w:hAnsi="Arabic Typesetting" w:cs="Arabic Typesetting"/>
                <w:sz w:val="30"/>
                <w:szCs w:val="30"/>
                <w:rtl/>
              </w:rPr>
              <w:t>معاناة نظام معاهدة التعاون بشأن البراءات وأنظمة المعلومات المرتبطة به من معدل غير مقبول من الانقطاعات وينتج عن ذلك عدم القدرة على قبول طلبات معاهدة التعاون بشأن البراءات ومن ثم تأثير ذلك على معالجة هذه الطلبات ونشرها، والتأثير على سمعة المنظمة سلبياً.</w:t>
            </w:r>
          </w:p>
        </w:tc>
        <w:tc>
          <w:tcPr>
            <w:tcW w:w="4620" w:type="dxa"/>
            <w:tcBorders>
              <w:top w:val="single" w:sz="4" w:space="0" w:color="auto"/>
            </w:tcBorders>
            <w:tcMar>
              <w:top w:w="113" w:type="dxa"/>
              <w:bottom w:w="85" w:type="dxa"/>
            </w:tcMar>
          </w:tcPr>
          <w:p w:rsidR="006D6669" w:rsidRPr="008954A8" w:rsidRDefault="006D6669" w:rsidP="00DA5475">
            <w:pPr>
              <w:keepNext/>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5279F4">
              <w:rPr>
                <w:rFonts w:ascii="Arabic Typesetting" w:hAnsi="Arabic Typesetting" w:cs="Arabic Typesetting"/>
                <w:sz w:val="30"/>
                <w:szCs w:val="30"/>
                <w:rtl/>
              </w:rPr>
              <w:t>الاستفادة من البنية التحتية الاحتياطية التي أنشئت خلال الثنائية 2014/15 مع إدخال قدرة احتياطية إضافية والقدرة على مواصلة تطوير خطة استمرارية الأعمال وتنقيحها.</w:t>
            </w:r>
          </w:p>
        </w:tc>
      </w:tr>
    </w:tbl>
    <w:p w:rsidR="006D6669" w:rsidRPr="008954A8" w:rsidRDefault="006D6669" w:rsidP="00DA5475">
      <w:pPr>
        <w:tabs>
          <w:tab w:val="left" w:pos="567"/>
          <w:tab w:val="left" w:pos="1985"/>
        </w:tabs>
        <w:rPr>
          <w:rFonts w:ascii="Arabic Typesetting" w:hAnsi="Arabic Typesetting" w:cs="Arabic Typesetting"/>
          <w:b/>
          <w:sz w:val="30"/>
          <w:szCs w:val="30"/>
        </w:rPr>
      </w:pPr>
    </w:p>
    <w:p w:rsidR="006D6669" w:rsidRPr="0099400E"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99400E">
        <w:rPr>
          <w:rFonts w:ascii="Arabic Typesetting" w:hAnsi="Arabic Typesetting" w:cs="Arabic Typesetting"/>
          <w:noProof/>
          <w:snapToGrid/>
          <w:sz w:val="38"/>
          <w:szCs w:val="38"/>
          <w:rtl/>
          <w:lang w:val="x-none" w:eastAsia="x-none" w:bidi="ar-EG"/>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6D6669" w:rsidRPr="008954A8" w:rsidTr="00DA5475">
        <w:trPr>
          <w:cantSplit/>
          <w:trHeight w:val="605"/>
          <w:tblHeader/>
        </w:trPr>
        <w:tc>
          <w:tcPr>
            <w:tcW w:w="1249"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spacing w:before="60" w:after="60"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spacing w:before="60" w:after="60"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spacing w:before="60" w:after="60" w:line="300" w:lineRule="exact"/>
              <w:ind w:left="85"/>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6D9F1"/>
            <w:tcMar>
              <w:top w:w="113" w:type="dxa"/>
            </w:tcMar>
            <w:vAlign w:val="center"/>
          </w:tcPr>
          <w:p w:rsidR="006D6669" w:rsidRPr="008954A8" w:rsidRDefault="006D6669" w:rsidP="00DA5475">
            <w:pPr>
              <w:keepNext/>
              <w:keepLines/>
              <w:spacing w:before="60" w:after="60" w:line="300" w:lineRule="exact"/>
              <w:ind w:right="111"/>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الأهداف</w:t>
            </w:r>
          </w:p>
        </w:tc>
      </w:tr>
      <w:tr w:rsidR="006D6669" w:rsidRPr="008954A8" w:rsidTr="00DA5475">
        <w:trPr>
          <w:cantSplit/>
        </w:trPr>
        <w:tc>
          <w:tcPr>
            <w:tcW w:w="1249" w:type="pct"/>
            <w:tcBorders>
              <w:top w:val="single" w:sz="4" w:space="0" w:color="auto"/>
              <w:bottom w:val="nil"/>
            </w:tcBorders>
            <w:tcMar>
              <w:top w:w="113" w:type="dxa"/>
            </w:tcMar>
          </w:tcPr>
          <w:p w:rsidR="006D6669" w:rsidRPr="005279F4" w:rsidRDefault="009800D4" w:rsidP="00DA5475">
            <w:pPr>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color w:val="000000"/>
                <w:sz w:val="30"/>
                <w:szCs w:val="30"/>
                <w:rtl/>
              </w:rPr>
              <w:t>ه</w:t>
            </w:r>
            <w:r w:rsidR="006D6669">
              <w:rPr>
                <w:rFonts w:ascii="Arabic Typesetting" w:hAnsi="Arabic Typesetting" w:cs="Arabic Typesetting" w:hint="cs"/>
                <w:color w:val="000000"/>
                <w:sz w:val="30"/>
                <w:szCs w:val="30"/>
                <w:rtl/>
              </w:rPr>
              <w:t xml:space="preserve"> </w:t>
            </w:r>
            <w:r w:rsidR="006D6669" w:rsidRPr="005279F4">
              <w:rPr>
                <w:rFonts w:ascii="Arabic Typesetting" w:hAnsi="Arabic Typesetting" w:cs="Arabic Typesetting"/>
                <w:color w:val="000000"/>
                <w:sz w:val="30"/>
                <w:szCs w:val="30"/>
                <w:rtl/>
              </w:rPr>
              <w:t>1.9 خدمات دعم موجهة للزبون بفعالية وكفاءة وجودة لفائدة الزبائن الداخليين وأصحاب المصلحة الخارجيين</w:t>
            </w:r>
          </w:p>
        </w:tc>
        <w:tc>
          <w:tcPr>
            <w:tcW w:w="1462" w:type="pct"/>
            <w:tcBorders>
              <w:top w:val="single" w:sz="4" w:space="0" w:color="auto"/>
              <w:bottom w:val="nil"/>
            </w:tcBorders>
            <w:tcMar>
              <w:top w:w="113" w:type="dxa"/>
            </w:tcMar>
          </w:tcPr>
          <w:p w:rsidR="006D6669" w:rsidRPr="005279F4" w:rsidRDefault="006D6669" w:rsidP="00DA5475">
            <w:pPr>
              <w:spacing w:before="60" w:after="60" w:line="300" w:lineRule="exact"/>
              <w:rPr>
                <w:rFonts w:ascii="Arabic Typesetting" w:hAnsi="Arabic Typesetting" w:cs="Arabic Typesetting"/>
                <w:color w:val="000000"/>
                <w:sz w:val="30"/>
                <w:szCs w:val="30"/>
                <w:rtl/>
              </w:rPr>
            </w:pPr>
            <w:r w:rsidRPr="005279F4">
              <w:rPr>
                <w:rFonts w:ascii="Arabic Typesetting" w:hAnsi="Arabic Typesetting" w:cs="Arabic Typesetting"/>
                <w:color w:val="000000"/>
                <w:sz w:val="30"/>
                <w:szCs w:val="30"/>
                <w:rtl/>
              </w:rPr>
              <w:t>استضافة منصّات تكنولوجيا المعلومات وإدارتها على نحو فعال من حيث التكلفة بما يتماشى مع متطلبات الأعمال</w:t>
            </w:r>
          </w:p>
        </w:tc>
        <w:tc>
          <w:tcPr>
            <w:tcW w:w="1145" w:type="pct"/>
            <w:tcBorders>
              <w:top w:val="single" w:sz="4" w:space="0" w:color="auto"/>
              <w:bottom w:val="nil"/>
            </w:tcBorders>
            <w:shd w:val="clear" w:color="auto" w:fill="FFFFFF"/>
            <w:tcMar>
              <w:top w:w="113" w:type="dxa"/>
            </w:tcMar>
          </w:tcPr>
          <w:p w:rsidR="006D6669" w:rsidRPr="005279F4" w:rsidRDefault="00CF3FE0" w:rsidP="00DA5475">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w:t>
            </w:r>
          </w:p>
        </w:tc>
        <w:tc>
          <w:tcPr>
            <w:tcW w:w="1144" w:type="pct"/>
            <w:tcBorders>
              <w:top w:val="single" w:sz="4" w:space="0" w:color="auto"/>
              <w:bottom w:val="nil"/>
            </w:tcBorders>
            <w:tcMar>
              <w:top w:w="113" w:type="dxa"/>
            </w:tcMar>
          </w:tcPr>
          <w:p w:rsidR="006D6669" w:rsidRPr="007F3453" w:rsidRDefault="006D6669" w:rsidP="00DA5475">
            <w:pPr>
              <w:keepNext/>
              <w:keepLines/>
              <w:spacing w:before="60" w:after="60" w:line="300" w:lineRule="exact"/>
              <w:ind w:right="221"/>
              <w:rPr>
                <w:rFonts w:ascii="Arabic Typesetting" w:hAnsi="Arabic Typesetting" w:cs="Arabic Typesetting"/>
                <w:b/>
                <w:sz w:val="30"/>
                <w:szCs w:val="30"/>
                <w:rtl/>
              </w:rPr>
            </w:pPr>
            <w:r w:rsidRPr="007F3453">
              <w:rPr>
                <w:rFonts w:ascii="Arabic Typesetting" w:hAnsi="Arabic Typesetting" w:cs="Arabic Typesetting"/>
                <w:b/>
                <w:sz w:val="30"/>
                <w:szCs w:val="30"/>
                <w:rtl/>
              </w:rPr>
              <w:t>استحداث اتفاقات جديدة لتقديم الخدمات والموافقة عليها مع زيادة مستهلكي خدمات منصة تكنولوجيا المعلومات والاتصالات إلى أكبر عدد</w:t>
            </w:r>
          </w:p>
        </w:tc>
      </w:tr>
      <w:tr w:rsidR="006D6669" w:rsidRPr="008954A8" w:rsidTr="00DA5475">
        <w:trPr>
          <w:cantSplit/>
        </w:trPr>
        <w:tc>
          <w:tcPr>
            <w:tcW w:w="1249" w:type="pct"/>
            <w:tcBorders>
              <w:top w:val="nil"/>
              <w:bottom w:val="nil"/>
            </w:tcBorders>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tl/>
              </w:rPr>
            </w:pPr>
          </w:p>
        </w:tc>
        <w:tc>
          <w:tcPr>
            <w:tcW w:w="1462" w:type="pct"/>
            <w:tcBorders>
              <w:top w:val="nil"/>
              <w:bottom w:val="nil"/>
            </w:tcBorders>
            <w:tcMar>
              <w:top w:w="113" w:type="dxa"/>
            </w:tcMar>
          </w:tcPr>
          <w:p w:rsidR="006D6669" w:rsidRPr="008954A8" w:rsidRDefault="006D6669" w:rsidP="00DA5475">
            <w:pPr>
              <w:spacing w:before="60" w:after="60" w:line="300" w:lineRule="exact"/>
              <w:rPr>
                <w:rFonts w:ascii="Arabic Typesetting" w:hAnsi="Arabic Typesetting" w:cs="Arabic Typesetting"/>
                <w:color w:val="000000"/>
                <w:sz w:val="30"/>
                <w:szCs w:val="30"/>
              </w:rPr>
            </w:pPr>
          </w:p>
        </w:tc>
        <w:tc>
          <w:tcPr>
            <w:tcW w:w="1145" w:type="pct"/>
            <w:tcBorders>
              <w:top w:val="nil"/>
              <w:bottom w:val="nil"/>
            </w:tcBorders>
            <w:shd w:val="clear" w:color="auto" w:fill="FFFFFF"/>
            <w:tcMar>
              <w:top w:w="113" w:type="dxa"/>
            </w:tcMar>
          </w:tcPr>
          <w:p w:rsidR="006D6669" w:rsidRDefault="006D6669" w:rsidP="00DA5475">
            <w:pPr>
              <w:spacing w:before="60" w:after="60" w:line="300" w:lineRule="exact"/>
              <w:rPr>
                <w:rFonts w:ascii="Arabic Typesetting" w:hAnsi="Arabic Typesetting" w:cs="Arabic Typesetting"/>
                <w:sz w:val="30"/>
                <w:szCs w:val="30"/>
                <w:rtl/>
              </w:rPr>
            </w:pPr>
            <w:r w:rsidRPr="007F3453">
              <w:rPr>
                <w:rFonts w:ascii="Arabic Typesetting" w:hAnsi="Arabic Typesetting" w:cs="Arabic Typesetting"/>
                <w:sz w:val="30"/>
                <w:szCs w:val="30"/>
                <w:rtl/>
              </w:rPr>
              <w:t>تكلفة وحدة الخوادم</w:t>
            </w:r>
            <w:r>
              <w:rPr>
                <w:rFonts w:ascii="Arabic Typesetting" w:hAnsi="Arabic Typesetting" w:cs="Arabic Typesetting"/>
                <w:sz w:val="30"/>
                <w:szCs w:val="30"/>
                <w:rtl/>
              </w:rPr>
              <w:t>: 448 فرنك</w:t>
            </w:r>
            <w:r w:rsidR="00CF3FE0">
              <w:rPr>
                <w:rFonts w:ascii="Arabic Typesetting" w:hAnsi="Arabic Typesetting" w:cs="Arabic Typesetting" w:hint="cs"/>
                <w:sz w:val="30"/>
                <w:szCs w:val="30"/>
                <w:rtl/>
              </w:rPr>
              <w:t>ا</w:t>
            </w:r>
            <w:r>
              <w:rPr>
                <w:rFonts w:ascii="Arabic Typesetting" w:hAnsi="Arabic Typesetting" w:cs="Arabic Typesetting"/>
                <w:sz w:val="30"/>
                <w:szCs w:val="30"/>
                <w:rtl/>
              </w:rPr>
              <w:t xml:space="preserve"> سويسري</w:t>
            </w:r>
            <w:r w:rsidR="00CF3FE0">
              <w:rPr>
                <w:rFonts w:ascii="Arabic Typesetting" w:hAnsi="Arabic Typesetting" w:cs="Arabic Typesetting" w:hint="cs"/>
                <w:sz w:val="30"/>
                <w:szCs w:val="30"/>
                <w:rtl/>
              </w:rPr>
              <w:t>ا</w:t>
            </w:r>
            <w:r>
              <w:rPr>
                <w:rFonts w:ascii="Arabic Typesetting" w:hAnsi="Arabic Typesetting" w:cs="Arabic Typesetting"/>
                <w:sz w:val="30"/>
                <w:szCs w:val="30"/>
                <w:rtl/>
              </w:rPr>
              <w:t xml:space="preserve"> في الشه</w:t>
            </w:r>
            <w:r>
              <w:rPr>
                <w:rFonts w:ascii="Arabic Typesetting" w:hAnsi="Arabic Typesetting" w:cs="Arabic Typesetting" w:hint="cs"/>
                <w:sz w:val="30"/>
                <w:szCs w:val="30"/>
                <w:rtl/>
              </w:rPr>
              <w:t>ر</w:t>
            </w:r>
            <w:r w:rsidRPr="005279F4">
              <w:rPr>
                <w:rFonts w:ascii="Arabic Typesetting" w:hAnsi="Arabic Typesetting" w:cs="Arabic Typesetting"/>
                <w:sz w:val="30"/>
                <w:szCs w:val="30"/>
                <w:rtl/>
              </w:rPr>
              <w:t>؛ تكلفة الوحدة لكل تيرابايت من التخزين: 299 فرنك</w:t>
            </w:r>
            <w:r w:rsidR="00CF3FE0">
              <w:rPr>
                <w:rFonts w:ascii="Arabic Typesetting" w:hAnsi="Arabic Typesetting" w:cs="Arabic Typesetting" w:hint="cs"/>
                <w:sz w:val="30"/>
                <w:szCs w:val="30"/>
                <w:rtl/>
              </w:rPr>
              <w:t>ا</w:t>
            </w:r>
            <w:r w:rsidRPr="005279F4">
              <w:rPr>
                <w:rFonts w:ascii="Arabic Typesetting" w:hAnsi="Arabic Typesetting" w:cs="Arabic Typesetting"/>
                <w:sz w:val="30"/>
                <w:szCs w:val="30"/>
                <w:rtl/>
              </w:rPr>
              <w:t xml:space="preserve"> سويسري</w:t>
            </w:r>
            <w:r w:rsidR="00CF3FE0">
              <w:rPr>
                <w:rFonts w:ascii="Arabic Typesetting" w:hAnsi="Arabic Typesetting" w:cs="Arabic Typesetting" w:hint="cs"/>
                <w:sz w:val="30"/>
                <w:szCs w:val="30"/>
                <w:rtl/>
              </w:rPr>
              <w:t>ا</w:t>
            </w:r>
            <w:r w:rsidRPr="005279F4">
              <w:rPr>
                <w:rFonts w:ascii="Arabic Typesetting" w:hAnsi="Arabic Typesetting" w:cs="Arabic Typesetting"/>
                <w:sz w:val="30"/>
                <w:szCs w:val="30"/>
                <w:rtl/>
              </w:rPr>
              <w:t xml:space="preserve"> في الشهر؛ تكلفة الوحدة الاحتياطية لكل تيرابايت من التخزين: 370 فرنك سويسري في الشهر (نهاية 2014)؛ عدد حوادث الخدمة ذات التأثير المتوسط أو العالي: 1.75 شهريا</w:t>
            </w:r>
          </w:p>
        </w:tc>
        <w:tc>
          <w:tcPr>
            <w:tcW w:w="1144" w:type="pct"/>
            <w:tcBorders>
              <w:top w:val="nil"/>
              <w:bottom w:val="nil"/>
            </w:tcBorders>
            <w:tcMar>
              <w:top w:w="113" w:type="dxa"/>
            </w:tcMar>
          </w:tcPr>
          <w:p w:rsidR="006D6669" w:rsidRDefault="006D6669" w:rsidP="00DA5475">
            <w:pPr>
              <w:keepNext/>
              <w:keepLines/>
              <w:spacing w:before="60" w:after="60" w:line="300" w:lineRule="exact"/>
              <w:ind w:right="221"/>
              <w:rPr>
                <w:rFonts w:ascii="Arabic Typesetting" w:hAnsi="Arabic Typesetting" w:cs="Arabic Typesetting"/>
                <w:b/>
                <w:sz w:val="30"/>
                <w:szCs w:val="30"/>
                <w:rtl/>
              </w:rPr>
            </w:pPr>
            <w:r w:rsidRPr="0044784D">
              <w:rPr>
                <w:rFonts w:ascii="Arabic Typesetting" w:hAnsi="Arabic Typesetting" w:cs="Arabic Typesetting"/>
                <w:b/>
                <w:sz w:val="30"/>
                <w:szCs w:val="30"/>
                <w:rtl/>
              </w:rPr>
              <w:t>انخفاض تكاليف الوحدات بنسبة 5% على الأقل سنوياً. عدم وجود أي زيادة في حوادث الخدمة ذات التأثير المتوسط أو العالي</w:t>
            </w:r>
          </w:p>
        </w:tc>
      </w:tr>
      <w:tr w:rsidR="006D6669" w:rsidRPr="008954A8" w:rsidTr="00DA5475">
        <w:trPr>
          <w:cantSplit/>
          <w:trHeight w:val="622"/>
        </w:trPr>
        <w:tc>
          <w:tcPr>
            <w:tcW w:w="1249" w:type="pct"/>
            <w:tcBorders>
              <w:top w:val="nil"/>
            </w:tcBorders>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Pr>
            </w:pPr>
          </w:p>
        </w:tc>
        <w:tc>
          <w:tcPr>
            <w:tcW w:w="1462" w:type="pct"/>
            <w:tcBorders>
              <w:top w:val="nil"/>
            </w:tcBorders>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tl/>
              </w:rPr>
            </w:pPr>
            <w:r w:rsidRPr="0044784D">
              <w:rPr>
                <w:rFonts w:ascii="Arabic Typesetting" w:hAnsi="Arabic Typesetting" w:cs="Arabic Typesetting"/>
                <w:sz w:val="30"/>
                <w:szCs w:val="30"/>
                <w:rtl/>
              </w:rPr>
              <w:t>التزام أنشطة تطوير التطبيقات بمعايير الويبو الخاصة بالبيانات المرجعية والرئيسية</w:t>
            </w:r>
          </w:p>
        </w:tc>
        <w:tc>
          <w:tcPr>
            <w:tcW w:w="1145" w:type="pct"/>
            <w:tcBorders>
              <w:top w:val="nil"/>
            </w:tcBorders>
            <w:shd w:val="clear" w:color="auto" w:fill="FFFFFF"/>
            <w:tcMar>
              <w:top w:w="113" w:type="dxa"/>
            </w:tcMar>
          </w:tcPr>
          <w:p w:rsidR="006D6669" w:rsidRPr="008954A8" w:rsidRDefault="00CF3FE0"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غير متاحة</w:t>
            </w:r>
          </w:p>
        </w:tc>
        <w:tc>
          <w:tcPr>
            <w:tcW w:w="1144" w:type="pct"/>
            <w:tcBorders>
              <w:top w:val="nil"/>
            </w:tcBorders>
            <w:tcMar>
              <w:top w:w="113" w:type="dxa"/>
            </w:tcMar>
          </w:tcPr>
          <w:p w:rsidR="006D6669" w:rsidRPr="008954A8" w:rsidRDefault="006D6669" w:rsidP="00DA5475">
            <w:pPr>
              <w:keepNext/>
              <w:keepLines/>
              <w:spacing w:before="60" w:after="60" w:line="300" w:lineRule="exact"/>
              <w:ind w:right="221"/>
              <w:rPr>
                <w:rFonts w:ascii="Arabic Typesetting" w:hAnsi="Arabic Typesetting" w:cs="Arabic Typesetting"/>
                <w:b/>
                <w:sz w:val="30"/>
                <w:szCs w:val="30"/>
              </w:rPr>
            </w:pPr>
            <w:r w:rsidRPr="0044784D">
              <w:rPr>
                <w:rFonts w:ascii="Arabic Typesetting" w:hAnsi="Arabic Typesetting" w:cs="Arabic Typesetting"/>
                <w:b/>
                <w:sz w:val="30"/>
                <w:szCs w:val="30"/>
                <w:rtl/>
              </w:rPr>
              <w:t>استخدام استراتيجية الويبو للبيانات المرجعية والرئيسية ومخزونها من قبل فريق تطوير تطبيقات واحد على الأقل</w:t>
            </w:r>
          </w:p>
        </w:tc>
      </w:tr>
      <w:tr w:rsidR="006D6669" w:rsidRPr="008954A8" w:rsidTr="00DA5475">
        <w:trPr>
          <w:cantSplit/>
          <w:trHeight w:val="782"/>
        </w:trPr>
        <w:tc>
          <w:tcPr>
            <w:tcW w:w="1249" w:type="pct"/>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Pr>
            </w:pPr>
          </w:p>
        </w:tc>
        <w:tc>
          <w:tcPr>
            <w:tcW w:w="1462" w:type="pct"/>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tl/>
              </w:rPr>
            </w:pPr>
            <w:r w:rsidRPr="0044784D">
              <w:rPr>
                <w:rFonts w:ascii="Arabic Typesetting" w:hAnsi="Arabic Typesetting" w:cs="Arabic Typesetting"/>
                <w:sz w:val="30"/>
                <w:szCs w:val="30"/>
                <w:rtl/>
              </w:rPr>
              <w:t>النسبة المئوية للزبائن الراضين عن خدمات مكتب الخدمات</w:t>
            </w:r>
          </w:p>
        </w:tc>
        <w:tc>
          <w:tcPr>
            <w:tcW w:w="1145" w:type="pct"/>
            <w:shd w:val="clear" w:color="auto" w:fill="FFFFFF"/>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tl/>
              </w:rPr>
            </w:pPr>
            <w:r w:rsidRPr="0044784D">
              <w:rPr>
                <w:rFonts w:ascii="Arabic Typesetting" w:hAnsi="Arabic Typesetting" w:cs="Arabic Typesetting"/>
                <w:sz w:val="30"/>
                <w:szCs w:val="30"/>
                <w:rtl/>
              </w:rPr>
              <w:t>97% راضون أو راضون جداً عن مكتب الخدمات</w:t>
            </w:r>
          </w:p>
        </w:tc>
        <w:tc>
          <w:tcPr>
            <w:tcW w:w="1144" w:type="pct"/>
            <w:tcMar>
              <w:top w:w="113" w:type="dxa"/>
            </w:tcMar>
          </w:tcPr>
          <w:p w:rsidR="006D6669" w:rsidRPr="008954A8" w:rsidRDefault="006D6669" w:rsidP="00DA5475">
            <w:pPr>
              <w:keepNext/>
              <w:keepLines/>
              <w:spacing w:before="60" w:after="60" w:line="300" w:lineRule="exact"/>
              <w:ind w:right="221"/>
              <w:rPr>
                <w:rFonts w:ascii="Arabic Typesetting" w:hAnsi="Arabic Typesetting" w:cs="Arabic Typesetting"/>
                <w:b/>
                <w:sz w:val="30"/>
                <w:szCs w:val="30"/>
                <w:rtl/>
              </w:rPr>
            </w:pPr>
            <w:r w:rsidRPr="0044784D">
              <w:rPr>
                <w:rFonts w:ascii="Arabic Typesetting" w:hAnsi="Arabic Typesetting" w:cs="Arabic Typesetting"/>
                <w:b/>
                <w:sz w:val="30"/>
                <w:szCs w:val="30"/>
                <w:rtl/>
              </w:rPr>
              <w:t>الاحتفاظ بمستوى عال مماثل من رضا المستخدمين</w:t>
            </w:r>
          </w:p>
        </w:tc>
      </w:tr>
      <w:tr w:rsidR="006D6669" w:rsidRPr="008954A8" w:rsidTr="00DA5475">
        <w:trPr>
          <w:cantSplit/>
          <w:trHeight w:val="515"/>
        </w:trPr>
        <w:tc>
          <w:tcPr>
            <w:tcW w:w="1249" w:type="pct"/>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Pr>
            </w:pPr>
          </w:p>
        </w:tc>
        <w:tc>
          <w:tcPr>
            <w:tcW w:w="1462" w:type="pct"/>
            <w:tcMar>
              <w:top w:w="113" w:type="dxa"/>
            </w:tcMar>
          </w:tcPr>
          <w:p w:rsidR="006D6669" w:rsidRPr="008954A8" w:rsidRDefault="006D6669" w:rsidP="00DA5475">
            <w:pPr>
              <w:spacing w:before="60" w:after="60" w:line="300" w:lineRule="exact"/>
              <w:rPr>
                <w:rFonts w:ascii="Arabic Typesetting" w:hAnsi="Arabic Typesetting" w:cs="Arabic Typesetting"/>
                <w:sz w:val="30"/>
                <w:szCs w:val="30"/>
                <w:rtl/>
              </w:rPr>
            </w:pPr>
            <w:r w:rsidRPr="0044784D">
              <w:rPr>
                <w:rFonts w:ascii="Arabic Typesetting" w:hAnsi="Arabic Typesetting" w:cs="Arabic Typesetting"/>
                <w:color w:val="000000"/>
                <w:sz w:val="30"/>
                <w:szCs w:val="30"/>
                <w:rtl/>
              </w:rPr>
              <w:t>إدارة مشاريع تكنولوجيا المعلومات والاتصالات في الويبو وفقاً لمبادئ الويبو التوجيهية الخاصة بإدارة المشاريع و</w:t>
            </w:r>
            <w:r w:rsidR="00CF3FE0">
              <w:rPr>
                <w:rFonts w:ascii="Arabic Typesetting" w:hAnsi="Arabic Typesetting" w:cs="Arabic Typesetting" w:hint="cs"/>
                <w:color w:val="000000"/>
                <w:sz w:val="30"/>
                <w:szCs w:val="30"/>
                <w:rtl/>
              </w:rPr>
              <w:t>مبادئ الويبو التوجيهية الخاصة ب</w:t>
            </w:r>
            <w:r w:rsidRPr="0044784D">
              <w:rPr>
                <w:rFonts w:ascii="Arabic Typesetting" w:hAnsi="Arabic Typesetting" w:cs="Arabic Typesetting"/>
                <w:color w:val="000000"/>
                <w:sz w:val="30"/>
                <w:szCs w:val="30"/>
                <w:rtl/>
              </w:rPr>
              <w:t>انتقال الخدمات</w:t>
            </w:r>
          </w:p>
        </w:tc>
        <w:tc>
          <w:tcPr>
            <w:tcW w:w="1145" w:type="pct"/>
            <w:shd w:val="clear" w:color="auto" w:fill="FFFFFF"/>
            <w:tcMar>
              <w:top w:w="113" w:type="dxa"/>
            </w:tcMar>
          </w:tcPr>
          <w:p w:rsidR="00CF3FE0" w:rsidRDefault="00CF3FE0" w:rsidP="00CF3FE0">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 (جديد)</w:t>
            </w:r>
          </w:p>
          <w:p w:rsidR="00CF3FE0" w:rsidRDefault="00CF3FE0" w:rsidP="00CF3FE0">
            <w:pPr>
              <w:spacing w:before="60" w:after="60" w:line="300" w:lineRule="exact"/>
              <w:rPr>
                <w:rFonts w:ascii="Arabic Typesetting" w:hAnsi="Arabic Typesetting" w:cs="Arabic Typesetting"/>
                <w:sz w:val="30"/>
                <w:szCs w:val="30"/>
                <w:rtl/>
              </w:rPr>
            </w:pPr>
          </w:p>
          <w:p w:rsidR="00CF3FE0" w:rsidRDefault="00CF3FE0" w:rsidP="00CF3FE0">
            <w:pPr>
              <w:spacing w:before="60" w:after="60" w:line="300" w:lineRule="exact"/>
              <w:rPr>
                <w:rFonts w:ascii="Arabic Typesetting" w:hAnsi="Arabic Typesetting" w:cs="Arabic Typesetting"/>
                <w:sz w:val="30"/>
                <w:szCs w:val="30"/>
                <w:rtl/>
              </w:rPr>
            </w:pPr>
          </w:p>
          <w:p w:rsidR="00CF3FE0" w:rsidRDefault="00CF3FE0" w:rsidP="00CF3FE0">
            <w:pPr>
              <w:spacing w:before="60" w:after="60" w:line="300" w:lineRule="exact"/>
              <w:rPr>
                <w:rFonts w:ascii="Arabic Typesetting" w:hAnsi="Arabic Typesetting" w:cs="Arabic Typesetting"/>
                <w:sz w:val="30"/>
                <w:szCs w:val="30"/>
                <w:rtl/>
              </w:rPr>
            </w:pPr>
          </w:p>
          <w:p w:rsidR="006D6669" w:rsidRPr="008954A8" w:rsidRDefault="00CF3FE0" w:rsidP="00CF3FE0">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w:t>
            </w:r>
            <w:r w:rsidR="006D6669" w:rsidRPr="0044784D">
              <w:rPr>
                <w:rFonts w:ascii="Arabic Typesetting" w:hAnsi="Arabic Typesetting" w:cs="Arabic Typesetting"/>
                <w:sz w:val="30"/>
                <w:szCs w:val="30"/>
                <w:rtl/>
              </w:rPr>
              <w:t xml:space="preserve">مبادئ </w:t>
            </w:r>
            <w:r w:rsidRPr="0044784D">
              <w:rPr>
                <w:rFonts w:ascii="Arabic Typesetting" w:hAnsi="Arabic Typesetting" w:cs="Arabic Typesetting"/>
                <w:sz w:val="30"/>
                <w:szCs w:val="30"/>
                <w:rtl/>
              </w:rPr>
              <w:t xml:space="preserve">التوجيهية </w:t>
            </w:r>
            <w:r>
              <w:rPr>
                <w:rFonts w:ascii="Arabic Typesetting" w:hAnsi="Arabic Typesetting" w:cs="Arabic Typesetting" w:hint="cs"/>
                <w:sz w:val="30"/>
                <w:szCs w:val="30"/>
                <w:rtl/>
              </w:rPr>
              <w:t>الخاصة ب</w:t>
            </w:r>
            <w:r w:rsidR="006D6669" w:rsidRPr="0044784D">
              <w:rPr>
                <w:rFonts w:ascii="Arabic Typesetting" w:hAnsi="Arabic Typesetting" w:cs="Arabic Typesetting"/>
                <w:sz w:val="30"/>
                <w:szCs w:val="30"/>
                <w:rtl/>
              </w:rPr>
              <w:t>الانتقال غير محددة</w:t>
            </w:r>
          </w:p>
        </w:tc>
        <w:tc>
          <w:tcPr>
            <w:tcW w:w="1144" w:type="pct"/>
            <w:tcMar>
              <w:top w:w="113" w:type="dxa"/>
            </w:tcMar>
          </w:tcPr>
          <w:p w:rsidR="00CF3FE0" w:rsidRDefault="00CF3FE0" w:rsidP="00DA5475">
            <w:pPr>
              <w:keepNext/>
              <w:keepLines/>
              <w:spacing w:before="60" w:after="60" w:line="300" w:lineRule="exact"/>
              <w:ind w:right="221"/>
              <w:rPr>
                <w:rFonts w:ascii="Arabic Typesetting" w:hAnsi="Arabic Typesetting" w:cs="Arabic Typesetting"/>
                <w:b/>
                <w:sz w:val="30"/>
                <w:szCs w:val="30"/>
                <w:rtl/>
              </w:rPr>
            </w:pPr>
            <w:r w:rsidRPr="0044784D">
              <w:rPr>
                <w:rFonts w:ascii="Arabic Typesetting" w:hAnsi="Arabic Typesetting" w:cs="Arabic Typesetting"/>
                <w:b/>
                <w:sz w:val="30"/>
                <w:szCs w:val="30"/>
                <w:rtl/>
              </w:rPr>
              <w:t xml:space="preserve">إدارة </w:t>
            </w:r>
            <w:r>
              <w:rPr>
                <w:rFonts w:ascii="Arabic Typesetting" w:hAnsi="Arabic Typesetting" w:cs="Arabic Typesetting"/>
                <w:b/>
                <w:sz w:val="30"/>
                <w:szCs w:val="30"/>
                <w:rtl/>
              </w:rPr>
              <w:t>أكثر من 70% من المشاريع وفقاً ل</w:t>
            </w:r>
            <w:r w:rsidRPr="0044784D">
              <w:rPr>
                <w:rFonts w:ascii="Arabic Typesetting" w:hAnsi="Arabic Typesetting" w:cs="Arabic Typesetting"/>
                <w:b/>
                <w:sz w:val="30"/>
                <w:szCs w:val="30"/>
                <w:rtl/>
              </w:rPr>
              <w:t xml:space="preserve">مبادئ </w:t>
            </w:r>
            <w:r>
              <w:rPr>
                <w:rFonts w:ascii="Arabic Typesetting" w:hAnsi="Arabic Typesetting" w:cs="Arabic Typesetting" w:hint="cs"/>
                <w:b/>
                <w:sz w:val="30"/>
                <w:szCs w:val="30"/>
                <w:rtl/>
              </w:rPr>
              <w:t xml:space="preserve">الويبو </w:t>
            </w:r>
            <w:r w:rsidRPr="0044784D">
              <w:rPr>
                <w:rFonts w:ascii="Arabic Typesetting" w:hAnsi="Arabic Typesetting" w:cs="Arabic Typesetting"/>
                <w:b/>
                <w:sz w:val="30"/>
                <w:szCs w:val="30"/>
                <w:rtl/>
              </w:rPr>
              <w:t>التوجيهية</w:t>
            </w:r>
            <w:r>
              <w:rPr>
                <w:rFonts w:ascii="Arabic Typesetting" w:hAnsi="Arabic Typesetting" w:cs="Arabic Typesetting" w:hint="cs"/>
                <w:b/>
                <w:sz w:val="30"/>
                <w:szCs w:val="30"/>
                <w:rtl/>
              </w:rPr>
              <w:t xml:space="preserve"> الخاصة بإدارة المشاريع</w:t>
            </w:r>
          </w:p>
          <w:p w:rsidR="00CF3FE0" w:rsidRDefault="00CF3FE0" w:rsidP="00DA5475">
            <w:pPr>
              <w:keepNext/>
              <w:keepLines/>
              <w:spacing w:before="60" w:after="60" w:line="300" w:lineRule="exact"/>
              <w:ind w:right="221"/>
              <w:rPr>
                <w:rFonts w:ascii="Arabic Typesetting" w:hAnsi="Arabic Typesetting" w:cs="Arabic Typesetting"/>
                <w:b/>
                <w:sz w:val="30"/>
                <w:szCs w:val="30"/>
                <w:rtl/>
              </w:rPr>
            </w:pPr>
          </w:p>
          <w:p w:rsidR="006D6669" w:rsidRPr="008954A8" w:rsidRDefault="00CF3FE0" w:rsidP="00DA5475">
            <w:pPr>
              <w:keepNext/>
              <w:keepLines/>
              <w:spacing w:before="60" w:after="60"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70</w:t>
            </w:r>
            <w:r w:rsidR="006D6669" w:rsidRPr="0044784D">
              <w:rPr>
                <w:rFonts w:ascii="Arabic Typesetting" w:hAnsi="Arabic Typesetting" w:cs="Arabic Typesetting"/>
                <w:b/>
                <w:sz w:val="30"/>
                <w:szCs w:val="30"/>
                <w:rtl/>
              </w:rPr>
              <w:t>% من المش</w:t>
            </w:r>
            <w:r>
              <w:rPr>
                <w:rFonts w:ascii="Arabic Typesetting" w:hAnsi="Arabic Typesetting" w:cs="Arabic Typesetting"/>
                <w:b/>
                <w:sz w:val="30"/>
                <w:szCs w:val="30"/>
                <w:rtl/>
              </w:rPr>
              <w:t>اريع الجديدة المُنفَّذة تمتثل ل</w:t>
            </w:r>
            <w:r w:rsidR="006D6669" w:rsidRPr="0044784D">
              <w:rPr>
                <w:rFonts w:ascii="Arabic Typesetting" w:hAnsi="Arabic Typesetting" w:cs="Arabic Typesetting"/>
                <w:b/>
                <w:sz w:val="30"/>
                <w:szCs w:val="30"/>
                <w:rtl/>
              </w:rPr>
              <w:t xml:space="preserve">مبادئ </w:t>
            </w:r>
            <w:r>
              <w:rPr>
                <w:rFonts w:ascii="Arabic Typesetting" w:hAnsi="Arabic Typesetting" w:cs="Arabic Typesetting" w:hint="cs"/>
                <w:b/>
                <w:sz w:val="30"/>
                <w:szCs w:val="30"/>
                <w:rtl/>
              </w:rPr>
              <w:t xml:space="preserve">الويبو </w:t>
            </w:r>
            <w:r w:rsidR="006D6669" w:rsidRPr="0044784D">
              <w:rPr>
                <w:rFonts w:ascii="Arabic Typesetting" w:hAnsi="Arabic Typesetting" w:cs="Arabic Typesetting"/>
                <w:b/>
                <w:sz w:val="30"/>
                <w:szCs w:val="30"/>
                <w:rtl/>
              </w:rPr>
              <w:t>ال</w:t>
            </w:r>
            <w:r>
              <w:rPr>
                <w:rFonts w:ascii="Arabic Typesetting" w:hAnsi="Arabic Typesetting" w:cs="Arabic Typesetting"/>
                <w:b/>
                <w:sz w:val="30"/>
                <w:szCs w:val="30"/>
                <w:rtl/>
              </w:rPr>
              <w:t>توجيهية الخاصة ب</w:t>
            </w:r>
            <w:r w:rsidR="006D6669" w:rsidRPr="0044784D">
              <w:rPr>
                <w:rFonts w:ascii="Arabic Typesetting" w:hAnsi="Arabic Typesetting" w:cs="Arabic Typesetting"/>
                <w:b/>
                <w:sz w:val="30"/>
                <w:szCs w:val="30"/>
                <w:rtl/>
              </w:rPr>
              <w:t>انتقال الخدمات</w:t>
            </w:r>
          </w:p>
        </w:tc>
      </w:tr>
      <w:tr w:rsidR="006D6669" w:rsidRPr="008954A8" w:rsidTr="00DA5475">
        <w:trPr>
          <w:cantSplit/>
          <w:trHeight w:val="515"/>
        </w:trPr>
        <w:tc>
          <w:tcPr>
            <w:tcW w:w="1249" w:type="pct"/>
            <w:tcMar>
              <w:top w:w="113" w:type="dxa"/>
            </w:tcMar>
          </w:tcPr>
          <w:p w:rsidR="006D6669" w:rsidRPr="008954A8" w:rsidRDefault="009800D4" w:rsidP="00DA5475">
            <w:pPr>
              <w:spacing w:before="60" w:after="60" w:line="300" w:lineRule="exact"/>
              <w:rPr>
                <w:rFonts w:ascii="Arabic Typesetting" w:hAnsi="Arabic Typesetting" w:cs="Arabic Typesetting"/>
                <w:sz w:val="30"/>
                <w:szCs w:val="30"/>
              </w:rPr>
            </w:pPr>
            <w:r>
              <w:rPr>
                <w:rFonts w:ascii="Arabic Typesetting" w:hAnsi="Arabic Typesetting" w:cs="Arabic Typesetting"/>
                <w:color w:val="000000"/>
                <w:sz w:val="30"/>
                <w:szCs w:val="30"/>
                <w:rtl/>
              </w:rPr>
              <w:t>ه</w:t>
            </w:r>
            <w:r w:rsidR="006D6669">
              <w:rPr>
                <w:rFonts w:ascii="Arabic Typesetting" w:hAnsi="Arabic Typesetting" w:cs="Arabic Typesetting" w:hint="cs"/>
                <w:color w:val="000000"/>
                <w:sz w:val="30"/>
                <w:szCs w:val="30"/>
                <w:rtl/>
              </w:rPr>
              <w:t xml:space="preserve"> 4</w:t>
            </w:r>
            <w:r w:rsidR="006D6669" w:rsidRPr="005279F4">
              <w:rPr>
                <w:rFonts w:ascii="Arabic Typesetting" w:hAnsi="Arabic Typesetting" w:cs="Arabic Typesetting"/>
                <w:color w:val="000000"/>
                <w:sz w:val="30"/>
                <w:szCs w:val="30"/>
                <w:rtl/>
              </w:rPr>
              <w:t>.9</w:t>
            </w:r>
            <w:r w:rsidR="006D6669">
              <w:rPr>
                <w:rFonts w:ascii="Arabic Typesetting" w:hAnsi="Arabic Typesetting" w:cs="Arabic Typesetting" w:hint="cs"/>
                <w:color w:val="000000"/>
                <w:sz w:val="30"/>
                <w:szCs w:val="30"/>
                <w:rtl/>
              </w:rPr>
              <w:t xml:space="preserve"> </w:t>
            </w:r>
            <w:r w:rsidR="006D6669" w:rsidRPr="00B63E86">
              <w:rPr>
                <w:rFonts w:ascii="Arabic Typesetting" w:hAnsi="Arabic Typesetting" w:cs="Arabic Typesetting"/>
                <w:color w:val="000000"/>
                <w:sz w:val="30"/>
                <w:szCs w:val="30"/>
                <w:rtl/>
              </w:rPr>
              <w:t>منظمة ذات مسؤولية بيئية واجتماعية تكفل السلامة والأمن للموظفين في الويبو والمندوبين والزائرين والممتلكات المادية والمعلومات</w:t>
            </w:r>
          </w:p>
        </w:tc>
        <w:tc>
          <w:tcPr>
            <w:tcW w:w="1462" w:type="pct"/>
            <w:tcMar>
              <w:top w:w="113" w:type="dxa"/>
            </w:tcMar>
          </w:tcPr>
          <w:p w:rsidR="006D6669" w:rsidRPr="0044784D" w:rsidRDefault="006D6669" w:rsidP="00DA5475">
            <w:pPr>
              <w:spacing w:before="60" w:after="60" w:line="300" w:lineRule="exact"/>
              <w:rPr>
                <w:rFonts w:ascii="Arabic Typesetting" w:hAnsi="Arabic Typesetting" w:cs="Arabic Typesetting"/>
                <w:color w:val="000000"/>
                <w:sz w:val="30"/>
                <w:szCs w:val="30"/>
                <w:rtl/>
              </w:rPr>
            </w:pPr>
            <w:r w:rsidRPr="00B63E86">
              <w:rPr>
                <w:rFonts w:ascii="Arabic Typesetting" w:hAnsi="Arabic Typesetting" w:cs="Arabic Typesetting"/>
                <w:color w:val="000000"/>
                <w:sz w:val="30"/>
                <w:szCs w:val="30"/>
                <w:rtl/>
              </w:rPr>
              <w:t>استمرارية خدمات تكنولوجيا المعلومات والاتصالات بالنسبة للأنظمة الهامة</w:t>
            </w:r>
          </w:p>
        </w:tc>
        <w:tc>
          <w:tcPr>
            <w:tcW w:w="1145" w:type="pct"/>
            <w:shd w:val="clear" w:color="auto" w:fill="FFFFFF"/>
            <w:tcMar>
              <w:top w:w="113" w:type="dxa"/>
            </w:tcMar>
          </w:tcPr>
          <w:p w:rsidR="006D6669" w:rsidRPr="0044784D" w:rsidRDefault="006D6669" w:rsidP="00DA5475">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w:t>
            </w:r>
            <w:r w:rsidRPr="00B63E86">
              <w:rPr>
                <w:rFonts w:ascii="Arabic Typesetting" w:hAnsi="Arabic Typesetting" w:cs="Arabic Typesetting"/>
                <w:sz w:val="30"/>
                <w:szCs w:val="30"/>
                <w:rtl/>
              </w:rPr>
              <w:t>مكن استعادة الأنظمة الهامة في الوقت المناسب دون فقدان البيانات في حالة الأعطال الكبرى محليًا</w:t>
            </w:r>
          </w:p>
        </w:tc>
        <w:tc>
          <w:tcPr>
            <w:tcW w:w="1144" w:type="pct"/>
            <w:tcMar>
              <w:top w:w="113" w:type="dxa"/>
            </w:tcMar>
          </w:tcPr>
          <w:p w:rsidR="006D6669" w:rsidRPr="0044784D" w:rsidRDefault="006D6669" w:rsidP="00DA5475">
            <w:pPr>
              <w:keepNext/>
              <w:keepLines/>
              <w:spacing w:before="60" w:after="60"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 xml:space="preserve">إحراز تقدم في منصة لتكنولوجيا المعلومات والاتصالات لتمكين استمرار عمل </w:t>
            </w:r>
            <w:r>
              <w:rPr>
                <w:rFonts w:ascii="Arabic Typesetting" w:hAnsi="Arabic Typesetting" w:cs="Arabic Typesetting" w:hint="cs"/>
                <w:color w:val="000000"/>
                <w:sz w:val="30"/>
                <w:szCs w:val="30"/>
                <w:rtl/>
              </w:rPr>
              <w:t>الأنظمة الهامة في حال وقوع عطل كبير محلياً.</w:t>
            </w:r>
          </w:p>
        </w:tc>
      </w:tr>
    </w:tbl>
    <w:p w:rsidR="006D6669" w:rsidRDefault="006D6669" w:rsidP="00DA5475">
      <w:pPr>
        <w:pStyle w:val="ARNormal"/>
        <w:rPr>
          <w:rtl/>
        </w:rPr>
      </w:pPr>
    </w:p>
    <w:p w:rsidR="006D6669" w:rsidRPr="00E63F30" w:rsidRDefault="006D6669"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E63F30">
        <w:rPr>
          <w:rFonts w:ascii="Arabic Typesetting" w:hAnsi="Arabic Typesetting" w:cs="Arabic Typesetting" w:hint="cs"/>
          <w:noProof/>
          <w:snapToGrid/>
          <w:sz w:val="38"/>
          <w:szCs w:val="38"/>
          <w:rtl/>
          <w:lang w:val="x-none" w:eastAsia="x-none" w:bidi="ar-EG"/>
        </w:rPr>
        <w:t>الموارد المخصصة للبرنامج 25</w:t>
      </w:r>
    </w:p>
    <w:p w:rsidR="006D6669" w:rsidRDefault="006D6669" w:rsidP="00861CFF">
      <w:pPr>
        <w:numPr>
          <w:ilvl w:val="0"/>
          <w:numId w:val="40"/>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تعكس الموارد الإجمالية المخصصة للبرنامج زيادة صافية تناهز 5.7 مليون فرنك سويسري في الثنائية 2016/17 مقارنة بميزانية 2014/15 بعد التحويلات. ويُعزى ذلك، من جهة، إلى انخفاض في موارد الموظفين نتيجة تحويل الأنشطة الخاصة بتأمين المعلومات إلى البرنامج 28 (</w:t>
      </w:r>
      <w:r w:rsidRPr="00E63F30">
        <w:rPr>
          <w:rFonts w:ascii="Arabic Typesetting" w:hAnsi="Arabic Typesetting" w:cs="Arabic Typesetting"/>
          <w:sz w:val="34"/>
          <w:szCs w:val="34"/>
          <w:rtl/>
        </w:rPr>
        <w:t>تأمين المعلومات والسلامة والأمن</w:t>
      </w:r>
      <w:r>
        <w:rPr>
          <w:rFonts w:ascii="Arabic Typesetting" w:hAnsi="Arabic Typesetting" w:cs="Arabic Typesetting" w:hint="cs"/>
          <w:sz w:val="34"/>
          <w:szCs w:val="34"/>
          <w:rtl/>
        </w:rPr>
        <w:t xml:space="preserve">)، وهو مبيّن ضمن النتيجة المرتقبة </w:t>
      </w:r>
      <w:r w:rsidR="009800D4">
        <w:rPr>
          <w:rFonts w:ascii="Arabic Typesetting" w:hAnsi="Arabic Typesetting" w:cs="Arabic Typesetting"/>
          <w:sz w:val="34"/>
          <w:szCs w:val="34"/>
          <w:rtl/>
        </w:rPr>
        <w:t>ه</w:t>
      </w:r>
      <w:r w:rsidRPr="008D3CA8">
        <w:rPr>
          <w:rFonts w:ascii="Arabic Typesetting" w:hAnsi="Arabic Typesetting" w:cs="Arabic Typesetting" w:hint="cs"/>
          <w:sz w:val="34"/>
          <w:szCs w:val="34"/>
          <w:rtl/>
        </w:rPr>
        <w:t xml:space="preserve"> 4</w:t>
      </w:r>
      <w:r w:rsidRPr="008D3CA8">
        <w:rPr>
          <w:rFonts w:ascii="Arabic Typesetting" w:hAnsi="Arabic Typesetting" w:cs="Arabic Typesetting"/>
          <w:sz w:val="34"/>
          <w:szCs w:val="34"/>
          <w:rtl/>
        </w:rPr>
        <w:t>.9</w:t>
      </w:r>
      <w:r>
        <w:rPr>
          <w:rFonts w:ascii="Arabic Typesetting" w:hAnsi="Arabic Typesetting" w:cs="Arabic Typesetting" w:hint="cs"/>
          <w:sz w:val="34"/>
          <w:szCs w:val="34"/>
          <w:rtl/>
        </w:rPr>
        <w:t xml:space="preserve">، ومن جهة أخرى إلى زيادة معتبرة في خلاف موارد الموظفين بسبب زيادة اعتماد المنظمة على بنية تحتية وخدمات موثوقة وفعالة في مجال تكنولوجيا المعلومات، وهي مبيّنة ضمن النتيجة المرتقبة </w:t>
      </w:r>
      <w:r w:rsidR="009800D4">
        <w:rPr>
          <w:rFonts w:ascii="Arabic Typesetting" w:hAnsi="Arabic Typesetting" w:cs="Arabic Typesetting"/>
          <w:sz w:val="34"/>
          <w:szCs w:val="34"/>
          <w:rtl/>
        </w:rPr>
        <w:t>ه</w:t>
      </w:r>
      <w:r w:rsidRPr="00845656">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1</w:t>
      </w:r>
      <w:r w:rsidRPr="00845656">
        <w:rPr>
          <w:rFonts w:ascii="Arabic Typesetting" w:hAnsi="Arabic Typesetting" w:cs="Arabic Typesetting"/>
          <w:sz w:val="34"/>
          <w:szCs w:val="34"/>
          <w:rtl/>
        </w:rPr>
        <w:t>.9</w:t>
      </w:r>
      <w:r>
        <w:rPr>
          <w:rFonts w:ascii="Arabic Typesetting" w:hAnsi="Arabic Typesetting" w:cs="Arabic Typesetting" w:hint="cs"/>
          <w:sz w:val="34"/>
          <w:szCs w:val="34"/>
          <w:rtl/>
        </w:rPr>
        <w:t xml:space="preserve">. وتعكس الموارد ضمن النتيجة المرتقبة </w:t>
      </w:r>
      <w:r w:rsidR="009800D4">
        <w:rPr>
          <w:rFonts w:ascii="Arabic Typesetting" w:hAnsi="Arabic Typesetting" w:cs="Arabic Typesetting"/>
          <w:sz w:val="34"/>
          <w:szCs w:val="34"/>
          <w:rtl/>
        </w:rPr>
        <w:t>ه</w:t>
      </w:r>
      <w:r w:rsidRPr="008D3CA8">
        <w:rPr>
          <w:rFonts w:ascii="Arabic Typesetting" w:hAnsi="Arabic Typesetting" w:cs="Arabic Typesetting" w:hint="cs"/>
          <w:sz w:val="34"/>
          <w:szCs w:val="34"/>
          <w:rtl/>
        </w:rPr>
        <w:t xml:space="preserve"> 4</w:t>
      </w:r>
      <w:r w:rsidRPr="008D3CA8">
        <w:rPr>
          <w:rFonts w:ascii="Arabic Typesetting" w:hAnsi="Arabic Typesetting" w:cs="Arabic Typesetting"/>
          <w:sz w:val="34"/>
          <w:szCs w:val="34"/>
          <w:rtl/>
        </w:rPr>
        <w:t>.9</w:t>
      </w:r>
      <w:r>
        <w:rPr>
          <w:rFonts w:ascii="Arabic Typesetting" w:hAnsi="Arabic Typesetting" w:cs="Arabic Typesetting" w:hint="cs"/>
          <w:sz w:val="34"/>
          <w:szCs w:val="34"/>
          <w:rtl/>
        </w:rPr>
        <w:t xml:space="preserve"> تعاون البرنامج مع البرنامج 5 (نظام معاهدة التعاون بشأن البراءات) من أجل تعزيز مرونة نظام معاهدة  البراءات ورفع مستويات أمنه.</w:t>
      </w:r>
    </w:p>
    <w:p w:rsidR="006D6669" w:rsidRPr="00D50CA9" w:rsidRDefault="006D6669" w:rsidP="00DA5475">
      <w:pPr>
        <w:pStyle w:val="ARNormal"/>
        <w:keepNext/>
        <w:spacing w:after="0"/>
        <w:jc w:val="center"/>
        <w:rPr>
          <w:b/>
          <w:bCs/>
          <w:rtl/>
        </w:rPr>
      </w:pPr>
      <w:r w:rsidRPr="00D50CA9">
        <w:rPr>
          <w:b/>
          <w:bCs/>
          <w:rtl/>
        </w:rPr>
        <w:t xml:space="preserve">البرنامج </w:t>
      </w:r>
      <w:r>
        <w:rPr>
          <w:rFonts w:hint="cs"/>
          <w:b/>
          <w:bCs/>
          <w:rtl/>
        </w:rPr>
        <w:t>25</w:t>
      </w:r>
      <w:r w:rsidRPr="00D50CA9">
        <w:rPr>
          <w:b/>
          <w:bCs/>
          <w:rtl/>
        </w:rPr>
        <w:t>: الموارد بحسب كل نتيجة</w:t>
      </w:r>
    </w:p>
    <w:p w:rsidR="006D6669" w:rsidRDefault="006D6669" w:rsidP="00DA5475">
      <w:pPr>
        <w:pStyle w:val="ARNormal"/>
        <w:spacing w:after="0"/>
        <w:jc w:val="center"/>
        <w:rPr>
          <w:i/>
          <w:iCs/>
          <w:rtl/>
        </w:rPr>
      </w:pPr>
      <w:r w:rsidRPr="00D50CA9">
        <w:rPr>
          <w:i/>
          <w:iCs/>
          <w:rtl/>
        </w:rPr>
        <w:t>(بآلاف الفرنكات السويسرية)</w:t>
      </w:r>
    </w:p>
    <w:p w:rsidR="006D6669" w:rsidRDefault="006D6669" w:rsidP="006D6669">
      <w:pPr>
        <w:pStyle w:val="ARNormal"/>
        <w:spacing w:after="0" w:line="240" w:lineRule="auto"/>
        <w:jc w:val="center"/>
        <w:rPr>
          <w:rtl/>
        </w:rPr>
      </w:pPr>
      <w:r w:rsidRPr="006D6669">
        <w:rPr>
          <w:noProof/>
          <w:rtl/>
          <w:lang w:val="en-US"/>
        </w:rPr>
        <w:drawing>
          <wp:inline distT="0" distB="0" distL="0" distR="0" wp14:anchorId="5F099ED5" wp14:editId="0F1F38A2">
            <wp:extent cx="5676900" cy="19240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676900" cy="1924050"/>
                    </a:xfrm>
                    <a:prstGeom prst="rect">
                      <a:avLst/>
                    </a:prstGeom>
                    <a:noFill/>
                    <a:ln>
                      <a:noFill/>
                    </a:ln>
                  </pic:spPr>
                </pic:pic>
              </a:graphicData>
            </a:graphic>
          </wp:inline>
        </w:drawing>
      </w:r>
    </w:p>
    <w:p w:rsidR="006D6669" w:rsidRDefault="006D6669">
      <w:pPr>
        <w:bidi w:val="0"/>
        <w:rPr>
          <w:rFonts w:ascii="Arabic Typesetting" w:hAnsi="Arabic Typesetting" w:cs="Arabic Typesetting"/>
          <w:sz w:val="34"/>
          <w:szCs w:val="34"/>
          <w:rtl/>
        </w:rPr>
      </w:pPr>
      <w:r>
        <w:rPr>
          <w:rtl/>
        </w:rPr>
        <w:br w:type="page"/>
      </w:r>
    </w:p>
    <w:p w:rsidR="006D6669" w:rsidRPr="008954A8" w:rsidRDefault="006D6669" w:rsidP="00DA5475">
      <w:pPr>
        <w:pStyle w:val="ARNormal"/>
        <w:keepNext/>
        <w:spacing w:after="0"/>
        <w:jc w:val="center"/>
        <w:rPr>
          <w:b/>
          <w:bCs/>
          <w:rtl/>
        </w:rPr>
      </w:pPr>
      <w:r w:rsidRPr="008954A8">
        <w:rPr>
          <w:rFonts w:hint="cs"/>
          <w:b/>
          <w:bCs/>
          <w:rtl/>
        </w:rPr>
        <w:lastRenderedPageBreak/>
        <w:t xml:space="preserve">البرنامج </w:t>
      </w:r>
      <w:r>
        <w:rPr>
          <w:rFonts w:hint="cs"/>
          <w:b/>
          <w:bCs/>
          <w:rtl/>
        </w:rPr>
        <w:t>25</w:t>
      </w:r>
      <w:r w:rsidRPr="008954A8">
        <w:rPr>
          <w:rFonts w:hint="cs"/>
          <w:b/>
          <w:bCs/>
          <w:rtl/>
        </w:rPr>
        <w:t>: الموارد بحسب غرض الإنفاق</w:t>
      </w:r>
    </w:p>
    <w:p w:rsidR="006D6669" w:rsidRPr="008954A8" w:rsidRDefault="006D6669" w:rsidP="00DA5475">
      <w:pPr>
        <w:pStyle w:val="ARNormal"/>
        <w:keepNext/>
        <w:spacing w:after="0"/>
        <w:jc w:val="center"/>
        <w:rPr>
          <w:i/>
          <w:iCs/>
        </w:rPr>
      </w:pPr>
      <w:r w:rsidRPr="008954A8">
        <w:rPr>
          <w:rFonts w:hint="cs"/>
          <w:i/>
          <w:iCs/>
          <w:rtl/>
        </w:rPr>
        <w:t>(بآلاف الفرنكات السويسرية)</w:t>
      </w:r>
    </w:p>
    <w:p w:rsidR="006D6669" w:rsidRPr="00D50CA9" w:rsidRDefault="006D6669" w:rsidP="006D6669">
      <w:pPr>
        <w:pStyle w:val="ARNormal"/>
        <w:spacing w:after="0" w:line="240" w:lineRule="auto"/>
        <w:jc w:val="center"/>
        <w:rPr>
          <w:rtl/>
        </w:rPr>
      </w:pPr>
      <w:r w:rsidRPr="006D6669">
        <w:rPr>
          <w:noProof/>
          <w:rtl/>
          <w:lang w:val="en-US"/>
        </w:rPr>
        <w:drawing>
          <wp:inline distT="0" distB="0" distL="0" distR="0" wp14:anchorId="3BCC5DDE" wp14:editId="2A39DE46">
            <wp:extent cx="5514975" cy="6353175"/>
            <wp:effectExtent l="0" t="0" r="952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6450EA" w:rsidRDefault="006450EA" w:rsidP="002C3C33">
      <w:pPr>
        <w:pStyle w:val="ARNormal"/>
        <w:rPr>
          <w:rtl/>
        </w:rPr>
      </w:pPr>
    </w:p>
    <w:p w:rsidR="006D6669" w:rsidRDefault="006D6669">
      <w:pPr>
        <w:bidi w:val="0"/>
        <w:rPr>
          <w:rFonts w:ascii="Arabic Typesetting" w:hAnsi="Arabic Typesetting" w:cs="Arabic Typesetting"/>
          <w:sz w:val="34"/>
          <w:szCs w:val="34"/>
          <w:rtl/>
          <w:lang w:val="fr-CH" w:bidi="ar-SA"/>
        </w:rPr>
      </w:pPr>
      <w:r>
        <w:rPr>
          <w:rtl/>
        </w:rPr>
        <w:br w:type="page"/>
      </w:r>
    </w:p>
    <w:p w:rsidR="00F21BC5" w:rsidRPr="008954A8" w:rsidRDefault="00F21BC5"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bookmarkStart w:id="119" w:name="_Toc364355414"/>
      <w:bookmarkStart w:id="120" w:name="_Toc420595534"/>
      <w:r w:rsidRPr="008954A8">
        <w:rPr>
          <w:rFonts w:ascii="Arabic Typesetting" w:hAnsi="Arabic Typesetting" w:cs="Arabic Typesetting"/>
          <w:bCs/>
          <w:iCs w:val="0"/>
          <w:noProof/>
          <w:snapToGrid/>
          <w:sz w:val="42"/>
          <w:szCs w:val="42"/>
          <w:rtl/>
          <w:lang w:bidi="ar-EG"/>
        </w:rPr>
        <w:lastRenderedPageBreak/>
        <w:t>البرنامج 26</w:t>
      </w:r>
      <w:r w:rsidRPr="008954A8">
        <w:rPr>
          <w:rFonts w:ascii="Arabic Typesetting" w:hAnsi="Arabic Typesetting" w:cs="Arabic Typesetting"/>
          <w:bCs/>
          <w:iCs w:val="0"/>
          <w:noProof/>
          <w:snapToGrid/>
          <w:sz w:val="42"/>
          <w:szCs w:val="42"/>
          <w:lang w:bidi="ar-EG"/>
        </w:rPr>
        <w:tab/>
      </w:r>
      <w:r w:rsidRPr="008954A8">
        <w:rPr>
          <w:rFonts w:ascii="Arabic Typesetting" w:hAnsi="Arabic Typesetting" w:cs="Arabic Typesetting"/>
          <w:bCs/>
          <w:iCs w:val="0"/>
          <w:noProof/>
          <w:snapToGrid/>
          <w:sz w:val="42"/>
          <w:szCs w:val="42"/>
          <w:rtl/>
          <w:lang w:bidi="ar-EG"/>
        </w:rPr>
        <w:t xml:space="preserve">الرقابة </w:t>
      </w:r>
      <w:bookmarkEnd w:id="119"/>
      <w:r w:rsidRPr="00417D97">
        <w:rPr>
          <w:rFonts w:ascii="Arabic Typesetting" w:hAnsi="Arabic Typesetting" w:cs="Arabic Typesetting"/>
          <w:bCs/>
          <w:iCs w:val="0"/>
          <w:noProof/>
          <w:snapToGrid/>
          <w:sz w:val="42"/>
          <w:szCs w:val="42"/>
          <w:rtl/>
          <w:lang w:bidi="ar-EG"/>
        </w:rPr>
        <w:t>الداخلية</w:t>
      </w:r>
      <w:bookmarkEnd w:id="120"/>
    </w:p>
    <w:p w:rsidR="00F21BC5" w:rsidRPr="008954A8" w:rsidRDefault="00F21BC5"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sidRPr="00417D97">
        <w:rPr>
          <w:rFonts w:ascii="Arabic Typesetting" w:hAnsi="Arabic Typesetting" w:cs="Arabic Typesetting"/>
          <w:sz w:val="34"/>
          <w:szCs w:val="34"/>
          <w:rtl/>
        </w:rPr>
        <w:t>ت</w:t>
      </w:r>
      <w:r>
        <w:rPr>
          <w:rFonts w:ascii="Arabic Typesetting" w:hAnsi="Arabic Typesetting" w:cs="Arabic Typesetting" w:hint="cs"/>
          <w:sz w:val="34"/>
          <w:szCs w:val="34"/>
          <w:rtl/>
        </w:rPr>
        <w:t>عمل</w:t>
      </w:r>
      <w:r w:rsidRPr="00417D97">
        <w:rPr>
          <w:rFonts w:ascii="Arabic Typesetting" w:hAnsi="Arabic Typesetting" w:cs="Arabic Typesetting"/>
          <w:sz w:val="34"/>
          <w:szCs w:val="34"/>
          <w:rtl/>
        </w:rPr>
        <w:t xml:space="preserve"> شعبة الرقابة الداخلية </w:t>
      </w:r>
      <w:r>
        <w:rPr>
          <w:rFonts w:ascii="Arabic Typesetting" w:hAnsi="Arabic Typesetting" w:cs="Arabic Typesetting" w:hint="cs"/>
          <w:sz w:val="34"/>
          <w:szCs w:val="34"/>
          <w:rtl/>
        </w:rPr>
        <w:t>بمثابة</w:t>
      </w:r>
      <w:r w:rsidRPr="00417D97">
        <w:rPr>
          <w:rFonts w:ascii="Arabic Typesetting" w:hAnsi="Arabic Typesetting" w:cs="Arabic Typesetting"/>
          <w:sz w:val="34"/>
          <w:szCs w:val="34"/>
          <w:rtl/>
        </w:rPr>
        <w:t xml:space="preserve"> جهة مراجعة مستقلة وموضوعية لعمليات الويبو، وتنفيذ برامجها، وأنظمة أعمالها. وتفحص الشعبةُ ما سبق ذكره حسب المخاطرة وعلاقتها بإدارة الويبو والجهات المعنية بغية</w:t>
      </w:r>
      <w:r>
        <w:rPr>
          <w:rFonts w:ascii="Arabic Typesetting" w:hAnsi="Arabic Typesetting" w:cs="Arabic Typesetting"/>
          <w:sz w:val="34"/>
          <w:szCs w:val="34"/>
          <w:rtl/>
        </w:rPr>
        <w:t xml:space="preserve"> النهوض باقتصاد عمل الأمانة وكف</w:t>
      </w:r>
      <w:r>
        <w:rPr>
          <w:rFonts w:ascii="Arabic Typesetting" w:hAnsi="Arabic Typesetting" w:cs="Arabic Typesetting" w:hint="cs"/>
          <w:sz w:val="34"/>
          <w:szCs w:val="34"/>
          <w:rtl/>
        </w:rPr>
        <w:t>اء</w:t>
      </w:r>
      <w:r w:rsidRPr="00417D97">
        <w:rPr>
          <w:rFonts w:ascii="Arabic Typesetting" w:hAnsi="Arabic Typesetting" w:cs="Arabic Typesetting"/>
          <w:sz w:val="34"/>
          <w:szCs w:val="34"/>
          <w:rtl/>
        </w:rPr>
        <w:t>ته وفعاليته وتأثيره. وتُقيّم الشعبةُ، على نحو مستقل، عمليات المراقبة وأساليب العمل في الويبو من أجل تحديد الممارسات الجيدة وأوجه القصور وتقديم توصيات لتحسينها. كما تُحقِّق الشعبة في ادعاءات الغش وإساءة الاستعمال وغيرهما من أشكال سوء السلوك، وتُقدِّم توصيات لمنع هذه الممارسات. ومن الناحية الإدارية، تخضع الشعبة للمدير العام، وتوفر ضمانًا بطريقة معقولة وموضوعية للدول الأعضاء بشأن عوامل الفعالية والكفاءة والاقتصاد والوجاهة الخاصة بعمليات الويبو وتنفيذ برامجها وأنظمة أعمالها. كما تقيّم الشعبة صون الأصول، وما إذا كانت الأموال التي عُهد بها إلى المنظمة ت</w:t>
      </w:r>
      <w:r>
        <w:rPr>
          <w:rFonts w:ascii="Arabic Typesetting" w:hAnsi="Arabic Typesetting" w:cs="Arabic Typesetting" w:hint="cs"/>
          <w:sz w:val="34"/>
          <w:szCs w:val="34"/>
          <w:rtl/>
        </w:rPr>
        <w:t>ُ</w:t>
      </w:r>
      <w:r w:rsidRPr="00417D97">
        <w:rPr>
          <w:rFonts w:ascii="Arabic Typesetting" w:hAnsi="Arabic Typesetting" w:cs="Arabic Typesetting"/>
          <w:sz w:val="34"/>
          <w:szCs w:val="34"/>
          <w:rtl/>
        </w:rPr>
        <w:t>نفق في محلها، وكفاية إجراءات الإدارة وعمليات المراقبة الداخلية وعملها بشكل جيد. وقد صُمِّمت أنشطة الشعبة لإضافة قيمة إلى المنظمة وفقاً لميثاق الويبو للرقابة الداخلية.</w:t>
      </w:r>
    </w:p>
    <w:p w:rsidR="00F21BC5" w:rsidRPr="008954A8" w:rsidRDefault="00F21BC5" w:rsidP="00DA5475">
      <w:pPr>
        <w:spacing w:after="120" w:line="340" w:lineRule="exact"/>
        <w:rPr>
          <w:rFonts w:ascii="Arabic Typesetting" w:hAnsi="Arabic Typesetting" w:cs="Arabic Typesetting"/>
          <w:sz w:val="30"/>
          <w:szCs w:val="30"/>
        </w:rPr>
      </w:pPr>
    </w:p>
    <w:p w:rsidR="00F21BC5" w:rsidRPr="00EC23D0" w:rsidRDefault="00F21BC5"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EC23D0">
        <w:rPr>
          <w:rFonts w:ascii="Arabic Typesetting" w:hAnsi="Arabic Typesetting" w:cs="Arabic Typesetting"/>
          <w:noProof/>
          <w:snapToGrid/>
          <w:sz w:val="38"/>
          <w:szCs w:val="38"/>
          <w:rtl/>
          <w:lang w:val="x-none" w:eastAsia="x-none" w:bidi="ar-EG"/>
        </w:rPr>
        <w:t>استراتيجيات التنفيذ</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س</w:t>
      </w:r>
      <w:r w:rsidRPr="00417D97">
        <w:rPr>
          <w:rFonts w:ascii="Arabic Typesetting" w:hAnsi="Arabic Typesetting" w:cs="Arabic Typesetting"/>
          <w:sz w:val="34"/>
          <w:szCs w:val="34"/>
          <w:rtl/>
        </w:rPr>
        <w:t>تجري الشعبةُ تقييمات موضوعية لعمليات الإدارة وأنظمتها لتقييم مدى كفاية الإدارة الجيدة لكل من موارد</w:t>
      </w:r>
      <w:r>
        <w:rPr>
          <w:rFonts w:ascii="Arabic Typesetting" w:hAnsi="Arabic Typesetting" w:cs="Arabic Typesetting"/>
          <w:sz w:val="34"/>
          <w:szCs w:val="34"/>
          <w:rtl/>
        </w:rPr>
        <w:t xml:space="preserve"> المنظمة النقدية والمادية. وس</w:t>
      </w:r>
      <w:r w:rsidRPr="00417D97">
        <w:rPr>
          <w:rFonts w:ascii="Arabic Typesetting" w:hAnsi="Arabic Typesetting" w:cs="Arabic Typesetting"/>
          <w:sz w:val="34"/>
          <w:szCs w:val="34"/>
          <w:rtl/>
        </w:rPr>
        <w:t xml:space="preserve">تقيّم أيضاً </w:t>
      </w:r>
      <w:r>
        <w:rPr>
          <w:rFonts w:ascii="Arabic Typesetting" w:hAnsi="Arabic Typesetting" w:cs="Arabic Typesetting" w:hint="cs"/>
          <w:sz w:val="34"/>
          <w:szCs w:val="34"/>
          <w:rtl/>
        </w:rPr>
        <w:t xml:space="preserve">مدى </w:t>
      </w:r>
      <w:r w:rsidRPr="00417D97">
        <w:rPr>
          <w:rFonts w:ascii="Arabic Typesetting" w:hAnsi="Arabic Typesetting" w:cs="Arabic Typesetting"/>
          <w:sz w:val="34"/>
          <w:szCs w:val="34"/>
          <w:rtl/>
        </w:rPr>
        <w:t xml:space="preserve">كفاية عمليات المراقبة الداخلية وإدارة المخاطر </w:t>
      </w:r>
      <w:proofErr w:type="spellStart"/>
      <w:r w:rsidRPr="00417D97">
        <w:rPr>
          <w:rFonts w:ascii="Arabic Typesetting" w:hAnsi="Arabic Typesetting" w:cs="Arabic Typesetting"/>
          <w:sz w:val="34"/>
          <w:szCs w:val="34"/>
          <w:rtl/>
        </w:rPr>
        <w:t>والحوكمة</w:t>
      </w:r>
      <w:proofErr w:type="spellEnd"/>
      <w:r w:rsidRPr="00417D97">
        <w:rPr>
          <w:rFonts w:ascii="Arabic Typesetting" w:hAnsi="Arabic Typesetting" w:cs="Arabic Typesetting"/>
          <w:sz w:val="34"/>
          <w:szCs w:val="34"/>
          <w:rtl/>
        </w:rPr>
        <w:t xml:space="preserve"> وفعاليتها، وتضمن على نحو معقول اتساق عمليات الويبو م</w:t>
      </w:r>
      <w:r>
        <w:rPr>
          <w:rFonts w:ascii="Arabic Typesetting" w:hAnsi="Arabic Typesetting" w:cs="Arabic Typesetting"/>
          <w:sz w:val="34"/>
          <w:szCs w:val="34"/>
          <w:rtl/>
        </w:rPr>
        <w:t>ع اللوائح التي تحكم عملها. وس</w:t>
      </w:r>
      <w:r w:rsidRPr="00417D97">
        <w:rPr>
          <w:rFonts w:ascii="Arabic Typesetting" w:hAnsi="Arabic Typesetting" w:cs="Arabic Typesetting"/>
          <w:sz w:val="34"/>
          <w:szCs w:val="34"/>
          <w:rtl/>
        </w:rPr>
        <w:t>يستمر دعم التعلم المؤسسي والمساءلة من خلال عمليات رقابة إدارية شفافة وتشاركية.</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sidRPr="00417D97">
        <w:rPr>
          <w:rFonts w:ascii="Arabic Typesetting" w:hAnsi="Arabic Typesetting" w:cs="Arabic Typesetting"/>
          <w:sz w:val="34"/>
          <w:szCs w:val="34"/>
          <w:rtl/>
        </w:rPr>
        <w:t>تواصل شعبة الرقابة الداخلية تقديم الدعم للإدارة لاستحداث إطار فاعل</w:t>
      </w:r>
      <w:r>
        <w:rPr>
          <w:rFonts w:ascii="Arabic Typesetting" w:hAnsi="Arabic Typesetting" w:cs="Arabic Typesetting"/>
          <w:sz w:val="34"/>
          <w:szCs w:val="34"/>
          <w:rtl/>
        </w:rPr>
        <w:t xml:space="preserve"> وفعال للنزاهة وأخلاقيات العمل </w:t>
      </w:r>
      <w:r>
        <w:rPr>
          <w:rFonts w:ascii="Arabic Typesetting" w:hAnsi="Arabic Typesetting" w:cs="Arabic Typesetting" w:hint="cs"/>
          <w:sz w:val="34"/>
          <w:szCs w:val="34"/>
          <w:rtl/>
        </w:rPr>
        <w:t>ت</w:t>
      </w:r>
      <w:r w:rsidRPr="00417D97">
        <w:rPr>
          <w:rFonts w:ascii="Arabic Typesetting" w:hAnsi="Arabic Typesetting" w:cs="Arabic Typesetting"/>
          <w:sz w:val="34"/>
          <w:szCs w:val="34"/>
          <w:rtl/>
        </w:rPr>
        <w:t>كون فيه لجميع الموظفين في الويبو واجبات وأد</w:t>
      </w:r>
      <w:r>
        <w:rPr>
          <w:rFonts w:ascii="Arabic Typesetting" w:hAnsi="Arabic Typesetting" w:cs="Arabic Typesetting"/>
          <w:sz w:val="34"/>
          <w:szCs w:val="34"/>
          <w:rtl/>
        </w:rPr>
        <w:t>وار ومسؤوليات وحقوق واضحة. وس</w:t>
      </w:r>
      <w:r w:rsidRPr="00417D97">
        <w:rPr>
          <w:rFonts w:ascii="Arabic Typesetting" w:hAnsi="Arabic Typesetting" w:cs="Arabic Typesetting"/>
          <w:sz w:val="34"/>
          <w:szCs w:val="34"/>
          <w:rtl/>
        </w:rPr>
        <w:t>يتحقق ذلك من خلال تقديم تقارير التحقيق المهني في المهل المناسبة، وستتّبع في ذلك المعايير والممارسات الجيدة المتعلقة بالتحقيقات والمعمول بها داخل منظومة الأمم المتحدة.</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sidRPr="00417D97">
        <w:rPr>
          <w:rFonts w:ascii="Arabic Typesetting" w:hAnsi="Arabic Typesetting" w:cs="Arabic Typesetting"/>
          <w:sz w:val="34"/>
          <w:szCs w:val="34"/>
          <w:rtl/>
        </w:rPr>
        <w:t>تُعوِّل الشعبةُ على نتائج وتوصيات تقييمات الجودة ال</w:t>
      </w:r>
      <w:r>
        <w:rPr>
          <w:rFonts w:ascii="Arabic Typesetting" w:hAnsi="Arabic Typesetting" w:cs="Arabic Typesetting"/>
          <w:sz w:val="34"/>
          <w:szCs w:val="34"/>
          <w:rtl/>
        </w:rPr>
        <w:t>خارجية لمهامها الثلاث – ال</w:t>
      </w:r>
      <w:r>
        <w:rPr>
          <w:rFonts w:ascii="Arabic Typesetting" w:hAnsi="Arabic Typesetting" w:cs="Arabic Typesetting" w:hint="cs"/>
          <w:sz w:val="34"/>
          <w:szCs w:val="34"/>
          <w:rtl/>
        </w:rPr>
        <w:t>تدقيق</w:t>
      </w:r>
      <w:r w:rsidRPr="00417D97">
        <w:rPr>
          <w:rFonts w:ascii="Arabic Typesetting" w:hAnsi="Arabic Typesetting" w:cs="Arabic Typesetting"/>
          <w:sz w:val="34"/>
          <w:szCs w:val="34"/>
          <w:rtl/>
        </w:rPr>
        <w:t xml:space="preserve"> والتقييم والتحقيق – التي أُجريت في الثنائية 2014/15 لتح</w:t>
      </w:r>
      <w:r>
        <w:rPr>
          <w:rFonts w:ascii="Arabic Typesetting" w:hAnsi="Arabic Typesetting" w:cs="Arabic Typesetting"/>
          <w:sz w:val="34"/>
          <w:szCs w:val="34"/>
          <w:rtl/>
        </w:rPr>
        <w:t>سين تقديم الخدمات للمنظمة. وس</w:t>
      </w:r>
      <w:r w:rsidRPr="00417D97">
        <w:rPr>
          <w:rFonts w:ascii="Arabic Typesetting" w:hAnsi="Arabic Typesetting" w:cs="Arabic Typesetting"/>
          <w:sz w:val="34"/>
          <w:szCs w:val="34"/>
          <w:rtl/>
        </w:rPr>
        <w:t xml:space="preserve">تستخدم الضوابط الثلاثة لتقديم خدمات عالية المستوى إلى المنظمة، ولتعزيز أوجه التآزر بينهما من خلال التخطيط المشترك والتدريب وأنشطة المتابعة، وغيرها </w:t>
      </w:r>
      <w:r>
        <w:rPr>
          <w:rFonts w:ascii="Arabic Typesetting" w:hAnsi="Arabic Typesetting" w:cs="Arabic Typesetting"/>
          <w:sz w:val="34"/>
          <w:szCs w:val="34"/>
          <w:rtl/>
        </w:rPr>
        <w:t>من الأدوات. وإضافةً إلى ذلك، س</w:t>
      </w:r>
      <w:r w:rsidRPr="00417D97">
        <w:rPr>
          <w:rFonts w:ascii="Arabic Typesetting" w:hAnsi="Arabic Typesetting" w:cs="Arabic Typesetting"/>
          <w:sz w:val="34"/>
          <w:szCs w:val="34"/>
          <w:rtl/>
        </w:rPr>
        <w:t>يستمر استحداث وتحديث أدوات رقابة ملائمة – مثل الدلائل والسياسات والمبادئ التوجيهية – بما يتماشى مع المعايير المهنية المعترف بها عالمياً والممارسات الجيدة المعمول بها في الأمم المتحدة وغيرها من المنظمات الدولية.</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sidRPr="00417D97">
        <w:rPr>
          <w:rFonts w:ascii="Arabic Typesetting" w:hAnsi="Arabic Typesetting" w:cs="Arabic Typesetting"/>
          <w:sz w:val="34"/>
          <w:szCs w:val="34"/>
          <w:rtl/>
        </w:rPr>
        <w:t xml:space="preserve">يستمر تقديم الدعم المهني والمشورة المهنية، </w:t>
      </w:r>
      <w:r>
        <w:rPr>
          <w:rFonts w:ascii="Arabic Typesetting" w:hAnsi="Arabic Typesetting" w:cs="Arabic Typesetting"/>
          <w:sz w:val="34"/>
          <w:szCs w:val="34"/>
          <w:rtl/>
        </w:rPr>
        <w:t>حسب الحاجة، إلى جميع مديري البر</w:t>
      </w:r>
      <w:r w:rsidRPr="00417D97">
        <w:rPr>
          <w:rFonts w:ascii="Arabic Typesetting" w:hAnsi="Arabic Typesetting" w:cs="Arabic Typesetting"/>
          <w:sz w:val="34"/>
          <w:szCs w:val="34"/>
          <w:rtl/>
        </w:rPr>
        <w:t xml:space="preserve">امج، بما في ذلك </w:t>
      </w:r>
      <w:r>
        <w:rPr>
          <w:rFonts w:ascii="Arabic Typesetting" w:hAnsi="Arabic Typesetting" w:cs="Arabic Typesetting" w:hint="cs"/>
          <w:sz w:val="34"/>
          <w:szCs w:val="34"/>
          <w:rtl/>
        </w:rPr>
        <w:t xml:space="preserve">توفير </w:t>
      </w:r>
      <w:r w:rsidRPr="00417D97">
        <w:rPr>
          <w:rFonts w:ascii="Arabic Typesetting" w:hAnsi="Arabic Typesetting" w:cs="Arabic Typesetting"/>
          <w:sz w:val="34"/>
          <w:szCs w:val="34"/>
          <w:rtl/>
        </w:rPr>
        <w:t xml:space="preserve">المشورة </w:t>
      </w:r>
      <w:r>
        <w:rPr>
          <w:rFonts w:ascii="Arabic Typesetting" w:hAnsi="Arabic Typesetting" w:cs="Arabic Typesetting" w:hint="cs"/>
          <w:sz w:val="34"/>
          <w:szCs w:val="34"/>
          <w:rtl/>
        </w:rPr>
        <w:t>المناسبة التوقيت</w:t>
      </w:r>
      <w:r w:rsidRPr="00417D97">
        <w:rPr>
          <w:rFonts w:ascii="Arabic Typesetting" w:hAnsi="Arabic Typesetting" w:cs="Arabic Typesetting"/>
          <w:sz w:val="34"/>
          <w:szCs w:val="34"/>
          <w:rtl/>
        </w:rPr>
        <w:t xml:space="preserve"> من خلال التدقيق المستمر والمراجعات والتقييمات القصيرة الدورة. وسوف تواصل الشعبة توفير "خط ساخن" للإبلاغ عن المخالفات وسوء السلوك المحتمل في الويبو، با</w:t>
      </w:r>
      <w:r>
        <w:rPr>
          <w:rFonts w:ascii="Arabic Typesetting" w:hAnsi="Arabic Typesetting" w:cs="Arabic Typesetting"/>
          <w:sz w:val="34"/>
          <w:szCs w:val="34"/>
          <w:rtl/>
        </w:rPr>
        <w:t>لإضافة إلى تحقيقات استباقية س</w:t>
      </w:r>
      <w:r w:rsidRPr="00417D97">
        <w:rPr>
          <w:rFonts w:ascii="Arabic Typesetting" w:hAnsi="Arabic Typesetting" w:cs="Arabic Typesetting"/>
          <w:sz w:val="34"/>
          <w:szCs w:val="34"/>
          <w:rtl/>
        </w:rPr>
        <w:t xml:space="preserve">تُجرى لتحديد ما لم </w:t>
      </w:r>
      <w:r>
        <w:rPr>
          <w:rFonts w:ascii="Arabic Typesetting" w:hAnsi="Arabic Typesetting" w:cs="Arabic Typesetting" w:hint="cs"/>
          <w:sz w:val="34"/>
          <w:szCs w:val="34"/>
          <w:rtl/>
        </w:rPr>
        <w:t>يُبلّغ</w:t>
      </w:r>
      <w:r w:rsidRPr="00417D97">
        <w:rPr>
          <w:rFonts w:ascii="Arabic Typesetting" w:hAnsi="Arabic Typesetting" w:cs="Arabic Typesetting"/>
          <w:sz w:val="34"/>
          <w:szCs w:val="34"/>
          <w:rtl/>
        </w:rPr>
        <w:t xml:space="preserve"> عنه من حالات الغش أو</w:t>
      </w:r>
      <w:r>
        <w:rPr>
          <w:rFonts w:ascii="Arabic Typesetting" w:hAnsi="Arabic Typesetting" w:cs="Arabic Typesetting" w:hint="cs"/>
          <w:sz w:val="34"/>
          <w:szCs w:val="34"/>
          <w:rtl/>
        </w:rPr>
        <w:t> </w:t>
      </w:r>
      <w:r w:rsidRPr="00417D97">
        <w:rPr>
          <w:rFonts w:ascii="Arabic Typesetting" w:hAnsi="Arabic Typesetting" w:cs="Arabic Typesetting"/>
          <w:sz w:val="34"/>
          <w:szCs w:val="34"/>
          <w:rtl/>
        </w:rPr>
        <w:t>إساءة الاستعمال، واقتراح ضوابط للتخفيف من عواقب هذه الأعمال.</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sidRPr="00417D97">
        <w:rPr>
          <w:rFonts w:ascii="Arabic Typesetting" w:hAnsi="Arabic Typesetting" w:cs="Arabic Typesetting"/>
          <w:sz w:val="34"/>
          <w:szCs w:val="34"/>
          <w:rtl/>
        </w:rPr>
        <w:t xml:space="preserve">يظل التعاون والتنسيق مع </w:t>
      </w:r>
      <w:r>
        <w:rPr>
          <w:rFonts w:ascii="Arabic Typesetting" w:hAnsi="Arabic Typesetting" w:cs="Arabic Typesetting"/>
          <w:sz w:val="34"/>
          <w:szCs w:val="34"/>
          <w:rtl/>
        </w:rPr>
        <w:t>مراجع</w:t>
      </w:r>
      <w:r w:rsidRPr="00417D97">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الحسابات </w:t>
      </w:r>
      <w:r>
        <w:rPr>
          <w:rFonts w:ascii="Arabic Typesetting" w:hAnsi="Arabic Typesetting" w:cs="Arabic Typesetting"/>
          <w:sz w:val="34"/>
          <w:szCs w:val="34"/>
          <w:rtl/>
        </w:rPr>
        <w:t>الخارجي وغيره</w:t>
      </w:r>
      <w:r w:rsidRPr="00417D97">
        <w:rPr>
          <w:rFonts w:ascii="Arabic Typesetting" w:hAnsi="Arabic Typesetting" w:cs="Arabic Typesetting"/>
          <w:sz w:val="34"/>
          <w:szCs w:val="34"/>
          <w:rtl/>
        </w:rPr>
        <w:t xml:space="preserve"> من الج</w:t>
      </w:r>
      <w:r>
        <w:rPr>
          <w:rFonts w:ascii="Arabic Typesetting" w:hAnsi="Arabic Typesetting" w:cs="Arabic Typesetting"/>
          <w:sz w:val="34"/>
          <w:szCs w:val="34"/>
          <w:rtl/>
        </w:rPr>
        <w:t xml:space="preserve">هات </w:t>
      </w:r>
      <w:r>
        <w:rPr>
          <w:rFonts w:ascii="Arabic Typesetting" w:hAnsi="Arabic Typesetting" w:cs="Arabic Typesetting" w:hint="cs"/>
          <w:sz w:val="34"/>
          <w:szCs w:val="34"/>
          <w:rtl/>
          <w:lang w:bidi="ar-SA"/>
        </w:rPr>
        <w:t xml:space="preserve">المعنية بضمان </w:t>
      </w:r>
      <w:r>
        <w:rPr>
          <w:rFonts w:ascii="Arabic Typesetting" w:hAnsi="Arabic Typesetting" w:cs="Arabic Typesetting"/>
          <w:sz w:val="34"/>
          <w:szCs w:val="34"/>
          <w:rtl/>
        </w:rPr>
        <w:t>الرقابة أولويةً قصوى. وس</w:t>
      </w:r>
      <w:r w:rsidRPr="00417D97">
        <w:rPr>
          <w:rFonts w:ascii="Arabic Typesetting" w:hAnsi="Arabic Typesetting" w:cs="Arabic Typesetting"/>
          <w:sz w:val="34"/>
          <w:szCs w:val="34"/>
          <w:rtl/>
        </w:rPr>
        <w:t>يستمر التعاون خلال الثنائية مع أوساط الرقابة الداخلية في الأمم المتحدة والجمعيات الدولية والمهنية؛ وذلك لضمان أن الرقابة الداخلية في الويبو تساهم في آخر التطورات وتستفيد منها.</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وس</w:t>
      </w:r>
      <w:r w:rsidRPr="00417D97">
        <w:rPr>
          <w:rFonts w:ascii="Arabic Typesetting" w:hAnsi="Arabic Typesetting" w:cs="Arabic Typesetting"/>
          <w:sz w:val="34"/>
          <w:szCs w:val="34"/>
          <w:rtl/>
        </w:rPr>
        <w:t>يجري بانتظام متابعة التقدم المحرز في تنفيذ توصيات الرقابة ورفع تقارير عن ذلك إلى المدير العام، واللجنة الاستشارية المستقلة للرقابة، وجمعيات الويبو.</w:t>
      </w:r>
    </w:p>
    <w:p w:rsidR="00F21BC5" w:rsidRPr="008954A8"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proofErr w:type="spellStart"/>
      <w:r>
        <w:rPr>
          <w:rFonts w:ascii="Arabic Typesetting" w:hAnsi="Arabic Typesetting" w:cs="Arabic Typesetting"/>
          <w:sz w:val="34"/>
          <w:szCs w:val="34"/>
          <w:rtl/>
        </w:rPr>
        <w:t>ول</w:t>
      </w:r>
      <w:r>
        <w:rPr>
          <w:rFonts w:ascii="Arabic Typesetting" w:hAnsi="Arabic Typesetting" w:cs="Arabic Typesetting" w:hint="cs"/>
          <w:sz w:val="34"/>
          <w:szCs w:val="34"/>
          <w:rtl/>
        </w:rPr>
        <w:t>إ</w:t>
      </w:r>
      <w:r w:rsidRPr="00417D97">
        <w:rPr>
          <w:rFonts w:ascii="Arabic Typesetting" w:hAnsi="Arabic Typesetting" w:cs="Arabic Typesetting"/>
          <w:sz w:val="34"/>
          <w:szCs w:val="34"/>
          <w:rtl/>
        </w:rPr>
        <w:t>طلاع</w:t>
      </w:r>
      <w:proofErr w:type="spellEnd"/>
      <w:r w:rsidRPr="00417D97">
        <w:rPr>
          <w:rFonts w:ascii="Arabic Typesetting" w:hAnsi="Arabic Typesetting" w:cs="Arabic Typesetting"/>
          <w:sz w:val="34"/>
          <w:szCs w:val="34"/>
          <w:rtl/>
        </w:rPr>
        <w:t xml:space="preserve"> أصحاب المصلحة الرئيسيين داخل الويبو وخارجها على الدروس المستفادة والرؤى</w:t>
      </w:r>
      <w:r>
        <w:rPr>
          <w:rFonts w:ascii="Arabic Typesetting" w:hAnsi="Arabic Typesetting" w:cs="Arabic Typesetting"/>
          <w:sz w:val="34"/>
          <w:szCs w:val="34"/>
          <w:rtl/>
        </w:rPr>
        <w:t xml:space="preserve"> </w:t>
      </w:r>
      <w:proofErr w:type="spellStart"/>
      <w:r>
        <w:rPr>
          <w:rFonts w:ascii="Arabic Typesetting" w:hAnsi="Arabic Typesetting" w:cs="Arabic Typesetting"/>
          <w:sz w:val="34"/>
          <w:szCs w:val="34"/>
          <w:rtl/>
        </w:rPr>
        <w:t>المستقاة</w:t>
      </w:r>
      <w:proofErr w:type="spellEnd"/>
      <w:r>
        <w:rPr>
          <w:rFonts w:ascii="Arabic Typesetting" w:hAnsi="Arabic Typesetting" w:cs="Arabic Typesetting"/>
          <w:sz w:val="34"/>
          <w:szCs w:val="34"/>
          <w:rtl/>
        </w:rPr>
        <w:t xml:space="preserve"> من أنشطة الرقابة، س</w:t>
      </w:r>
      <w:r w:rsidRPr="00417D97">
        <w:rPr>
          <w:rFonts w:ascii="Arabic Typesetting" w:hAnsi="Arabic Typesetting" w:cs="Arabic Typesetting"/>
          <w:sz w:val="34"/>
          <w:szCs w:val="34"/>
          <w:rtl/>
        </w:rPr>
        <w:t>تُنشر النتائج وا</w:t>
      </w:r>
      <w:r>
        <w:rPr>
          <w:rFonts w:ascii="Arabic Typesetting" w:hAnsi="Arabic Typesetting" w:cs="Arabic Typesetting"/>
          <w:sz w:val="34"/>
          <w:szCs w:val="34"/>
          <w:rtl/>
        </w:rPr>
        <w:t>لمحصلات الرئيسية للرقابة و</w:t>
      </w:r>
      <w:r>
        <w:rPr>
          <w:rFonts w:ascii="Arabic Typesetting" w:hAnsi="Arabic Typesetting" w:cs="Arabic Typesetting" w:hint="cs"/>
          <w:sz w:val="34"/>
          <w:szCs w:val="34"/>
          <w:rtl/>
        </w:rPr>
        <w:t>يُ</w:t>
      </w:r>
      <w:r w:rsidRPr="00417D97">
        <w:rPr>
          <w:rFonts w:ascii="Arabic Typesetting" w:hAnsi="Arabic Typesetting" w:cs="Arabic Typesetting"/>
          <w:sz w:val="34"/>
          <w:szCs w:val="34"/>
          <w:rtl/>
        </w:rPr>
        <w:t xml:space="preserve">علَن </w:t>
      </w:r>
      <w:r>
        <w:rPr>
          <w:rFonts w:ascii="Arabic Typesetting" w:hAnsi="Arabic Typesetting" w:cs="Arabic Typesetting" w:hint="cs"/>
          <w:sz w:val="34"/>
          <w:szCs w:val="34"/>
          <w:rtl/>
        </w:rPr>
        <w:t xml:space="preserve">عنها </w:t>
      </w:r>
      <w:r w:rsidRPr="00417D97">
        <w:rPr>
          <w:rFonts w:ascii="Arabic Typesetting" w:hAnsi="Arabic Typesetting" w:cs="Arabic Typesetting"/>
          <w:sz w:val="34"/>
          <w:szCs w:val="34"/>
          <w:rtl/>
        </w:rPr>
        <w:t>بانتظام من خلال عروض تقديمية في المحافل الإعلامية والتدريبية.</w:t>
      </w:r>
    </w:p>
    <w:p w:rsidR="00F21BC5" w:rsidRPr="00CB7E46" w:rsidRDefault="00F21BC5"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CB7E46">
        <w:rPr>
          <w:rFonts w:ascii="Arabic Typesetting" w:hAnsi="Arabic Typesetting" w:cs="Arabic Typesetting" w:hint="cs"/>
          <w:noProof/>
          <w:snapToGrid/>
          <w:sz w:val="38"/>
          <w:szCs w:val="38"/>
          <w:rtl/>
          <w:lang w:val="x-none" w:eastAsia="x-none" w:bidi="ar-EG"/>
        </w:rPr>
        <w:lastRenderedPageBreak/>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395"/>
        <w:gridCol w:w="4677"/>
      </w:tblGrid>
      <w:tr w:rsidR="00F21BC5" w:rsidRPr="008954A8" w:rsidTr="00DA5475">
        <w:trPr>
          <w:trHeight w:val="463"/>
        </w:trPr>
        <w:tc>
          <w:tcPr>
            <w:tcW w:w="4395" w:type="dxa"/>
            <w:tcBorders>
              <w:top w:val="single" w:sz="4" w:space="0" w:color="auto"/>
              <w:bottom w:val="single" w:sz="4" w:space="0" w:color="auto"/>
            </w:tcBorders>
            <w:shd w:val="clear" w:color="auto" w:fill="C6D9F1"/>
            <w:tcMar>
              <w:top w:w="113" w:type="dxa"/>
              <w:bottom w:w="85" w:type="dxa"/>
            </w:tcMar>
          </w:tcPr>
          <w:p w:rsidR="00F21BC5" w:rsidRPr="008954A8" w:rsidRDefault="00F21BC5" w:rsidP="00DA5475">
            <w:pPr>
              <w:pStyle w:val="ARProgramTableHeading"/>
              <w:spacing w:beforeLines="60" w:before="144" w:afterLines="60" w:after="144" w:line="300" w:lineRule="exact"/>
              <w:rPr>
                <w:rtl/>
                <w:lang w:bidi="ar-SA"/>
              </w:rPr>
            </w:pPr>
            <w:r>
              <w:rPr>
                <w:rFonts w:hint="cs"/>
                <w:rtl/>
                <w:lang w:bidi="ar-SA"/>
              </w:rPr>
              <w:t>المخاطر</w:t>
            </w:r>
          </w:p>
        </w:tc>
        <w:tc>
          <w:tcPr>
            <w:tcW w:w="4677" w:type="dxa"/>
            <w:tcBorders>
              <w:top w:val="single" w:sz="4" w:space="0" w:color="auto"/>
              <w:bottom w:val="single" w:sz="4" w:space="0" w:color="auto"/>
            </w:tcBorders>
            <w:shd w:val="clear" w:color="auto" w:fill="C6D9F1"/>
            <w:tcMar>
              <w:top w:w="113" w:type="dxa"/>
              <w:bottom w:w="85" w:type="dxa"/>
            </w:tcMar>
          </w:tcPr>
          <w:p w:rsidR="00F21BC5" w:rsidRPr="008954A8" w:rsidRDefault="00F21BC5" w:rsidP="00DA5475">
            <w:pPr>
              <w:pStyle w:val="ARProgramTableHeading"/>
              <w:spacing w:beforeLines="60" w:before="144" w:afterLines="60" w:after="144" w:line="300" w:lineRule="exact"/>
              <w:rPr>
                <w:rtl/>
              </w:rPr>
            </w:pPr>
            <w:r>
              <w:rPr>
                <w:rFonts w:hint="cs"/>
                <w:rtl/>
              </w:rPr>
              <w:t>التخفيف منها</w:t>
            </w:r>
          </w:p>
        </w:tc>
      </w:tr>
      <w:tr w:rsidR="00F21BC5" w:rsidRPr="008954A8" w:rsidTr="00DA5475">
        <w:trPr>
          <w:trHeight w:val="799"/>
        </w:trPr>
        <w:tc>
          <w:tcPr>
            <w:tcW w:w="4395" w:type="dxa"/>
            <w:tcBorders>
              <w:top w:val="single" w:sz="4" w:space="0" w:color="auto"/>
            </w:tcBorders>
            <w:tcMar>
              <w:top w:w="113" w:type="dxa"/>
              <w:bottom w:w="85" w:type="dxa"/>
            </w:tcMar>
          </w:tcPr>
          <w:p w:rsidR="00F21BC5" w:rsidRPr="008954A8" w:rsidRDefault="00F21BC5" w:rsidP="00DA5475">
            <w:pPr>
              <w:spacing w:beforeLines="60" w:before="144" w:afterLines="60" w:after="144" w:line="300" w:lineRule="exact"/>
              <w:rPr>
                <w:rFonts w:ascii="Arabic Typesetting" w:hAnsi="Arabic Typesetting" w:cs="Arabic Typesetting"/>
                <w:sz w:val="30"/>
                <w:szCs w:val="30"/>
                <w:rtl/>
              </w:rPr>
            </w:pPr>
            <w:r w:rsidRPr="00417D97">
              <w:rPr>
                <w:rFonts w:ascii="Arabic Typesetting" w:hAnsi="Arabic Typesetting" w:cs="Arabic Typesetting"/>
                <w:sz w:val="30"/>
                <w:szCs w:val="30"/>
                <w:rtl/>
              </w:rPr>
              <w:t xml:space="preserve">عدم استقلالية نشاط الرقابة الداخلية وعدم موضوعية موظفي شعبة الرقابة الداخلية في أداء عملهم. ومن ثمَّ ستكون حيادية العمل </w:t>
            </w:r>
            <w:proofErr w:type="spellStart"/>
            <w:r w:rsidRPr="00417D97">
              <w:rPr>
                <w:rFonts w:ascii="Arabic Typesetting" w:hAnsi="Arabic Typesetting" w:cs="Arabic Typesetting"/>
                <w:sz w:val="30"/>
                <w:szCs w:val="30"/>
                <w:rtl/>
              </w:rPr>
              <w:t>المُضطلع</w:t>
            </w:r>
            <w:proofErr w:type="spellEnd"/>
            <w:r>
              <w:rPr>
                <w:rFonts w:ascii="Arabic Typesetting" w:hAnsi="Arabic Typesetting" w:cs="Arabic Typesetting"/>
                <w:sz w:val="30"/>
                <w:szCs w:val="30"/>
                <w:rtl/>
              </w:rPr>
              <w:t xml:space="preserve"> به ومصداقيته في خطر. وس</w:t>
            </w:r>
            <w:r w:rsidRPr="00417D97">
              <w:rPr>
                <w:rFonts w:ascii="Arabic Typesetting" w:hAnsi="Arabic Typesetting" w:cs="Arabic Typesetting"/>
                <w:sz w:val="30"/>
                <w:szCs w:val="30"/>
                <w:rtl/>
              </w:rPr>
              <w:t>تتضاءل الثقة في وظيفة الرقابة.</w:t>
            </w:r>
          </w:p>
        </w:tc>
        <w:tc>
          <w:tcPr>
            <w:tcW w:w="4677" w:type="dxa"/>
            <w:tcBorders>
              <w:top w:val="single" w:sz="4" w:space="0" w:color="auto"/>
            </w:tcBorders>
            <w:tcMar>
              <w:top w:w="113" w:type="dxa"/>
              <w:bottom w:w="85" w:type="dxa"/>
            </w:tcMar>
          </w:tcPr>
          <w:p w:rsidR="00F21BC5" w:rsidRDefault="00F21BC5" w:rsidP="00DA5475">
            <w:pPr>
              <w:spacing w:beforeLines="60" w:before="144" w:afterLines="60" w:after="144" w:line="300" w:lineRule="exact"/>
              <w:rPr>
                <w:rFonts w:ascii="Arabic Typesetting" w:hAnsi="Arabic Typesetting" w:cs="Arabic Typesetting"/>
                <w:sz w:val="30"/>
                <w:szCs w:val="30"/>
                <w:rtl/>
              </w:rPr>
            </w:pPr>
            <w:r w:rsidRPr="00D435EA">
              <w:rPr>
                <w:rFonts w:ascii="Arabic Typesetting" w:hAnsi="Arabic Typesetting" w:cs="Arabic Typesetting"/>
                <w:sz w:val="30"/>
                <w:szCs w:val="30"/>
                <w:rtl/>
              </w:rPr>
              <w:t>الالتزام ب</w:t>
            </w:r>
            <w:r>
              <w:rPr>
                <w:rFonts w:ascii="Arabic Typesetting" w:hAnsi="Arabic Typesetting" w:cs="Arabic Typesetting"/>
                <w:sz w:val="30"/>
                <w:szCs w:val="30"/>
                <w:rtl/>
              </w:rPr>
              <w:t>ميثاق الرقابة الداخلية المُ</w:t>
            </w:r>
            <w:r>
              <w:rPr>
                <w:rFonts w:ascii="Arabic Typesetting" w:hAnsi="Arabic Typesetting" w:cs="Arabic Typesetting" w:hint="cs"/>
                <w:sz w:val="30"/>
                <w:szCs w:val="30"/>
                <w:rtl/>
              </w:rPr>
              <w:t>راجع</w:t>
            </w:r>
            <w:r w:rsidRPr="00D435EA">
              <w:rPr>
                <w:rFonts w:ascii="Arabic Typesetting" w:hAnsi="Arabic Typesetting" w:cs="Arabic Typesetting"/>
                <w:sz w:val="30"/>
                <w:szCs w:val="30"/>
                <w:rtl/>
              </w:rPr>
              <w:t>. وتقديم تقارير منتظمة إلى لجنة الويبو الاستشارية الم</w:t>
            </w:r>
            <w:r>
              <w:rPr>
                <w:rFonts w:ascii="Arabic Typesetting" w:hAnsi="Arabic Typesetting" w:cs="Arabic Typesetting"/>
                <w:sz w:val="30"/>
                <w:szCs w:val="30"/>
                <w:rtl/>
              </w:rPr>
              <w:t>ستقلة للرقابة. وتقديم تقرير سنو</w:t>
            </w:r>
            <w:r>
              <w:rPr>
                <w:rFonts w:ascii="Arabic Typesetting" w:hAnsi="Arabic Typesetting" w:cs="Arabic Typesetting" w:hint="cs"/>
                <w:sz w:val="30"/>
                <w:szCs w:val="30"/>
                <w:rtl/>
              </w:rPr>
              <w:t>ي</w:t>
            </w:r>
            <w:r w:rsidRPr="00D435EA">
              <w:rPr>
                <w:rFonts w:ascii="Arabic Typesetting" w:hAnsi="Arabic Typesetting" w:cs="Arabic Typesetting"/>
                <w:sz w:val="30"/>
                <w:szCs w:val="30"/>
                <w:rtl/>
              </w:rPr>
              <w:t xml:space="preserve"> إلى الجمعية العامة بشأن الاستقلال</w:t>
            </w:r>
            <w:r>
              <w:rPr>
                <w:rFonts w:ascii="Arabic Typesetting" w:hAnsi="Arabic Typesetting" w:cs="Arabic Typesetting" w:hint="cs"/>
                <w:sz w:val="30"/>
                <w:szCs w:val="30"/>
                <w:rtl/>
              </w:rPr>
              <w:t>ية</w:t>
            </w:r>
          </w:p>
          <w:p w:rsidR="00F21BC5" w:rsidRPr="008954A8" w:rsidRDefault="00F21BC5" w:rsidP="00DA5475">
            <w:pPr>
              <w:spacing w:beforeLines="60" w:before="144" w:afterLines="60" w:after="144" w:line="300" w:lineRule="exact"/>
              <w:rPr>
                <w:rFonts w:ascii="Arabic Typesetting" w:hAnsi="Arabic Typesetting" w:cs="Arabic Typesetting"/>
                <w:sz w:val="30"/>
                <w:szCs w:val="30"/>
                <w:rtl/>
              </w:rPr>
            </w:pPr>
            <w:r w:rsidRPr="00D435EA">
              <w:rPr>
                <w:rFonts w:ascii="Arabic Typesetting" w:hAnsi="Arabic Typesetting" w:cs="Arabic Typesetting"/>
                <w:sz w:val="30"/>
                <w:szCs w:val="30"/>
                <w:rtl/>
              </w:rPr>
              <w:t>التقييمات الخارجية لاستقلال</w:t>
            </w:r>
            <w:r>
              <w:rPr>
                <w:rFonts w:ascii="Arabic Typesetting" w:hAnsi="Arabic Typesetting" w:cs="Arabic Typesetting" w:hint="cs"/>
                <w:sz w:val="30"/>
                <w:szCs w:val="30"/>
                <w:rtl/>
              </w:rPr>
              <w:t>ية</w:t>
            </w:r>
            <w:r w:rsidRPr="00D435EA">
              <w:rPr>
                <w:rFonts w:ascii="Arabic Typesetting" w:hAnsi="Arabic Typesetting" w:cs="Arabic Typesetting"/>
                <w:sz w:val="30"/>
                <w:szCs w:val="30"/>
                <w:rtl/>
              </w:rPr>
              <w:t xml:space="preserve"> وظائف الرقابة.</w:t>
            </w:r>
          </w:p>
        </w:tc>
      </w:tr>
    </w:tbl>
    <w:p w:rsidR="00F21BC5" w:rsidRPr="008954A8" w:rsidRDefault="00F21BC5" w:rsidP="00DA5475">
      <w:pPr>
        <w:tabs>
          <w:tab w:val="left" w:pos="567"/>
          <w:tab w:val="left" w:pos="1985"/>
        </w:tabs>
        <w:jc w:val="both"/>
        <w:rPr>
          <w:rFonts w:ascii="Arabic Typesetting" w:hAnsi="Arabic Typesetting" w:cs="Arabic Typesetting"/>
          <w:b/>
          <w:sz w:val="30"/>
          <w:szCs w:val="30"/>
        </w:rPr>
      </w:pPr>
    </w:p>
    <w:p w:rsidR="00F21BC5" w:rsidRPr="00CB7E46" w:rsidRDefault="00F21BC5"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CB7E46">
        <w:rPr>
          <w:rFonts w:ascii="Arabic Typesetting" w:hAnsi="Arabic Typesetting" w:cs="Arabic Typesetting"/>
          <w:noProof/>
          <w:snapToGrid/>
          <w:sz w:val="38"/>
          <w:szCs w:val="38"/>
          <w:rtl/>
          <w:lang w:val="x-none" w:eastAsia="x-none" w:bidi="ar-EG"/>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F21BC5" w:rsidRPr="008954A8" w:rsidTr="00DA5475">
        <w:trPr>
          <w:cantSplit/>
          <w:trHeight w:val="416"/>
          <w:tblHeader/>
        </w:trPr>
        <w:tc>
          <w:tcPr>
            <w:tcW w:w="1249" w:type="pct"/>
            <w:tcBorders>
              <w:top w:val="single" w:sz="4" w:space="0" w:color="auto"/>
              <w:bottom w:val="single" w:sz="4" w:space="0" w:color="auto"/>
            </w:tcBorders>
            <w:shd w:val="clear" w:color="auto" w:fill="C6D9F1"/>
            <w:tcMar>
              <w:top w:w="113" w:type="dxa"/>
            </w:tcMar>
            <w:vAlign w:val="center"/>
          </w:tcPr>
          <w:p w:rsidR="00F21BC5" w:rsidRPr="008954A8" w:rsidRDefault="00F21BC5" w:rsidP="00F01A85">
            <w:pPr>
              <w:spacing w:before="100" w:beforeAutospacing="1" w:after="100" w:afterAutospacing="1"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6D9F1"/>
            <w:tcMar>
              <w:top w:w="113" w:type="dxa"/>
            </w:tcMar>
            <w:vAlign w:val="center"/>
          </w:tcPr>
          <w:p w:rsidR="00F21BC5" w:rsidRPr="008954A8" w:rsidRDefault="00F21BC5" w:rsidP="00F01A85">
            <w:pPr>
              <w:spacing w:before="100" w:beforeAutospacing="1" w:after="100" w:afterAutospacing="1"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6D9F1"/>
            <w:tcMar>
              <w:top w:w="113" w:type="dxa"/>
            </w:tcMar>
            <w:vAlign w:val="center"/>
          </w:tcPr>
          <w:p w:rsidR="00F21BC5" w:rsidRPr="008954A8" w:rsidRDefault="00F21BC5" w:rsidP="00F01A85">
            <w:pPr>
              <w:spacing w:before="100" w:beforeAutospacing="1" w:after="100" w:afterAutospacing="1" w:line="300" w:lineRule="exact"/>
              <w:ind w:left="85"/>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6D9F1"/>
            <w:tcMar>
              <w:top w:w="113" w:type="dxa"/>
            </w:tcMar>
            <w:vAlign w:val="center"/>
          </w:tcPr>
          <w:p w:rsidR="00F21BC5" w:rsidRPr="008954A8" w:rsidRDefault="00F21BC5" w:rsidP="00F01A85">
            <w:pPr>
              <w:keepNext/>
              <w:keepLines/>
              <w:spacing w:before="100" w:beforeAutospacing="1" w:after="100" w:afterAutospacing="1" w:line="300" w:lineRule="exact"/>
              <w:ind w:right="111"/>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الأهداف</w:t>
            </w:r>
          </w:p>
        </w:tc>
      </w:tr>
      <w:tr w:rsidR="00F21BC5" w:rsidRPr="008954A8" w:rsidTr="00DA5475">
        <w:trPr>
          <w:cantSplit/>
        </w:trPr>
        <w:tc>
          <w:tcPr>
            <w:tcW w:w="1249" w:type="pct"/>
            <w:tcBorders>
              <w:top w:val="single" w:sz="4" w:space="0" w:color="auto"/>
              <w:bottom w:val="nil"/>
            </w:tcBorders>
            <w:tcMar>
              <w:top w:w="113" w:type="dxa"/>
            </w:tcMar>
          </w:tcPr>
          <w:p w:rsidR="00F21BC5" w:rsidRPr="00D435EA" w:rsidRDefault="009800D4" w:rsidP="00F01A85">
            <w:pPr>
              <w:spacing w:before="100" w:beforeAutospacing="1" w:after="100" w:afterAutospacing="1" w:line="300" w:lineRule="exact"/>
              <w:rPr>
                <w:rFonts w:ascii="Arabic Typesetting" w:hAnsi="Arabic Typesetting" w:cs="Arabic Typesetting"/>
                <w:sz w:val="30"/>
                <w:szCs w:val="30"/>
                <w:rtl/>
              </w:rPr>
            </w:pPr>
            <w:r>
              <w:rPr>
                <w:rFonts w:ascii="Arabic Typesetting" w:hAnsi="Arabic Typesetting" w:cs="Arabic Typesetting"/>
                <w:sz w:val="30"/>
                <w:szCs w:val="30"/>
                <w:rtl/>
              </w:rPr>
              <w:t>ه</w:t>
            </w:r>
            <w:r w:rsidR="00F21BC5">
              <w:rPr>
                <w:rFonts w:ascii="Arabic Typesetting" w:hAnsi="Arabic Typesetting" w:cs="Arabic Typesetting" w:hint="cs"/>
                <w:sz w:val="30"/>
                <w:szCs w:val="30"/>
                <w:rtl/>
              </w:rPr>
              <w:t xml:space="preserve"> </w:t>
            </w:r>
            <w:r w:rsidR="00F21BC5" w:rsidRPr="00D435EA">
              <w:rPr>
                <w:rFonts w:ascii="Arabic Typesetting" w:hAnsi="Arabic Typesetting" w:cs="Arabic Typesetting"/>
                <w:sz w:val="30"/>
                <w:szCs w:val="30"/>
                <w:rtl/>
              </w:rPr>
              <w:t xml:space="preserve">8.9 مستوى محسّن فيما يخص المساءلة، والتعلم المؤسسي، والقيمة مقابل المال، والريادة، والمراقبة الداخلية، </w:t>
            </w:r>
            <w:proofErr w:type="spellStart"/>
            <w:r w:rsidR="00F21BC5" w:rsidRPr="00D435EA">
              <w:rPr>
                <w:rFonts w:ascii="Arabic Typesetting" w:hAnsi="Arabic Typesetting" w:cs="Arabic Typesetting"/>
                <w:sz w:val="30"/>
                <w:szCs w:val="30"/>
                <w:rtl/>
              </w:rPr>
              <w:t>والحوكمة</w:t>
            </w:r>
            <w:proofErr w:type="spellEnd"/>
            <w:r w:rsidR="00F21BC5" w:rsidRPr="00D435EA">
              <w:rPr>
                <w:rFonts w:ascii="Arabic Typesetting" w:hAnsi="Arabic Typesetting" w:cs="Arabic Typesetting"/>
                <w:sz w:val="30"/>
                <w:szCs w:val="30"/>
                <w:rtl/>
              </w:rPr>
              <w:t xml:space="preserve"> المؤسسية من خلال الاستعانة برقابة فعالة ومستقلة</w:t>
            </w:r>
          </w:p>
        </w:tc>
        <w:tc>
          <w:tcPr>
            <w:tcW w:w="1462" w:type="pct"/>
            <w:tcBorders>
              <w:top w:val="single" w:sz="4" w:space="0" w:color="auto"/>
              <w:bottom w:val="nil"/>
            </w:tcBorders>
            <w:tcMar>
              <w:top w:w="113" w:type="dxa"/>
            </w:tcMar>
          </w:tcPr>
          <w:p w:rsidR="00F21BC5" w:rsidRPr="00D435EA" w:rsidRDefault="00F21BC5" w:rsidP="00F01A85">
            <w:pPr>
              <w:spacing w:before="100" w:beforeAutospacing="1" w:after="100" w:afterAutospacing="1" w:line="300" w:lineRule="exact"/>
              <w:rPr>
                <w:rFonts w:ascii="Arabic Typesetting" w:hAnsi="Arabic Typesetting" w:cs="Arabic Typesetting"/>
                <w:sz w:val="30"/>
                <w:szCs w:val="30"/>
                <w:rtl/>
              </w:rPr>
            </w:pPr>
            <w:r w:rsidRPr="00D435EA">
              <w:rPr>
                <w:rFonts w:ascii="Arabic Typesetting" w:hAnsi="Arabic Typesetting" w:cs="Arabic Typesetting"/>
                <w:sz w:val="30"/>
                <w:szCs w:val="30"/>
                <w:rtl/>
              </w:rPr>
              <w:t>الاستقلال</w:t>
            </w:r>
            <w:r>
              <w:rPr>
                <w:rFonts w:ascii="Arabic Typesetting" w:hAnsi="Arabic Typesetting" w:cs="Arabic Typesetting" w:hint="cs"/>
                <w:sz w:val="30"/>
                <w:szCs w:val="30"/>
                <w:rtl/>
              </w:rPr>
              <w:t>ية</w:t>
            </w:r>
            <w:r w:rsidRPr="00D435EA">
              <w:rPr>
                <w:rFonts w:ascii="Arabic Typesetting" w:hAnsi="Arabic Typesetting" w:cs="Arabic Typesetting"/>
                <w:sz w:val="30"/>
                <w:szCs w:val="30"/>
                <w:rtl/>
              </w:rPr>
              <w:t xml:space="preserve"> – عدم تدخل كبار أصحاب المصالح ومراعاتهم للاستقلالية</w:t>
            </w:r>
          </w:p>
        </w:tc>
        <w:tc>
          <w:tcPr>
            <w:tcW w:w="1145" w:type="pct"/>
            <w:tcBorders>
              <w:top w:val="single" w:sz="4" w:space="0" w:color="auto"/>
              <w:bottom w:val="nil"/>
            </w:tcBorders>
            <w:shd w:val="clear" w:color="auto" w:fill="FFFFFF"/>
            <w:tcMar>
              <w:top w:w="113" w:type="dxa"/>
            </w:tcMar>
          </w:tcPr>
          <w:p w:rsidR="00F21BC5" w:rsidRPr="00D435EA" w:rsidRDefault="00F21BC5" w:rsidP="00F01A85">
            <w:pPr>
              <w:spacing w:before="100" w:beforeAutospacing="1" w:after="100" w:afterAutospacing="1" w:line="300" w:lineRule="exact"/>
              <w:rPr>
                <w:rFonts w:ascii="Arabic Typesetting" w:hAnsi="Arabic Typesetting" w:cs="Arabic Typesetting"/>
                <w:sz w:val="30"/>
                <w:szCs w:val="30"/>
                <w:rtl/>
              </w:rPr>
            </w:pPr>
            <w:r w:rsidRPr="00D435EA">
              <w:rPr>
                <w:rFonts w:ascii="Arabic Typesetting" w:hAnsi="Arabic Typesetting" w:cs="Arabic Typesetting"/>
                <w:sz w:val="30"/>
                <w:szCs w:val="30"/>
                <w:rtl/>
              </w:rPr>
              <w:t>عدم التدخل في عمل شعبة الرقابة الداخلية</w:t>
            </w:r>
          </w:p>
        </w:tc>
        <w:tc>
          <w:tcPr>
            <w:tcW w:w="1144" w:type="pct"/>
            <w:tcBorders>
              <w:top w:val="single" w:sz="4" w:space="0" w:color="auto"/>
              <w:bottom w:val="nil"/>
            </w:tcBorders>
            <w:tcMar>
              <w:top w:w="113" w:type="dxa"/>
            </w:tcMar>
          </w:tcPr>
          <w:p w:rsidR="00F21BC5" w:rsidRPr="00D435EA" w:rsidRDefault="00F21BC5" w:rsidP="00F01A85">
            <w:pPr>
              <w:keepNext/>
              <w:keepLines/>
              <w:spacing w:before="100" w:beforeAutospacing="1" w:after="100" w:afterAutospacing="1" w:line="300" w:lineRule="exact"/>
              <w:ind w:right="221"/>
              <w:rPr>
                <w:rFonts w:ascii="Arabic Typesetting" w:hAnsi="Arabic Typesetting" w:cs="Arabic Typesetting"/>
                <w:b/>
                <w:sz w:val="30"/>
                <w:szCs w:val="30"/>
                <w:rtl/>
              </w:rPr>
            </w:pPr>
            <w:r w:rsidRPr="00D435EA">
              <w:rPr>
                <w:rFonts w:ascii="Arabic Typesetting" w:hAnsi="Arabic Typesetting" w:cs="Arabic Typesetting"/>
                <w:b/>
                <w:sz w:val="30"/>
                <w:szCs w:val="30"/>
                <w:rtl/>
              </w:rPr>
              <w:t>عدم التدخل في عمل شعبة الرقابة الداخلية</w:t>
            </w:r>
          </w:p>
        </w:tc>
      </w:tr>
      <w:tr w:rsidR="00F21BC5" w:rsidRPr="008954A8" w:rsidTr="00DA5475">
        <w:trPr>
          <w:cantSplit/>
        </w:trPr>
        <w:tc>
          <w:tcPr>
            <w:tcW w:w="1249" w:type="pct"/>
            <w:tcBorders>
              <w:top w:val="nil"/>
              <w:bottom w:val="nil"/>
            </w:tcBorders>
            <w:tcMar>
              <w:top w:w="113" w:type="dxa"/>
            </w:tcMar>
          </w:tcPr>
          <w:p w:rsidR="00F21BC5" w:rsidRPr="008954A8" w:rsidRDefault="00F21BC5" w:rsidP="00F01A85">
            <w:pPr>
              <w:spacing w:before="100" w:beforeAutospacing="1" w:after="100" w:afterAutospacing="1" w:line="300" w:lineRule="exact"/>
              <w:rPr>
                <w:rFonts w:ascii="Arabic Typesetting" w:hAnsi="Arabic Typesetting" w:cs="Arabic Typesetting"/>
                <w:sz w:val="30"/>
                <w:szCs w:val="30"/>
                <w:rtl/>
              </w:rPr>
            </w:pPr>
          </w:p>
        </w:tc>
        <w:tc>
          <w:tcPr>
            <w:tcW w:w="1462" w:type="pct"/>
            <w:tcBorders>
              <w:top w:val="nil"/>
              <w:bottom w:val="nil"/>
            </w:tcBorders>
            <w:tcMar>
              <w:top w:w="113" w:type="dxa"/>
            </w:tcMar>
          </w:tcPr>
          <w:p w:rsidR="00F21BC5" w:rsidRDefault="00F21BC5" w:rsidP="00F01A85">
            <w:pPr>
              <w:spacing w:before="100" w:beforeAutospacing="1" w:after="100" w:afterAutospacing="1" w:line="300" w:lineRule="exact"/>
              <w:rPr>
                <w:rFonts w:ascii="Arabic Typesetting" w:hAnsi="Arabic Typesetting" w:cs="Arabic Typesetting"/>
                <w:sz w:val="30"/>
                <w:szCs w:val="30"/>
                <w:rtl/>
              </w:rPr>
            </w:pPr>
            <w:r w:rsidRPr="00D435EA">
              <w:rPr>
                <w:rFonts w:ascii="Arabic Typesetting" w:hAnsi="Arabic Typesetting" w:cs="Arabic Typesetting"/>
                <w:sz w:val="30"/>
                <w:szCs w:val="30"/>
                <w:rtl/>
              </w:rPr>
              <w:t xml:space="preserve">الفعالية – النسبة المئوية للعمل الذي يشمل مجالات </w:t>
            </w:r>
            <w:r>
              <w:rPr>
                <w:rFonts w:ascii="Arabic Typesetting" w:hAnsi="Arabic Typesetting" w:cs="Arabic Typesetting" w:hint="cs"/>
                <w:sz w:val="30"/>
                <w:szCs w:val="30"/>
                <w:rtl/>
              </w:rPr>
              <w:t xml:space="preserve">وجيهة </w:t>
            </w:r>
            <w:r w:rsidRPr="00D435EA">
              <w:rPr>
                <w:rFonts w:ascii="Arabic Typesetting" w:hAnsi="Arabic Typesetting" w:cs="Arabic Typesetting"/>
                <w:sz w:val="30"/>
                <w:szCs w:val="30"/>
                <w:rtl/>
              </w:rPr>
              <w:t xml:space="preserve">عالية المخاطر </w:t>
            </w:r>
            <w:r>
              <w:rPr>
                <w:rFonts w:ascii="Arabic Typesetting" w:hAnsi="Arabic Typesetting" w:cs="Arabic Typesetting" w:hint="cs"/>
                <w:sz w:val="30"/>
                <w:szCs w:val="30"/>
                <w:rtl/>
              </w:rPr>
              <w:t>بما ي</w:t>
            </w:r>
            <w:r w:rsidRPr="00D435EA">
              <w:rPr>
                <w:rFonts w:ascii="Arabic Typesetting" w:hAnsi="Arabic Typesetting" w:cs="Arabic Typesetting"/>
                <w:sz w:val="30"/>
                <w:szCs w:val="30"/>
                <w:rtl/>
              </w:rPr>
              <w:t>تماشى مع استراتيجية المنظمة</w:t>
            </w:r>
          </w:p>
        </w:tc>
        <w:tc>
          <w:tcPr>
            <w:tcW w:w="1145" w:type="pct"/>
            <w:tcBorders>
              <w:top w:val="nil"/>
              <w:bottom w:val="nil"/>
            </w:tcBorders>
            <w:shd w:val="clear" w:color="auto" w:fill="FFFFFF"/>
            <w:tcMar>
              <w:top w:w="113" w:type="dxa"/>
            </w:tcMar>
          </w:tcPr>
          <w:p w:rsidR="00F21BC5" w:rsidRPr="008954A8" w:rsidRDefault="00F21BC5" w:rsidP="00F01A85">
            <w:pPr>
              <w:spacing w:before="100" w:beforeAutospacing="1" w:after="100" w:afterAutospacing="1" w:line="300" w:lineRule="exact"/>
              <w:rPr>
                <w:rFonts w:ascii="Arabic Typesetting" w:hAnsi="Arabic Typesetting" w:cs="Arabic Typesetting"/>
                <w:sz w:val="30"/>
                <w:szCs w:val="30"/>
                <w:rtl/>
                <w:lang w:bidi="ar-SA"/>
              </w:rPr>
            </w:pPr>
            <w:r w:rsidRPr="00D435EA">
              <w:rPr>
                <w:rFonts w:ascii="Arabic Typesetting" w:hAnsi="Arabic Typesetting" w:cs="Arabic Typesetting"/>
                <w:sz w:val="30"/>
                <w:szCs w:val="30"/>
                <w:rtl/>
              </w:rPr>
              <w:t xml:space="preserve">100% </w:t>
            </w:r>
            <w:r>
              <w:rPr>
                <w:rFonts w:ascii="Arabic Typesetting" w:hAnsi="Arabic Typesetting" w:cs="Arabic Typesetting" w:hint="cs"/>
                <w:sz w:val="30"/>
                <w:szCs w:val="30"/>
                <w:rtl/>
              </w:rPr>
              <w:t>من ال</w:t>
            </w:r>
            <w:r w:rsidRPr="00D435EA">
              <w:rPr>
                <w:rFonts w:ascii="Arabic Typesetting" w:hAnsi="Arabic Typesetting" w:cs="Arabic Typesetting"/>
                <w:sz w:val="30"/>
                <w:szCs w:val="30"/>
                <w:rtl/>
              </w:rPr>
              <w:t xml:space="preserve">مجالات </w:t>
            </w:r>
            <w:r>
              <w:rPr>
                <w:rFonts w:ascii="Arabic Typesetting" w:hAnsi="Arabic Typesetting" w:cs="Arabic Typesetting" w:hint="cs"/>
                <w:sz w:val="30"/>
                <w:szCs w:val="30"/>
                <w:rtl/>
              </w:rPr>
              <w:t>الوجيهة ال</w:t>
            </w:r>
            <w:r w:rsidRPr="00D435EA">
              <w:rPr>
                <w:rFonts w:ascii="Arabic Typesetting" w:hAnsi="Arabic Typesetting" w:cs="Arabic Typesetting"/>
                <w:sz w:val="30"/>
                <w:szCs w:val="30"/>
                <w:rtl/>
              </w:rPr>
              <w:t>عالية المخاطر</w:t>
            </w:r>
          </w:p>
        </w:tc>
        <w:tc>
          <w:tcPr>
            <w:tcW w:w="1144" w:type="pct"/>
            <w:tcBorders>
              <w:top w:val="nil"/>
              <w:bottom w:val="nil"/>
            </w:tcBorders>
            <w:tcMar>
              <w:top w:w="113" w:type="dxa"/>
            </w:tcMar>
          </w:tcPr>
          <w:p w:rsidR="00F21BC5" w:rsidRDefault="00F21BC5" w:rsidP="00F01A85">
            <w:pPr>
              <w:keepNext/>
              <w:keepLines/>
              <w:spacing w:before="100" w:beforeAutospacing="1" w:after="100" w:afterAutospacing="1" w:line="300" w:lineRule="exact"/>
              <w:ind w:right="221"/>
              <w:rPr>
                <w:rFonts w:ascii="Arabic Typesetting" w:hAnsi="Arabic Typesetting" w:cs="Arabic Typesetting"/>
                <w:b/>
                <w:sz w:val="30"/>
                <w:szCs w:val="30"/>
                <w:rtl/>
              </w:rPr>
            </w:pPr>
            <w:r w:rsidRPr="00D435EA">
              <w:rPr>
                <w:rFonts w:ascii="Arabic Typesetting" w:hAnsi="Arabic Typesetting" w:cs="Arabic Typesetting"/>
                <w:b/>
                <w:sz w:val="30"/>
                <w:szCs w:val="30"/>
                <w:rtl/>
              </w:rPr>
              <w:t xml:space="preserve">100% </w:t>
            </w:r>
            <w:r>
              <w:rPr>
                <w:rFonts w:ascii="Arabic Typesetting" w:hAnsi="Arabic Typesetting" w:cs="Arabic Typesetting" w:hint="cs"/>
                <w:b/>
                <w:sz w:val="30"/>
                <w:szCs w:val="30"/>
                <w:rtl/>
              </w:rPr>
              <w:t xml:space="preserve">من العمل </w:t>
            </w:r>
            <w:r w:rsidRPr="00D435EA">
              <w:rPr>
                <w:rFonts w:ascii="Arabic Typesetting" w:hAnsi="Arabic Typesetting" w:cs="Arabic Typesetting"/>
                <w:b/>
                <w:sz w:val="30"/>
                <w:szCs w:val="30"/>
                <w:rtl/>
              </w:rPr>
              <w:t xml:space="preserve">في مجالات </w:t>
            </w:r>
            <w:r>
              <w:rPr>
                <w:rFonts w:ascii="Arabic Typesetting" w:hAnsi="Arabic Typesetting" w:cs="Arabic Typesetting" w:hint="cs"/>
                <w:sz w:val="30"/>
                <w:szCs w:val="30"/>
                <w:rtl/>
              </w:rPr>
              <w:t xml:space="preserve">وجيهة </w:t>
            </w:r>
            <w:r w:rsidRPr="00D435EA">
              <w:rPr>
                <w:rFonts w:ascii="Arabic Typesetting" w:hAnsi="Arabic Typesetting" w:cs="Arabic Typesetting"/>
                <w:sz w:val="30"/>
                <w:szCs w:val="30"/>
                <w:rtl/>
              </w:rPr>
              <w:t>عالية المخاطر</w:t>
            </w:r>
            <w:r>
              <w:rPr>
                <w:rFonts w:ascii="Arabic Typesetting" w:hAnsi="Arabic Typesetting" w:cs="Arabic Typesetting"/>
                <w:b/>
                <w:sz w:val="30"/>
                <w:szCs w:val="30"/>
                <w:rtl/>
              </w:rPr>
              <w:t xml:space="preserve"> </w:t>
            </w:r>
            <w:r>
              <w:rPr>
                <w:rFonts w:ascii="Arabic Typesetting" w:hAnsi="Arabic Typesetting" w:cs="Arabic Typesetting" w:hint="cs"/>
                <w:b/>
                <w:sz w:val="30"/>
                <w:szCs w:val="30"/>
                <w:rtl/>
              </w:rPr>
              <w:t>بما ي</w:t>
            </w:r>
            <w:r w:rsidRPr="00D435EA">
              <w:rPr>
                <w:rFonts w:ascii="Arabic Typesetting" w:hAnsi="Arabic Typesetting" w:cs="Arabic Typesetting"/>
                <w:b/>
                <w:sz w:val="30"/>
                <w:szCs w:val="30"/>
                <w:rtl/>
              </w:rPr>
              <w:t>تماشى مع أهداف الويبو الاستراتيجية</w:t>
            </w:r>
          </w:p>
        </w:tc>
      </w:tr>
      <w:tr w:rsidR="00F21BC5" w:rsidRPr="008954A8" w:rsidTr="00F01A85">
        <w:trPr>
          <w:cantSplit/>
        </w:trPr>
        <w:tc>
          <w:tcPr>
            <w:tcW w:w="1249" w:type="pct"/>
            <w:tcBorders>
              <w:top w:val="nil"/>
              <w:bottom w:val="nil"/>
            </w:tcBorders>
            <w:tcMar>
              <w:top w:w="113" w:type="dxa"/>
            </w:tcMar>
          </w:tcPr>
          <w:p w:rsidR="00F21BC5" w:rsidRPr="008954A8" w:rsidRDefault="00F21BC5" w:rsidP="00F01A85">
            <w:pPr>
              <w:spacing w:before="100" w:beforeAutospacing="1" w:after="100" w:afterAutospacing="1" w:line="300" w:lineRule="exact"/>
              <w:rPr>
                <w:rFonts w:ascii="Arabic Typesetting" w:hAnsi="Arabic Typesetting" w:cs="Arabic Typesetting"/>
                <w:sz w:val="30"/>
                <w:szCs w:val="30"/>
                <w:rtl/>
              </w:rPr>
            </w:pPr>
          </w:p>
        </w:tc>
        <w:tc>
          <w:tcPr>
            <w:tcW w:w="1462" w:type="pct"/>
            <w:tcBorders>
              <w:top w:val="nil"/>
              <w:bottom w:val="nil"/>
            </w:tcBorders>
            <w:tcMar>
              <w:top w:w="113" w:type="dxa"/>
            </w:tcMar>
          </w:tcPr>
          <w:p w:rsidR="00F21BC5" w:rsidRDefault="00F21BC5" w:rsidP="00F01A85">
            <w:pPr>
              <w:spacing w:before="100" w:beforeAutospacing="1" w:after="100" w:afterAutospacing="1" w:line="300" w:lineRule="exact"/>
              <w:rPr>
                <w:rFonts w:ascii="Arabic Typesetting" w:hAnsi="Arabic Typesetting" w:cs="Arabic Typesetting"/>
                <w:sz w:val="30"/>
                <w:szCs w:val="30"/>
                <w:rtl/>
              </w:rPr>
            </w:pPr>
            <w:r>
              <w:rPr>
                <w:rFonts w:ascii="Arabic Typesetting" w:hAnsi="Arabic Typesetting" w:cs="Arabic Typesetting"/>
                <w:sz w:val="30"/>
                <w:szCs w:val="30"/>
                <w:rtl/>
              </w:rPr>
              <w:t xml:space="preserve">الكفاءة – </w:t>
            </w:r>
            <w:r w:rsidRPr="00D435EA">
              <w:rPr>
                <w:rFonts w:ascii="Arabic Typesetting" w:hAnsi="Arabic Typesetting" w:cs="Arabic Typesetting"/>
                <w:sz w:val="30"/>
                <w:szCs w:val="30"/>
                <w:rtl/>
              </w:rPr>
              <w:t>صد</w:t>
            </w:r>
            <w:r>
              <w:rPr>
                <w:rFonts w:ascii="Arabic Typesetting" w:hAnsi="Arabic Typesetting" w:cs="Arabic Typesetting" w:hint="cs"/>
                <w:sz w:val="30"/>
                <w:szCs w:val="30"/>
                <w:rtl/>
              </w:rPr>
              <w:t>و</w:t>
            </w:r>
            <w:r w:rsidRPr="00D435EA">
              <w:rPr>
                <w:rFonts w:ascii="Arabic Typesetting" w:hAnsi="Arabic Typesetting" w:cs="Arabic Typesetting"/>
                <w:sz w:val="30"/>
                <w:szCs w:val="30"/>
                <w:rtl/>
              </w:rPr>
              <w:t>ر تقارير شعبة الرقابة الداخلية في الوقت المناسب مع توصيات مُحدَّدة وقابلة للقياس ويمكن تحقيقها وعملية المنحى ومُحدَّد المدة</w:t>
            </w:r>
          </w:p>
        </w:tc>
        <w:tc>
          <w:tcPr>
            <w:tcW w:w="1145" w:type="pct"/>
            <w:tcBorders>
              <w:top w:val="nil"/>
              <w:bottom w:val="nil"/>
            </w:tcBorders>
            <w:shd w:val="clear" w:color="auto" w:fill="FFFFFF"/>
            <w:tcMar>
              <w:top w:w="113" w:type="dxa"/>
            </w:tcMar>
          </w:tcPr>
          <w:p w:rsidR="00F21BC5" w:rsidRDefault="00F21BC5" w:rsidP="00F01A85">
            <w:pPr>
              <w:spacing w:before="100" w:beforeAutospacing="1" w:after="100" w:afterAutospacing="1"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صدور </w:t>
            </w:r>
            <w:r w:rsidRPr="00D435EA">
              <w:rPr>
                <w:rFonts w:ascii="Arabic Typesetting" w:hAnsi="Arabic Typesetting" w:cs="Arabic Typesetting"/>
                <w:sz w:val="30"/>
                <w:szCs w:val="30"/>
                <w:rtl/>
              </w:rPr>
              <w:t xml:space="preserve">75% من تقارير </w:t>
            </w:r>
            <w:r>
              <w:rPr>
                <w:rFonts w:ascii="Arabic Typesetting" w:hAnsi="Arabic Typesetting" w:cs="Arabic Typesetting" w:hint="cs"/>
                <w:sz w:val="30"/>
                <w:szCs w:val="30"/>
                <w:rtl/>
              </w:rPr>
              <w:t>التدقيق</w:t>
            </w:r>
            <w:r w:rsidRPr="00D435EA">
              <w:rPr>
                <w:rFonts w:ascii="Arabic Typesetting" w:hAnsi="Arabic Typesetting" w:cs="Arabic Typesetting"/>
                <w:sz w:val="30"/>
                <w:szCs w:val="30"/>
                <w:rtl/>
              </w:rPr>
              <w:t xml:space="preserve"> والتقييم في أقل من 4 أشهر؛ و</w:t>
            </w:r>
            <w:r>
              <w:rPr>
                <w:rFonts w:ascii="Arabic Typesetting" w:hAnsi="Arabic Typesetting" w:cs="Arabic Typesetting" w:hint="cs"/>
                <w:sz w:val="30"/>
                <w:szCs w:val="30"/>
                <w:rtl/>
              </w:rPr>
              <w:t xml:space="preserve">صدور </w:t>
            </w:r>
            <w:r w:rsidRPr="00D435EA">
              <w:rPr>
                <w:rFonts w:ascii="Arabic Typesetting" w:hAnsi="Arabic Typesetting" w:cs="Arabic Typesetting"/>
                <w:sz w:val="30"/>
                <w:szCs w:val="30"/>
                <w:rtl/>
              </w:rPr>
              <w:t>جميع تقارير أنشطة التحقيق وفقاً لسياسة التحقيق؛ و75% من التوصيات مُحدَّدة وقابلة للقياس ويمكن تحقيقها وعملية المنحى ومُحدَّد المدة</w:t>
            </w:r>
          </w:p>
        </w:tc>
        <w:tc>
          <w:tcPr>
            <w:tcW w:w="1144" w:type="pct"/>
            <w:tcBorders>
              <w:top w:val="nil"/>
              <w:bottom w:val="nil"/>
            </w:tcBorders>
            <w:tcMar>
              <w:top w:w="113" w:type="dxa"/>
            </w:tcMar>
          </w:tcPr>
          <w:p w:rsidR="00F21BC5" w:rsidRDefault="00F21BC5" w:rsidP="00F01A85">
            <w:pPr>
              <w:keepNext/>
              <w:keepLines/>
              <w:spacing w:before="100" w:beforeAutospacing="1" w:after="100" w:afterAutospacing="1" w:line="300" w:lineRule="exact"/>
              <w:ind w:right="221"/>
              <w:rPr>
                <w:rFonts w:ascii="Arabic Typesetting" w:hAnsi="Arabic Typesetting" w:cs="Arabic Typesetting"/>
                <w:b/>
                <w:sz w:val="30"/>
                <w:szCs w:val="30"/>
                <w:rtl/>
              </w:rPr>
            </w:pPr>
            <w:r>
              <w:rPr>
                <w:rFonts w:ascii="Arabic Typesetting" w:hAnsi="Arabic Typesetting" w:cs="Arabic Typesetting" w:hint="cs"/>
                <w:b/>
                <w:sz w:val="30"/>
                <w:szCs w:val="30"/>
                <w:rtl/>
              </w:rPr>
              <w:t xml:space="preserve">صدور </w:t>
            </w:r>
            <w:r w:rsidRPr="00D435EA">
              <w:rPr>
                <w:rFonts w:ascii="Arabic Typesetting" w:hAnsi="Arabic Typesetting" w:cs="Arabic Typesetting"/>
                <w:b/>
                <w:sz w:val="30"/>
                <w:szCs w:val="30"/>
                <w:rtl/>
              </w:rPr>
              <w:t xml:space="preserve">85% من تقارير </w:t>
            </w:r>
            <w:r>
              <w:rPr>
                <w:rFonts w:ascii="Arabic Typesetting" w:hAnsi="Arabic Typesetting" w:cs="Arabic Typesetting" w:hint="cs"/>
                <w:b/>
                <w:sz w:val="30"/>
                <w:szCs w:val="30"/>
                <w:rtl/>
              </w:rPr>
              <w:t>التدقيق</w:t>
            </w:r>
            <w:r w:rsidRPr="00D435EA">
              <w:rPr>
                <w:rFonts w:ascii="Arabic Typesetting" w:hAnsi="Arabic Typesetting" w:cs="Arabic Typesetting"/>
                <w:b/>
                <w:sz w:val="30"/>
                <w:szCs w:val="30"/>
                <w:rtl/>
              </w:rPr>
              <w:t xml:space="preserve"> والتقييم في أقل من 4 أشهر؛ و</w:t>
            </w:r>
            <w:r>
              <w:rPr>
                <w:rFonts w:ascii="Arabic Typesetting" w:hAnsi="Arabic Typesetting" w:cs="Arabic Typesetting" w:hint="cs"/>
                <w:b/>
                <w:sz w:val="30"/>
                <w:szCs w:val="30"/>
                <w:rtl/>
              </w:rPr>
              <w:t xml:space="preserve">صدور </w:t>
            </w:r>
            <w:r w:rsidRPr="00D435EA">
              <w:rPr>
                <w:rFonts w:ascii="Arabic Typesetting" w:hAnsi="Arabic Typesetting" w:cs="Arabic Typesetting"/>
                <w:b/>
                <w:sz w:val="30"/>
                <w:szCs w:val="30"/>
                <w:rtl/>
              </w:rPr>
              <w:t>جميع تقارير التحقيق قبل حلول الأجل المُحدَّد في سياسة التحقيق؛ و100% من التوصيات مُحدَّدة وقابلة للقياس ويمكن تحقيقها وعملية المنحى ومُحدَّد المدة</w:t>
            </w:r>
          </w:p>
        </w:tc>
      </w:tr>
      <w:tr w:rsidR="00F21BC5" w:rsidRPr="008954A8" w:rsidTr="00F01A85">
        <w:trPr>
          <w:cantSplit/>
        </w:trPr>
        <w:tc>
          <w:tcPr>
            <w:tcW w:w="1249" w:type="pct"/>
            <w:tcBorders>
              <w:top w:val="nil"/>
              <w:bottom w:val="nil"/>
            </w:tcBorders>
            <w:tcMar>
              <w:top w:w="113" w:type="dxa"/>
            </w:tcMar>
          </w:tcPr>
          <w:p w:rsidR="00F21BC5" w:rsidRPr="008954A8" w:rsidRDefault="00F21BC5" w:rsidP="00F01A85">
            <w:pPr>
              <w:spacing w:before="100" w:beforeAutospacing="1" w:after="100" w:afterAutospacing="1" w:line="300" w:lineRule="exact"/>
              <w:rPr>
                <w:rFonts w:ascii="Arabic Typesetting" w:hAnsi="Arabic Typesetting" w:cs="Arabic Typesetting"/>
                <w:sz w:val="30"/>
                <w:szCs w:val="30"/>
                <w:rtl/>
              </w:rPr>
            </w:pPr>
          </w:p>
        </w:tc>
        <w:tc>
          <w:tcPr>
            <w:tcW w:w="1462" w:type="pct"/>
            <w:tcBorders>
              <w:top w:val="nil"/>
              <w:bottom w:val="nil"/>
            </w:tcBorders>
            <w:tcMar>
              <w:top w:w="113" w:type="dxa"/>
            </w:tcMar>
          </w:tcPr>
          <w:p w:rsidR="00F21BC5" w:rsidRDefault="00F21BC5" w:rsidP="00F01A85">
            <w:pPr>
              <w:spacing w:before="100" w:beforeAutospacing="1" w:after="100" w:afterAutospacing="1"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الوجاهة</w:t>
            </w:r>
            <w:r w:rsidRPr="00D435EA">
              <w:rPr>
                <w:rFonts w:ascii="Arabic Typesetting" w:hAnsi="Arabic Typesetting" w:cs="Arabic Typesetting"/>
                <w:sz w:val="30"/>
                <w:szCs w:val="30"/>
                <w:rtl/>
              </w:rPr>
              <w:t xml:space="preserve"> والقيمة المضافة والإشراف ـ وفورات أو تحسينات ملموسة في العمليات والأنظمة </w:t>
            </w:r>
            <w:r>
              <w:rPr>
                <w:rFonts w:ascii="Arabic Typesetting" w:hAnsi="Arabic Typesetting" w:cs="Arabic Typesetting" w:hint="cs"/>
                <w:sz w:val="30"/>
                <w:szCs w:val="30"/>
                <w:rtl/>
              </w:rPr>
              <w:t>المؤسسية</w:t>
            </w:r>
          </w:p>
        </w:tc>
        <w:tc>
          <w:tcPr>
            <w:tcW w:w="1145" w:type="pct"/>
            <w:tcBorders>
              <w:top w:val="nil"/>
              <w:bottom w:val="nil"/>
            </w:tcBorders>
            <w:shd w:val="clear" w:color="auto" w:fill="FFFFFF"/>
            <w:tcMar>
              <w:top w:w="113" w:type="dxa"/>
            </w:tcMar>
          </w:tcPr>
          <w:p w:rsidR="00F21BC5" w:rsidRPr="00D435EA" w:rsidRDefault="00F21BC5" w:rsidP="00F01A85">
            <w:pPr>
              <w:spacing w:before="100" w:beforeAutospacing="1" w:after="100" w:afterAutospacing="1" w:line="300" w:lineRule="exact"/>
              <w:rPr>
                <w:rFonts w:ascii="Arabic Typesetting" w:hAnsi="Arabic Typesetting" w:cs="Arabic Typesetting"/>
                <w:sz w:val="30"/>
                <w:szCs w:val="30"/>
                <w:rtl/>
              </w:rPr>
            </w:pPr>
            <w:r w:rsidRPr="00D435EA">
              <w:rPr>
                <w:rFonts w:ascii="Arabic Typesetting" w:hAnsi="Arabic Typesetting" w:cs="Arabic Typesetting"/>
                <w:sz w:val="30"/>
                <w:szCs w:val="30"/>
                <w:rtl/>
              </w:rPr>
              <w:t>غير متاحة (تُحدَّد في نهاية 2015)</w:t>
            </w:r>
          </w:p>
        </w:tc>
        <w:tc>
          <w:tcPr>
            <w:tcW w:w="1144" w:type="pct"/>
            <w:tcBorders>
              <w:top w:val="nil"/>
              <w:bottom w:val="nil"/>
            </w:tcBorders>
            <w:tcMar>
              <w:top w:w="113" w:type="dxa"/>
            </w:tcMar>
          </w:tcPr>
          <w:p w:rsidR="00F21BC5" w:rsidRPr="00D435EA" w:rsidRDefault="00F21BC5" w:rsidP="00F01A85">
            <w:pPr>
              <w:keepNext/>
              <w:keepLines/>
              <w:spacing w:before="100" w:beforeAutospacing="1" w:after="100" w:afterAutospacing="1" w:line="300" w:lineRule="exact"/>
              <w:ind w:right="221"/>
              <w:rPr>
                <w:rFonts w:ascii="Arabic Typesetting" w:hAnsi="Arabic Typesetting" w:cs="Arabic Typesetting"/>
                <w:b/>
                <w:sz w:val="30"/>
                <w:szCs w:val="30"/>
                <w:rtl/>
              </w:rPr>
            </w:pPr>
            <w:r w:rsidRPr="00D435EA">
              <w:rPr>
                <w:rFonts w:ascii="Arabic Typesetting" w:hAnsi="Arabic Typesetting" w:cs="Arabic Typesetting"/>
                <w:b/>
                <w:sz w:val="30"/>
                <w:szCs w:val="30"/>
                <w:rtl/>
              </w:rPr>
              <w:t>50% من التوصيات تؤدي إلى مكاسب في الكفاءة</w:t>
            </w:r>
          </w:p>
        </w:tc>
      </w:tr>
      <w:tr w:rsidR="00F21BC5" w:rsidRPr="008954A8" w:rsidTr="00F01A85">
        <w:trPr>
          <w:cantSplit/>
        </w:trPr>
        <w:tc>
          <w:tcPr>
            <w:tcW w:w="1249" w:type="pct"/>
            <w:tcBorders>
              <w:top w:val="nil"/>
              <w:bottom w:val="single" w:sz="4" w:space="0" w:color="auto"/>
            </w:tcBorders>
            <w:tcMar>
              <w:top w:w="113" w:type="dxa"/>
            </w:tcMar>
          </w:tcPr>
          <w:p w:rsidR="00F21BC5" w:rsidRPr="008954A8" w:rsidRDefault="00F21BC5" w:rsidP="00F01A85">
            <w:pPr>
              <w:spacing w:before="100" w:beforeAutospacing="1" w:after="100" w:afterAutospacing="1" w:line="300" w:lineRule="exact"/>
              <w:rPr>
                <w:rFonts w:ascii="Arabic Typesetting" w:hAnsi="Arabic Typesetting" w:cs="Arabic Typesetting"/>
                <w:sz w:val="30"/>
                <w:szCs w:val="30"/>
                <w:rtl/>
              </w:rPr>
            </w:pPr>
          </w:p>
        </w:tc>
        <w:tc>
          <w:tcPr>
            <w:tcW w:w="1462" w:type="pct"/>
            <w:tcBorders>
              <w:top w:val="nil"/>
              <w:bottom w:val="single" w:sz="4" w:space="0" w:color="auto"/>
            </w:tcBorders>
            <w:tcMar>
              <w:top w:w="113" w:type="dxa"/>
            </w:tcMar>
          </w:tcPr>
          <w:p w:rsidR="00F21BC5" w:rsidRDefault="00F21BC5" w:rsidP="00F01A85">
            <w:pPr>
              <w:spacing w:before="100" w:beforeAutospacing="1" w:after="100" w:afterAutospacing="1" w:line="300" w:lineRule="exact"/>
              <w:rPr>
                <w:rFonts w:ascii="Arabic Typesetting" w:hAnsi="Arabic Typesetting" w:cs="Arabic Typesetting"/>
                <w:sz w:val="30"/>
                <w:szCs w:val="30"/>
                <w:rtl/>
              </w:rPr>
            </w:pPr>
            <w:r>
              <w:rPr>
                <w:rFonts w:ascii="Arabic Typesetting" w:hAnsi="Arabic Typesetting" w:cs="Arabic Typesetting"/>
                <w:sz w:val="30"/>
                <w:szCs w:val="30"/>
                <w:rtl/>
              </w:rPr>
              <w:t>التعلم المؤسس</w:t>
            </w:r>
            <w:r>
              <w:rPr>
                <w:rFonts w:ascii="Arabic Typesetting" w:hAnsi="Arabic Typesetting" w:cs="Arabic Typesetting" w:hint="cs"/>
                <w:sz w:val="30"/>
                <w:szCs w:val="30"/>
                <w:rtl/>
              </w:rPr>
              <w:t xml:space="preserve">ي </w:t>
            </w:r>
            <w:r>
              <w:rPr>
                <w:rFonts w:ascii="Arabic Typesetting" w:hAnsi="Arabic Typesetting" w:cs="Arabic Typesetting"/>
                <w:sz w:val="30"/>
                <w:szCs w:val="30"/>
                <w:rtl/>
              </w:rPr>
              <w:t>–</w:t>
            </w:r>
            <w:r w:rsidRPr="007F4197">
              <w:rPr>
                <w:rFonts w:ascii="Arabic Typesetting" w:hAnsi="Arabic Typesetting" w:cs="Arabic Typesetting"/>
                <w:sz w:val="30"/>
                <w:szCs w:val="30"/>
                <w:rtl/>
              </w:rPr>
              <w:t xml:space="preserve"> تعلم</w:t>
            </w:r>
            <w:r>
              <w:rPr>
                <w:rFonts w:ascii="Arabic Typesetting" w:hAnsi="Arabic Typesetting" w:cs="Arabic Typesetting" w:hint="cs"/>
                <w:sz w:val="30"/>
                <w:szCs w:val="30"/>
                <w:rtl/>
              </w:rPr>
              <w:t xml:space="preserve"> </w:t>
            </w:r>
            <w:r w:rsidRPr="007F4197">
              <w:rPr>
                <w:rFonts w:ascii="Arabic Typesetting" w:hAnsi="Arabic Typesetting" w:cs="Arabic Typesetting"/>
                <w:sz w:val="30"/>
                <w:szCs w:val="30"/>
                <w:rtl/>
              </w:rPr>
              <w:t>الدروس والتوصيات من عمليات الرقابة</w:t>
            </w:r>
          </w:p>
        </w:tc>
        <w:tc>
          <w:tcPr>
            <w:tcW w:w="1145" w:type="pct"/>
            <w:tcBorders>
              <w:top w:val="nil"/>
              <w:bottom w:val="single" w:sz="4" w:space="0" w:color="auto"/>
            </w:tcBorders>
            <w:shd w:val="clear" w:color="auto" w:fill="FFFFFF"/>
            <w:tcMar>
              <w:top w:w="113" w:type="dxa"/>
            </w:tcMar>
          </w:tcPr>
          <w:p w:rsidR="00F21BC5" w:rsidRPr="00D435EA" w:rsidRDefault="00F21BC5" w:rsidP="00F01A85">
            <w:pPr>
              <w:spacing w:before="100" w:beforeAutospacing="1" w:after="100" w:afterAutospacing="1" w:line="300" w:lineRule="exact"/>
              <w:rPr>
                <w:rFonts w:ascii="Arabic Typesetting" w:hAnsi="Arabic Typesetting" w:cs="Arabic Typesetting"/>
                <w:sz w:val="30"/>
                <w:szCs w:val="30"/>
                <w:rtl/>
              </w:rPr>
            </w:pPr>
            <w:r w:rsidRPr="007F4197">
              <w:rPr>
                <w:rFonts w:ascii="Arabic Typesetting" w:hAnsi="Arabic Typesetting" w:cs="Arabic Typesetting"/>
                <w:sz w:val="30"/>
                <w:szCs w:val="30"/>
                <w:rtl/>
              </w:rPr>
              <w:t>قبول 90% من التوصيات وتنفيذ 90% من التوصيات في سنتين</w:t>
            </w:r>
          </w:p>
        </w:tc>
        <w:tc>
          <w:tcPr>
            <w:tcW w:w="1144" w:type="pct"/>
            <w:tcBorders>
              <w:top w:val="nil"/>
              <w:bottom w:val="single" w:sz="4" w:space="0" w:color="auto"/>
            </w:tcBorders>
            <w:tcMar>
              <w:top w:w="113" w:type="dxa"/>
            </w:tcMar>
          </w:tcPr>
          <w:p w:rsidR="00F21BC5" w:rsidRPr="00D435EA" w:rsidRDefault="00F21BC5" w:rsidP="00F01A85">
            <w:pPr>
              <w:keepNext/>
              <w:keepLines/>
              <w:spacing w:before="100" w:beforeAutospacing="1" w:after="100" w:afterAutospacing="1" w:line="300" w:lineRule="exact"/>
              <w:ind w:right="221"/>
              <w:rPr>
                <w:rFonts w:ascii="Arabic Typesetting" w:hAnsi="Arabic Typesetting" w:cs="Arabic Typesetting"/>
                <w:b/>
                <w:sz w:val="30"/>
                <w:szCs w:val="30"/>
                <w:rtl/>
              </w:rPr>
            </w:pPr>
            <w:r w:rsidRPr="007F4197">
              <w:rPr>
                <w:rFonts w:ascii="Arabic Typesetting" w:hAnsi="Arabic Typesetting" w:cs="Arabic Typesetting"/>
                <w:b/>
                <w:sz w:val="30"/>
                <w:szCs w:val="30"/>
                <w:rtl/>
              </w:rPr>
              <w:t>قبول 90% من التوصيات وتنفيذ 90% من التوصيات في سنتين</w:t>
            </w:r>
          </w:p>
        </w:tc>
      </w:tr>
    </w:tbl>
    <w:p w:rsidR="00F21BC5" w:rsidRDefault="00F21BC5" w:rsidP="00DA5475">
      <w:pPr>
        <w:pStyle w:val="ARProgramHeading2"/>
        <w:keepNext w:val="0"/>
        <w:spacing w:before="120"/>
        <w:rPr>
          <w:rtl/>
        </w:rPr>
      </w:pPr>
    </w:p>
    <w:p w:rsidR="00F21BC5" w:rsidRPr="00AB6778" w:rsidRDefault="00F21BC5"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AB6778">
        <w:rPr>
          <w:rFonts w:ascii="Arabic Typesetting" w:hAnsi="Arabic Typesetting" w:cs="Arabic Typesetting" w:hint="cs"/>
          <w:noProof/>
          <w:snapToGrid/>
          <w:sz w:val="38"/>
          <w:szCs w:val="38"/>
          <w:rtl/>
          <w:lang w:val="x-none" w:eastAsia="x-none" w:bidi="ar-EG"/>
        </w:rPr>
        <w:lastRenderedPageBreak/>
        <w:t>الموارد المخصصة للبرنامج 26</w:t>
      </w:r>
    </w:p>
    <w:p w:rsidR="00F21BC5" w:rsidRDefault="00F21BC5" w:rsidP="00861CFF">
      <w:pPr>
        <w:numPr>
          <w:ilvl w:val="0"/>
          <w:numId w:val="41"/>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يُظهر إجمالي الموارد المخصصة للبرنامج 26 في الثنائية 2016/17 زيادة طفيفة مقارنة بميزانية 2014/15 بعد التحويلات. ويُعزى ذلك إلى تغير منهجية حساب تكاليف موارد الموظفين في الثنائية 2016/17 استنادا إلى المبالغ الفعلية.</w:t>
      </w:r>
    </w:p>
    <w:p w:rsidR="00F21BC5" w:rsidRPr="00E41DA4" w:rsidRDefault="00F21BC5" w:rsidP="00DA5475">
      <w:pPr>
        <w:pStyle w:val="ARNormal"/>
        <w:keepNext/>
        <w:spacing w:after="0"/>
        <w:jc w:val="center"/>
        <w:rPr>
          <w:b/>
          <w:bCs/>
          <w:rtl/>
        </w:rPr>
      </w:pPr>
      <w:r w:rsidRPr="00E41DA4">
        <w:rPr>
          <w:b/>
          <w:bCs/>
          <w:rtl/>
        </w:rPr>
        <w:t xml:space="preserve">البرنامج </w:t>
      </w:r>
      <w:r>
        <w:rPr>
          <w:rFonts w:hint="cs"/>
          <w:b/>
          <w:bCs/>
          <w:rtl/>
        </w:rPr>
        <w:t>26</w:t>
      </w:r>
      <w:r w:rsidRPr="00E41DA4">
        <w:rPr>
          <w:b/>
          <w:bCs/>
          <w:rtl/>
        </w:rPr>
        <w:t>: الموارد بحسب كل نتيجة</w:t>
      </w:r>
    </w:p>
    <w:p w:rsidR="00F21BC5" w:rsidRPr="00E41DA4" w:rsidRDefault="00F21BC5" w:rsidP="00DA5475">
      <w:pPr>
        <w:pStyle w:val="ARNormal"/>
        <w:spacing w:after="0"/>
        <w:jc w:val="center"/>
        <w:rPr>
          <w:i/>
          <w:iCs/>
          <w:rtl/>
        </w:rPr>
      </w:pPr>
      <w:r w:rsidRPr="00E41DA4">
        <w:rPr>
          <w:i/>
          <w:iCs/>
          <w:rtl/>
        </w:rPr>
        <w:t>(بآلاف الفرنكات السويسرية)</w:t>
      </w:r>
    </w:p>
    <w:p w:rsidR="00F21BC5" w:rsidRDefault="00F21BC5" w:rsidP="00F21BC5">
      <w:pPr>
        <w:autoSpaceDE w:val="0"/>
        <w:autoSpaceDN w:val="0"/>
        <w:adjustRightInd w:val="0"/>
        <w:spacing w:after="120"/>
        <w:jc w:val="center"/>
        <w:rPr>
          <w:rFonts w:ascii="Arabic Typesetting" w:hAnsi="Arabic Typesetting" w:cs="Arabic Typesetting"/>
          <w:sz w:val="34"/>
          <w:szCs w:val="34"/>
          <w:rtl/>
        </w:rPr>
      </w:pPr>
      <w:r w:rsidRPr="00F21BC5">
        <w:rPr>
          <w:noProof/>
          <w:szCs w:val="20"/>
          <w:rtl/>
          <w:lang w:bidi="ar-SA"/>
        </w:rPr>
        <w:drawing>
          <wp:inline distT="0" distB="0" distL="0" distR="0" wp14:anchorId="0910E7FE" wp14:editId="68A0B677">
            <wp:extent cx="5676900" cy="1219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676900" cy="1219200"/>
                    </a:xfrm>
                    <a:prstGeom prst="rect">
                      <a:avLst/>
                    </a:prstGeom>
                    <a:noFill/>
                    <a:ln>
                      <a:noFill/>
                    </a:ln>
                  </pic:spPr>
                </pic:pic>
              </a:graphicData>
            </a:graphic>
          </wp:inline>
        </w:drawing>
      </w:r>
    </w:p>
    <w:p w:rsidR="00F21BC5" w:rsidRPr="00E41DA4" w:rsidRDefault="00F21BC5" w:rsidP="00F01A85">
      <w:pPr>
        <w:pStyle w:val="ARNormal"/>
        <w:keepNext/>
        <w:spacing w:after="0"/>
        <w:jc w:val="center"/>
        <w:rPr>
          <w:b/>
          <w:bCs/>
          <w:rtl/>
        </w:rPr>
      </w:pPr>
      <w:r w:rsidRPr="00E41DA4">
        <w:rPr>
          <w:rFonts w:hint="cs"/>
          <w:b/>
          <w:bCs/>
          <w:rtl/>
        </w:rPr>
        <w:t xml:space="preserve">البرنامج </w:t>
      </w:r>
      <w:r>
        <w:rPr>
          <w:rFonts w:hint="cs"/>
          <w:b/>
          <w:bCs/>
          <w:rtl/>
        </w:rPr>
        <w:t>26</w:t>
      </w:r>
      <w:r w:rsidRPr="00E41DA4">
        <w:rPr>
          <w:rFonts w:hint="cs"/>
          <w:b/>
          <w:bCs/>
          <w:rtl/>
        </w:rPr>
        <w:t>: الموارد بحسب غرض الإنفاق</w:t>
      </w:r>
    </w:p>
    <w:p w:rsidR="00F21BC5" w:rsidRPr="00E41DA4" w:rsidRDefault="00F21BC5" w:rsidP="00F01A85">
      <w:pPr>
        <w:pStyle w:val="ARNormal"/>
        <w:keepNext/>
        <w:spacing w:after="0"/>
        <w:jc w:val="center"/>
        <w:rPr>
          <w:i/>
          <w:iCs/>
        </w:rPr>
      </w:pPr>
      <w:r w:rsidRPr="00E41DA4">
        <w:rPr>
          <w:rFonts w:hint="cs"/>
          <w:i/>
          <w:iCs/>
          <w:rtl/>
        </w:rPr>
        <w:t>(بآلاف الفرنكات السويسرية)</w:t>
      </w:r>
    </w:p>
    <w:p w:rsidR="00F21BC5" w:rsidRDefault="00F21BC5" w:rsidP="00F01A85">
      <w:pPr>
        <w:autoSpaceDE w:val="0"/>
        <w:autoSpaceDN w:val="0"/>
        <w:adjustRightInd w:val="0"/>
        <w:spacing w:after="120"/>
        <w:jc w:val="center"/>
        <w:rPr>
          <w:rFonts w:ascii="Arabic Typesetting" w:hAnsi="Arabic Typesetting" w:cs="Arabic Typesetting"/>
          <w:sz w:val="34"/>
          <w:szCs w:val="34"/>
          <w:rtl/>
          <w:lang w:val="fr-CH" w:bidi="ar-SA"/>
        </w:rPr>
      </w:pPr>
      <w:r w:rsidRPr="00F21BC5">
        <w:rPr>
          <w:noProof/>
          <w:szCs w:val="20"/>
          <w:rtl/>
          <w:lang w:bidi="ar-SA"/>
        </w:rPr>
        <w:drawing>
          <wp:inline distT="0" distB="0" distL="0" distR="0" wp14:anchorId="60CA40CF" wp14:editId="4A2540C1">
            <wp:extent cx="4958119" cy="571168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975732" cy="5731977"/>
                    </a:xfrm>
                    <a:prstGeom prst="rect">
                      <a:avLst/>
                    </a:prstGeom>
                    <a:noFill/>
                    <a:ln>
                      <a:noFill/>
                    </a:ln>
                  </pic:spPr>
                </pic:pic>
              </a:graphicData>
            </a:graphic>
          </wp:inline>
        </w:drawing>
      </w:r>
      <w:r>
        <w:rPr>
          <w:rtl/>
        </w:rPr>
        <w:br w:type="page"/>
      </w:r>
    </w:p>
    <w:p w:rsidR="00F36022" w:rsidRPr="008954A8" w:rsidRDefault="00F36022"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bookmarkStart w:id="121" w:name="_Toc364355415"/>
      <w:bookmarkStart w:id="122" w:name="_Toc420595535"/>
      <w:r w:rsidRPr="008954A8">
        <w:rPr>
          <w:rFonts w:ascii="Arabic Typesetting" w:hAnsi="Arabic Typesetting" w:cs="Arabic Typesetting"/>
          <w:bCs/>
          <w:iCs w:val="0"/>
          <w:noProof/>
          <w:snapToGrid/>
          <w:sz w:val="42"/>
          <w:szCs w:val="42"/>
          <w:rtl/>
          <w:lang w:bidi="ar-EG"/>
        </w:rPr>
        <w:lastRenderedPageBreak/>
        <w:t>البرنامج 27</w:t>
      </w:r>
      <w:r w:rsidRPr="008954A8">
        <w:rPr>
          <w:rFonts w:ascii="Arabic Typesetting" w:hAnsi="Arabic Typesetting" w:cs="Arabic Typesetting"/>
          <w:bCs/>
          <w:iCs w:val="0"/>
          <w:noProof/>
          <w:snapToGrid/>
          <w:sz w:val="42"/>
          <w:szCs w:val="42"/>
          <w:lang w:bidi="ar-EG"/>
        </w:rPr>
        <w:tab/>
      </w:r>
      <w:r w:rsidRPr="008954A8">
        <w:rPr>
          <w:rFonts w:ascii="Arabic Typesetting" w:hAnsi="Arabic Typesetting" w:cs="Arabic Typesetting"/>
          <w:bCs/>
          <w:iCs w:val="0"/>
          <w:noProof/>
          <w:snapToGrid/>
          <w:sz w:val="42"/>
          <w:szCs w:val="42"/>
          <w:rtl/>
          <w:lang w:bidi="ar-EG"/>
        </w:rPr>
        <w:t>خدمات المؤتمرات واللغات</w:t>
      </w:r>
      <w:bookmarkEnd w:id="121"/>
      <w:bookmarkEnd w:id="122"/>
    </w:p>
    <w:p w:rsidR="00F36022" w:rsidRPr="008954A8" w:rsidRDefault="00F36022"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F36022" w:rsidRPr="008954A8"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sidRPr="006570B8">
        <w:rPr>
          <w:rFonts w:ascii="Arabic Typesetting" w:hAnsi="Arabic Typesetting" w:cs="Arabic Typesetting"/>
          <w:sz w:val="34"/>
          <w:szCs w:val="34"/>
          <w:rtl/>
        </w:rPr>
        <w:t>يُسهِّل البرنامجُ أنشطةَ المنظمة عن طريق تقديم خدمات المؤتمرات وترجمة الوثائق والترجمة الفورية وإدارة السجلات والمحفوظات والطباعة وإرسال البريد بفعالية وكفاءة. ويتولى البرنامجُ أيضاً وضع السياسات المرتبطة بذلك وعرضها واعتمادها وتنفيذها، ويدير مشاريع تكنولوجيا المعلومات من أجل تبسيط الوظائف في هذه المجالات وتحسينها.</w:t>
      </w:r>
    </w:p>
    <w:p w:rsidR="00F36022" w:rsidRPr="008954A8"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sidRPr="006570B8">
        <w:rPr>
          <w:rFonts w:ascii="Arabic Typesetting" w:hAnsi="Arabic Typesetting" w:cs="Arabic Typesetting"/>
          <w:sz w:val="34"/>
          <w:szCs w:val="34"/>
          <w:rtl/>
        </w:rPr>
        <w:t>ومع اعتماد الدول الأعضاء لسياسة اللغات في عام 2011، و</w:t>
      </w:r>
      <w:r>
        <w:rPr>
          <w:rFonts w:ascii="Arabic Typesetting" w:hAnsi="Arabic Typesetting" w:cs="Arabic Typesetting" w:hint="cs"/>
          <w:sz w:val="34"/>
          <w:szCs w:val="34"/>
          <w:rtl/>
        </w:rPr>
        <w:t xml:space="preserve">تمديد </w:t>
      </w:r>
      <w:r w:rsidRPr="006570B8">
        <w:rPr>
          <w:rFonts w:ascii="Arabic Typesetting" w:hAnsi="Arabic Typesetting" w:cs="Arabic Typesetting"/>
          <w:sz w:val="34"/>
          <w:szCs w:val="34"/>
          <w:rtl/>
        </w:rPr>
        <w:t xml:space="preserve">تغطية اللغات الست لتشمل جميع وثائق لجان الويبو وهيئاتها الرئيسية في الثنائية 2012/13، مُنحت تغطية مشابهة لبعض الأفرقة العاملة في الثنائية 2014/15. ومن المتوقع أن تشمل التغطيةُ باقي الأفرقة العاملة في الثنائية 2016/17. وفي هذا السياق، تواصل الأمانةُ مواجهة التحدي المزدوج المتمثل في إدارة أعباء </w:t>
      </w:r>
      <w:r>
        <w:rPr>
          <w:rFonts w:ascii="Arabic Typesetting" w:hAnsi="Arabic Typesetting" w:cs="Arabic Typesetting" w:hint="cs"/>
          <w:sz w:val="34"/>
          <w:szCs w:val="34"/>
          <w:rtl/>
        </w:rPr>
        <w:t>أعمال الترجمة</w:t>
      </w:r>
      <w:r w:rsidRPr="006570B8">
        <w:rPr>
          <w:rFonts w:ascii="Arabic Typesetting" w:hAnsi="Arabic Typesetting" w:cs="Arabic Typesetting"/>
          <w:sz w:val="34"/>
          <w:szCs w:val="34"/>
          <w:rtl/>
        </w:rPr>
        <w:t xml:space="preserve"> والحفاظ على الجودة، في حدود الموارد المتا</w:t>
      </w:r>
      <w:r>
        <w:rPr>
          <w:rFonts w:ascii="Arabic Typesetting" w:hAnsi="Arabic Typesetting" w:cs="Arabic Typesetting"/>
          <w:sz w:val="34"/>
          <w:szCs w:val="34"/>
          <w:rtl/>
        </w:rPr>
        <w:t xml:space="preserve">حة. وللتغلب على هذه التحديات، </w:t>
      </w:r>
      <w:r w:rsidRPr="006570B8">
        <w:rPr>
          <w:rFonts w:ascii="Arabic Typesetting" w:hAnsi="Arabic Typesetting" w:cs="Arabic Typesetting"/>
          <w:sz w:val="34"/>
          <w:szCs w:val="34"/>
          <w:rtl/>
        </w:rPr>
        <w:t>جرى تعزيز شبكة المترجمين الخارجيين وشركات الترجمة لضمان "الاستعانة بأفضل المصادر" للقيام بأعمال الترجمة</w:t>
      </w:r>
      <w:r>
        <w:rPr>
          <w:rFonts w:ascii="Arabic Typesetting" w:hAnsi="Arabic Typesetting" w:cs="Arabic Typesetting" w:hint="cs"/>
          <w:sz w:val="34"/>
          <w:szCs w:val="34"/>
          <w:rtl/>
        </w:rPr>
        <w:t xml:space="preserve"> وضمان الجودة في المصدر</w:t>
      </w:r>
      <w:r w:rsidRPr="006570B8">
        <w:rPr>
          <w:rFonts w:ascii="Arabic Typesetting" w:hAnsi="Arabic Typesetting" w:cs="Arabic Typesetting"/>
          <w:sz w:val="34"/>
          <w:szCs w:val="34"/>
          <w:rtl/>
        </w:rPr>
        <w:t xml:space="preserve">. وجرى أيضاً نشر أدوات إدارية </w:t>
      </w:r>
      <w:r>
        <w:rPr>
          <w:rFonts w:ascii="Arabic Typesetting" w:hAnsi="Arabic Typesetting" w:cs="Arabic Typesetting" w:hint="cs"/>
          <w:sz w:val="34"/>
          <w:szCs w:val="34"/>
          <w:rtl/>
        </w:rPr>
        <w:t xml:space="preserve">وتكنولوجية </w:t>
      </w:r>
      <w:r w:rsidRPr="006570B8">
        <w:rPr>
          <w:rFonts w:ascii="Arabic Typesetting" w:hAnsi="Arabic Typesetting" w:cs="Arabic Typesetting"/>
          <w:sz w:val="34"/>
          <w:szCs w:val="34"/>
          <w:rtl/>
        </w:rPr>
        <w:t>جديدة لتحسين بيئة الترجمة، وبناء قواعد بيانات المصطلحات، وضمان مراقبة الجودة.</w:t>
      </w:r>
    </w:p>
    <w:p w:rsidR="00F36022" w:rsidRPr="008954A8"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sidRPr="006570B8">
        <w:rPr>
          <w:rFonts w:ascii="Arabic Typesetting" w:hAnsi="Arabic Typesetting" w:cs="Arabic Typesetting"/>
          <w:sz w:val="34"/>
          <w:szCs w:val="34"/>
          <w:rtl/>
        </w:rPr>
        <w:t xml:space="preserve">وقد ساعد إدخال تكنولوجيات جديدة لخدمات المؤتمرات والترجمة </w:t>
      </w:r>
      <w:r>
        <w:rPr>
          <w:rFonts w:ascii="Arabic Typesetting" w:hAnsi="Arabic Typesetting" w:cs="Arabic Typesetting" w:hint="cs"/>
          <w:sz w:val="34"/>
          <w:szCs w:val="34"/>
          <w:rtl/>
        </w:rPr>
        <w:t>الفورية</w:t>
      </w:r>
      <w:r w:rsidRPr="006570B8">
        <w:rPr>
          <w:rFonts w:ascii="Arabic Typesetting" w:hAnsi="Arabic Typesetting" w:cs="Arabic Typesetting"/>
          <w:sz w:val="34"/>
          <w:szCs w:val="34"/>
          <w:rtl/>
        </w:rPr>
        <w:t xml:space="preserve"> على تحديث العمليات لزيادة تسهيل مشاركة وفود الدول الأعضاء في الاجتماعات. ولا تزال هذه الخدمات تواجه التحديات التي يفرضها </w:t>
      </w:r>
      <w:r>
        <w:rPr>
          <w:rFonts w:ascii="Arabic Typesetting" w:hAnsi="Arabic Typesetting" w:cs="Arabic Typesetting" w:hint="cs"/>
          <w:sz w:val="34"/>
          <w:szCs w:val="34"/>
          <w:rtl/>
        </w:rPr>
        <w:t>ال</w:t>
      </w:r>
      <w:r w:rsidRPr="006570B8">
        <w:rPr>
          <w:rFonts w:ascii="Arabic Typesetting" w:hAnsi="Arabic Typesetting" w:cs="Arabic Typesetting"/>
          <w:sz w:val="34"/>
          <w:szCs w:val="34"/>
          <w:rtl/>
        </w:rPr>
        <w:t xml:space="preserve">تزايد </w:t>
      </w:r>
      <w:r>
        <w:rPr>
          <w:rFonts w:ascii="Arabic Typesetting" w:hAnsi="Arabic Typesetting" w:cs="Arabic Typesetting" w:hint="cs"/>
          <w:sz w:val="34"/>
          <w:szCs w:val="34"/>
          <w:rtl/>
        </w:rPr>
        <w:t xml:space="preserve">المستمر في </w:t>
      </w:r>
      <w:r w:rsidRPr="006570B8">
        <w:rPr>
          <w:rFonts w:ascii="Arabic Typesetting" w:hAnsi="Arabic Typesetting" w:cs="Arabic Typesetting"/>
          <w:sz w:val="34"/>
          <w:szCs w:val="34"/>
          <w:rtl/>
        </w:rPr>
        <w:t>عدد الاجتماعا</w:t>
      </w:r>
      <w:r>
        <w:rPr>
          <w:rFonts w:ascii="Arabic Typesetting" w:hAnsi="Arabic Typesetting" w:cs="Arabic Typesetting"/>
          <w:sz w:val="34"/>
          <w:szCs w:val="34"/>
          <w:rtl/>
        </w:rPr>
        <w:t>ت التي تُنظَّم في الويبو و</w:t>
      </w:r>
      <w:r>
        <w:rPr>
          <w:rFonts w:ascii="Arabic Typesetting" w:hAnsi="Arabic Typesetting" w:cs="Arabic Typesetting" w:hint="cs"/>
          <w:sz w:val="34"/>
          <w:szCs w:val="34"/>
          <w:rtl/>
        </w:rPr>
        <w:t>في م</w:t>
      </w:r>
      <w:r w:rsidRPr="006570B8">
        <w:rPr>
          <w:rFonts w:ascii="Arabic Typesetting" w:hAnsi="Arabic Typesetting" w:cs="Arabic Typesetting"/>
          <w:sz w:val="34"/>
          <w:szCs w:val="34"/>
          <w:rtl/>
        </w:rPr>
        <w:t>دد انعقادها، بما في ذلك المست</w:t>
      </w:r>
      <w:r>
        <w:rPr>
          <w:rFonts w:ascii="Arabic Typesetting" w:hAnsi="Arabic Typesetting" w:cs="Arabic Typesetting"/>
          <w:sz w:val="34"/>
          <w:szCs w:val="34"/>
          <w:rtl/>
        </w:rPr>
        <w:t>خدم</w:t>
      </w:r>
      <w:r>
        <w:rPr>
          <w:rFonts w:ascii="Arabic Typesetting" w:hAnsi="Arabic Typesetting" w:cs="Arabic Typesetting" w:hint="cs"/>
          <w:sz w:val="34"/>
          <w:szCs w:val="34"/>
          <w:rtl/>
        </w:rPr>
        <w:t>و</w:t>
      </w:r>
      <w:r>
        <w:rPr>
          <w:rFonts w:ascii="Arabic Typesetting" w:hAnsi="Arabic Typesetting" w:cs="Arabic Typesetting"/>
          <w:sz w:val="34"/>
          <w:szCs w:val="34"/>
          <w:rtl/>
        </w:rPr>
        <w:t>ن الخارجي</w:t>
      </w:r>
      <w:r>
        <w:rPr>
          <w:rFonts w:ascii="Arabic Typesetting" w:hAnsi="Arabic Typesetting" w:cs="Arabic Typesetting" w:hint="cs"/>
          <w:sz w:val="34"/>
          <w:szCs w:val="34"/>
          <w:rtl/>
        </w:rPr>
        <w:t>و</w:t>
      </w:r>
      <w:r w:rsidRPr="006570B8">
        <w:rPr>
          <w:rFonts w:ascii="Arabic Typesetting" w:hAnsi="Arabic Typesetting" w:cs="Arabic Typesetting"/>
          <w:sz w:val="34"/>
          <w:szCs w:val="34"/>
          <w:rtl/>
        </w:rPr>
        <w:t>ن لقاعة المؤتمرات الجديدة.</w:t>
      </w:r>
    </w:p>
    <w:p w:rsidR="00F36022"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sidRPr="006570B8">
        <w:rPr>
          <w:rFonts w:ascii="Arabic Typesetting" w:hAnsi="Arabic Typesetting" w:cs="Arabic Typesetting"/>
          <w:sz w:val="34"/>
          <w:szCs w:val="34"/>
          <w:rtl/>
        </w:rPr>
        <w:t xml:space="preserve">ويجري البرنامج عمليات طباعة فعالة وفي الوقت المناسب لتقديم الوثائق والمنشورات اللازمة إلى الدول الأعضاء وأصحاب المصلحة الآخرين من أجل تسهيل عمل اللجان والهيئات الأخرى، فضلاً عن نشر معلومات عن الملكية الفكرية. وتقدم </w:t>
      </w:r>
      <w:r>
        <w:rPr>
          <w:rFonts w:ascii="Arabic Typesetting" w:hAnsi="Arabic Typesetting" w:cs="Arabic Typesetting" w:hint="cs"/>
          <w:sz w:val="34"/>
          <w:szCs w:val="34"/>
          <w:rtl/>
        </w:rPr>
        <w:t>دائرتا</w:t>
      </w:r>
      <w:r w:rsidRPr="006570B8">
        <w:rPr>
          <w:rFonts w:ascii="Arabic Typesetting" w:hAnsi="Arabic Typesetting" w:cs="Arabic Typesetting"/>
          <w:sz w:val="34"/>
          <w:szCs w:val="34"/>
          <w:rtl/>
        </w:rPr>
        <w:t xml:space="preserve"> البريد وإدارة السجلات خدمات سريعة وفعالة من حيث التكلفة لجميع الوحدات التنظيمية.</w:t>
      </w:r>
    </w:p>
    <w:p w:rsidR="00F36022" w:rsidRPr="008954A8" w:rsidRDefault="00F36022" w:rsidP="00DA5475">
      <w:pPr>
        <w:autoSpaceDE w:val="0"/>
        <w:autoSpaceDN w:val="0"/>
        <w:adjustRightInd w:val="0"/>
        <w:spacing w:after="120" w:line="340" w:lineRule="exact"/>
        <w:rPr>
          <w:rFonts w:ascii="Arabic Typesetting" w:hAnsi="Arabic Typesetting" w:cs="Arabic Typesetting"/>
          <w:sz w:val="34"/>
          <w:szCs w:val="34"/>
        </w:rPr>
      </w:pPr>
    </w:p>
    <w:p w:rsidR="00F36022" w:rsidRPr="00490B24" w:rsidRDefault="00F36022"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490B24">
        <w:rPr>
          <w:rFonts w:ascii="Arabic Typesetting" w:hAnsi="Arabic Typesetting" w:cs="Arabic Typesetting"/>
          <w:noProof/>
          <w:snapToGrid/>
          <w:sz w:val="38"/>
          <w:szCs w:val="38"/>
          <w:rtl/>
          <w:lang w:val="x-none" w:eastAsia="x-none" w:bidi="ar-EG"/>
        </w:rPr>
        <w:t>استراتيجيات التنفيذ</w:t>
      </w:r>
    </w:p>
    <w:p w:rsidR="00F36022" w:rsidRPr="008954A8"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sidRPr="006570B8">
        <w:rPr>
          <w:rFonts w:ascii="Arabic Typesetting" w:hAnsi="Arabic Typesetting" w:cs="Arabic Typesetting"/>
          <w:sz w:val="34"/>
          <w:szCs w:val="34"/>
          <w:rtl/>
        </w:rPr>
        <w:t xml:space="preserve">لكي تواجه </w:t>
      </w:r>
      <w:r>
        <w:rPr>
          <w:rFonts w:ascii="Arabic Typesetting" w:hAnsi="Arabic Typesetting" w:cs="Arabic Typesetting" w:hint="cs"/>
          <w:sz w:val="34"/>
          <w:szCs w:val="34"/>
          <w:rtl/>
        </w:rPr>
        <w:t>دائرة</w:t>
      </w:r>
      <w:r w:rsidRPr="006570B8">
        <w:rPr>
          <w:rFonts w:ascii="Arabic Typesetting" w:hAnsi="Arabic Typesetting" w:cs="Arabic Typesetting"/>
          <w:sz w:val="34"/>
          <w:szCs w:val="34"/>
          <w:rtl/>
        </w:rPr>
        <w:t xml:space="preserve"> اللغات تحديات أعباء العمل، سوف يتم الاحتفاظ بالمستوى الحال</w:t>
      </w:r>
      <w:r>
        <w:rPr>
          <w:rFonts w:ascii="Arabic Typesetting" w:hAnsi="Arabic Typesetting" w:cs="Arabic Typesetting"/>
          <w:sz w:val="34"/>
          <w:szCs w:val="34"/>
          <w:rtl/>
        </w:rPr>
        <w:t>ي للاستعانة بمصادر خارجية، وس</w:t>
      </w:r>
      <w:r w:rsidRPr="006570B8">
        <w:rPr>
          <w:rFonts w:ascii="Arabic Typesetting" w:hAnsi="Arabic Typesetting" w:cs="Arabic Typesetting"/>
          <w:sz w:val="34"/>
          <w:szCs w:val="34"/>
          <w:rtl/>
        </w:rPr>
        <w:t xml:space="preserve">تُتَّخذ في الوقت نفسه خطوات لاحتواء عبء </w:t>
      </w:r>
      <w:r>
        <w:rPr>
          <w:rFonts w:ascii="Arabic Typesetting" w:hAnsi="Arabic Typesetting" w:cs="Arabic Typesetting"/>
          <w:sz w:val="34"/>
          <w:szCs w:val="34"/>
          <w:rtl/>
        </w:rPr>
        <w:t>العمل. وس</w:t>
      </w:r>
      <w:r w:rsidRPr="006570B8">
        <w:rPr>
          <w:rFonts w:ascii="Arabic Typesetting" w:hAnsi="Arabic Typesetting" w:cs="Arabic Typesetting"/>
          <w:sz w:val="34"/>
          <w:szCs w:val="34"/>
          <w:rtl/>
        </w:rPr>
        <w:t xml:space="preserve">يكون التركيز على إحداث توازن بين ضرورة تلبية المتطلبات المتوقعة للدول الأعضاء والاستفادة على النحو </w:t>
      </w:r>
      <w:r>
        <w:rPr>
          <w:rFonts w:ascii="Arabic Typesetting" w:hAnsi="Arabic Typesetting" w:cs="Arabic Typesetting"/>
          <w:sz w:val="34"/>
          <w:szCs w:val="34"/>
          <w:rtl/>
        </w:rPr>
        <w:t>الأمثل من الموارد المتاحة. وس</w:t>
      </w:r>
      <w:r w:rsidRPr="006570B8">
        <w:rPr>
          <w:rFonts w:ascii="Arabic Typesetting" w:hAnsi="Arabic Typesetting" w:cs="Arabic Typesetting"/>
          <w:sz w:val="34"/>
          <w:szCs w:val="34"/>
          <w:rtl/>
        </w:rPr>
        <w:t>تواصل الأمانة تنفيذ إجراءات الترشيد والمراقبة تنفيذاً صارماً</w:t>
      </w:r>
      <w:r>
        <w:rPr>
          <w:rFonts w:ascii="Arabic Typesetting" w:hAnsi="Arabic Typesetting" w:cs="Arabic Typesetting" w:hint="cs"/>
          <w:sz w:val="34"/>
          <w:szCs w:val="34"/>
          <w:rtl/>
        </w:rPr>
        <w:t xml:space="preserve"> بغرض تقليص عدد الصفحات لكل وثيقة وتقليص عدد الوثائق إجمالاً</w:t>
      </w:r>
      <w:r w:rsidRPr="006570B8">
        <w:rPr>
          <w:rFonts w:ascii="Arabic Typesetting" w:hAnsi="Arabic Typesetting" w:cs="Arabic Typesetting"/>
          <w:sz w:val="34"/>
          <w:szCs w:val="34"/>
          <w:rtl/>
        </w:rPr>
        <w:t>. ومع الاحتفاظ بالفريق الأساسي من المراجعين والمترجمي</w:t>
      </w:r>
      <w:r>
        <w:rPr>
          <w:rFonts w:ascii="Arabic Typesetting" w:hAnsi="Arabic Typesetting" w:cs="Arabic Typesetting"/>
          <w:sz w:val="34"/>
          <w:szCs w:val="34"/>
          <w:rtl/>
        </w:rPr>
        <w:t>ن الخبراء داخل المنظمة، س</w:t>
      </w:r>
      <w:r w:rsidRPr="006570B8">
        <w:rPr>
          <w:rFonts w:ascii="Arabic Typesetting" w:hAnsi="Arabic Typesetting" w:cs="Arabic Typesetting"/>
          <w:sz w:val="34"/>
          <w:szCs w:val="34"/>
          <w:rtl/>
        </w:rPr>
        <w:t>تُواجَه زيادة عبء العمل في المقام الأول بالاستعانة بمصادر خارجية، سواء مترج</w:t>
      </w:r>
      <w:r>
        <w:rPr>
          <w:rFonts w:ascii="Arabic Typesetting" w:hAnsi="Arabic Typesetting" w:cs="Arabic Typesetting"/>
          <w:sz w:val="34"/>
          <w:szCs w:val="34"/>
          <w:rtl/>
        </w:rPr>
        <w:t>مين أفراد أو شراكات ترجمة. وس</w:t>
      </w:r>
      <w:r w:rsidRPr="006570B8">
        <w:rPr>
          <w:rFonts w:ascii="Arabic Typesetting" w:hAnsi="Arabic Typesetting" w:cs="Arabic Typesetting"/>
          <w:sz w:val="34"/>
          <w:szCs w:val="34"/>
          <w:rtl/>
        </w:rPr>
        <w:t>تُع</w:t>
      </w:r>
      <w:r>
        <w:rPr>
          <w:rFonts w:ascii="Arabic Typesetting" w:hAnsi="Arabic Typesetting" w:cs="Arabic Typesetting"/>
          <w:sz w:val="34"/>
          <w:szCs w:val="34"/>
          <w:rtl/>
        </w:rPr>
        <w:t>زَّز ممارسات إدارة الجودة، وس</w:t>
      </w:r>
      <w:r w:rsidRPr="006570B8">
        <w:rPr>
          <w:rFonts w:ascii="Arabic Typesetting" w:hAnsi="Arabic Typesetting" w:cs="Arabic Typesetting"/>
          <w:sz w:val="34"/>
          <w:szCs w:val="34"/>
          <w:rtl/>
        </w:rPr>
        <w:t>يتم الإبقاء على مفهوم "الجودة من المنبع" للاستعانة بمترجمين ماهرين.</w:t>
      </w:r>
    </w:p>
    <w:p w:rsidR="00F36022" w:rsidRPr="003B4E4F"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sidRPr="006570B8">
        <w:rPr>
          <w:rFonts w:ascii="Arabic Typesetting" w:hAnsi="Arabic Typesetting" w:cs="Arabic Typesetting"/>
          <w:sz w:val="34"/>
          <w:szCs w:val="34"/>
          <w:rtl/>
        </w:rPr>
        <w:t>ومع نشر أدوات جديد</w:t>
      </w:r>
      <w:r>
        <w:rPr>
          <w:rFonts w:ascii="Arabic Typesetting" w:hAnsi="Arabic Typesetting" w:cs="Arabic Typesetting"/>
          <w:sz w:val="34"/>
          <w:szCs w:val="34"/>
          <w:rtl/>
        </w:rPr>
        <w:t>ة لإدارة الترجمة</w:t>
      </w:r>
      <w:r>
        <w:rPr>
          <w:rFonts w:ascii="Arabic Typesetting" w:hAnsi="Arabic Typesetting" w:cs="Arabic Typesetting" w:hint="cs"/>
          <w:sz w:val="34"/>
          <w:szCs w:val="34"/>
          <w:rtl/>
        </w:rPr>
        <w:t xml:space="preserve"> وأدوات تكنولوجية</w:t>
      </w:r>
      <w:r>
        <w:rPr>
          <w:rFonts w:ascii="Arabic Typesetting" w:hAnsi="Arabic Typesetting" w:cs="Arabic Typesetting"/>
          <w:sz w:val="34"/>
          <w:szCs w:val="34"/>
          <w:rtl/>
        </w:rPr>
        <w:t>، س</w:t>
      </w:r>
      <w:r w:rsidRPr="006570B8">
        <w:rPr>
          <w:rFonts w:ascii="Arabic Typesetting" w:hAnsi="Arabic Typesetting" w:cs="Arabic Typesetting"/>
          <w:sz w:val="34"/>
          <w:szCs w:val="34"/>
          <w:rtl/>
        </w:rPr>
        <w:t>تكون قاعدة بيانات مصطلحات الملكية الفكرية – التي تم إعدادها بلغات الأمم المتحدة الست –</w:t>
      </w:r>
      <w:r>
        <w:rPr>
          <w:rFonts w:ascii="Arabic Typesetting" w:hAnsi="Arabic Typesetting" w:cs="Arabic Typesetting"/>
          <w:sz w:val="34"/>
          <w:szCs w:val="34"/>
          <w:rtl/>
        </w:rPr>
        <w:t xml:space="preserve"> متاحةً للاستخدام الخارجي. وس</w:t>
      </w:r>
      <w:r w:rsidRPr="006570B8">
        <w:rPr>
          <w:rFonts w:ascii="Arabic Typesetting" w:hAnsi="Arabic Typesetting" w:cs="Arabic Typesetting"/>
          <w:sz w:val="34"/>
          <w:szCs w:val="34"/>
          <w:rtl/>
        </w:rPr>
        <w:t>تُستخدم قاعدة البيانات هذه كأداة لضمان الاتساق والجودة في الترجمة، فهي تمثل ذخراً للمنظمة في سعيها إلى أن تصبح المصدر العالمي لمراجع المعلومات والدراسات المتعلقة بالملكية الفكرية.</w:t>
      </w:r>
    </w:p>
    <w:p w:rsidR="00F36022" w:rsidRPr="003B4E4F"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sidRPr="003B4E4F">
        <w:rPr>
          <w:rFonts w:ascii="Arabic Typesetting" w:hAnsi="Arabic Typesetting" w:cs="Arabic Typesetting"/>
          <w:sz w:val="34"/>
          <w:szCs w:val="34"/>
          <w:rtl/>
        </w:rPr>
        <w:t xml:space="preserve">وستُطبَّق سياسة إدارة السجلات والمحفوظات من خلال وضع إجراءات مُبسَّطة لجميع القطاعات. وستسعى </w:t>
      </w:r>
      <w:r w:rsidRPr="003B4E4F">
        <w:rPr>
          <w:rFonts w:ascii="Arabic Typesetting" w:hAnsi="Arabic Typesetting" w:cs="Arabic Typesetting" w:hint="cs"/>
          <w:sz w:val="34"/>
          <w:szCs w:val="34"/>
          <w:rtl/>
        </w:rPr>
        <w:t>دائرة خدمات</w:t>
      </w:r>
      <w:r w:rsidRPr="003B4E4F">
        <w:rPr>
          <w:rFonts w:ascii="Arabic Typesetting" w:hAnsi="Arabic Typesetting" w:cs="Arabic Typesetting"/>
          <w:sz w:val="34"/>
          <w:szCs w:val="34"/>
          <w:rtl/>
        </w:rPr>
        <w:t xml:space="preserve"> المؤتمرات إلى الانتفاع بالموارد المتاحة على النحو الأمثل، وتعيين موظفين مؤقتين من الوكالات كلما اقتضت الضرورة، وتعزيز تطبيق أدوات وأنظمة تكنولوجيا المعلومات. وسيساعد هذا أيضاً على تلبية الزيادة المتوقعة في الطلب نتيجة التوسع في استخدام قاعة المؤتمرات الجديدة. وسيُعزَّز نظام التسجيل الإلكتروني، وستُبذَل جهود لتبسيط التوزيع الإلكتروني للوثائق. ومع الحفاظ على كفاءة عمليات الطباعة، ستسعى الدائرة إلى تقليل استهلاك الورق عن طريق إدخال أنظمة قائمة على "الطباعة حسب الطلب". </w:t>
      </w:r>
      <w:r w:rsidRPr="003B4E4F">
        <w:rPr>
          <w:rFonts w:ascii="Arabic Typesetting" w:hAnsi="Arabic Typesetting" w:cs="Arabic Typesetting" w:hint="cs"/>
          <w:sz w:val="34"/>
          <w:szCs w:val="34"/>
          <w:rtl/>
        </w:rPr>
        <w:t xml:space="preserve">وسيُستكشف أيضا مزيد من إمكانيات زيادة الفعالية من حيث التكلفة من خلال مجموعة جنيف للتعاون الدولي </w:t>
      </w:r>
      <w:r w:rsidRPr="003B4E4F">
        <w:rPr>
          <w:rFonts w:ascii="Arabic Typesetting" w:hAnsi="Arabic Typesetting" w:cs="Arabic Typesetting"/>
          <w:sz w:val="34"/>
          <w:szCs w:val="34"/>
          <w:rtl/>
        </w:rPr>
        <w:t xml:space="preserve">وستواصل </w:t>
      </w:r>
      <w:r w:rsidRPr="003B4E4F">
        <w:rPr>
          <w:rFonts w:ascii="Arabic Typesetting" w:hAnsi="Arabic Typesetting" w:cs="Arabic Typesetting" w:hint="cs"/>
          <w:sz w:val="34"/>
          <w:szCs w:val="34"/>
          <w:rtl/>
        </w:rPr>
        <w:t>دائرة</w:t>
      </w:r>
      <w:r w:rsidRPr="003B4E4F">
        <w:rPr>
          <w:rFonts w:ascii="Arabic Typesetting" w:hAnsi="Arabic Typesetting" w:cs="Arabic Typesetting"/>
          <w:sz w:val="34"/>
          <w:szCs w:val="34"/>
          <w:rtl/>
        </w:rPr>
        <w:t xml:space="preserve"> البريد تقديم خدمات سريعة وفعالة من حيث التكلفة، وستسعى باستمرار إلى الحصول على أسعار تنافسية من شركات </w:t>
      </w:r>
      <w:r w:rsidRPr="003B4E4F">
        <w:rPr>
          <w:rFonts w:ascii="Arabic Typesetting" w:hAnsi="Arabic Typesetting" w:cs="Arabic Typesetting" w:hint="cs"/>
          <w:sz w:val="34"/>
          <w:szCs w:val="34"/>
          <w:rtl/>
        </w:rPr>
        <w:t>البريد</w:t>
      </w:r>
      <w:r>
        <w:rPr>
          <w:rFonts w:ascii="Arabic Typesetting" w:hAnsi="Arabic Typesetting" w:cs="Arabic Typesetting" w:hint="cs"/>
          <w:sz w:val="34"/>
          <w:szCs w:val="34"/>
          <w:rtl/>
        </w:rPr>
        <w:t> </w:t>
      </w:r>
      <w:r w:rsidRPr="003B4E4F">
        <w:rPr>
          <w:rFonts w:ascii="Arabic Typesetting" w:hAnsi="Arabic Typesetting" w:cs="Arabic Typesetting"/>
          <w:sz w:val="34"/>
          <w:szCs w:val="34"/>
          <w:rtl/>
        </w:rPr>
        <w:t>الكبرى.</w:t>
      </w:r>
    </w:p>
    <w:p w:rsidR="00F36022" w:rsidRPr="00F037D4" w:rsidRDefault="00F36022"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F037D4">
        <w:rPr>
          <w:rFonts w:ascii="Arabic Typesetting" w:hAnsi="Arabic Typesetting" w:cs="Arabic Typesetting"/>
          <w:noProof/>
          <w:snapToGrid/>
          <w:sz w:val="38"/>
          <w:szCs w:val="38"/>
          <w:rtl/>
          <w:lang w:val="x-none" w:eastAsia="x-none" w:bidi="ar-EG"/>
        </w:rPr>
        <w:lastRenderedPageBreak/>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40"/>
        <w:gridCol w:w="4680"/>
      </w:tblGrid>
      <w:tr w:rsidR="00F36022" w:rsidRPr="008954A8" w:rsidTr="00DA5475">
        <w:trPr>
          <w:trHeight w:val="530"/>
        </w:trPr>
        <w:tc>
          <w:tcPr>
            <w:tcW w:w="4440" w:type="dxa"/>
            <w:tcBorders>
              <w:top w:val="single" w:sz="4" w:space="0" w:color="auto"/>
              <w:bottom w:val="nil"/>
            </w:tcBorders>
            <w:shd w:val="clear" w:color="auto" w:fill="C6D9F1"/>
            <w:tcMar>
              <w:top w:w="113" w:type="dxa"/>
              <w:bottom w:w="85" w:type="dxa"/>
            </w:tcMar>
          </w:tcPr>
          <w:p w:rsidR="00F36022" w:rsidRPr="008954A8" w:rsidRDefault="00F36022" w:rsidP="00DA5475">
            <w:pPr>
              <w:pStyle w:val="ARProgramTableHeading"/>
              <w:spacing w:beforeLines="60" w:before="144" w:afterLines="60" w:after="144" w:line="300" w:lineRule="exact"/>
              <w:rPr>
                <w:rtl/>
                <w:lang w:bidi="ar-SA"/>
              </w:rPr>
            </w:pPr>
            <w:r>
              <w:rPr>
                <w:rFonts w:hint="cs"/>
                <w:rtl/>
                <w:lang w:bidi="ar-SA"/>
              </w:rPr>
              <w:t>المخاطر</w:t>
            </w:r>
          </w:p>
        </w:tc>
        <w:tc>
          <w:tcPr>
            <w:tcW w:w="4680" w:type="dxa"/>
            <w:tcBorders>
              <w:top w:val="single" w:sz="4" w:space="0" w:color="auto"/>
              <w:bottom w:val="nil"/>
            </w:tcBorders>
            <w:shd w:val="clear" w:color="auto" w:fill="C6D9F1"/>
            <w:tcMar>
              <w:top w:w="113" w:type="dxa"/>
              <w:bottom w:w="85" w:type="dxa"/>
            </w:tcMar>
          </w:tcPr>
          <w:p w:rsidR="00F36022" w:rsidRPr="008954A8" w:rsidRDefault="00F36022" w:rsidP="00DA5475">
            <w:pPr>
              <w:pStyle w:val="ARProgramTableHeading"/>
              <w:spacing w:beforeLines="60" w:before="144" w:afterLines="60" w:after="144" w:line="300" w:lineRule="exact"/>
              <w:rPr>
                <w:rtl/>
              </w:rPr>
            </w:pPr>
            <w:r>
              <w:rPr>
                <w:rFonts w:hint="cs"/>
                <w:rtl/>
              </w:rPr>
              <w:t>التخفيف منها</w:t>
            </w:r>
          </w:p>
        </w:tc>
      </w:tr>
      <w:tr w:rsidR="00F36022" w:rsidRPr="008954A8" w:rsidTr="00DA5475">
        <w:tc>
          <w:tcPr>
            <w:tcW w:w="4440" w:type="dxa"/>
            <w:tcBorders>
              <w:top w:val="nil"/>
              <w:bottom w:val="single" w:sz="4" w:space="0" w:color="auto"/>
            </w:tcBorders>
            <w:tcMar>
              <w:top w:w="113" w:type="dxa"/>
              <w:bottom w:w="85" w:type="dxa"/>
            </w:tcMar>
          </w:tcPr>
          <w:p w:rsidR="00F36022" w:rsidRPr="006570B8" w:rsidRDefault="00F36022" w:rsidP="00DA5475">
            <w:pPr>
              <w:spacing w:beforeLines="60" w:before="144" w:afterLines="60" w:after="144" w:line="300" w:lineRule="exact"/>
              <w:rPr>
                <w:rFonts w:ascii="Arabic Typesetting" w:hAnsi="Arabic Typesetting" w:cs="Arabic Typesetting"/>
                <w:i/>
                <w:sz w:val="30"/>
                <w:szCs w:val="30"/>
                <w:rtl/>
              </w:rPr>
            </w:pPr>
            <w:r w:rsidRPr="006570B8">
              <w:rPr>
                <w:rFonts w:ascii="Arabic Typesetting" w:hAnsi="Arabic Typesetting" w:cs="Arabic Typesetting"/>
                <w:i/>
                <w:sz w:val="30"/>
                <w:szCs w:val="30"/>
                <w:rtl/>
              </w:rPr>
              <w:t>عدم تنفيذ سياسة اللغات بشكل كامل بسبب زيادة الطلب على الترجمة وعدم الالتزام بالحدود المقررة وزيادة أعباء أعمال الترجمة بشكل كبير مما يؤدي إلى اختلال الميزانية.</w:t>
            </w:r>
          </w:p>
        </w:tc>
        <w:tc>
          <w:tcPr>
            <w:tcW w:w="4680" w:type="dxa"/>
            <w:tcBorders>
              <w:top w:val="nil"/>
              <w:bottom w:val="single" w:sz="4" w:space="0" w:color="auto"/>
            </w:tcBorders>
            <w:tcMar>
              <w:top w:w="113" w:type="dxa"/>
              <w:bottom w:w="85" w:type="dxa"/>
            </w:tcMar>
          </w:tcPr>
          <w:p w:rsidR="00F36022" w:rsidRPr="008954A8" w:rsidRDefault="00F36022" w:rsidP="00DA5475">
            <w:pPr>
              <w:spacing w:beforeLines="60" w:before="144" w:afterLines="60" w:after="144" w:line="300" w:lineRule="exact"/>
              <w:rPr>
                <w:rFonts w:ascii="Arabic Typesetting" w:hAnsi="Arabic Typesetting" w:cs="Arabic Typesetting"/>
                <w:sz w:val="30"/>
                <w:szCs w:val="30"/>
                <w:rtl/>
              </w:rPr>
            </w:pPr>
            <w:r w:rsidRPr="006570B8">
              <w:rPr>
                <w:rFonts w:ascii="Arabic Typesetting" w:hAnsi="Arabic Typesetting" w:cs="Arabic Typesetting"/>
                <w:sz w:val="30"/>
                <w:szCs w:val="30"/>
                <w:rtl/>
              </w:rPr>
              <w:t>رصد عدد الوثائق وحجمها. وتنفيذ إجراءات الترشيد والمراقبة بشكل صارم. وتشجيع القطاعات المعنية على تجنب النصوص المتكررة في الوثائق. ومواصلة الاستفادة من خيارات تدبير الموارد الفعالة من حيث التكلفة.</w:t>
            </w:r>
          </w:p>
        </w:tc>
      </w:tr>
    </w:tbl>
    <w:p w:rsidR="00F36022" w:rsidRPr="006570B8" w:rsidRDefault="00F36022" w:rsidP="00DA5475">
      <w:pPr>
        <w:rPr>
          <w:rFonts w:ascii="Arabic Typesetting" w:hAnsi="Arabic Typesetting" w:cs="Arabic Typesetting"/>
          <w:sz w:val="30"/>
          <w:szCs w:val="30"/>
        </w:rPr>
      </w:pPr>
    </w:p>
    <w:p w:rsidR="00F36022" w:rsidRPr="00F037D4" w:rsidRDefault="00F36022"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F037D4">
        <w:rPr>
          <w:rFonts w:ascii="Arabic Typesetting" w:hAnsi="Arabic Typesetting" w:cs="Arabic Typesetting"/>
          <w:noProof/>
          <w:snapToGrid/>
          <w:sz w:val="38"/>
          <w:szCs w:val="38"/>
          <w:rtl/>
          <w:lang w:val="x-none" w:eastAsia="x-none" w:bidi="ar-EG"/>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F36022" w:rsidRPr="008954A8" w:rsidTr="00DA5475">
        <w:trPr>
          <w:cantSplit/>
          <w:trHeight w:val="605"/>
        </w:trPr>
        <w:tc>
          <w:tcPr>
            <w:tcW w:w="1249" w:type="pct"/>
            <w:tcBorders>
              <w:top w:val="single" w:sz="4" w:space="0" w:color="auto"/>
              <w:bottom w:val="single" w:sz="4" w:space="0" w:color="auto"/>
            </w:tcBorders>
            <w:shd w:val="clear" w:color="auto" w:fill="C6D9F1"/>
            <w:tcMar>
              <w:top w:w="113" w:type="dxa"/>
            </w:tcMar>
            <w:vAlign w:val="center"/>
          </w:tcPr>
          <w:p w:rsidR="00F36022" w:rsidRPr="008954A8" w:rsidRDefault="00F36022" w:rsidP="00DA5475">
            <w:pPr>
              <w:spacing w:before="60" w:afterLines="60" w:after="144"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6D9F1"/>
            <w:tcMar>
              <w:top w:w="113" w:type="dxa"/>
            </w:tcMar>
            <w:vAlign w:val="center"/>
          </w:tcPr>
          <w:p w:rsidR="00F36022" w:rsidRPr="008954A8" w:rsidRDefault="00F36022" w:rsidP="00DA5475">
            <w:pPr>
              <w:spacing w:before="60" w:afterLines="60" w:after="144"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6D9F1"/>
            <w:tcMar>
              <w:top w:w="113" w:type="dxa"/>
            </w:tcMar>
            <w:vAlign w:val="center"/>
          </w:tcPr>
          <w:p w:rsidR="00F36022" w:rsidRPr="008954A8" w:rsidRDefault="00F36022" w:rsidP="00DA5475">
            <w:pPr>
              <w:spacing w:before="60" w:afterLines="60" w:after="144" w:line="300" w:lineRule="exact"/>
              <w:ind w:left="85"/>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6D9F1"/>
            <w:tcMar>
              <w:top w:w="113" w:type="dxa"/>
            </w:tcMar>
            <w:vAlign w:val="center"/>
          </w:tcPr>
          <w:p w:rsidR="00F36022" w:rsidRPr="008954A8" w:rsidRDefault="00F36022" w:rsidP="00DA5475">
            <w:pPr>
              <w:keepNext/>
              <w:keepLines/>
              <w:spacing w:before="60" w:afterLines="60" w:after="144" w:line="300" w:lineRule="exact"/>
              <w:ind w:right="111"/>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الأهداف</w:t>
            </w:r>
          </w:p>
        </w:tc>
      </w:tr>
      <w:tr w:rsidR="00F36022" w:rsidRPr="006B7869" w:rsidTr="00DA5475">
        <w:trPr>
          <w:cantSplit/>
        </w:trPr>
        <w:tc>
          <w:tcPr>
            <w:tcW w:w="1249" w:type="pct"/>
            <w:tcBorders>
              <w:top w:val="single" w:sz="4" w:space="0" w:color="auto"/>
            </w:tcBorders>
            <w:tcMar>
              <w:top w:w="113" w:type="dxa"/>
            </w:tcMar>
          </w:tcPr>
          <w:p w:rsidR="00F36022" w:rsidRPr="006B7869" w:rsidRDefault="009800D4" w:rsidP="00DA5475">
            <w:pPr>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color w:val="000000"/>
                <w:sz w:val="30"/>
                <w:szCs w:val="30"/>
                <w:rtl/>
              </w:rPr>
              <w:t>ه</w:t>
            </w:r>
            <w:r w:rsidR="00F36022">
              <w:rPr>
                <w:rFonts w:ascii="Arabic Typesetting" w:hAnsi="Arabic Typesetting" w:cs="Arabic Typesetting" w:hint="cs"/>
                <w:color w:val="000000"/>
                <w:sz w:val="30"/>
                <w:szCs w:val="30"/>
                <w:rtl/>
              </w:rPr>
              <w:t xml:space="preserve"> </w:t>
            </w:r>
            <w:r w:rsidR="00F36022" w:rsidRPr="006570B8">
              <w:rPr>
                <w:rFonts w:ascii="Arabic Typesetting" w:hAnsi="Arabic Typesetting" w:cs="Arabic Typesetting"/>
                <w:color w:val="000000"/>
                <w:sz w:val="30"/>
                <w:szCs w:val="30"/>
                <w:rtl/>
              </w:rPr>
              <w:t>1.9 خدمات دعم موجهة للزبون بفعالية وكفاءة وجودة لفائدة الزبائن الداخليين وأصحاب المصلحة الخارجيين</w:t>
            </w:r>
          </w:p>
        </w:tc>
        <w:tc>
          <w:tcPr>
            <w:tcW w:w="1462" w:type="pct"/>
            <w:tcBorders>
              <w:top w:val="single" w:sz="4" w:space="0" w:color="auto"/>
            </w:tcBorders>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النسبة المئوية للمشاركين الداخليين والخارجيين الراضين عن خدمات المؤتمرات في الويبو</w:t>
            </w:r>
          </w:p>
        </w:tc>
        <w:tc>
          <w:tcPr>
            <w:tcW w:w="1145" w:type="pct"/>
            <w:tcBorders>
              <w:top w:val="single" w:sz="4" w:space="0" w:color="auto"/>
            </w:tcBorders>
            <w:shd w:val="clear" w:color="auto" w:fill="FFFFFF"/>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97% من المشاركين راضون عن الخدمات (نهاية عام 2014)</w:t>
            </w:r>
          </w:p>
        </w:tc>
        <w:tc>
          <w:tcPr>
            <w:tcW w:w="1144" w:type="pct"/>
            <w:tcBorders>
              <w:top w:val="single" w:sz="4" w:space="0" w:color="auto"/>
            </w:tcBorders>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الحفاظ على النسبة المتحققة في نهاية 2014</w:t>
            </w:r>
          </w:p>
        </w:tc>
      </w:tr>
      <w:tr w:rsidR="00F36022" w:rsidRPr="006B7869" w:rsidTr="00DA5475">
        <w:trPr>
          <w:cantSplit/>
          <w:trHeight w:val="622"/>
        </w:trPr>
        <w:tc>
          <w:tcPr>
            <w:tcW w:w="1249"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Pr>
            </w:pPr>
          </w:p>
        </w:tc>
        <w:tc>
          <w:tcPr>
            <w:tcW w:w="1462"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تطبيق فعال لسياسة اللغات في الويبو</w:t>
            </w:r>
          </w:p>
        </w:tc>
        <w:tc>
          <w:tcPr>
            <w:tcW w:w="1145" w:type="pct"/>
            <w:shd w:val="clear" w:color="auto" w:fill="FFFFFF"/>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تمديد التغطية اللغوية لتشمل وثائق جميع اللجان والهيئات الرئيسية وبعض الأفرقة العاملة</w:t>
            </w:r>
          </w:p>
        </w:tc>
        <w:tc>
          <w:tcPr>
            <w:tcW w:w="1144"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تمديد التغطية اللغوية لتشمل وثائق جميع اللجان والهيئات الرئيسية والأفرقة العاملة مع الحفاظ على الأطوال وفقاً لأحكام السياسة اللغوية</w:t>
            </w:r>
          </w:p>
        </w:tc>
      </w:tr>
      <w:tr w:rsidR="00F36022" w:rsidRPr="006B7869" w:rsidTr="00DA5475">
        <w:trPr>
          <w:cantSplit/>
          <w:trHeight w:val="301"/>
        </w:trPr>
        <w:tc>
          <w:tcPr>
            <w:tcW w:w="1249"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Pr>
            </w:pPr>
          </w:p>
        </w:tc>
        <w:tc>
          <w:tcPr>
            <w:tcW w:w="1462"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خفض تكاليف الطباعة (لكل صفحة)</w:t>
            </w:r>
          </w:p>
        </w:tc>
        <w:tc>
          <w:tcPr>
            <w:tcW w:w="1145" w:type="pct"/>
            <w:shd w:val="clear" w:color="auto" w:fill="FFFFFF"/>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hint="cs"/>
                <w:color w:val="000000"/>
                <w:sz w:val="30"/>
                <w:szCs w:val="30"/>
                <w:rtl/>
              </w:rPr>
              <w:t>0.14</w:t>
            </w:r>
            <w:r w:rsidRPr="006B7869">
              <w:rPr>
                <w:rFonts w:ascii="Arabic Typesetting" w:hAnsi="Arabic Typesetting" w:cs="Arabic Typesetting"/>
                <w:color w:val="000000"/>
                <w:sz w:val="30"/>
                <w:szCs w:val="30"/>
                <w:rtl/>
              </w:rPr>
              <w:t xml:space="preserve"> فرنك سويسري لكل صفحة</w:t>
            </w:r>
          </w:p>
        </w:tc>
        <w:tc>
          <w:tcPr>
            <w:tcW w:w="1144"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الحفاظ على المعدل</w:t>
            </w:r>
          </w:p>
        </w:tc>
      </w:tr>
      <w:tr w:rsidR="00F36022" w:rsidRPr="006B7869" w:rsidTr="00DA5475">
        <w:trPr>
          <w:cantSplit/>
          <w:trHeight w:val="778"/>
        </w:trPr>
        <w:tc>
          <w:tcPr>
            <w:tcW w:w="1249"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Pr>
            </w:pPr>
          </w:p>
        </w:tc>
        <w:tc>
          <w:tcPr>
            <w:tcW w:w="1462"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نشر وثائق اللجان والأفرقة العاملة في الوقت المناسب</w:t>
            </w:r>
          </w:p>
        </w:tc>
        <w:tc>
          <w:tcPr>
            <w:tcW w:w="1145" w:type="pct"/>
            <w:shd w:val="clear" w:color="auto" w:fill="FFFFFF"/>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نشر 21% من الوثائق بجميع اللغات قبل شهرين من الاجتماعات ذات الصلة</w:t>
            </w:r>
          </w:p>
        </w:tc>
        <w:tc>
          <w:tcPr>
            <w:tcW w:w="1144"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نشر 65% من الوثائق بجميع اللغات قبل شهرين من الاجتماعات ذات الصلة</w:t>
            </w:r>
          </w:p>
        </w:tc>
      </w:tr>
      <w:tr w:rsidR="00F36022" w:rsidRPr="006B7869" w:rsidTr="00DA5475">
        <w:trPr>
          <w:cantSplit/>
          <w:trHeight w:val="515"/>
        </w:trPr>
        <w:tc>
          <w:tcPr>
            <w:tcW w:w="1249"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Pr>
            </w:pPr>
          </w:p>
        </w:tc>
        <w:tc>
          <w:tcPr>
            <w:tcW w:w="1462"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9301F1">
              <w:rPr>
                <w:rFonts w:ascii="Arabic Typesetting" w:hAnsi="Arabic Typesetting" w:cs="Arabic Typesetting"/>
                <w:color w:val="000000"/>
                <w:sz w:val="30"/>
                <w:szCs w:val="30"/>
                <w:rtl/>
              </w:rPr>
              <w:t>تكلفة الترجمة لكل كلمة</w:t>
            </w:r>
          </w:p>
        </w:tc>
        <w:tc>
          <w:tcPr>
            <w:tcW w:w="1145" w:type="pct"/>
            <w:shd w:val="clear" w:color="auto" w:fill="FFFFFF"/>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hint="cs"/>
                <w:color w:val="000000"/>
                <w:sz w:val="30"/>
                <w:szCs w:val="30"/>
                <w:rtl/>
              </w:rPr>
              <w:t>0.59</w:t>
            </w:r>
            <w:r w:rsidRPr="006B7869">
              <w:rPr>
                <w:rFonts w:ascii="Arabic Typesetting" w:hAnsi="Arabic Typesetting" w:cs="Arabic Typesetting"/>
                <w:color w:val="000000"/>
                <w:sz w:val="30"/>
                <w:szCs w:val="30"/>
                <w:rtl/>
              </w:rPr>
              <w:t xml:space="preserve"> فرنك سويسري لكل كلمة</w:t>
            </w:r>
          </w:p>
        </w:tc>
        <w:tc>
          <w:tcPr>
            <w:tcW w:w="1144" w:type="pct"/>
            <w:tcMar>
              <w:top w:w="113" w:type="dxa"/>
            </w:tcMar>
          </w:tcPr>
          <w:p w:rsidR="00F36022" w:rsidRPr="006B7869" w:rsidRDefault="00F36022" w:rsidP="00DA5475">
            <w:pPr>
              <w:spacing w:before="60" w:after="60" w:line="300" w:lineRule="exact"/>
              <w:rPr>
                <w:rFonts w:ascii="Arabic Typesetting" w:hAnsi="Arabic Typesetting" w:cs="Arabic Typesetting"/>
                <w:color w:val="000000"/>
                <w:sz w:val="30"/>
                <w:szCs w:val="30"/>
                <w:rtl/>
              </w:rPr>
            </w:pPr>
            <w:r w:rsidRPr="006B7869">
              <w:rPr>
                <w:rFonts w:ascii="Arabic Typesetting" w:hAnsi="Arabic Typesetting" w:cs="Arabic Typesetting"/>
                <w:color w:val="000000"/>
                <w:sz w:val="30"/>
                <w:szCs w:val="30"/>
                <w:rtl/>
              </w:rPr>
              <w:t>الحفاظ على التكلفة</w:t>
            </w:r>
          </w:p>
        </w:tc>
      </w:tr>
    </w:tbl>
    <w:p w:rsidR="00F36022" w:rsidRPr="003B4E4F" w:rsidRDefault="00F36022" w:rsidP="00DA5475">
      <w:pPr>
        <w:autoSpaceDE w:val="0"/>
        <w:autoSpaceDN w:val="0"/>
        <w:adjustRightInd w:val="0"/>
        <w:spacing w:after="120" w:line="340" w:lineRule="exact"/>
        <w:rPr>
          <w:rFonts w:ascii="Arabic Typesetting" w:hAnsi="Arabic Typesetting" w:cs="Arabic Typesetting"/>
          <w:sz w:val="34"/>
          <w:szCs w:val="34"/>
          <w:rtl/>
        </w:rPr>
      </w:pPr>
    </w:p>
    <w:p w:rsidR="00F36022" w:rsidRPr="003B4E4F" w:rsidRDefault="00F36022"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3B4E4F">
        <w:rPr>
          <w:rFonts w:ascii="Arabic Typesetting" w:hAnsi="Arabic Typesetting" w:cs="Arabic Typesetting" w:hint="cs"/>
          <w:noProof/>
          <w:snapToGrid/>
          <w:sz w:val="38"/>
          <w:szCs w:val="38"/>
          <w:rtl/>
          <w:lang w:val="x-none" w:eastAsia="x-none" w:bidi="ar-EG"/>
        </w:rPr>
        <w:t>الموارد المخصصة للبرنامج 27</w:t>
      </w:r>
    </w:p>
    <w:p w:rsidR="00F36022" w:rsidRDefault="00F36022" w:rsidP="00861CFF">
      <w:pPr>
        <w:numPr>
          <w:ilvl w:val="0"/>
          <w:numId w:val="42"/>
        </w:numPr>
        <w:autoSpaceDE w:val="0"/>
        <w:autoSpaceDN w:val="0"/>
        <w:adjustRightInd w:val="0"/>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يُعزى الانخفاض المُسجل ضمن النتيجة المرتقبة </w:t>
      </w:r>
      <w:r w:rsidR="009800D4">
        <w:rPr>
          <w:rFonts w:ascii="Arabic Typesetting" w:hAnsi="Arabic Typesetting" w:cs="Arabic Typesetting"/>
          <w:sz w:val="34"/>
          <w:szCs w:val="34"/>
          <w:rtl/>
        </w:rPr>
        <w:t>ه</w:t>
      </w:r>
      <w:r w:rsidRPr="003B4E4F">
        <w:rPr>
          <w:rFonts w:ascii="Arabic Typesetting" w:hAnsi="Arabic Typesetting" w:cs="Arabic Typesetting" w:hint="cs"/>
          <w:sz w:val="34"/>
          <w:szCs w:val="34"/>
          <w:rtl/>
        </w:rPr>
        <w:t xml:space="preserve"> </w:t>
      </w:r>
      <w:r w:rsidRPr="003B4E4F">
        <w:rPr>
          <w:rFonts w:ascii="Arabic Typesetting" w:hAnsi="Arabic Typesetting" w:cs="Arabic Typesetting"/>
          <w:sz w:val="34"/>
          <w:szCs w:val="34"/>
          <w:rtl/>
        </w:rPr>
        <w:t>1.9</w:t>
      </w:r>
      <w:r>
        <w:rPr>
          <w:rFonts w:ascii="Arabic Typesetting" w:hAnsi="Arabic Typesetting" w:cs="Arabic Typesetting" w:hint="cs"/>
          <w:sz w:val="34"/>
          <w:szCs w:val="34"/>
          <w:rtl/>
        </w:rPr>
        <w:t xml:space="preserve"> أساسا إلى انخفاض قدره 0.5 مليون فرنك سويسري في الموارد المخصصة للترجمة، وذلك نتيجة احتواء تكاليف الترجمة وفق أنماط الإنفاق في  الثنائية 2014/15. وحُدّد، كأساس للمقارنة في ميزانية</w:t>
      </w:r>
      <w:r>
        <w:rPr>
          <w:rFonts w:ascii="Arabic Typesetting" w:hAnsi="Arabic Typesetting" w:cs="Arabic Typesetting" w:hint="eastAsia"/>
          <w:sz w:val="34"/>
          <w:szCs w:val="34"/>
          <w:rtl/>
        </w:rPr>
        <w:t> </w:t>
      </w:r>
      <w:r>
        <w:rPr>
          <w:rFonts w:ascii="Arabic Typesetting" w:hAnsi="Arabic Typesetting" w:cs="Arabic Typesetting" w:hint="cs"/>
          <w:sz w:val="34"/>
          <w:szCs w:val="34"/>
          <w:rtl/>
        </w:rPr>
        <w:t>2016/17، مبلغ إضافي قدره 0.55</w:t>
      </w:r>
      <w:r>
        <w:rPr>
          <w:rFonts w:ascii="Arabic Typesetting" w:hAnsi="Arabic Typesetting" w:cs="Arabic Typesetting" w:hint="eastAsia"/>
          <w:sz w:val="34"/>
          <w:szCs w:val="34"/>
          <w:rtl/>
        </w:rPr>
        <w:t> </w:t>
      </w:r>
      <w:r>
        <w:rPr>
          <w:rFonts w:ascii="Arabic Typesetting" w:hAnsi="Arabic Typesetting" w:cs="Arabic Typesetting" w:hint="cs"/>
          <w:sz w:val="34"/>
          <w:szCs w:val="34"/>
          <w:rtl/>
        </w:rPr>
        <w:t>مليون فرنك سويسري ينبغي توفيره فيما يخص خدمات الطباعة.</w:t>
      </w:r>
    </w:p>
    <w:p w:rsidR="00F36022" w:rsidRPr="00DA6B65" w:rsidRDefault="00F36022" w:rsidP="00DA5475">
      <w:pPr>
        <w:pStyle w:val="ARNormal"/>
        <w:keepNext/>
        <w:spacing w:after="0"/>
        <w:jc w:val="center"/>
        <w:rPr>
          <w:b/>
          <w:bCs/>
          <w:rtl/>
        </w:rPr>
      </w:pPr>
      <w:r w:rsidRPr="00DA6B65">
        <w:rPr>
          <w:b/>
          <w:bCs/>
          <w:rtl/>
        </w:rPr>
        <w:lastRenderedPageBreak/>
        <w:t xml:space="preserve">البرنامج </w:t>
      </w:r>
      <w:r>
        <w:rPr>
          <w:rFonts w:hint="cs"/>
          <w:b/>
          <w:bCs/>
          <w:rtl/>
        </w:rPr>
        <w:t>27</w:t>
      </w:r>
      <w:r w:rsidRPr="00DA6B65">
        <w:rPr>
          <w:b/>
          <w:bCs/>
          <w:rtl/>
        </w:rPr>
        <w:t>: الموارد بحسب كل نتيجة</w:t>
      </w:r>
    </w:p>
    <w:p w:rsidR="00F36022" w:rsidRPr="00DA6B65" w:rsidRDefault="00F36022" w:rsidP="00F36022">
      <w:pPr>
        <w:pStyle w:val="ARNormal"/>
        <w:keepNext/>
        <w:spacing w:after="0"/>
        <w:jc w:val="center"/>
        <w:rPr>
          <w:i/>
          <w:iCs/>
          <w:rtl/>
        </w:rPr>
      </w:pPr>
      <w:r w:rsidRPr="00DA6B65">
        <w:rPr>
          <w:i/>
          <w:iCs/>
          <w:rtl/>
        </w:rPr>
        <w:t>(بآلاف الفرنكات السويسرية)</w:t>
      </w:r>
    </w:p>
    <w:p w:rsidR="00F36022" w:rsidRDefault="00F36022" w:rsidP="00F36022">
      <w:pPr>
        <w:autoSpaceDE w:val="0"/>
        <w:autoSpaceDN w:val="0"/>
        <w:adjustRightInd w:val="0"/>
        <w:spacing w:after="120"/>
        <w:jc w:val="center"/>
        <w:rPr>
          <w:rFonts w:ascii="Arabic Typesetting" w:hAnsi="Arabic Typesetting" w:cs="Arabic Typesetting"/>
          <w:sz w:val="34"/>
          <w:szCs w:val="34"/>
          <w:rtl/>
        </w:rPr>
      </w:pPr>
      <w:r w:rsidRPr="00F36022">
        <w:rPr>
          <w:noProof/>
          <w:szCs w:val="20"/>
          <w:rtl/>
          <w:lang w:bidi="ar-SA"/>
        </w:rPr>
        <w:drawing>
          <wp:inline distT="0" distB="0" distL="0" distR="0" wp14:anchorId="45CAEA3C" wp14:editId="1488E075">
            <wp:extent cx="5753100" cy="1390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53100" cy="1390650"/>
                    </a:xfrm>
                    <a:prstGeom prst="rect">
                      <a:avLst/>
                    </a:prstGeom>
                    <a:noFill/>
                    <a:ln>
                      <a:noFill/>
                    </a:ln>
                  </pic:spPr>
                </pic:pic>
              </a:graphicData>
            </a:graphic>
          </wp:inline>
        </w:drawing>
      </w:r>
    </w:p>
    <w:p w:rsidR="00F36022" w:rsidRPr="00E41DA4" w:rsidRDefault="00F36022" w:rsidP="00DA5475">
      <w:pPr>
        <w:pStyle w:val="ARNormal"/>
        <w:keepNext/>
        <w:spacing w:after="0"/>
        <w:jc w:val="center"/>
        <w:rPr>
          <w:b/>
          <w:bCs/>
          <w:rtl/>
        </w:rPr>
      </w:pPr>
      <w:r w:rsidRPr="00E41DA4">
        <w:rPr>
          <w:rFonts w:hint="cs"/>
          <w:b/>
          <w:bCs/>
          <w:rtl/>
        </w:rPr>
        <w:t xml:space="preserve">البرنامج </w:t>
      </w:r>
      <w:r>
        <w:rPr>
          <w:rFonts w:hint="cs"/>
          <w:b/>
          <w:bCs/>
          <w:rtl/>
        </w:rPr>
        <w:t>27</w:t>
      </w:r>
      <w:r w:rsidRPr="00E41DA4">
        <w:rPr>
          <w:rFonts w:hint="cs"/>
          <w:b/>
          <w:bCs/>
          <w:rtl/>
        </w:rPr>
        <w:t>: الموارد بحسب غرض الإنفاق</w:t>
      </w:r>
    </w:p>
    <w:p w:rsidR="00F36022" w:rsidRPr="00E41DA4" w:rsidRDefault="00F36022" w:rsidP="00DA5475">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F36022" w:rsidRPr="00E41DA4" w:rsidRDefault="00F36022" w:rsidP="00F36022">
      <w:pPr>
        <w:autoSpaceDE w:val="0"/>
        <w:autoSpaceDN w:val="0"/>
        <w:adjustRightInd w:val="0"/>
        <w:spacing w:after="120"/>
        <w:jc w:val="center"/>
        <w:rPr>
          <w:rFonts w:ascii="Arabic Typesetting" w:hAnsi="Arabic Typesetting" w:cs="Arabic Typesetting"/>
          <w:sz w:val="34"/>
          <w:szCs w:val="34"/>
          <w:rtl/>
        </w:rPr>
      </w:pPr>
      <w:r w:rsidRPr="00F36022">
        <w:rPr>
          <w:noProof/>
          <w:szCs w:val="20"/>
          <w:rtl/>
          <w:lang w:bidi="ar-SA"/>
        </w:rPr>
        <w:drawing>
          <wp:inline distT="0" distB="0" distL="0" distR="0" wp14:anchorId="6217A81E" wp14:editId="409968E8">
            <wp:extent cx="5514975" cy="6353175"/>
            <wp:effectExtent l="0" t="0" r="9525"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514975" cy="6353175"/>
                    </a:xfrm>
                    <a:prstGeom prst="rect">
                      <a:avLst/>
                    </a:prstGeom>
                    <a:noFill/>
                    <a:ln>
                      <a:noFill/>
                    </a:ln>
                  </pic:spPr>
                </pic:pic>
              </a:graphicData>
            </a:graphic>
          </wp:inline>
        </w:drawing>
      </w:r>
    </w:p>
    <w:p w:rsidR="00072E5F" w:rsidRPr="008954A8" w:rsidRDefault="00072E5F" w:rsidP="00DA5475">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123" w:name="_Toc364355416"/>
      <w:bookmarkStart w:id="124" w:name="_Toc420595536"/>
      <w:r w:rsidRPr="008954A8">
        <w:rPr>
          <w:rFonts w:ascii="Arabic Typesetting" w:hAnsi="Arabic Typesetting" w:cs="Arabic Typesetting"/>
          <w:bCs/>
          <w:iCs w:val="0"/>
          <w:noProof/>
          <w:snapToGrid/>
          <w:sz w:val="42"/>
          <w:szCs w:val="42"/>
          <w:rtl/>
          <w:lang w:bidi="ar-EG"/>
        </w:rPr>
        <w:lastRenderedPageBreak/>
        <w:t>البرنامج 28</w:t>
      </w:r>
      <w:r w:rsidRPr="008954A8">
        <w:rPr>
          <w:rFonts w:ascii="Arabic Typesetting" w:hAnsi="Arabic Typesetting" w:cs="Arabic Typesetting"/>
          <w:bCs/>
          <w:iCs w:val="0"/>
          <w:noProof/>
          <w:snapToGrid/>
          <w:sz w:val="42"/>
          <w:szCs w:val="42"/>
          <w:lang w:bidi="ar-EG"/>
        </w:rPr>
        <w:tab/>
      </w:r>
      <w:r>
        <w:rPr>
          <w:rFonts w:ascii="Arabic Typesetting" w:hAnsi="Arabic Typesetting" w:cs="Arabic Typesetting" w:hint="cs"/>
          <w:bCs/>
          <w:iCs w:val="0"/>
          <w:noProof/>
          <w:snapToGrid/>
          <w:sz w:val="42"/>
          <w:szCs w:val="42"/>
          <w:rtl/>
          <w:lang w:bidi="ar-EG"/>
        </w:rPr>
        <w:t>تأمين المعلومات و</w:t>
      </w:r>
      <w:r w:rsidRPr="008954A8">
        <w:rPr>
          <w:rFonts w:ascii="Arabic Typesetting" w:hAnsi="Arabic Typesetting" w:cs="Arabic Typesetting"/>
          <w:bCs/>
          <w:iCs w:val="0"/>
          <w:noProof/>
          <w:snapToGrid/>
          <w:sz w:val="42"/>
          <w:szCs w:val="42"/>
          <w:rtl/>
          <w:lang w:bidi="ar-EG"/>
        </w:rPr>
        <w:t>السلامة والأمن</w:t>
      </w:r>
      <w:bookmarkEnd w:id="123"/>
      <w:bookmarkEnd w:id="124"/>
    </w:p>
    <w:p w:rsidR="00072E5F" w:rsidRPr="008954A8" w:rsidRDefault="00072E5F"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8954A8">
        <w:rPr>
          <w:rFonts w:ascii="Arabic Typesetting" w:hAnsi="Arabic Typesetting" w:cs="Arabic Typesetting"/>
          <w:noProof/>
          <w:snapToGrid/>
          <w:sz w:val="38"/>
          <w:szCs w:val="38"/>
          <w:rtl/>
          <w:lang w:val="x-none" w:eastAsia="x-none" w:bidi="ar-EG"/>
        </w:rPr>
        <w:t>سياق التخطيط</w:t>
      </w:r>
    </w:p>
    <w:p w:rsidR="00072E5F" w:rsidRDefault="00072E5F" w:rsidP="00861CFF">
      <w:pPr>
        <w:numPr>
          <w:ilvl w:val="0"/>
          <w:numId w:val="43"/>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تواجه </w:t>
      </w:r>
      <w:r w:rsidRPr="00B36361">
        <w:rPr>
          <w:rFonts w:ascii="Arabic Typesetting" w:hAnsi="Arabic Typesetting" w:cs="Arabic Typesetting"/>
          <w:sz w:val="34"/>
          <w:szCs w:val="34"/>
          <w:rtl/>
        </w:rPr>
        <w:t>الويبو تهديد</w:t>
      </w:r>
      <w:r>
        <w:rPr>
          <w:rFonts w:ascii="Arabic Typesetting" w:hAnsi="Arabic Typesetting" w:cs="Arabic Typesetting" w:hint="cs"/>
          <w:sz w:val="34"/>
          <w:szCs w:val="34"/>
          <w:rtl/>
        </w:rPr>
        <w:t>ا</w:t>
      </w:r>
      <w:r w:rsidRPr="00B36361">
        <w:rPr>
          <w:rFonts w:ascii="Arabic Typesetting" w:hAnsi="Arabic Typesetting" w:cs="Arabic Typesetting"/>
          <w:sz w:val="34"/>
          <w:szCs w:val="34"/>
          <w:rtl/>
        </w:rPr>
        <w:t xml:space="preserve"> متزايد</w:t>
      </w:r>
      <w:r>
        <w:rPr>
          <w:rFonts w:ascii="Arabic Typesetting" w:hAnsi="Arabic Typesetting" w:cs="Arabic Typesetting" w:hint="cs"/>
          <w:sz w:val="34"/>
          <w:szCs w:val="34"/>
          <w:rtl/>
        </w:rPr>
        <w:t>ا</w:t>
      </w:r>
      <w:r w:rsidRPr="00B36361">
        <w:rPr>
          <w:rFonts w:ascii="Arabic Typesetting" w:hAnsi="Arabic Typesetting" w:cs="Arabic Typesetting"/>
          <w:sz w:val="34"/>
          <w:szCs w:val="34"/>
          <w:rtl/>
        </w:rPr>
        <w:t xml:space="preserve"> من خصوم </w:t>
      </w:r>
      <w:r>
        <w:rPr>
          <w:rFonts w:ascii="Arabic Typesetting" w:hAnsi="Arabic Typesetting" w:cs="Arabic Typesetting" w:hint="cs"/>
          <w:sz w:val="34"/>
          <w:szCs w:val="34"/>
          <w:rtl/>
        </w:rPr>
        <w:t xml:space="preserve">ذوي </w:t>
      </w:r>
      <w:r w:rsidRPr="00B36361">
        <w:rPr>
          <w:rFonts w:ascii="Arabic Typesetting" w:hAnsi="Arabic Typesetting" w:cs="Arabic Typesetting"/>
          <w:sz w:val="34"/>
          <w:szCs w:val="34"/>
          <w:rtl/>
        </w:rPr>
        <w:t xml:space="preserve">دوافع مختلفة لسرقة معلومات </w:t>
      </w:r>
      <w:r>
        <w:rPr>
          <w:rFonts w:ascii="Arabic Typesetting" w:hAnsi="Arabic Typesetting" w:cs="Arabic Typesetting"/>
          <w:sz w:val="34"/>
          <w:szCs w:val="34"/>
          <w:rtl/>
        </w:rPr>
        <w:t>الملكية الفكرية</w:t>
      </w:r>
      <w:r>
        <w:rPr>
          <w:rFonts w:ascii="Arabic Typesetting" w:hAnsi="Arabic Typesetting" w:cs="Arabic Typesetting" w:hint="cs"/>
          <w:sz w:val="34"/>
          <w:szCs w:val="34"/>
          <w:rtl/>
        </w:rPr>
        <w:t xml:space="preserve"> </w:t>
      </w:r>
      <w:r w:rsidRPr="00B36361">
        <w:rPr>
          <w:rFonts w:ascii="Arabic Typesetting" w:hAnsi="Arabic Typesetting" w:cs="Arabic Typesetting"/>
          <w:sz w:val="34"/>
          <w:szCs w:val="34"/>
          <w:rtl/>
        </w:rPr>
        <w:t xml:space="preserve">الحساسة والهويات الشخصية، </w:t>
      </w:r>
      <w:r>
        <w:rPr>
          <w:rFonts w:ascii="Arabic Typesetting" w:hAnsi="Arabic Typesetting" w:cs="Arabic Typesetting" w:hint="cs"/>
          <w:sz w:val="34"/>
          <w:szCs w:val="34"/>
          <w:rtl/>
        </w:rPr>
        <w:t xml:space="preserve">وتعطيل </w:t>
      </w:r>
      <w:r w:rsidRPr="00B36361">
        <w:rPr>
          <w:rFonts w:ascii="Arabic Typesetting" w:hAnsi="Arabic Typesetting" w:cs="Arabic Typesetting"/>
          <w:sz w:val="34"/>
          <w:szCs w:val="34"/>
          <w:rtl/>
        </w:rPr>
        <w:t xml:space="preserve">عمليات الويبو وكسب </w:t>
      </w:r>
      <w:r>
        <w:rPr>
          <w:rFonts w:ascii="Arabic Typesetting" w:hAnsi="Arabic Typesetting" w:cs="Arabic Typesetting" w:hint="cs"/>
          <w:sz w:val="34"/>
          <w:szCs w:val="34"/>
          <w:rtl/>
        </w:rPr>
        <w:t xml:space="preserve">معلومات عن الأسواق </w:t>
      </w:r>
      <w:r w:rsidRPr="00B36361">
        <w:rPr>
          <w:rFonts w:ascii="Arabic Typesetting" w:hAnsi="Arabic Typesetting" w:cs="Arabic Typesetting"/>
          <w:sz w:val="34"/>
          <w:szCs w:val="34"/>
          <w:rtl/>
        </w:rPr>
        <w:t>والسياس</w:t>
      </w:r>
      <w:r>
        <w:rPr>
          <w:rFonts w:ascii="Arabic Typesetting" w:hAnsi="Arabic Typesetting" w:cs="Arabic Typesetting" w:hint="cs"/>
          <w:sz w:val="34"/>
          <w:szCs w:val="34"/>
          <w:rtl/>
        </w:rPr>
        <w:t xml:space="preserve">ات والقدرة </w:t>
      </w:r>
      <w:r w:rsidRPr="00B36361">
        <w:rPr>
          <w:rFonts w:ascii="Arabic Typesetting" w:hAnsi="Arabic Typesetting" w:cs="Arabic Typesetting"/>
          <w:sz w:val="34"/>
          <w:szCs w:val="34"/>
          <w:rtl/>
        </w:rPr>
        <w:t xml:space="preserve">التنافسية. </w:t>
      </w:r>
      <w:r>
        <w:rPr>
          <w:rFonts w:ascii="Arabic Typesetting" w:hAnsi="Arabic Typesetting" w:cs="Arabic Typesetting" w:hint="cs"/>
          <w:sz w:val="34"/>
          <w:szCs w:val="34"/>
          <w:rtl/>
        </w:rPr>
        <w:t>و</w:t>
      </w:r>
      <w:r w:rsidRPr="00B36361">
        <w:rPr>
          <w:rFonts w:ascii="Arabic Typesetting" w:hAnsi="Arabic Typesetting" w:cs="Arabic Typesetting"/>
          <w:sz w:val="34"/>
          <w:szCs w:val="34"/>
          <w:rtl/>
        </w:rPr>
        <w:t>هذا تهديد لسمعة الويبو و</w:t>
      </w:r>
      <w:r>
        <w:rPr>
          <w:rFonts w:ascii="Arabic Typesetting" w:hAnsi="Arabic Typesetting" w:cs="Arabic Typesetting" w:hint="cs"/>
          <w:sz w:val="34"/>
          <w:szCs w:val="34"/>
          <w:rtl/>
        </w:rPr>
        <w:t>دورها ك</w:t>
      </w:r>
      <w:r>
        <w:rPr>
          <w:rFonts w:ascii="Arabic Typesetting" w:hAnsi="Arabic Typesetting" w:cs="Arabic Typesetting"/>
          <w:sz w:val="34"/>
          <w:szCs w:val="34"/>
          <w:rtl/>
        </w:rPr>
        <w:t>مقدم خدم</w:t>
      </w:r>
      <w:r>
        <w:rPr>
          <w:rFonts w:ascii="Arabic Typesetting" w:hAnsi="Arabic Typesetting" w:cs="Arabic Typesetting" w:hint="cs"/>
          <w:sz w:val="34"/>
          <w:szCs w:val="34"/>
          <w:rtl/>
        </w:rPr>
        <w:t>ات</w:t>
      </w:r>
      <w:r w:rsidRPr="00B36361">
        <w:rPr>
          <w:rFonts w:ascii="Arabic Typesetting" w:hAnsi="Arabic Typesetting" w:cs="Arabic Typesetting"/>
          <w:sz w:val="34"/>
          <w:szCs w:val="34"/>
          <w:rtl/>
        </w:rPr>
        <w:t xml:space="preserve"> موثوق</w:t>
      </w:r>
      <w:r>
        <w:rPr>
          <w:rFonts w:ascii="Arabic Typesetting" w:hAnsi="Arabic Typesetting" w:cs="Arabic Typesetting" w:hint="cs"/>
          <w:sz w:val="34"/>
          <w:szCs w:val="34"/>
          <w:rtl/>
        </w:rPr>
        <w:t xml:space="preserve"> به</w:t>
      </w:r>
      <w:r w:rsidRPr="00B36361">
        <w:rPr>
          <w:rFonts w:ascii="Arabic Typesetting" w:hAnsi="Arabic Typesetting" w:cs="Arabic Typesetting"/>
          <w:sz w:val="34"/>
          <w:szCs w:val="34"/>
          <w:rtl/>
        </w:rPr>
        <w:t xml:space="preserve"> للدول الأعضاء و</w:t>
      </w:r>
      <w:r>
        <w:rPr>
          <w:rFonts w:ascii="Arabic Typesetting" w:hAnsi="Arabic Typesetting" w:cs="Arabic Typesetting"/>
          <w:sz w:val="34"/>
          <w:szCs w:val="34"/>
          <w:rtl/>
        </w:rPr>
        <w:t>الزبائن</w:t>
      </w:r>
      <w:r w:rsidRPr="00B36361">
        <w:rPr>
          <w:rFonts w:ascii="Arabic Typesetting" w:hAnsi="Arabic Typesetting" w:cs="Arabic Typesetting"/>
          <w:sz w:val="34"/>
          <w:szCs w:val="34"/>
          <w:rtl/>
        </w:rPr>
        <w:t>.</w:t>
      </w:r>
    </w:p>
    <w:p w:rsidR="00072E5F" w:rsidRDefault="00072E5F" w:rsidP="00861CFF">
      <w:pPr>
        <w:numPr>
          <w:ilvl w:val="0"/>
          <w:numId w:val="43"/>
        </w:numPr>
        <w:spacing w:after="120" w:line="340" w:lineRule="exact"/>
        <w:rPr>
          <w:rFonts w:ascii="Arabic Typesetting" w:hAnsi="Arabic Typesetting" w:cs="Arabic Typesetting"/>
          <w:sz w:val="34"/>
          <w:szCs w:val="34"/>
        </w:rPr>
      </w:pPr>
      <w:r>
        <w:rPr>
          <w:rFonts w:ascii="Arabic Typesetting" w:hAnsi="Arabic Typesetting" w:cs="Arabic Typesetting" w:hint="cs"/>
          <w:sz w:val="34"/>
          <w:szCs w:val="34"/>
          <w:rtl/>
        </w:rPr>
        <w:t>و</w:t>
      </w:r>
      <w:r w:rsidRPr="00B36361">
        <w:rPr>
          <w:rFonts w:ascii="Arabic Typesetting" w:hAnsi="Arabic Typesetting" w:cs="Arabic Typesetting"/>
          <w:sz w:val="34"/>
          <w:szCs w:val="34"/>
          <w:rtl/>
        </w:rPr>
        <w:t xml:space="preserve">قدرة الويبو </w:t>
      </w:r>
      <w:r>
        <w:rPr>
          <w:rFonts w:ascii="Arabic Typesetting" w:hAnsi="Arabic Typesetting" w:cs="Arabic Typesetting" w:hint="cs"/>
          <w:sz w:val="34"/>
          <w:szCs w:val="34"/>
          <w:rtl/>
        </w:rPr>
        <w:t>على ا</w:t>
      </w:r>
      <w:r w:rsidRPr="00B36361">
        <w:rPr>
          <w:rFonts w:ascii="Arabic Typesetting" w:hAnsi="Arabic Typesetting" w:cs="Arabic Typesetting"/>
          <w:sz w:val="34"/>
          <w:szCs w:val="34"/>
          <w:rtl/>
        </w:rPr>
        <w:t xml:space="preserve">لتصدي </w:t>
      </w:r>
      <w:r>
        <w:rPr>
          <w:rFonts w:ascii="Arabic Typesetting" w:hAnsi="Arabic Typesetting" w:cs="Arabic Typesetting" w:hint="cs"/>
          <w:sz w:val="34"/>
          <w:szCs w:val="34"/>
          <w:rtl/>
        </w:rPr>
        <w:t>لتلك</w:t>
      </w:r>
      <w:r w:rsidRPr="00B36361">
        <w:rPr>
          <w:rFonts w:ascii="Arabic Typesetting" w:hAnsi="Arabic Typesetting" w:cs="Arabic Typesetting"/>
          <w:sz w:val="34"/>
          <w:szCs w:val="34"/>
          <w:rtl/>
        </w:rPr>
        <w:t xml:space="preserve"> التهديدات المتطورة </w:t>
      </w:r>
      <w:r>
        <w:rPr>
          <w:rFonts w:ascii="Arabic Typesetting" w:hAnsi="Arabic Typesetting" w:cs="Arabic Typesetting" w:hint="cs"/>
          <w:sz w:val="34"/>
          <w:szCs w:val="34"/>
          <w:rtl/>
        </w:rPr>
        <w:t>تحمي</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أصول ال</w:t>
      </w:r>
      <w:r>
        <w:rPr>
          <w:rFonts w:ascii="Arabic Typesetting" w:hAnsi="Arabic Typesetting" w:cs="Arabic Typesetting"/>
          <w:sz w:val="34"/>
          <w:szCs w:val="34"/>
          <w:rtl/>
        </w:rPr>
        <w:t xml:space="preserve">ملكية </w:t>
      </w:r>
      <w:r>
        <w:rPr>
          <w:rFonts w:ascii="Arabic Typesetting" w:hAnsi="Arabic Typesetting" w:cs="Arabic Typesetting" w:hint="cs"/>
          <w:sz w:val="34"/>
          <w:szCs w:val="34"/>
          <w:rtl/>
        </w:rPr>
        <w:t>ال</w:t>
      </w:r>
      <w:r>
        <w:rPr>
          <w:rFonts w:ascii="Arabic Typesetting" w:hAnsi="Arabic Typesetting" w:cs="Arabic Typesetting"/>
          <w:sz w:val="34"/>
          <w:szCs w:val="34"/>
          <w:rtl/>
        </w:rPr>
        <w:t>فكرية</w:t>
      </w:r>
      <w:r>
        <w:rPr>
          <w:rFonts w:ascii="Arabic Typesetting" w:hAnsi="Arabic Typesetting" w:cs="Arabic Typesetting" w:hint="cs"/>
          <w:sz w:val="34"/>
          <w:szCs w:val="34"/>
          <w:rtl/>
        </w:rPr>
        <w:t xml:space="preserve"> الخاصة بها وتلك التي يملكها زبائن</w:t>
      </w:r>
      <w:r w:rsidRPr="00B36361">
        <w:rPr>
          <w:rFonts w:ascii="Arabic Typesetting" w:hAnsi="Arabic Typesetting" w:cs="Arabic Typesetting" w:hint="cs"/>
          <w:sz w:val="34"/>
          <w:szCs w:val="34"/>
          <w:rtl/>
        </w:rPr>
        <w:t>ها</w:t>
      </w:r>
      <w:r>
        <w:rPr>
          <w:rFonts w:ascii="Arabic Typesetting" w:hAnsi="Arabic Typesetting" w:cs="Arabic Typesetting" w:hint="cs"/>
          <w:sz w:val="34"/>
          <w:szCs w:val="34"/>
          <w:rtl/>
        </w:rPr>
        <w:t>. و</w:t>
      </w:r>
      <w:r w:rsidRPr="00B36361">
        <w:rPr>
          <w:rFonts w:ascii="Arabic Typesetting" w:hAnsi="Arabic Typesetting" w:cs="Arabic Typesetting"/>
          <w:sz w:val="34"/>
          <w:szCs w:val="34"/>
          <w:rtl/>
        </w:rPr>
        <w:t xml:space="preserve">تعتمد إلى حد كبير </w:t>
      </w:r>
      <w:r>
        <w:rPr>
          <w:rFonts w:ascii="Arabic Typesetting" w:hAnsi="Arabic Typesetting" w:cs="Arabic Typesetting" w:hint="cs"/>
          <w:sz w:val="34"/>
          <w:szCs w:val="34"/>
          <w:rtl/>
        </w:rPr>
        <w:t>إ</w:t>
      </w:r>
      <w:r w:rsidRPr="00B36361">
        <w:rPr>
          <w:rFonts w:ascii="Arabic Typesetting" w:hAnsi="Arabic Typesetting" w:cs="Arabic Typesetting"/>
          <w:sz w:val="34"/>
          <w:szCs w:val="34"/>
          <w:rtl/>
        </w:rPr>
        <w:t>دارة</w:t>
      </w:r>
      <w:r>
        <w:rPr>
          <w:rFonts w:ascii="Arabic Typesetting" w:hAnsi="Arabic Typesetting" w:cs="Arabic Typesetting" w:hint="cs"/>
          <w:sz w:val="34"/>
          <w:szCs w:val="34"/>
          <w:rtl/>
        </w:rPr>
        <w:t xml:space="preserve"> </w:t>
      </w:r>
      <w:r>
        <w:rPr>
          <w:rFonts w:ascii="Arabic Typesetting" w:hAnsi="Arabic Typesetting" w:cs="Arabic Typesetting"/>
          <w:sz w:val="34"/>
          <w:szCs w:val="34"/>
          <w:rtl/>
        </w:rPr>
        <w:t>مخاطر المعلومات</w:t>
      </w:r>
      <w:r>
        <w:rPr>
          <w:rFonts w:ascii="Arabic Typesetting" w:hAnsi="Arabic Typesetting" w:cs="Arabic Typesetting" w:hint="cs"/>
          <w:sz w:val="34"/>
          <w:szCs w:val="34"/>
          <w:rtl/>
        </w:rPr>
        <w:t>،</w:t>
      </w:r>
      <w:r>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ضمن </w:t>
      </w:r>
      <w:r w:rsidRPr="006762E4">
        <w:rPr>
          <w:rFonts w:ascii="Arabic Typesetting" w:hAnsi="Arabic Typesetting" w:cs="Arabic Typesetting"/>
          <w:sz w:val="34"/>
          <w:szCs w:val="34"/>
          <w:rtl/>
        </w:rPr>
        <w:t>قابلية</w:t>
      </w:r>
      <w:r>
        <w:rPr>
          <w:rFonts w:ascii="Arabic Typesetting" w:hAnsi="Arabic Typesetting" w:cs="Arabic Typesetting" w:hint="cs"/>
          <w:sz w:val="34"/>
          <w:szCs w:val="34"/>
          <w:rtl/>
        </w:rPr>
        <w:t xml:space="preserve"> الويبو</w:t>
      </w:r>
      <w:r w:rsidRPr="006762E4">
        <w:rPr>
          <w:rFonts w:ascii="Arabic Typesetting" w:hAnsi="Arabic Typesetting" w:cs="Arabic Typesetting"/>
          <w:sz w:val="34"/>
          <w:szCs w:val="34"/>
          <w:rtl/>
        </w:rPr>
        <w:t xml:space="preserve"> </w:t>
      </w:r>
      <w:r>
        <w:rPr>
          <w:rFonts w:ascii="Arabic Typesetting" w:hAnsi="Arabic Typesetting" w:cs="Arabic Typesetting" w:hint="cs"/>
          <w:sz w:val="34"/>
          <w:szCs w:val="34"/>
          <w:rtl/>
        </w:rPr>
        <w:t>ل</w:t>
      </w:r>
      <w:r w:rsidRPr="006762E4">
        <w:rPr>
          <w:rFonts w:ascii="Arabic Typesetting" w:hAnsi="Arabic Typesetting" w:cs="Arabic Typesetting"/>
          <w:sz w:val="34"/>
          <w:szCs w:val="34"/>
          <w:rtl/>
        </w:rPr>
        <w:t>تحمّل المخاطر</w:t>
      </w:r>
      <w:r>
        <w:rPr>
          <w:rFonts w:ascii="Arabic Typesetting" w:hAnsi="Arabic Typesetting" w:cs="Arabic Typesetting" w:hint="cs"/>
          <w:sz w:val="34"/>
          <w:szCs w:val="34"/>
          <w:rtl/>
        </w:rPr>
        <w:t>،</w:t>
      </w:r>
      <w:r w:rsidRPr="006762E4">
        <w:rPr>
          <w:rFonts w:ascii="Arabic Typesetting" w:hAnsi="Arabic Typesetting" w:cs="Arabic Typesetting"/>
          <w:sz w:val="34"/>
          <w:szCs w:val="34"/>
          <w:rtl/>
        </w:rPr>
        <w:t xml:space="preserve"> </w:t>
      </w:r>
      <w:r w:rsidRPr="00B36361">
        <w:rPr>
          <w:rFonts w:ascii="Arabic Typesetting" w:hAnsi="Arabic Typesetting" w:cs="Arabic Typesetting"/>
          <w:sz w:val="34"/>
          <w:szCs w:val="34"/>
          <w:rtl/>
        </w:rPr>
        <w:t>على قدرتها على تعزيز و</w:t>
      </w:r>
      <w:r>
        <w:rPr>
          <w:rFonts w:ascii="Arabic Typesetting" w:hAnsi="Arabic Typesetting" w:cs="Arabic Typesetting" w:hint="cs"/>
          <w:sz w:val="34"/>
          <w:szCs w:val="34"/>
          <w:rtl/>
        </w:rPr>
        <w:t>تنفيذ استراتيجية سليمة ونبيهة بشأن تأمين إدارة ال</w:t>
      </w:r>
      <w:r w:rsidRPr="00B36361">
        <w:rPr>
          <w:rFonts w:ascii="Arabic Typesetting" w:hAnsi="Arabic Typesetting" w:cs="Arabic Typesetting"/>
          <w:sz w:val="34"/>
          <w:szCs w:val="34"/>
          <w:rtl/>
        </w:rPr>
        <w:t>معلومات</w:t>
      </w:r>
      <w:r>
        <w:rPr>
          <w:rFonts w:ascii="Arabic Typesetting" w:hAnsi="Arabic Typesetting" w:cs="Arabic Typesetting" w:hint="cs"/>
          <w:sz w:val="34"/>
          <w:szCs w:val="34"/>
          <w:rtl/>
        </w:rPr>
        <w:t xml:space="preserve"> وإدارة ا</w:t>
      </w:r>
      <w:r w:rsidRPr="00B36361">
        <w:rPr>
          <w:rFonts w:ascii="Arabic Typesetting" w:hAnsi="Arabic Typesetting" w:cs="Arabic Typesetting"/>
          <w:sz w:val="34"/>
          <w:szCs w:val="34"/>
          <w:rtl/>
        </w:rPr>
        <w:t>لمخاطر</w:t>
      </w:r>
      <w:r>
        <w:rPr>
          <w:rFonts w:ascii="Arabic Typesetting" w:hAnsi="Arabic Typesetting" w:cs="Arabic Typesetting" w:hint="cs"/>
          <w:sz w:val="34"/>
          <w:szCs w:val="34"/>
          <w:rtl/>
        </w:rPr>
        <w:t xml:space="preserve"> و</w:t>
      </w:r>
      <w:r w:rsidRPr="00B36361">
        <w:rPr>
          <w:rFonts w:ascii="Arabic Typesetting" w:hAnsi="Arabic Typesetting" w:cs="Arabic Typesetting"/>
          <w:sz w:val="34"/>
          <w:szCs w:val="34"/>
          <w:rtl/>
        </w:rPr>
        <w:t>الامتثال المستمر.</w:t>
      </w:r>
    </w:p>
    <w:p w:rsidR="00072E5F" w:rsidRDefault="00072E5F" w:rsidP="00861CFF">
      <w:pPr>
        <w:numPr>
          <w:ilvl w:val="0"/>
          <w:numId w:val="43"/>
        </w:numPr>
        <w:spacing w:after="120" w:line="340" w:lineRule="exact"/>
        <w:rPr>
          <w:rFonts w:ascii="Arabic Typesetting" w:hAnsi="Arabic Typesetting" w:cs="Arabic Typesetting"/>
          <w:sz w:val="34"/>
          <w:szCs w:val="34"/>
        </w:rPr>
      </w:pPr>
      <w:r w:rsidRPr="00B36361">
        <w:rPr>
          <w:rFonts w:ascii="Arabic Typesetting" w:hAnsi="Arabic Typesetting" w:cs="Arabic Typesetting"/>
          <w:sz w:val="34"/>
          <w:szCs w:val="34"/>
          <w:rtl/>
        </w:rPr>
        <w:t>وفيما يتعلق بالسلامة والأمن المادي</w:t>
      </w:r>
      <w:r>
        <w:rPr>
          <w:rFonts w:ascii="Arabic Typesetting" w:hAnsi="Arabic Typesetting" w:cs="Arabic Typesetting" w:hint="cs"/>
          <w:sz w:val="34"/>
          <w:szCs w:val="34"/>
          <w:rtl/>
        </w:rPr>
        <w:t>ين</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لا تزال </w:t>
      </w:r>
      <w:r w:rsidRPr="00B36361">
        <w:rPr>
          <w:rFonts w:ascii="Arabic Typesetting" w:hAnsi="Arabic Typesetting" w:cs="Arabic Typesetting"/>
          <w:sz w:val="34"/>
          <w:szCs w:val="34"/>
          <w:rtl/>
        </w:rPr>
        <w:t xml:space="preserve">الويبو </w:t>
      </w:r>
      <w:r>
        <w:rPr>
          <w:rFonts w:ascii="Arabic Typesetting" w:hAnsi="Arabic Typesetting" w:cs="Arabic Typesetting" w:hint="cs"/>
          <w:sz w:val="34"/>
          <w:szCs w:val="34"/>
          <w:rtl/>
        </w:rPr>
        <w:t>م</w:t>
      </w:r>
      <w:r w:rsidRPr="00B36361">
        <w:rPr>
          <w:rFonts w:ascii="Arabic Typesetting" w:hAnsi="Arabic Typesetting" w:cs="Arabic Typesetting"/>
          <w:sz w:val="34"/>
          <w:szCs w:val="34"/>
          <w:rtl/>
        </w:rPr>
        <w:t>عرض</w:t>
      </w:r>
      <w:r>
        <w:rPr>
          <w:rFonts w:ascii="Arabic Typesetting" w:hAnsi="Arabic Typesetting" w:cs="Arabic Typesetting" w:hint="cs"/>
          <w:sz w:val="34"/>
          <w:szCs w:val="34"/>
          <w:rtl/>
        </w:rPr>
        <w:t>ة</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ل</w:t>
      </w:r>
      <w:r w:rsidRPr="00B36361">
        <w:rPr>
          <w:rFonts w:ascii="Arabic Typesetting" w:hAnsi="Arabic Typesetting" w:cs="Arabic Typesetting"/>
          <w:sz w:val="34"/>
          <w:szCs w:val="34"/>
          <w:rtl/>
        </w:rPr>
        <w:t xml:space="preserve">لتهديدات العالمية الحقيقية والمتصورة التي تستهدف منظومة الأمم المتحدة. </w:t>
      </w:r>
      <w:r>
        <w:rPr>
          <w:rFonts w:ascii="Arabic Typesetting" w:hAnsi="Arabic Typesetting" w:cs="Arabic Typesetting" w:hint="cs"/>
          <w:sz w:val="34"/>
          <w:szCs w:val="34"/>
          <w:rtl/>
        </w:rPr>
        <w:t xml:space="preserve">وعليه، </w:t>
      </w:r>
      <w:r w:rsidRPr="00B36361">
        <w:rPr>
          <w:rFonts w:ascii="Arabic Typesetting" w:hAnsi="Arabic Typesetting" w:cs="Arabic Typesetting"/>
          <w:sz w:val="34"/>
          <w:szCs w:val="34"/>
          <w:rtl/>
        </w:rPr>
        <w:t xml:space="preserve">سيستمر هذا البرنامج </w:t>
      </w:r>
      <w:r>
        <w:rPr>
          <w:rFonts w:ascii="Arabic Typesetting" w:hAnsi="Arabic Typesetting" w:cs="Arabic Typesetting" w:hint="cs"/>
          <w:sz w:val="34"/>
          <w:szCs w:val="34"/>
          <w:rtl/>
        </w:rPr>
        <w:t xml:space="preserve">في </w:t>
      </w:r>
      <w:r w:rsidRPr="00B36361">
        <w:rPr>
          <w:rFonts w:ascii="Arabic Typesetting" w:hAnsi="Arabic Typesetting" w:cs="Arabic Typesetting"/>
          <w:sz w:val="34"/>
          <w:szCs w:val="34"/>
          <w:rtl/>
        </w:rPr>
        <w:t>ضمان سلامة وأمن موظفي الويبو والمندوبين و</w:t>
      </w:r>
      <w:r>
        <w:rPr>
          <w:rFonts w:ascii="Arabic Typesetting" w:hAnsi="Arabic Typesetting" w:cs="Arabic Typesetting" w:hint="cs"/>
          <w:sz w:val="34"/>
          <w:szCs w:val="34"/>
          <w:rtl/>
        </w:rPr>
        <w:t>ال</w:t>
      </w:r>
      <w:r w:rsidRPr="00B36361">
        <w:rPr>
          <w:rFonts w:ascii="Arabic Typesetting" w:hAnsi="Arabic Typesetting" w:cs="Arabic Typesetting"/>
          <w:sz w:val="34"/>
          <w:szCs w:val="34"/>
          <w:rtl/>
        </w:rPr>
        <w:t xml:space="preserve">زوار </w:t>
      </w:r>
      <w:r>
        <w:rPr>
          <w:rFonts w:ascii="Arabic Typesetting" w:hAnsi="Arabic Typesetting" w:cs="Arabic Typesetting" w:hint="cs"/>
          <w:sz w:val="34"/>
          <w:szCs w:val="34"/>
          <w:rtl/>
        </w:rPr>
        <w:t>والممتلكات، في المقر الرئيسي والمكاتب الخارجية على حد سواء</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وب</w:t>
      </w:r>
      <w:r w:rsidRPr="00B36361">
        <w:rPr>
          <w:rFonts w:ascii="Arabic Typesetting" w:hAnsi="Arabic Typesetting" w:cs="Arabic Typesetting"/>
          <w:sz w:val="34"/>
          <w:szCs w:val="34"/>
          <w:rtl/>
        </w:rPr>
        <w:t xml:space="preserve">الانتهاء من </w:t>
      </w:r>
      <w:r>
        <w:rPr>
          <w:rFonts w:ascii="Arabic Typesetting" w:hAnsi="Arabic Typesetting" w:cs="Arabic Typesetting" w:hint="cs"/>
          <w:sz w:val="34"/>
          <w:szCs w:val="34"/>
          <w:rtl/>
        </w:rPr>
        <w:t xml:space="preserve">مشروع المحيط الأمني الكبير بشأن </w:t>
      </w:r>
      <w:r w:rsidRPr="006873CB">
        <w:rPr>
          <w:rFonts w:ascii="Arabic Typesetting" w:hAnsi="Arabic Typesetting" w:cs="Arabic Typesetting"/>
          <w:sz w:val="34"/>
          <w:szCs w:val="34"/>
          <w:rtl/>
        </w:rPr>
        <w:t xml:space="preserve">المعايير الدنيا للأمن التشغيلي في المقار </w:t>
      </w:r>
      <w:r w:rsidRPr="00B36361">
        <w:rPr>
          <w:rFonts w:ascii="Arabic Typesetting" w:hAnsi="Arabic Typesetting" w:cs="Arabic Typesetting"/>
          <w:sz w:val="34"/>
          <w:szCs w:val="34"/>
          <w:rtl/>
        </w:rPr>
        <w:t>(</w:t>
      </w:r>
      <w:r w:rsidRPr="00B36361">
        <w:rPr>
          <w:rFonts w:ascii="Arabic Typesetting" w:hAnsi="Arabic Typesetting" w:cs="Arabic Typesetting"/>
          <w:sz w:val="34"/>
          <w:szCs w:val="34"/>
        </w:rPr>
        <w:t>HMOSS</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الذي انطوى على تحسينات في معايير </w:t>
      </w:r>
      <w:r w:rsidRPr="00B36361">
        <w:rPr>
          <w:rFonts w:ascii="Arabic Typesetting" w:hAnsi="Arabic Typesetting" w:cs="Arabic Typesetting"/>
          <w:sz w:val="34"/>
          <w:szCs w:val="34"/>
          <w:rtl/>
        </w:rPr>
        <w:t xml:space="preserve">السلامة والأمن </w:t>
      </w:r>
      <w:r>
        <w:rPr>
          <w:rFonts w:ascii="Arabic Typesetting" w:hAnsi="Arabic Typesetting" w:cs="Arabic Typesetting" w:hint="cs"/>
          <w:sz w:val="34"/>
          <w:szCs w:val="34"/>
          <w:rtl/>
        </w:rPr>
        <w:t>امتثالا للمعايير الدنيا ل</w:t>
      </w:r>
      <w:r w:rsidRPr="006873CB">
        <w:rPr>
          <w:rFonts w:ascii="Arabic Typesetting" w:hAnsi="Arabic Typesetting" w:cs="Arabic Typesetting"/>
          <w:sz w:val="34"/>
          <w:szCs w:val="34"/>
          <w:rtl/>
        </w:rPr>
        <w:t>إدارة شؤون السلامة والأمن</w:t>
      </w:r>
      <w:r>
        <w:rPr>
          <w:rFonts w:ascii="Arabic Typesetting" w:hAnsi="Arabic Typesetting" w:cs="Arabic Typesetting" w:hint="cs"/>
          <w:sz w:val="34"/>
          <w:szCs w:val="34"/>
          <w:rtl/>
        </w:rPr>
        <w:t xml:space="preserve"> في الأمم المتحدة </w:t>
      </w:r>
      <w:r w:rsidRPr="00B36361">
        <w:rPr>
          <w:rFonts w:ascii="Arabic Typesetting" w:hAnsi="Arabic Typesetting" w:cs="Arabic Typesetting"/>
          <w:sz w:val="34"/>
          <w:szCs w:val="34"/>
          <w:rtl/>
        </w:rPr>
        <w:t>(</w:t>
      </w:r>
      <w:r w:rsidRPr="00B36361">
        <w:rPr>
          <w:rFonts w:ascii="Arabic Typesetting" w:hAnsi="Arabic Typesetting" w:cs="Arabic Typesetting"/>
          <w:sz w:val="34"/>
          <w:szCs w:val="34"/>
        </w:rPr>
        <w:t>DSS</w:t>
      </w:r>
      <w:r w:rsidRPr="00B36361">
        <w:rPr>
          <w:rFonts w:ascii="Arabic Typesetting" w:hAnsi="Arabic Typesetting" w:cs="Arabic Typesetting"/>
          <w:sz w:val="34"/>
          <w:szCs w:val="34"/>
          <w:rtl/>
        </w:rPr>
        <w:t>) في 2015، س</w:t>
      </w:r>
      <w:r>
        <w:rPr>
          <w:rFonts w:ascii="Arabic Typesetting" w:hAnsi="Arabic Typesetting" w:cs="Arabic Typesetting" w:hint="cs"/>
          <w:sz w:val="34"/>
          <w:szCs w:val="34"/>
          <w:rtl/>
        </w:rPr>
        <w:t>يكون على الويبو أن ت</w:t>
      </w:r>
      <w:r w:rsidRPr="00B36361">
        <w:rPr>
          <w:rFonts w:ascii="Arabic Typesetting" w:hAnsi="Arabic Typesetting" w:cs="Arabic Typesetting"/>
          <w:sz w:val="34"/>
          <w:szCs w:val="34"/>
          <w:rtl/>
        </w:rPr>
        <w:t>واصل</w:t>
      </w:r>
      <w:r>
        <w:rPr>
          <w:rFonts w:ascii="Arabic Typesetting" w:hAnsi="Arabic Typesetting" w:cs="Arabic Typesetting" w:hint="cs"/>
          <w:sz w:val="34"/>
          <w:szCs w:val="34"/>
          <w:rtl/>
        </w:rPr>
        <w:t xml:space="preserve"> </w:t>
      </w:r>
      <w:r w:rsidRPr="00B36361">
        <w:rPr>
          <w:rFonts w:ascii="Arabic Typesetting" w:hAnsi="Arabic Typesetting" w:cs="Arabic Typesetting"/>
          <w:sz w:val="34"/>
          <w:szCs w:val="34"/>
          <w:rtl/>
        </w:rPr>
        <w:t xml:space="preserve">العمل </w:t>
      </w:r>
      <w:r>
        <w:rPr>
          <w:rFonts w:ascii="Arabic Typesetting" w:hAnsi="Arabic Typesetting" w:cs="Arabic Typesetting" w:hint="cs"/>
          <w:sz w:val="34"/>
          <w:szCs w:val="34"/>
          <w:rtl/>
        </w:rPr>
        <w:t>ب</w:t>
      </w:r>
      <w:r w:rsidRPr="00B36361">
        <w:rPr>
          <w:rFonts w:ascii="Arabic Typesetting" w:hAnsi="Arabic Typesetting" w:cs="Arabic Typesetting"/>
          <w:sz w:val="34"/>
          <w:szCs w:val="34"/>
          <w:rtl/>
        </w:rPr>
        <w:t>فعال</w:t>
      </w:r>
      <w:r>
        <w:rPr>
          <w:rFonts w:ascii="Arabic Typesetting" w:hAnsi="Arabic Typesetting" w:cs="Arabic Typesetting" w:hint="cs"/>
          <w:sz w:val="34"/>
          <w:szCs w:val="34"/>
          <w:rtl/>
        </w:rPr>
        <w:t>ية</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وفقا لل</w:t>
      </w:r>
      <w:r w:rsidRPr="00B36361">
        <w:rPr>
          <w:rFonts w:ascii="Arabic Typesetting" w:hAnsi="Arabic Typesetting" w:cs="Arabic Typesetting" w:hint="cs"/>
          <w:sz w:val="34"/>
          <w:szCs w:val="34"/>
          <w:rtl/>
        </w:rPr>
        <w:t>إجراءات</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الأ</w:t>
      </w:r>
      <w:r w:rsidRPr="00B36361">
        <w:rPr>
          <w:rFonts w:ascii="Arabic Typesetting" w:hAnsi="Arabic Typesetting" w:cs="Arabic Typesetting"/>
          <w:sz w:val="34"/>
          <w:szCs w:val="34"/>
          <w:rtl/>
        </w:rPr>
        <w:t xml:space="preserve">منية </w:t>
      </w:r>
      <w:r>
        <w:rPr>
          <w:rFonts w:ascii="Arabic Typesetting" w:hAnsi="Arabic Typesetting" w:cs="Arabic Typesetting" w:hint="cs"/>
          <w:sz w:val="34"/>
          <w:szCs w:val="34"/>
          <w:rtl/>
        </w:rPr>
        <w:t>المن</w:t>
      </w:r>
      <w:r w:rsidRPr="00B36361">
        <w:rPr>
          <w:rFonts w:ascii="Arabic Typesetting" w:hAnsi="Arabic Typesetting" w:cs="Arabic Typesetting"/>
          <w:sz w:val="34"/>
          <w:szCs w:val="34"/>
          <w:rtl/>
        </w:rPr>
        <w:t>فذ</w:t>
      </w:r>
      <w:r>
        <w:rPr>
          <w:rFonts w:ascii="Arabic Typesetting" w:hAnsi="Arabic Typesetting" w:cs="Arabic Typesetting" w:hint="cs"/>
          <w:sz w:val="34"/>
          <w:szCs w:val="34"/>
          <w:rtl/>
        </w:rPr>
        <w:t xml:space="preserve">ة مؤخرا </w:t>
      </w:r>
      <w:r>
        <w:rPr>
          <w:rFonts w:ascii="Arabic Typesetting" w:hAnsi="Arabic Typesetting" w:cs="Arabic Typesetting"/>
          <w:sz w:val="34"/>
          <w:szCs w:val="34"/>
          <w:rtl/>
        </w:rPr>
        <w:t>و</w:t>
      </w:r>
      <w:r>
        <w:rPr>
          <w:rFonts w:ascii="Arabic Typesetting" w:hAnsi="Arabic Typesetting" w:cs="Arabic Typesetting" w:hint="cs"/>
          <w:sz w:val="34"/>
          <w:szCs w:val="34"/>
          <w:rtl/>
        </w:rPr>
        <w:t>أن تحافظ على تلك الإجراءات وتدعمها.</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وستواصل </w:t>
      </w:r>
      <w:r w:rsidRPr="00B36361">
        <w:rPr>
          <w:rFonts w:ascii="Arabic Typesetting" w:hAnsi="Arabic Typesetting" w:cs="Arabic Typesetting"/>
          <w:sz w:val="34"/>
          <w:szCs w:val="34"/>
          <w:rtl/>
        </w:rPr>
        <w:t xml:space="preserve">خدمات الأمن والسلامة </w:t>
      </w:r>
      <w:r>
        <w:rPr>
          <w:rFonts w:ascii="Arabic Typesetting" w:hAnsi="Arabic Typesetting" w:cs="Arabic Typesetting" w:hint="cs"/>
          <w:sz w:val="34"/>
          <w:szCs w:val="34"/>
          <w:rtl/>
        </w:rPr>
        <w:t xml:space="preserve">في </w:t>
      </w:r>
      <w:r w:rsidRPr="00B36361">
        <w:rPr>
          <w:rFonts w:ascii="Arabic Typesetting" w:hAnsi="Arabic Typesetting" w:cs="Arabic Typesetting"/>
          <w:sz w:val="34"/>
          <w:szCs w:val="34"/>
          <w:rtl/>
        </w:rPr>
        <w:t>الويبو الامتثال ل</w:t>
      </w:r>
      <w:r>
        <w:rPr>
          <w:rFonts w:ascii="Arabic Typesetting" w:hAnsi="Arabic Typesetting" w:cs="Arabic Typesetting" w:hint="cs"/>
          <w:sz w:val="34"/>
          <w:szCs w:val="34"/>
          <w:rtl/>
        </w:rPr>
        <w:t>ل</w:t>
      </w:r>
      <w:r w:rsidRPr="00B36361">
        <w:rPr>
          <w:rFonts w:ascii="Arabic Typesetting" w:hAnsi="Arabic Typesetting" w:cs="Arabic Typesetting"/>
          <w:sz w:val="34"/>
          <w:szCs w:val="34"/>
          <w:rtl/>
        </w:rPr>
        <w:t>معايير و</w:t>
      </w:r>
      <w:r>
        <w:rPr>
          <w:rFonts w:ascii="Arabic Typesetting" w:hAnsi="Arabic Typesetting" w:cs="Arabic Typesetting" w:hint="cs"/>
          <w:sz w:val="34"/>
          <w:szCs w:val="34"/>
          <w:rtl/>
        </w:rPr>
        <w:t>ال</w:t>
      </w:r>
      <w:r w:rsidRPr="00B36361">
        <w:rPr>
          <w:rFonts w:ascii="Arabic Typesetting" w:hAnsi="Arabic Typesetting" w:cs="Arabic Typesetting"/>
          <w:sz w:val="34"/>
          <w:szCs w:val="34"/>
          <w:rtl/>
        </w:rPr>
        <w:t>مباد</w:t>
      </w:r>
      <w:r>
        <w:rPr>
          <w:rFonts w:ascii="Arabic Typesetting" w:hAnsi="Arabic Typesetting" w:cs="Arabic Typesetting" w:hint="cs"/>
          <w:sz w:val="34"/>
          <w:szCs w:val="34"/>
          <w:rtl/>
        </w:rPr>
        <w:t>ئ</w:t>
      </w:r>
      <w:r w:rsidRPr="00B36361">
        <w:rPr>
          <w:rFonts w:ascii="Arabic Typesetting" w:hAnsi="Arabic Typesetting" w:cs="Arabic Typesetting"/>
          <w:sz w:val="34"/>
          <w:szCs w:val="34"/>
          <w:rtl/>
        </w:rPr>
        <w:t xml:space="preserve"> التوجيهية</w:t>
      </w:r>
      <w:r w:rsidRPr="00EC224D">
        <w:rPr>
          <w:rFonts w:ascii="Arabic Typesetting" w:hAnsi="Arabic Typesetting" w:cs="Arabic Typesetting"/>
          <w:sz w:val="34"/>
          <w:szCs w:val="34"/>
          <w:rtl/>
        </w:rPr>
        <w:t xml:space="preserve"> </w:t>
      </w:r>
      <w:r>
        <w:rPr>
          <w:rFonts w:ascii="Arabic Typesetting" w:hAnsi="Arabic Typesetting" w:cs="Arabic Typesetting" w:hint="cs"/>
          <w:sz w:val="34"/>
          <w:szCs w:val="34"/>
          <w:rtl/>
        </w:rPr>
        <w:t>ل</w:t>
      </w:r>
      <w:r w:rsidRPr="00EC224D">
        <w:rPr>
          <w:rFonts w:ascii="Arabic Typesetting" w:hAnsi="Arabic Typesetting" w:cs="Arabic Typesetting"/>
          <w:sz w:val="34"/>
          <w:szCs w:val="34"/>
          <w:rtl/>
        </w:rPr>
        <w:t>نظام الأمم المتحدة لإدارة الأمن</w:t>
      </w:r>
      <w:r w:rsidRPr="00B36361">
        <w:rPr>
          <w:rFonts w:ascii="Arabic Typesetting" w:hAnsi="Arabic Typesetting" w:cs="Arabic Typesetting"/>
          <w:sz w:val="34"/>
          <w:szCs w:val="34"/>
          <w:rtl/>
        </w:rPr>
        <w:t>.</w:t>
      </w:r>
    </w:p>
    <w:p w:rsidR="00072E5F" w:rsidRPr="008954A8" w:rsidRDefault="00072E5F" w:rsidP="00DA5475">
      <w:pPr>
        <w:spacing w:after="120" w:line="340" w:lineRule="exact"/>
        <w:rPr>
          <w:rFonts w:ascii="Arabic Typesetting" w:hAnsi="Arabic Typesetting" w:cs="Arabic Typesetting"/>
          <w:sz w:val="34"/>
          <w:szCs w:val="34"/>
        </w:rPr>
      </w:pPr>
    </w:p>
    <w:p w:rsidR="00072E5F" w:rsidRPr="00864B0E" w:rsidRDefault="00072E5F"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864B0E">
        <w:rPr>
          <w:rFonts w:ascii="Arabic Typesetting" w:hAnsi="Arabic Typesetting" w:cs="Arabic Typesetting"/>
          <w:noProof/>
          <w:snapToGrid/>
          <w:sz w:val="38"/>
          <w:szCs w:val="38"/>
          <w:rtl/>
          <w:lang w:val="x-none" w:eastAsia="x-none" w:bidi="ar-EG"/>
        </w:rPr>
        <w:t>استراتيجيات التنفيذ</w:t>
      </w:r>
    </w:p>
    <w:p w:rsidR="00072E5F" w:rsidRDefault="00072E5F" w:rsidP="00861CFF">
      <w:pPr>
        <w:numPr>
          <w:ilvl w:val="0"/>
          <w:numId w:val="43"/>
        </w:numPr>
        <w:spacing w:after="120" w:line="340" w:lineRule="exact"/>
        <w:rPr>
          <w:rFonts w:ascii="Arabic Typesetting" w:hAnsi="Arabic Typesetting" w:cs="Arabic Typesetting"/>
          <w:sz w:val="34"/>
          <w:szCs w:val="34"/>
        </w:rPr>
      </w:pPr>
      <w:r w:rsidRPr="00B36361">
        <w:rPr>
          <w:rFonts w:ascii="Arabic Typesetting" w:hAnsi="Arabic Typesetting" w:cs="Arabic Typesetting"/>
          <w:sz w:val="34"/>
          <w:szCs w:val="34"/>
          <w:rtl/>
        </w:rPr>
        <w:t xml:space="preserve">يجمع هذا البرنامج الآن </w:t>
      </w:r>
      <w:r>
        <w:rPr>
          <w:rFonts w:ascii="Arabic Typesetting" w:hAnsi="Arabic Typesetting" w:cs="Arabic Typesetting" w:hint="cs"/>
          <w:sz w:val="34"/>
          <w:szCs w:val="34"/>
          <w:rtl/>
        </w:rPr>
        <w:t>بين تأمين</w:t>
      </w:r>
      <w:r w:rsidRPr="00B36361">
        <w:rPr>
          <w:rFonts w:ascii="Arabic Typesetting" w:hAnsi="Arabic Typesetting" w:cs="Arabic Typesetting"/>
          <w:sz w:val="34"/>
          <w:szCs w:val="34"/>
          <w:rtl/>
        </w:rPr>
        <w:t xml:space="preserve"> المعلومات والأمن والسلامة المادي</w:t>
      </w:r>
      <w:r>
        <w:rPr>
          <w:rFonts w:ascii="Arabic Typesetting" w:hAnsi="Arabic Typesetting" w:cs="Arabic Typesetting" w:hint="cs"/>
          <w:sz w:val="34"/>
          <w:szCs w:val="34"/>
          <w:rtl/>
        </w:rPr>
        <w:t>ين، مما ي</w:t>
      </w:r>
      <w:r>
        <w:rPr>
          <w:rFonts w:ascii="Arabic Typesetting" w:hAnsi="Arabic Typesetting" w:cs="Arabic Typesetting"/>
          <w:sz w:val="34"/>
          <w:szCs w:val="34"/>
          <w:rtl/>
        </w:rPr>
        <w:t>مك</w:t>
      </w:r>
      <w:r>
        <w:rPr>
          <w:rFonts w:ascii="Arabic Typesetting" w:hAnsi="Arabic Typesetting" w:cs="Arabic Typesetting" w:hint="cs"/>
          <w:sz w:val="34"/>
          <w:szCs w:val="34"/>
          <w:rtl/>
        </w:rPr>
        <w:t>ن</w:t>
      </w:r>
      <w:r w:rsidRPr="00B36361">
        <w:rPr>
          <w:rFonts w:ascii="Arabic Typesetting" w:hAnsi="Arabic Typesetting" w:cs="Arabic Typesetting"/>
          <w:sz w:val="34"/>
          <w:szCs w:val="34"/>
          <w:rtl/>
        </w:rPr>
        <w:t xml:space="preserve"> الويبو </w:t>
      </w:r>
      <w:r>
        <w:rPr>
          <w:rFonts w:ascii="Arabic Typesetting" w:hAnsi="Arabic Typesetting" w:cs="Arabic Typesetting" w:hint="cs"/>
          <w:sz w:val="34"/>
          <w:szCs w:val="34"/>
          <w:rtl/>
        </w:rPr>
        <w:t>من تكوين صورة</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كاملة عن السلامة و</w:t>
      </w:r>
      <w:r w:rsidRPr="00B36361">
        <w:rPr>
          <w:rFonts w:ascii="Arabic Typesetting" w:hAnsi="Arabic Typesetting" w:cs="Arabic Typesetting"/>
          <w:sz w:val="34"/>
          <w:szCs w:val="34"/>
          <w:rtl/>
        </w:rPr>
        <w:t>الأمن و</w:t>
      </w:r>
      <w:r>
        <w:rPr>
          <w:rFonts w:ascii="Arabic Typesetting" w:hAnsi="Arabic Typesetting" w:cs="Arabic Typesetting" w:hint="cs"/>
          <w:sz w:val="34"/>
          <w:szCs w:val="34"/>
          <w:rtl/>
        </w:rPr>
        <w:t>إ</w:t>
      </w:r>
      <w:r w:rsidRPr="00B36361">
        <w:rPr>
          <w:rFonts w:ascii="Arabic Typesetting" w:hAnsi="Arabic Typesetting" w:cs="Arabic Typesetting"/>
          <w:sz w:val="34"/>
          <w:szCs w:val="34"/>
          <w:rtl/>
        </w:rPr>
        <w:t xml:space="preserve">دارة المخاطر التشغيلية بطريقة شاملة. </w:t>
      </w:r>
      <w:r>
        <w:rPr>
          <w:rFonts w:ascii="Arabic Typesetting" w:hAnsi="Arabic Typesetting" w:cs="Arabic Typesetting" w:hint="cs"/>
          <w:sz w:val="34"/>
          <w:szCs w:val="34"/>
          <w:rtl/>
        </w:rPr>
        <w:t>ويسمح البرنامج بال</w:t>
      </w:r>
      <w:r w:rsidRPr="00B36361">
        <w:rPr>
          <w:rFonts w:ascii="Arabic Typesetting" w:hAnsi="Arabic Typesetting" w:cs="Arabic Typesetting"/>
          <w:sz w:val="34"/>
          <w:szCs w:val="34"/>
          <w:rtl/>
        </w:rPr>
        <w:t xml:space="preserve">تقارب </w:t>
      </w:r>
      <w:r>
        <w:rPr>
          <w:rFonts w:ascii="Arabic Typesetting" w:hAnsi="Arabic Typesetting" w:cs="Arabic Typesetting" w:hint="cs"/>
          <w:sz w:val="34"/>
          <w:szCs w:val="34"/>
          <w:rtl/>
        </w:rPr>
        <w:t xml:space="preserve">بين </w:t>
      </w:r>
      <w:r w:rsidRPr="00B36361">
        <w:rPr>
          <w:rFonts w:ascii="Arabic Typesetting" w:hAnsi="Arabic Typesetting" w:cs="Arabic Typesetting"/>
          <w:sz w:val="34"/>
          <w:szCs w:val="34"/>
          <w:rtl/>
        </w:rPr>
        <w:t xml:space="preserve">العديد من المجالات، بما في ذلك تقاسم </w:t>
      </w:r>
      <w:r>
        <w:rPr>
          <w:rFonts w:ascii="Arabic Typesetting" w:hAnsi="Arabic Typesetting" w:cs="Arabic Typesetting" w:hint="cs"/>
          <w:sz w:val="34"/>
          <w:szCs w:val="34"/>
          <w:rtl/>
        </w:rPr>
        <w:t xml:space="preserve">المعلومات عن التهديدات الإلكترونية والمادية، </w:t>
      </w:r>
      <w:r w:rsidRPr="00B36361">
        <w:rPr>
          <w:rFonts w:ascii="Arabic Typesetting" w:hAnsi="Arabic Typesetting" w:cs="Arabic Typesetting"/>
          <w:sz w:val="34"/>
          <w:szCs w:val="34"/>
          <w:rtl/>
        </w:rPr>
        <w:t xml:space="preserve">والاستجابة للحوادث </w:t>
      </w:r>
      <w:r>
        <w:rPr>
          <w:rFonts w:ascii="Arabic Typesetting" w:hAnsi="Arabic Typesetting" w:cs="Arabic Typesetting" w:hint="cs"/>
          <w:sz w:val="34"/>
          <w:szCs w:val="34"/>
          <w:rtl/>
        </w:rPr>
        <w:t xml:space="preserve">بشكل </w:t>
      </w:r>
      <w:r w:rsidRPr="00B36361">
        <w:rPr>
          <w:rFonts w:ascii="Arabic Typesetting" w:hAnsi="Arabic Typesetting" w:cs="Arabic Typesetting"/>
          <w:sz w:val="34"/>
          <w:szCs w:val="34"/>
          <w:rtl/>
        </w:rPr>
        <w:t xml:space="preserve">منسق، وضمان </w:t>
      </w:r>
      <w:r>
        <w:rPr>
          <w:rFonts w:ascii="Arabic Typesetting" w:hAnsi="Arabic Typesetting" w:cs="Arabic Typesetting" w:hint="cs"/>
          <w:sz w:val="34"/>
          <w:szCs w:val="34"/>
          <w:rtl/>
        </w:rPr>
        <w:t>مقاومة</w:t>
      </w:r>
      <w:r w:rsidRPr="00B36361">
        <w:rPr>
          <w:rFonts w:ascii="Arabic Typesetting" w:hAnsi="Arabic Typesetting" w:cs="Arabic Typesetting"/>
          <w:sz w:val="34"/>
          <w:szCs w:val="34"/>
          <w:rtl/>
        </w:rPr>
        <w:t xml:space="preserve"> أنظمة الأمن والسلامة </w:t>
      </w:r>
      <w:r>
        <w:rPr>
          <w:rFonts w:ascii="Arabic Typesetting" w:hAnsi="Arabic Typesetting" w:cs="Arabic Typesetting" w:hint="cs"/>
          <w:sz w:val="34"/>
          <w:szCs w:val="34"/>
          <w:rtl/>
        </w:rPr>
        <w:t>الماديين</w:t>
      </w:r>
      <w:r w:rsidRPr="00B36361">
        <w:rPr>
          <w:rFonts w:ascii="Arabic Typesetting" w:hAnsi="Arabic Typesetting" w:cs="Arabic Typesetting"/>
          <w:sz w:val="34"/>
          <w:szCs w:val="34"/>
          <w:rtl/>
        </w:rPr>
        <w:t>.</w:t>
      </w:r>
    </w:p>
    <w:p w:rsidR="00072E5F" w:rsidRDefault="00072E5F" w:rsidP="00861CFF">
      <w:pPr>
        <w:numPr>
          <w:ilvl w:val="0"/>
          <w:numId w:val="43"/>
        </w:numPr>
        <w:spacing w:after="120" w:line="340" w:lineRule="exact"/>
        <w:rPr>
          <w:rFonts w:ascii="Arabic Typesetting" w:hAnsi="Arabic Typesetting" w:cs="Arabic Typesetting"/>
          <w:sz w:val="34"/>
          <w:szCs w:val="34"/>
        </w:rPr>
      </w:pPr>
      <w:r w:rsidRPr="00B36361">
        <w:rPr>
          <w:rFonts w:ascii="Arabic Typesetting" w:hAnsi="Arabic Typesetting" w:cs="Arabic Typesetting"/>
          <w:sz w:val="34"/>
          <w:szCs w:val="34"/>
          <w:rtl/>
        </w:rPr>
        <w:t>و</w:t>
      </w:r>
      <w:r>
        <w:rPr>
          <w:rFonts w:ascii="Arabic Typesetting" w:hAnsi="Arabic Typesetting" w:cs="Arabic Typesetting" w:hint="cs"/>
          <w:sz w:val="34"/>
          <w:szCs w:val="34"/>
          <w:rtl/>
        </w:rPr>
        <w:t xml:space="preserve">ليس </w:t>
      </w:r>
      <w:r w:rsidRPr="00B36361">
        <w:rPr>
          <w:rFonts w:ascii="Arabic Typesetting" w:hAnsi="Arabic Typesetting" w:cs="Arabic Typesetting"/>
          <w:sz w:val="34"/>
          <w:szCs w:val="34"/>
          <w:rtl/>
        </w:rPr>
        <w:t xml:space="preserve">من الضروري فقط أن </w:t>
      </w:r>
      <w:r>
        <w:rPr>
          <w:rFonts w:ascii="Arabic Typesetting" w:hAnsi="Arabic Typesetting" w:cs="Arabic Typesetting" w:hint="cs"/>
          <w:sz w:val="34"/>
          <w:szCs w:val="34"/>
          <w:rtl/>
        </w:rPr>
        <w:t xml:space="preserve">تعزز </w:t>
      </w:r>
      <w:r w:rsidRPr="00B36361">
        <w:rPr>
          <w:rFonts w:ascii="Arabic Typesetting" w:hAnsi="Arabic Typesetting" w:cs="Arabic Typesetting"/>
          <w:sz w:val="34"/>
          <w:szCs w:val="34"/>
          <w:rtl/>
        </w:rPr>
        <w:t>الويبو قدرات</w:t>
      </w:r>
      <w:r>
        <w:rPr>
          <w:rFonts w:ascii="Arabic Typesetting" w:hAnsi="Arabic Typesetting" w:cs="Arabic Typesetting" w:hint="cs"/>
          <w:sz w:val="34"/>
          <w:szCs w:val="34"/>
          <w:rtl/>
        </w:rPr>
        <w:t xml:space="preserve">ها </w:t>
      </w:r>
      <w:r w:rsidRPr="00B36361">
        <w:rPr>
          <w:rFonts w:ascii="Arabic Typesetting" w:hAnsi="Arabic Typesetting" w:cs="Arabic Typesetting"/>
          <w:sz w:val="34"/>
          <w:szCs w:val="34"/>
          <w:rtl/>
        </w:rPr>
        <w:t xml:space="preserve">الحالية </w:t>
      </w:r>
      <w:r>
        <w:rPr>
          <w:rFonts w:ascii="Arabic Typesetting" w:hAnsi="Arabic Typesetting" w:cs="Arabic Typesetting" w:hint="cs"/>
          <w:sz w:val="34"/>
          <w:szCs w:val="34"/>
          <w:rtl/>
        </w:rPr>
        <w:t>ل</w:t>
      </w:r>
      <w:r>
        <w:rPr>
          <w:rFonts w:ascii="Arabic Typesetting" w:hAnsi="Arabic Typesetting" w:cs="Arabic Typesetting"/>
          <w:sz w:val="34"/>
          <w:szCs w:val="34"/>
          <w:rtl/>
        </w:rPr>
        <w:t>ت</w:t>
      </w:r>
      <w:r>
        <w:rPr>
          <w:rFonts w:ascii="Arabic Typesetting" w:hAnsi="Arabic Typesetting" w:cs="Arabic Typesetting" w:hint="cs"/>
          <w:sz w:val="34"/>
          <w:szCs w:val="34"/>
          <w:rtl/>
        </w:rPr>
        <w:t>أ</w:t>
      </w:r>
      <w:r>
        <w:rPr>
          <w:rFonts w:ascii="Arabic Typesetting" w:hAnsi="Arabic Typesetting" w:cs="Arabic Typesetting"/>
          <w:sz w:val="34"/>
          <w:szCs w:val="34"/>
          <w:rtl/>
        </w:rPr>
        <w:t>مين المعلومات</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Pr>
          <w:rFonts w:ascii="Arabic Typesetting" w:hAnsi="Arabic Typesetting" w:cs="Arabic Typesetting"/>
          <w:sz w:val="34"/>
          <w:szCs w:val="34"/>
          <w:rtl/>
        </w:rPr>
        <w:t>لكن</w:t>
      </w:r>
      <w:r>
        <w:rPr>
          <w:rFonts w:ascii="Arabic Typesetting" w:hAnsi="Arabic Typesetting" w:cs="Arabic Typesetting" w:hint="cs"/>
          <w:sz w:val="34"/>
          <w:szCs w:val="34"/>
          <w:rtl/>
        </w:rPr>
        <w:t xml:space="preserve"> ينبغي لها </w:t>
      </w:r>
      <w:r w:rsidRPr="00B36361">
        <w:rPr>
          <w:rFonts w:ascii="Arabic Typesetting" w:hAnsi="Arabic Typesetting" w:cs="Arabic Typesetting"/>
          <w:sz w:val="34"/>
          <w:szCs w:val="34"/>
          <w:rtl/>
        </w:rPr>
        <w:t xml:space="preserve">أيضا </w:t>
      </w:r>
      <w:r>
        <w:rPr>
          <w:rFonts w:ascii="Arabic Typesetting" w:hAnsi="Arabic Typesetting" w:cs="Arabic Typesetting" w:hint="cs"/>
          <w:sz w:val="34"/>
          <w:szCs w:val="34"/>
          <w:rtl/>
        </w:rPr>
        <w:t>أن</w:t>
      </w:r>
      <w:r w:rsidRPr="00B36361">
        <w:rPr>
          <w:rFonts w:ascii="Arabic Typesetting" w:hAnsi="Arabic Typesetting" w:cs="Arabic Typesetting"/>
          <w:sz w:val="34"/>
          <w:szCs w:val="34"/>
          <w:rtl/>
        </w:rPr>
        <w:t xml:space="preserve"> تطمح إلى تنفيذ استراتيجية فعالة وموثوقة ومستدامة </w:t>
      </w:r>
      <w:r>
        <w:rPr>
          <w:rFonts w:ascii="Arabic Typesetting" w:hAnsi="Arabic Typesetting" w:cs="Arabic Typesetting" w:hint="cs"/>
          <w:sz w:val="34"/>
          <w:szCs w:val="34"/>
          <w:rtl/>
        </w:rPr>
        <w:t xml:space="preserve">بشأن </w:t>
      </w:r>
      <w:r>
        <w:rPr>
          <w:rFonts w:ascii="Arabic Typesetting" w:hAnsi="Arabic Typesetting" w:cs="Arabic Typesetting"/>
          <w:sz w:val="34"/>
          <w:szCs w:val="34"/>
          <w:rtl/>
        </w:rPr>
        <w:t>ت</w:t>
      </w:r>
      <w:r>
        <w:rPr>
          <w:rFonts w:ascii="Arabic Typesetting" w:hAnsi="Arabic Typesetting" w:cs="Arabic Typesetting" w:hint="cs"/>
          <w:sz w:val="34"/>
          <w:szCs w:val="34"/>
          <w:rtl/>
        </w:rPr>
        <w:t>أ</w:t>
      </w:r>
      <w:r>
        <w:rPr>
          <w:rFonts w:ascii="Arabic Typesetting" w:hAnsi="Arabic Typesetting" w:cs="Arabic Typesetting"/>
          <w:sz w:val="34"/>
          <w:szCs w:val="34"/>
          <w:rtl/>
        </w:rPr>
        <w:t>مين المعلومات</w:t>
      </w:r>
      <w:r>
        <w:rPr>
          <w:rFonts w:ascii="Arabic Typesetting" w:hAnsi="Arabic Typesetting" w:cs="Arabic Typesetting" w:hint="cs"/>
          <w:sz w:val="34"/>
          <w:szCs w:val="34"/>
          <w:rtl/>
        </w:rPr>
        <w:t>،</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sidRPr="00B36361">
        <w:rPr>
          <w:rFonts w:ascii="Arabic Typesetting" w:hAnsi="Arabic Typesetting" w:cs="Arabic Typesetting"/>
          <w:sz w:val="34"/>
          <w:szCs w:val="34"/>
          <w:rtl/>
        </w:rPr>
        <w:t xml:space="preserve">التي من شأنها </w:t>
      </w:r>
      <w:r>
        <w:rPr>
          <w:rFonts w:ascii="Arabic Typesetting" w:hAnsi="Arabic Typesetting" w:cs="Arabic Typesetting" w:hint="cs"/>
          <w:sz w:val="34"/>
          <w:szCs w:val="34"/>
          <w:rtl/>
        </w:rPr>
        <w:t xml:space="preserve">أن </w:t>
      </w:r>
      <w:r>
        <w:rPr>
          <w:rFonts w:ascii="Arabic Typesetting" w:hAnsi="Arabic Typesetting" w:cs="Arabic Typesetting"/>
          <w:sz w:val="34"/>
          <w:szCs w:val="34"/>
          <w:rtl/>
        </w:rPr>
        <w:t>تمك</w:t>
      </w:r>
      <w:r w:rsidRPr="00B36361">
        <w:rPr>
          <w:rFonts w:ascii="Arabic Typesetting" w:hAnsi="Arabic Typesetting" w:cs="Arabic Typesetting"/>
          <w:sz w:val="34"/>
          <w:szCs w:val="34"/>
          <w:rtl/>
        </w:rPr>
        <w:t xml:space="preserve">ن المنظمة من الحفاظ على </w:t>
      </w:r>
      <w:r>
        <w:rPr>
          <w:rFonts w:ascii="Arabic Typesetting" w:hAnsi="Arabic Typesetting" w:cs="Arabic Typesetting" w:hint="cs"/>
          <w:sz w:val="34"/>
          <w:szCs w:val="34"/>
          <w:rtl/>
        </w:rPr>
        <w:t xml:space="preserve">مركزها </w:t>
      </w:r>
      <w:r w:rsidRPr="00B36361">
        <w:rPr>
          <w:rFonts w:ascii="Arabic Typesetting" w:hAnsi="Arabic Typesetting" w:cs="Arabic Typesetting"/>
          <w:sz w:val="34"/>
          <w:szCs w:val="34"/>
          <w:rtl/>
        </w:rPr>
        <w:t>الرياد</w:t>
      </w:r>
      <w:r>
        <w:rPr>
          <w:rFonts w:ascii="Arabic Typesetting" w:hAnsi="Arabic Typesetting" w:cs="Arabic Typesetting" w:hint="cs"/>
          <w:sz w:val="34"/>
          <w:szCs w:val="34"/>
          <w:rtl/>
        </w:rPr>
        <w:t>ي</w:t>
      </w:r>
      <w:r w:rsidRPr="00B36361">
        <w:rPr>
          <w:rFonts w:ascii="Arabic Typesetting" w:hAnsi="Arabic Typesetting" w:cs="Arabic Typesetting"/>
          <w:sz w:val="34"/>
          <w:szCs w:val="34"/>
          <w:rtl/>
        </w:rPr>
        <w:t xml:space="preserve"> في تقديم حلول</w:t>
      </w:r>
      <w:r>
        <w:rPr>
          <w:rFonts w:ascii="Arabic Typesetting" w:hAnsi="Arabic Typesetting" w:cs="Arabic Typesetting" w:hint="cs"/>
          <w:sz w:val="34"/>
          <w:szCs w:val="34"/>
          <w:rtl/>
        </w:rPr>
        <w:t xml:space="preserve"> آمنة ذات جودة عالية في مجال ا</w:t>
      </w:r>
      <w:r>
        <w:rPr>
          <w:rFonts w:ascii="Arabic Typesetting" w:hAnsi="Arabic Typesetting" w:cs="Arabic Typesetting"/>
          <w:sz w:val="34"/>
          <w:szCs w:val="34"/>
          <w:rtl/>
        </w:rPr>
        <w:t>لملكية الفكرية</w:t>
      </w:r>
      <w:r>
        <w:rPr>
          <w:rFonts w:ascii="Arabic Typesetting" w:hAnsi="Arabic Typesetting" w:cs="Arabic Typesetting" w:hint="cs"/>
          <w:sz w:val="34"/>
          <w:szCs w:val="34"/>
          <w:rtl/>
        </w:rPr>
        <w:t xml:space="preserve"> للدول الأعضاء فيها وزبائنها</w:t>
      </w:r>
      <w:r w:rsidRPr="00B36361">
        <w:rPr>
          <w:rFonts w:ascii="Arabic Typesetting" w:hAnsi="Arabic Typesetting" w:cs="Arabic Typesetting"/>
          <w:sz w:val="34"/>
          <w:szCs w:val="34"/>
          <w:rtl/>
        </w:rPr>
        <w:t xml:space="preserve"> </w:t>
      </w:r>
      <w:r>
        <w:rPr>
          <w:rFonts w:ascii="Arabic Typesetting" w:hAnsi="Arabic Typesetting" w:cs="Arabic Typesetting" w:hint="cs"/>
          <w:sz w:val="34"/>
          <w:szCs w:val="34"/>
          <w:rtl/>
        </w:rPr>
        <w:t>ب</w:t>
      </w:r>
      <w:r w:rsidRPr="00B36361">
        <w:rPr>
          <w:rFonts w:ascii="Arabic Typesetting" w:hAnsi="Arabic Typesetting" w:cs="Arabic Typesetting"/>
          <w:sz w:val="34"/>
          <w:szCs w:val="34"/>
          <w:rtl/>
        </w:rPr>
        <w:t>ثقة عالية جدا.</w:t>
      </w:r>
    </w:p>
    <w:p w:rsidR="00072E5F" w:rsidRPr="008954A8" w:rsidRDefault="00072E5F" w:rsidP="00861CFF">
      <w:pPr>
        <w:numPr>
          <w:ilvl w:val="0"/>
          <w:numId w:val="43"/>
        </w:numPr>
        <w:spacing w:after="240" w:line="340" w:lineRule="exact"/>
        <w:rPr>
          <w:rFonts w:ascii="Arabic Typesetting" w:hAnsi="Arabic Typesetting" w:cs="Arabic Typesetting"/>
          <w:sz w:val="34"/>
          <w:szCs w:val="34"/>
        </w:rPr>
      </w:pPr>
      <w:r w:rsidRPr="00B36361">
        <w:rPr>
          <w:rFonts w:ascii="Arabic Typesetting" w:hAnsi="Arabic Typesetting" w:cs="Arabic Typesetting"/>
          <w:sz w:val="34"/>
          <w:szCs w:val="34"/>
          <w:rtl/>
        </w:rPr>
        <w:t>ول</w:t>
      </w:r>
      <w:r>
        <w:rPr>
          <w:rFonts w:ascii="Arabic Typesetting" w:hAnsi="Arabic Typesetting" w:cs="Arabic Typesetting" w:hint="cs"/>
          <w:sz w:val="34"/>
          <w:szCs w:val="34"/>
          <w:rtl/>
        </w:rPr>
        <w:t xml:space="preserve">بلوغ تلك </w:t>
      </w:r>
      <w:r w:rsidRPr="00B36361">
        <w:rPr>
          <w:rFonts w:ascii="Arabic Typesetting" w:hAnsi="Arabic Typesetting" w:cs="Arabic Typesetting"/>
          <w:sz w:val="34"/>
          <w:szCs w:val="34"/>
          <w:rtl/>
        </w:rPr>
        <w:t>الغاية، س</w:t>
      </w:r>
      <w:r>
        <w:rPr>
          <w:rFonts w:ascii="Arabic Typesetting" w:hAnsi="Arabic Typesetting" w:cs="Arabic Typesetting" w:hint="cs"/>
          <w:sz w:val="34"/>
          <w:szCs w:val="34"/>
          <w:rtl/>
        </w:rPr>
        <w:t>تتبع المنظمة</w:t>
      </w:r>
      <w:r w:rsidRPr="00B36361">
        <w:rPr>
          <w:rFonts w:ascii="Arabic Typesetting" w:hAnsi="Arabic Typesetting" w:cs="Arabic Typesetting"/>
          <w:sz w:val="34"/>
          <w:szCs w:val="34"/>
          <w:rtl/>
        </w:rPr>
        <w:t xml:space="preserve"> ا</w:t>
      </w:r>
      <w:r>
        <w:rPr>
          <w:rFonts w:ascii="Arabic Typesetting" w:hAnsi="Arabic Typesetting" w:cs="Arabic Typesetting" w:hint="cs"/>
          <w:sz w:val="34"/>
          <w:szCs w:val="34"/>
          <w:rtl/>
        </w:rPr>
        <w:t>لا</w:t>
      </w:r>
      <w:r w:rsidRPr="00B36361">
        <w:rPr>
          <w:rFonts w:ascii="Arabic Typesetting" w:hAnsi="Arabic Typesetting" w:cs="Arabic Typesetting"/>
          <w:sz w:val="34"/>
          <w:szCs w:val="34"/>
          <w:rtl/>
        </w:rPr>
        <w:t xml:space="preserve">ستراتيجيات التالية </w:t>
      </w:r>
      <w:r>
        <w:rPr>
          <w:rFonts w:ascii="Arabic Typesetting" w:hAnsi="Arabic Typesetting" w:cs="Arabic Typesetting" w:hint="cs"/>
          <w:sz w:val="34"/>
          <w:szCs w:val="34"/>
          <w:rtl/>
        </w:rPr>
        <w:t>بشأن ت</w:t>
      </w:r>
      <w:r w:rsidRPr="00B36361">
        <w:rPr>
          <w:rFonts w:ascii="Arabic Typesetting" w:hAnsi="Arabic Typesetting" w:cs="Arabic Typesetting"/>
          <w:sz w:val="34"/>
          <w:szCs w:val="34"/>
          <w:rtl/>
        </w:rPr>
        <w:t>أم</w:t>
      </w:r>
      <w:r>
        <w:rPr>
          <w:rFonts w:ascii="Arabic Typesetting" w:hAnsi="Arabic Typesetting" w:cs="Arabic Typesetting" w:hint="cs"/>
          <w:sz w:val="34"/>
          <w:szCs w:val="34"/>
          <w:rtl/>
        </w:rPr>
        <w:t>ي</w:t>
      </w:r>
      <w:r w:rsidRPr="00B36361">
        <w:rPr>
          <w:rFonts w:ascii="Arabic Typesetting" w:hAnsi="Arabic Typesetting" w:cs="Arabic Typesetting"/>
          <w:sz w:val="34"/>
          <w:szCs w:val="34"/>
          <w:rtl/>
        </w:rPr>
        <w:t xml:space="preserve">ن المعلومات </w:t>
      </w:r>
      <w:r>
        <w:rPr>
          <w:rFonts w:ascii="Arabic Typesetting" w:hAnsi="Arabic Typesetting" w:cs="Arabic Typesetting" w:hint="cs"/>
          <w:sz w:val="34"/>
          <w:szCs w:val="34"/>
          <w:rtl/>
        </w:rPr>
        <w:t xml:space="preserve">اعتبارا من الثنائية </w:t>
      </w:r>
      <w:r w:rsidRPr="00B36361">
        <w:rPr>
          <w:rFonts w:ascii="Arabic Typesetting" w:hAnsi="Arabic Typesetting" w:cs="Arabic Typesetting"/>
          <w:sz w:val="34"/>
          <w:szCs w:val="34"/>
          <w:rtl/>
        </w:rPr>
        <w:t>2016/17:</w:t>
      </w:r>
    </w:p>
    <w:p w:rsidR="00072E5F" w:rsidRPr="00EA005D" w:rsidRDefault="00072E5F" w:rsidP="00DA5475">
      <w:pPr>
        <w:tabs>
          <w:tab w:val="left" w:pos="567"/>
        </w:tabs>
        <w:spacing w:after="120" w:line="340" w:lineRule="exact"/>
        <w:ind w:left="709"/>
        <w:rPr>
          <w:rFonts w:ascii="Arabic Typesetting" w:hAnsi="Arabic Typesetting" w:cs="Arabic Typesetting"/>
          <w:sz w:val="34"/>
          <w:szCs w:val="34"/>
        </w:rPr>
      </w:pPr>
      <w:r w:rsidRPr="00EA005D">
        <w:rPr>
          <w:rFonts w:ascii="Arabic Typesetting" w:hAnsi="Arabic Typesetting" w:cs="Arabic Typesetting" w:hint="cs"/>
          <w:sz w:val="34"/>
          <w:szCs w:val="34"/>
          <w:rtl/>
        </w:rPr>
        <w:t>"</w:t>
      </w:r>
      <w:r w:rsidRPr="00EA005D">
        <w:rPr>
          <w:rFonts w:ascii="Arabic Typesetting" w:hAnsi="Arabic Typesetting" w:cs="Arabic Typesetting"/>
          <w:sz w:val="34"/>
          <w:szCs w:val="34"/>
          <w:rtl/>
        </w:rPr>
        <w:t>1"</w:t>
      </w:r>
      <w:r w:rsidRPr="00EA005D">
        <w:rPr>
          <w:rFonts w:ascii="Arabic Typesetting" w:hAnsi="Arabic Typesetting" w:cs="Arabic Typesetting" w:hint="cs"/>
          <w:sz w:val="34"/>
          <w:szCs w:val="34"/>
          <w:rtl/>
        </w:rPr>
        <w:tab/>
      </w:r>
      <w:r>
        <w:rPr>
          <w:rFonts w:ascii="Arabic Typesetting" w:hAnsi="Arabic Typesetting" w:cs="Arabic Typesetting" w:hint="cs"/>
          <w:i/>
          <w:iCs/>
          <w:sz w:val="34"/>
          <w:szCs w:val="34"/>
          <w:rtl/>
        </w:rPr>
        <w:t>إنشاء</w:t>
      </w:r>
      <w:r w:rsidRPr="00CD7463">
        <w:rPr>
          <w:rFonts w:ascii="Arabic Typesetting" w:hAnsi="Arabic Typesetting" w:cs="Arabic Typesetting"/>
          <w:i/>
          <w:iCs/>
          <w:sz w:val="34"/>
          <w:szCs w:val="34"/>
          <w:rtl/>
        </w:rPr>
        <w:t xml:space="preserve"> ثقافة تركز على الأمن</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س</w:t>
      </w:r>
      <w:r w:rsidRPr="00EA005D">
        <w:rPr>
          <w:rFonts w:ascii="Arabic Typesetting" w:hAnsi="Arabic Typesetting" w:cs="Arabic Typesetting"/>
          <w:sz w:val="34"/>
          <w:szCs w:val="34"/>
          <w:rtl/>
        </w:rPr>
        <w:t>ت</w:t>
      </w:r>
      <w:r>
        <w:rPr>
          <w:rFonts w:ascii="Arabic Typesetting" w:hAnsi="Arabic Typesetting" w:cs="Arabic Typesetting" w:hint="cs"/>
          <w:sz w:val="34"/>
          <w:szCs w:val="34"/>
          <w:rtl/>
        </w:rPr>
        <w:t>ُ</w:t>
      </w:r>
      <w:r w:rsidRPr="00EA005D">
        <w:rPr>
          <w:rFonts w:ascii="Arabic Typesetting" w:hAnsi="Arabic Typesetting" w:cs="Arabic Typesetting"/>
          <w:sz w:val="34"/>
          <w:szCs w:val="34"/>
          <w:rtl/>
        </w:rPr>
        <w:t>عزز الإدارة الحالي</w:t>
      </w:r>
      <w:r>
        <w:rPr>
          <w:rFonts w:ascii="Arabic Typesetting" w:hAnsi="Arabic Typesetting" w:cs="Arabic Typesetting" w:hint="cs"/>
          <w:sz w:val="34"/>
          <w:szCs w:val="34"/>
          <w:rtl/>
        </w:rPr>
        <w:t>ة</w:t>
      </w:r>
      <w:r w:rsidRPr="00EA005D">
        <w:rPr>
          <w:rFonts w:ascii="Arabic Typesetting" w:hAnsi="Arabic Typesetting" w:cs="Arabic Typesetting"/>
          <w:sz w:val="34"/>
          <w:szCs w:val="34"/>
          <w:rtl/>
        </w:rPr>
        <w:t xml:space="preserve"> لت</w:t>
      </w:r>
      <w:r>
        <w:rPr>
          <w:rFonts w:ascii="Arabic Typesetting" w:hAnsi="Arabic Typesetting" w:cs="Arabic Typesetting" w:hint="cs"/>
          <w:sz w:val="34"/>
          <w:szCs w:val="34"/>
          <w:rtl/>
        </w:rPr>
        <w:t>أ</w:t>
      </w:r>
      <w:r w:rsidRPr="00EA005D">
        <w:rPr>
          <w:rFonts w:ascii="Arabic Typesetting" w:hAnsi="Arabic Typesetting" w:cs="Arabic Typesetting"/>
          <w:sz w:val="34"/>
          <w:szCs w:val="34"/>
          <w:rtl/>
        </w:rPr>
        <w:t xml:space="preserve">مين المعلومات </w:t>
      </w:r>
      <w:r>
        <w:rPr>
          <w:rFonts w:ascii="Arabic Typesetting" w:hAnsi="Arabic Typesetting" w:cs="Arabic Typesetting" w:hint="cs"/>
          <w:sz w:val="34"/>
          <w:szCs w:val="34"/>
          <w:rtl/>
        </w:rPr>
        <w:t>بما يضمن</w:t>
      </w:r>
      <w:r w:rsidRPr="00EA005D">
        <w:rPr>
          <w:rFonts w:ascii="Arabic Typesetting" w:hAnsi="Arabic Typesetting" w:cs="Arabic Typesetting"/>
          <w:sz w:val="34"/>
          <w:szCs w:val="34"/>
          <w:rtl/>
        </w:rPr>
        <w:t xml:space="preserve"> قدر</w:t>
      </w:r>
      <w:r>
        <w:rPr>
          <w:rFonts w:ascii="Arabic Typesetting" w:hAnsi="Arabic Typesetting" w:cs="Arabic Typesetting" w:hint="cs"/>
          <w:sz w:val="34"/>
          <w:szCs w:val="34"/>
          <w:rtl/>
        </w:rPr>
        <w:t>ا</w:t>
      </w:r>
      <w:r w:rsidRPr="00EA005D">
        <w:rPr>
          <w:rFonts w:ascii="Arabic Typesetting" w:hAnsi="Arabic Typesetting" w:cs="Arabic Typesetting"/>
          <w:sz w:val="34"/>
          <w:szCs w:val="34"/>
          <w:rtl/>
        </w:rPr>
        <w:t xml:space="preserve"> أكبر من المساءلة. </w:t>
      </w:r>
      <w:r>
        <w:rPr>
          <w:rFonts w:ascii="Arabic Typesetting" w:hAnsi="Arabic Typesetting" w:cs="Arabic Typesetting" w:hint="cs"/>
          <w:sz w:val="34"/>
          <w:szCs w:val="34"/>
          <w:rtl/>
        </w:rPr>
        <w:t xml:space="preserve">وسيُحسن إطار إذكاء </w:t>
      </w:r>
      <w:r w:rsidRPr="00EA005D">
        <w:rPr>
          <w:rFonts w:ascii="Arabic Typesetting" w:hAnsi="Arabic Typesetting" w:cs="Arabic Typesetting"/>
          <w:sz w:val="34"/>
          <w:szCs w:val="34"/>
          <w:rtl/>
        </w:rPr>
        <w:t>وعي</w:t>
      </w:r>
      <w:r>
        <w:rPr>
          <w:rFonts w:ascii="Arabic Typesetting" w:hAnsi="Arabic Typesetting" w:cs="Arabic Typesetting" w:hint="cs"/>
          <w:sz w:val="34"/>
          <w:szCs w:val="34"/>
          <w:rtl/>
        </w:rPr>
        <w:t xml:space="preserve"> الموظفين</w:t>
      </w:r>
      <w:r w:rsidRPr="00EA005D">
        <w:rPr>
          <w:rFonts w:ascii="Arabic Typesetting" w:hAnsi="Arabic Typesetting" w:cs="Arabic Typesetting"/>
          <w:sz w:val="34"/>
          <w:szCs w:val="34"/>
          <w:rtl/>
        </w:rPr>
        <w:t xml:space="preserve"> وتدريب</w:t>
      </w:r>
      <w:r>
        <w:rPr>
          <w:rFonts w:ascii="Arabic Typesetting" w:hAnsi="Arabic Typesetting" w:cs="Arabic Typesetting" w:hint="cs"/>
          <w:sz w:val="34"/>
          <w:szCs w:val="34"/>
          <w:rtl/>
        </w:rPr>
        <w:t>هم في المجال الأمني</w:t>
      </w:r>
      <w:r w:rsidRPr="00EA005D">
        <w:rPr>
          <w:rFonts w:ascii="Arabic Typesetting" w:hAnsi="Arabic Typesetting" w:cs="Arabic Typesetting"/>
          <w:sz w:val="34"/>
          <w:szCs w:val="34"/>
          <w:rtl/>
        </w:rPr>
        <w:t>، وست</w:t>
      </w:r>
      <w:r>
        <w:rPr>
          <w:rFonts w:ascii="Arabic Typesetting" w:hAnsi="Arabic Typesetting" w:cs="Arabic Typesetting" w:hint="cs"/>
          <w:sz w:val="34"/>
          <w:szCs w:val="34"/>
          <w:rtl/>
        </w:rPr>
        <w:t>ُ</w:t>
      </w:r>
      <w:r w:rsidRPr="00EA005D">
        <w:rPr>
          <w:rFonts w:ascii="Arabic Typesetting" w:hAnsi="Arabic Typesetting" w:cs="Arabic Typesetting"/>
          <w:sz w:val="34"/>
          <w:szCs w:val="34"/>
          <w:rtl/>
        </w:rPr>
        <w:t xml:space="preserve">حلل مقاييس </w:t>
      </w:r>
      <w:r>
        <w:rPr>
          <w:rFonts w:ascii="Arabic Typesetting" w:hAnsi="Arabic Typesetting" w:cs="Arabic Typesetting" w:hint="cs"/>
          <w:sz w:val="34"/>
          <w:szCs w:val="34"/>
          <w:rtl/>
        </w:rPr>
        <w:t>جاهزة للاستخدام</w:t>
      </w:r>
      <w:r w:rsidRPr="00036B51">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بشأن</w:t>
      </w:r>
      <w:r w:rsidRPr="00EA005D">
        <w:rPr>
          <w:rFonts w:ascii="Arabic Typesetting" w:hAnsi="Arabic Typesetting" w:cs="Arabic Typesetting"/>
          <w:sz w:val="34"/>
          <w:szCs w:val="34"/>
          <w:rtl/>
        </w:rPr>
        <w:t xml:space="preserve"> ت</w:t>
      </w:r>
      <w:r>
        <w:rPr>
          <w:rFonts w:ascii="Arabic Typesetting" w:hAnsi="Arabic Typesetting" w:cs="Arabic Typesetting" w:hint="cs"/>
          <w:sz w:val="34"/>
          <w:szCs w:val="34"/>
          <w:rtl/>
        </w:rPr>
        <w:t>أ</w:t>
      </w:r>
      <w:r w:rsidRPr="00EA005D">
        <w:rPr>
          <w:rFonts w:ascii="Arabic Typesetting" w:hAnsi="Arabic Typesetting" w:cs="Arabic Typesetting"/>
          <w:sz w:val="34"/>
          <w:szCs w:val="34"/>
          <w:rtl/>
        </w:rPr>
        <w:t>مين المعلومات</w:t>
      </w:r>
      <w:r>
        <w:rPr>
          <w:rFonts w:ascii="Arabic Typesetting" w:hAnsi="Arabic Typesetting" w:cs="Arabic Typesetting" w:hint="cs"/>
          <w:sz w:val="34"/>
          <w:szCs w:val="34"/>
          <w:rtl/>
        </w:rPr>
        <w:t xml:space="preserve"> </w:t>
      </w:r>
      <w:r w:rsidRPr="00EA005D">
        <w:rPr>
          <w:rFonts w:ascii="Arabic Typesetting" w:hAnsi="Arabic Typesetting" w:cs="Arabic Typesetting" w:hint="cs"/>
          <w:sz w:val="34"/>
          <w:szCs w:val="34"/>
          <w:rtl/>
        </w:rPr>
        <w:t>و</w:t>
      </w:r>
      <w:r>
        <w:rPr>
          <w:rFonts w:ascii="Arabic Typesetting" w:hAnsi="Arabic Typesetting" w:cs="Arabic Typesetting" w:hint="cs"/>
          <w:sz w:val="34"/>
          <w:szCs w:val="34"/>
          <w:rtl/>
        </w:rPr>
        <w:t>ستُس</w:t>
      </w:r>
      <w:r w:rsidRPr="00EA005D">
        <w:rPr>
          <w:rFonts w:ascii="Arabic Typesetting" w:hAnsi="Arabic Typesetting" w:cs="Arabic Typesetting" w:hint="cs"/>
          <w:sz w:val="34"/>
          <w:szCs w:val="34"/>
          <w:rtl/>
        </w:rPr>
        <w:t>تخدم</w:t>
      </w:r>
      <w:r w:rsidRPr="00EA005D">
        <w:rPr>
          <w:rFonts w:ascii="Arabic Typesetting" w:hAnsi="Arabic Typesetting" w:cs="Arabic Typesetting"/>
          <w:sz w:val="34"/>
          <w:szCs w:val="34"/>
          <w:rtl/>
        </w:rPr>
        <w:t xml:space="preserve"> لاتخاذ قرارات </w:t>
      </w:r>
      <w:r>
        <w:rPr>
          <w:rFonts w:ascii="Arabic Typesetting" w:hAnsi="Arabic Typesetting" w:cs="Arabic Typesetting" w:hint="cs"/>
          <w:sz w:val="34"/>
          <w:szCs w:val="34"/>
          <w:rtl/>
        </w:rPr>
        <w:t>مستنيرة</w:t>
      </w:r>
      <w:r w:rsidRPr="00EA005D">
        <w:rPr>
          <w:rFonts w:ascii="Arabic Typesetting" w:hAnsi="Arabic Typesetting" w:cs="Arabic Typesetting"/>
          <w:sz w:val="34"/>
          <w:szCs w:val="34"/>
          <w:rtl/>
        </w:rPr>
        <w:t xml:space="preserve"> في مجال إدارة مخاطر المعلومات </w:t>
      </w:r>
      <w:r>
        <w:rPr>
          <w:rFonts w:ascii="Arabic Typesetting" w:hAnsi="Arabic Typesetting" w:cs="Arabic Typesetting" w:hint="cs"/>
          <w:sz w:val="34"/>
          <w:szCs w:val="34"/>
          <w:rtl/>
        </w:rPr>
        <w:t>وبيان</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ال</w:t>
      </w:r>
      <w:r w:rsidRPr="00EA005D">
        <w:rPr>
          <w:rFonts w:ascii="Arabic Typesetting" w:hAnsi="Arabic Typesetting" w:cs="Arabic Typesetting"/>
          <w:sz w:val="34"/>
          <w:szCs w:val="34"/>
          <w:rtl/>
        </w:rPr>
        <w:t xml:space="preserve">عائد </w:t>
      </w:r>
      <w:r>
        <w:rPr>
          <w:rFonts w:ascii="Arabic Typesetting" w:hAnsi="Arabic Typesetting" w:cs="Arabic Typesetting" w:hint="cs"/>
          <w:sz w:val="34"/>
          <w:szCs w:val="34"/>
          <w:rtl/>
        </w:rPr>
        <w:t>من</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الا</w:t>
      </w:r>
      <w:r w:rsidRPr="00EA005D">
        <w:rPr>
          <w:rFonts w:ascii="Arabic Typesetting" w:hAnsi="Arabic Typesetting" w:cs="Arabic Typesetting"/>
          <w:sz w:val="34"/>
          <w:szCs w:val="34"/>
          <w:rtl/>
        </w:rPr>
        <w:t xml:space="preserve">ستثمارات </w:t>
      </w:r>
      <w:r>
        <w:rPr>
          <w:rFonts w:ascii="Arabic Typesetting" w:hAnsi="Arabic Typesetting" w:cs="Arabic Typesetting" w:hint="cs"/>
          <w:sz w:val="34"/>
          <w:szCs w:val="34"/>
          <w:rtl/>
        </w:rPr>
        <w:t xml:space="preserve">في </w:t>
      </w:r>
      <w:r>
        <w:rPr>
          <w:rFonts w:ascii="Arabic Typesetting" w:hAnsi="Arabic Typesetting" w:cs="Arabic Typesetting"/>
          <w:sz w:val="34"/>
          <w:szCs w:val="34"/>
          <w:rtl/>
        </w:rPr>
        <w:t>ت</w:t>
      </w:r>
      <w:r>
        <w:rPr>
          <w:rFonts w:ascii="Arabic Typesetting" w:hAnsi="Arabic Typesetting" w:cs="Arabic Typesetting" w:hint="cs"/>
          <w:sz w:val="34"/>
          <w:szCs w:val="34"/>
          <w:rtl/>
        </w:rPr>
        <w:t>أ</w:t>
      </w:r>
      <w:r w:rsidRPr="00EA005D">
        <w:rPr>
          <w:rFonts w:ascii="Arabic Typesetting" w:hAnsi="Arabic Typesetting" w:cs="Arabic Typesetting"/>
          <w:sz w:val="34"/>
          <w:szCs w:val="34"/>
          <w:rtl/>
        </w:rPr>
        <w:t>مين المعلومات.</w:t>
      </w:r>
    </w:p>
    <w:p w:rsidR="00072E5F" w:rsidRPr="00EA005D" w:rsidRDefault="00072E5F" w:rsidP="00DA5475">
      <w:pPr>
        <w:tabs>
          <w:tab w:val="left" w:pos="567"/>
        </w:tabs>
        <w:spacing w:after="120" w:line="340" w:lineRule="exact"/>
        <w:ind w:left="709"/>
        <w:rPr>
          <w:rFonts w:ascii="Arabic Typesetting" w:hAnsi="Arabic Typesetting" w:cs="Arabic Typesetting"/>
          <w:sz w:val="34"/>
          <w:szCs w:val="34"/>
          <w:rtl/>
        </w:rPr>
      </w:pPr>
      <w:r w:rsidRPr="00EA005D">
        <w:rPr>
          <w:rFonts w:ascii="Arabic Typesetting" w:hAnsi="Arabic Typesetting" w:cs="Arabic Typesetting"/>
          <w:sz w:val="34"/>
          <w:szCs w:val="34"/>
          <w:rtl/>
        </w:rPr>
        <w:t>"2"</w:t>
      </w:r>
      <w:r>
        <w:rPr>
          <w:rFonts w:ascii="Arabic Typesetting" w:hAnsi="Arabic Typesetting" w:cs="Arabic Typesetting" w:hint="cs"/>
          <w:sz w:val="34"/>
          <w:szCs w:val="34"/>
          <w:rtl/>
        </w:rPr>
        <w:tab/>
      </w:r>
      <w:r w:rsidRPr="00FB4123">
        <w:rPr>
          <w:rFonts w:ascii="Arabic Typesetting" w:hAnsi="Arabic Typesetting" w:cs="Arabic Typesetting"/>
          <w:i/>
          <w:iCs/>
          <w:sz w:val="34"/>
          <w:szCs w:val="34"/>
          <w:rtl/>
        </w:rPr>
        <w:t>اعتماد نهج</w:t>
      </w:r>
      <w:r>
        <w:rPr>
          <w:rFonts w:ascii="Arabic Typesetting" w:hAnsi="Arabic Typesetting" w:cs="Arabic Typesetting" w:hint="cs"/>
          <w:i/>
          <w:iCs/>
          <w:sz w:val="34"/>
          <w:szCs w:val="34"/>
          <w:rtl/>
        </w:rPr>
        <w:t xml:space="preserve"> يركز</w:t>
      </w:r>
      <w:r w:rsidRPr="00FB4123">
        <w:rPr>
          <w:rFonts w:ascii="Arabic Typesetting" w:hAnsi="Arabic Typesetting" w:cs="Arabic Typesetting" w:hint="cs"/>
          <w:i/>
          <w:iCs/>
          <w:sz w:val="34"/>
          <w:szCs w:val="34"/>
          <w:rtl/>
        </w:rPr>
        <w:t xml:space="preserve"> على </w:t>
      </w:r>
      <w:r w:rsidRPr="00FB4123">
        <w:rPr>
          <w:rFonts w:ascii="Arabic Typesetting" w:hAnsi="Arabic Typesetting" w:cs="Arabic Typesetting"/>
          <w:i/>
          <w:iCs/>
          <w:sz w:val="34"/>
          <w:szCs w:val="34"/>
          <w:rtl/>
        </w:rPr>
        <w:t>الأعمال</w:t>
      </w:r>
      <w:r w:rsidRPr="00FB4123">
        <w:rPr>
          <w:rFonts w:ascii="Arabic Typesetting" w:hAnsi="Arabic Typesetting" w:cs="Arabic Typesetting" w:hint="cs"/>
          <w:i/>
          <w:iCs/>
          <w:sz w:val="34"/>
          <w:szCs w:val="34"/>
          <w:rtl/>
        </w:rPr>
        <w:t xml:space="preserve"> ل</w:t>
      </w:r>
      <w:r w:rsidRPr="00FB4123">
        <w:rPr>
          <w:rFonts w:ascii="Arabic Typesetting" w:hAnsi="Arabic Typesetting" w:cs="Arabic Typesetting"/>
          <w:i/>
          <w:iCs/>
          <w:sz w:val="34"/>
          <w:szCs w:val="34"/>
          <w:rtl/>
        </w:rPr>
        <w:t xml:space="preserve">إدارة </w:t>
      </w:r>
      <w:r w:rsidRPr="00FB4123">
        <w:rPr>
          <w:rFonts w:ascii="Arabic Typesetting" w:hAnsi="Arabic Typesetting" w:cs="Arabic Typesetting" w:hint="cs"/>
          <w:i/>
          <w:iCs/>
          <w:sz w:val="34"/>
          <w:szCs w:val="34"/>
          <w:rtl/>
        </w:rPr>
        <w:t>ال</w:t>
      </w:r>
      <w:r w:rsidRPr="00FB4123">
        <w:rPr>
          <w:rFonts w:ascii="Arabic Typesetting" w:hAnsi="Arabic Typesetting" w:cs="Arabic Typesetting"/>
          <w:i/>
          <w:iCs/>
          <w:sz w:val="34"/>
          <w:szCs w:val="34"/>
          <w:rtl/>
        </w:rPr>
        <w:t>مخاطر</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سيتم التشديد على تكوين صورة مؤسسية</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عن</w:t>
      </w:r>
      <w:r w:rsidRPr="00EA005D">
        <w:rPr>
          <w:rFonts w:ascii="Arabic Typesetting" w:hAnsi="Arabic Typesetting" w:cs="Arabic Typesetting"/>
          <w:sz w:val="34"/>
          <w:szCs w:val="34"/>
          <w:rtl/>
        </w:rPr>
        <w:t xml:space="preserve"> مخاطر المعلومات </w:t>
      </w:r>
      <w:r>
        <w:rPr>
          <w:rFonts w:ascii="Arabic Typesetting" w:hAnsi="Arabic Typesetting" w:cs="Arabic Typesetting" w:hint="cs"/>
          <w:sz w:val="34"/>
          <w:szCs w:val="34"/>
          <w:rtl/>
        </w:rPr>
        <w:t>عبر</w:t>
      </w:r>
      <w:r w:rsidRPr="00EA005D">
        <w:rPr>
          <w:rFonts w:ascii="Arabic Typesetting" w:hAnsi="Arabic Typesetting" w:cs="Arabic Typesetting"/>
          <w:sz w:val="34"/>
          <w:szCs w:val="34"/>
          <w:rtl/>
        </w:rPr>
        <w:t xml:space="preserve"> التكامل والتقارب بين عمليات إدارة مخاطر المعلومات </w:t>
      </w:r>
      <w:r>
        <w:rPr>
          <w:rFonts w:ascii="Arabic Typesetting" w:hAnsi="Arabic Typesetting" w:cs="Arabic Typesetting" w:hint="cs"/>
          <w:sz w:val="34"/>
          <w:szCs w:val="34"/>
          <w:rtl/>
        </w:rPr>
        <w:t xml:space="preserve">في جميع </w:t>
      </w:r>
      <w:r w:rsidRPr="00EA005D">
        <w:rPr>
          <w:rFonts w:ascii="Arabic Typesetting" w:hAnsi="Arabic Typesetting" w:cs="Arabic Typesetting"/>
          <w:sz w:val="34"/>
          <w:szCs w:val="34"/>
          <w:rtl/>
        </w:rPr>
        <w:t>مجالات العمل، وس</w:t>
      </w:r>
      <w:r>
        <w:rPr>
          <w:rFonts w:ascii="Arabic Typesetting" w:hAnsi="Arabic Typesetting" w:cs="Arabic Typesetting" w:hint="cs"/>
          <w:sz w:val="34"/>
          <w:szCs w:val="34"/>
          <w:rtl/>
        </w:rPr>
        <w:t>تُ</w:t>
      </w:r>
      <w:r w:rsidRPr="00EA005D">
        <w:rPr>
          <w:rFonts w:ascii="Arabic Typesetting" w:hAnsi="Arabic Typesetting" w:cs="Arabic Typesetting"/>
          <w:sz w:val="34"/>
          <w:szCs w:val="34"/>
          <w:rtl/>
        </w:rPr>
        <w:t xml:space="preserve">دمج عناصر مخاطر المعلومات في قدرة المنظمة </w:t>
      </w:r>
      <w:r>
        <w:rPr>
          <w:rFonts w:ascii="Arabic Typesetting" w:hAnsi="Arabic Typesetting" w:cs="Arabic Typesetting" w:hint="cs"/>
          <w:sz w:val="34"/>
          <w:szCs w:val="34"/>
          <w:rtl/>
        </w:rPr>
        <w:t xml:space="preserve">على </w:t>
      </w:r>
      <w:r w:rsidRPr="00E617F2">
        <w:rPr>
          <w:rFonts w:ascii="Arabic Typesetting" w:hAnsi="Arabic Typesetting" w:cs="Arabic Typesetting"/>
          <w:sz w:val="34"/>
          <w:szCs w:val="34"/>
          <w:rtl/>
        </w:rPr>
        <w:t>إدارة المخاطر المؤسسية</w:t>
      </w:r>
      <w:r w:rsidRPr="00EA005D">
        <w:rPr>
          <w:rFonts w:ascii="Arabic Typesetting" w:hAnsi="Arabic Typesetting" w:cs="Arabic Typesetting"/>
          <w:sz w:val="34"/>
          <w:szCs w:val="34"/>
          <w:rtl/>
        </w:rPr>
        <w:t>.</w:t>
      </w:r>
    </w:p>
    <w:p w:rsidR="00072E5F" w:rsidRPr="00EA005D" w:rsidRDefault="00072E5F" w:rsidP="00DA5475">
      <w:pPr>
        <w:tabs>
          <w:tab w:val="left" w:pos="567"/>
        </w:tabs>
        <w:spacing w:after="120" w:line="340" w:lineRule="exact"/>
        <w:ind w:left="709"/>
        <w:rPr>
          <w:rFonts w:ascii="Arabic Typesetting" w:hAnsi="Arabic Typesetting" w:cs="Arabic Typesetting"/>
          <w:sz w:val="34"/>
          <w:szCs w:val="34"/>
          <w:rtl/>
        </w:rPr>
      </w:pPr>
      <w:r w:rsidRPr="00EA005D">
        <w:rPr>
          <w:rFonts w:ascii="Arabic Typesetting" w:hAnsi="Arabic Typesetting" w:cs="Arabic Typesetting"/>
          <w:sz w:val="34"/>
          <w:szCs w:val="34"/>
          <w:rtl/>
        </w:rPr>
        <w:t>"3"</w:t>
      </w:r>
      <w:r>
        <w:rPr>
          <w:rFonts w:ascii="Arabic Typesetting" w:hAnsi="Arabic Typesetting" w:cs="Arabic Typesetting" w:hint="cs"/>
          <w:sz w:val="34"/>
          <w:szCs w:val="34"/>
          <w:rtl/>
        </w:rPr>
        <w:tab/>
      </w:r>
      <w:r w:rsidRPr="00E617F2">
        <w:rPr>
          <w:rFonts w:ascii="Arabic Typesetting" w:hAnsi="Arabic Typesetting" w:cs="Arabic Typesetting"/>
          <w:i/>
          <w:iCs/>
          <w:sz w:val="34"/>
          <w:szCs w:val="34"/>
          <w:rtl/>
        </w:rPr>
        <w:t>الحد من التعرض</w:t>
      </w:r>
      <w:r w:rsidRPr="00E617F2">
        <w:rPr>
          <w:rFonts w:ascii="Arabic Typesetting" w:hAnsi="Arabic Typesetting" w:cs="Arabic Typesetting" w:hint="cs"/>
          <w:i/>
          <w:iCs/>
          <w:sz w:val="34"/>
          <w:szCs w:val="34"/>
          <w:rtl/>
        </w:rPr>
        <w:t xml:space="preserve"> للمخاطر</w:t>
      </w:r>
      <w:r w:rsidRPr="00E617F2">
        <w:rPr>
          <w:rFonts w:ascii="Arabic Typesetting" w:hAnsi="Arabic Typesetting" w:cs="Arabic Typesetting"/>
          <w:i/>
          <w:iCs/>
          <w:sz w:val="34"/>
          <w:szCs w:val="34"/>
          <w:rtl/>
        </w:rPr>
        <w:t xml:space="preserve"> وضمان الامتثال المستمر</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بفضل</w:t>
      </w:r>
      <w:r w:rsidRPr="00EA005D">
        <w:rPr>
          <w:rFonts w:ascii="Arabic Typesetting" w:hAnsi="Arabic Typesetting" w:cs="Arabic Typesetting"/>
          <w:sz w:val="34"/>
          <w:szCs w:val="34"/>
          <w:rtl/>
        </w:rPr>
        <w:t xml:space="preserve"> ا</w:t>
      </w:r>
      <w:r>
        <w:rPr>
          <w:rFonts w:ascii="Arabic Typesetting" w:hAnsi="Arabic Typesetting" w:cs="Arabic Typesetting" w:hint="cs"/>
          <w:sz w:val="34"/>
          <w:szCs w:val="34"/>
          <w:rtl/>
        </w:rPr>
        <w:t>لا</w:t>
      </w:r>
      <w:r w:rsidRPr="00EA005D">
        <w:rPr>
          <w:rFonts w:ascii="Arabic Typesetting" w:hAnsi="Arabic Typesetting" w:cs="Arabic Typesetting"/>
          <w:sz w:val="34"/>
          <w:szCs w:val="34"/>
          <w:rtl/>
        </w:rPr>
        <w:t xml:space="preserve">ستمرار </w:t>
      </w:r>
      <w:r>
        <w:rPr>
          <w:rFonts w:ascii="Arabic Typesetting" w:hAnsi="Arabic Typesetting" w:cs="Arabic Typesetting" w:hint="cs"/>
          <w:sz w:val="34"/>
          <w:szCs w:val="34"/>
          <w:rtl/>
        </w:rPr>
        <w:t xml:space="preserve">في تعزيز </w:t>
      </w:r>
      <w:r w:rsidRPr="00EA005D">
        <w:rPr>
          <w:rFonts w:ascii="Arabic Typesetting" w:hAnsi="Arabic Typesetting" w:cs="Arabic Typesetting"/>
          <w:sz w:val="34"/>
          <w:szCs w:val="34"/>
          <w:rtl/>
        </w:rPr>
        <w:t xml:space="preserve">القدرة على </w:t>
      </w:r>
      <w:r>
        <w:rPr>
          <w:rFonts w:ascii="Arabic Typesetting" w:hAnsi="Arabic Typesetting" w:cs="Arabic Typesetting" w:hint="cs"/>
          <w:sz w:val="34"/>
          <w:szCs w:val="34"/>
          <w:rtl/>
        </w:rPr>
        <w:t xml:space="preserve">تحديد </w:t>
      </w:r>
      <w:r w:rsidRPr="00EA005D">
        <w:rPr>
          <w:rFonts w:ascii="Arabic Typesetting" w:hAnsi="Arabic Typesetting" w:cs="Arabic Typesetting"/>
          <w:sz w:val="34"/>
          <w:szCs w:val="34"/>
          <w:rtl/>
        </w:rPr>
        <w:t xml:space="preserve">التهديدات ونقاط الضعف بشكل استباقي </w:t>
      </w:r>
      <w:r>
        <w:rPr>
          <w:rFonts w:ascii="Arabic Typesetting" w:hAnsi="Arabic Typesetting" w:cs="Arabic Typesetting" w:hint="cs"/>
          <w:sz w:val="34"/>
          <w:szCs w:val="34"/>
          <w:rtl/>
        </w:rPr>
        <w:t xml:space="preserve">فيما يخص </w:t>
      </w:r>
      <w:r w:rsidRPr="00EA005D">
        <w:rPr>
          <w:rFonts w:ascii="Arabic Typesetting" w:hAnsi="Arabic Typesetting" w:cs="Arabic Typesetting"/>
          <w:sz w:val="34"/>
          <w:szCs w:val="34"/>
          <w:rtl/>
        </w:rPr>
        <w:t xml:space="preserve">أصول الويبو </w:t>
      </w:r>
      <w:r>
        <w:rPr>
          <w:rFonts w:ascii="Arabic Typesetting" w:hAnsi="Arabic Typesetting" w:cs="Arabic Typesetting" w:hint="cs"/>
          <w:sz w:val="34"/>
          <w:szCs w:val="34"/>
          <w:rtl/>
        </w:rPr>
        <w:t>من المعلومات،</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سيصبح من الممكن تحديد </w:t>
      </w:r>
      <w:r>
        <w:rPr>
          <w:rFonts w:ascii="Arabic Typesetting" w:hAnsi="Arabic Typesetting" w:cs="Arabic Typesetting"/>
          <w:sz w:val="34"/>
          <w:szCs w:val="34"/>
          <w:rtl/>
        </w:rPr>
        <w:t>أولوي</w:t>
      </w:r>
      <w:r>
        <w:rPr>
          <w:rFonts w:ascii="Arabic Typesetting" w:hAnsi="Arabic Typesetting" w:cs="Arabic Typesetting" w:hint="cs"/>
          <w:sz w:val="34"/>
          <w:szCs w:val="34"/>
          <w:rtl/>
        </w:rPr>
        <w:t>ات جهود الإصلاح</w:t>
      </w:r>
      <w:r w:rsidRPr="00EA005D">
        <w:rPr>
          <w:rFonts w:ascii="Arabic Typesetting" w:hAnsi="Arabic Typesetting" w:cs="Arabic Typesetting"/>
          <w:sz w:val="34"/>
          <w:szCs w:val="34"/>
          <w:rtl/>
        </w:rPr>
        <w:t xml:space="preserve"> لحماية </w:t>
      </w:r>
      <w:r>
        <w:rPr>
          <w:rFonts w:ascii="Arabic Typesetting" w:hAnsi="Arabic Typesetting" w:cs="Arabic Typesetting" w:hint="cs"/>
          <w:sz w:val="34"/>
          <w:szCs w:val="34"/>
          <w:rtl/>
        </w:rPr>
        <w:t>المجالات</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التي تنطوي على خطر أكبر</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بالنسبة ل</w:t>
      </w:r>
      <w:r w:rsidRPr="00EA005D">
        <w:rPr>
          <w:rFonts w:ascii="Arabic Typesetting" w:hAnsi="Arabic Typesetting" w:cs="Arabic Typesetting"/>
          <w:sz w:val="34"/>
          <w:szCs w:val="34"/>
          <w:rtl/>
        </w:rPr>
        <w:t>عمل الويبو. وسي</w:t>
      </w:r>
      <w:r>
        <w:rPr>
          <w:rFonts w:ascii="Arabic Typesetting" w:hAnsi="Arabic Typesetting" w:cs="Arabic Typesetting" w:hint="cs"/>
          <w:sz w:val="34"/>
          <w:szCs w:val="34"/>
          <w:rtl/>
        </w:rPr>
        <w:t>ُ</w:t>
      </w:r>
      <w:r w:rsidRPr="00EA005D">
        <w:rPr>
          <w:rFonts w:ascii="Arabic Typesetting" w:hAnsi="Arabic Typesetting" w:cs="Arabic Typesetting"/>
          <w:sz w:val="34"/>
          <w:szCs w:val="34"/>
          <w:rtl/>
        </w:rPr>
        <w:t>نفذ برنامج امتثال مستمر لضمان الامتثال لسياسات ت</w:t>
      </w:r>
      <w:r>
        <w:rPr>
          <w:rFonts w:ascii="Arabic Typesetting" w:hAnsi="Arabic Typesetting" w:cs="Arabic Typesetting" w:hint="cs"/>
          <w:sz w:val="34"/>
          <w:szCs w:val="34"/>
          <w:rtl/>
        </w:rPr>
        <w:t>أ</w:t>
      </w:r>
      <w:r w:rsidRPr="00EA005D">
        <w:rPr>
          <w:rFonts w:ascii="Arabic Typesetting" w:hAnsi="Arabic Typesetting" w:cs="Arabic Typesetting"/>
          <w:sz w:val="34"/>
          <w:szCs w:val="34"/>
          <w:rtl/>
        </w:rPr>
        <w:t>مين المعلومات</w:t>
      </w:r>
      <w:r>
        <w:rPr>
          <w:rFonts w:ascii="Arabic Typesetting" w:hAnsi="Arabic Typesetting" w:cs="Arabic Typesetting" w:hint="cs"/>
          <w:sz w:val="34"/>
          <w:szCs w:val="34"/>
          <w:rtl/>
        </w:rPr>
        <w:t xml:space="preserve"> وما يتعلق بها من مهام</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ولل</w:t>
      </w:r>
      <w:r w:rsidRPr="00EA005D">
        <w:rPr>
          <w:rFonts w:ascii="Arabic Typesetting" w:hAnsi="Arabic Typesetting" w:cs="Arabic Typesetting"/>
          <w:sz w:val="34"/>
          <w:szCs w:val="34"/>
          <w:rtl/>
        </w:rPr>
        <w:t xml:space="preserve">معايير </w:t>
      </w:r>
      <w:r>
        <w:rPr>
          <w:rFonts w:ascii="Arabic Typesetting" w:hAnsi="Arabic Typesetting" w:cs="Arabic Typesetting" w:hint="cs"/>
          <w:sz w:val="34"/>
          <w:szCs w:val="34"/>
          <w:rtl/>
        </w:rPr>
        <w:t>(</w:t>
      </w:r>
      <w:r w:rsidRPr="00EA005D">
        <w:rPr>
          <w:rFonts w:ascii="Arabic Typesetting" w:hAnsi="Arabic Typesetting" w:cs="Arabic Typesetting"/>
          <w:sz w:val="34"/>
          <w:szCs w:val="34"/>
          <w:rtl/>
        </w:rPr>
        <w:t xml:space="preserve">مثل </w:t>
      </w:r>
      <w:r w:rsidRPr="00EA005D">
        <w:rPr>
          <w:rFonts w:ascii="Arabic Typesetting" w:hAnsi="Arabic Typesetting" w:cs="Arabic Typesetting"/>
          <w:sz w:val="34"/>
          <w:szCs w:val="34"/>
        </w:rPr>
        <w:t>ISO 27001</w:t>
      </w:r>
      <w:r>
        <w:rPr>
          <w:rFonts w:ascii="Arabic Typesetting" w:hAnsi="Arabic Typesetting" w:cs="Arabic Typesetting" w:hint="cs"/>
          <w:sz w:val="34"/>
          <w:szCs w:val="34"/>
          <w:rtl/>
        </w:rPr>
        <w:t>)</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مما سيتيح </w:t>
      </w:r>
      <w:r w:rsidRPr="00EA005D">
        <w:rPr>
          <w:rFonts w:ascii="Arabic Typesetting" w:hAnsi="Arabic Typesetting" w:cs="Arabic Typesetting"/>
          <w:sz w:val="34"/>
          <w:szCs w:val="34"/>
          <w:rtl/>
        </w:rPr>
        <w:t xml:space="preserve">ضمانات أكبر لرقابة </w:t>
      </w:r>
      <w:r>
        <w:rPr>
          <w:rFonts w:ascii="Arabic Typesetting" w:hAnsi="Arabic Typesetting" w:cs="Arabic Typesetting" w:hint="cs"/>
          <w:sz w:val="34"/>
          <w:szCs w:val="34"/>
          <w:rtl/>
        </w:rPr>
        <w:t>د</w:t>
      </w:r>
      <w:r w:rsidRPr="00EA005D">
        <w:rPr>
          <w:rFonts w:ascii="Arabic Typesetting" w:hAnsi="Arabic Typesetting" w:cs="Arabic Typesetting"/>
          <w:sz w:val="34"/>
          <w:szCs w:val="34"/>
          <w:rtl/>
        </w:rPr>
        <w:t xml:space="preserve">اخلية فعالة في حماية أصول الويبو </w:t>
      </w:r>
      <w:r>
        <w:rPr>
          <w:rFonts w:ascii="Arabic Typesetting" w:hAnsi="Arabic Typesetting" w:cs="Arabic Typesetting" w:hint="cs"/>
          <w:sz w:val="34"/>
          <w:szCs w:val="34"/>
          <w:rtl/>
        </w:rPr>
        <w:t>من المعلومات</w:t>
      </w:r>
      <w:r w:rsidRPr="00EA005D">
        <w:rPr>
          <w:rFonts w:ascii="Arabic Typesetting" w:hAnsi="Arabic Typesetting" w:cs="Arabic Typesetting"/>
          <w:sz w:val="34"/>
          <w:szCs w:val="34"/>
          <w:rtl/>
        </w:rPr>
        <w:t>.</w:t>
      </w:r>
    </w:p>
    <w:p w:rsidR="00072E5F" w:rsidRPr="00EA005D" w:rsidRDefault="00072E5F" w:rsidP="00DA5475">
      <w:pPr>
        <w:tabs>
          <w:tab w:val="left" w:pos="567"/>
        </w:tabs>
        <w:spacing w:after="120" w:line="340" w:lineRule="exact"/>
        <w:ind w:left="709"/>
        <w:rPr>
          <w:rFonts w:ascii="Arabic Typesetting" w:hAnsi="Arabic Typesetting" w:cs="Arabic Typesetting"/>
          <w:sz w:val="34"/>
          <w:szCs w:val="34"/>
          <w:rtl/>
        </w:rPr>
      </w:pPr>
      <w:r w:rsidRPr="00EA005D">
        <w:rPr>
          <w:rFonts w:ascii="Arabic Typesetting" w:hAnsi="Arabic Typesetting" w:cs="Arabic Typesetting"/>
          <w:sz w:val="34"/>
          <w:szCs w:val="34"/>
          <w:rtl/>
        </w:rPr>
        <w:lastRenderedPageBreak/>
        <w:t>"4"</w:t>
      </w:r>
      <w:r>
        <w:rPr>
          <w:rFonts w:ascii="Arabic Typesetting" w:hAnsi="Arabic Typesetting" w:cs="Arabic Typesetting" w:hint="cs"/>
          <w:sz w:val="34"/>
          <w:szCs w:val="34"/>
          <w:rtl/>
        </w:rPr>
        <w:tab/>
      </w:r>
      <w:r w:rsidRPr="00D3490A">
        <w:rPr>
          <w:rFonts w:ascii="Arabic Typesetting" w:hAnsi="Arabic Typesetting" w:cs="Arabic Typesetting"/>
          <w:i/>
          <w:iCs/>
          <w:sz w:val="34"/>
          <w:szCs w:val="34"/>
          <w:rtl/>
        </w:rPr>
        <w:t xml:space="preserve">حماية أصول الويبو </w:t>
      </w:r>
      <w:r w:rsidRPr="00D3490A">
        <w:rPr>
          <w:rFonts w:ascii="Arabic Typesetting" w:hAnsi="Arabic Typesetting" w:cs="Arabic Typesetting" w:hint="cs"/>
          <w:i/>
          <w:iCs/>
          <w:sz w:val="34"/>
          <w:szCs w:val="34"/>
          <w:rtl/>
        </w:rPr>
        <w:t xml:space="preserve">من </w:t>
      </w:r>
      <w:r w:rsidRPr="00D3490A">
        <w:rPr>
          <w:rFonts w:ascii="Arabic Typesetting" w:hAnsi="Arabic Typesetting" w:cs="Arabic Typesetting"/>
          <w:i/>
          <w:iCs/>
          <w:sz w:val="34"/>
          <w:szCs w:val="34"/>
          <w:rtl/>
        </w:rPr>
        <w:t>المعلومات الحساسة</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ستُنفذ سياسة ل</w:t>
      </w:r>
      <w:r w:rsidRPr="00EA005D">
        <w:rPr>
          <w:rFonts w:ascii="Arabic Typesetting" w:hAnsi="Arabic Typesetting" w:cs="Arabic Typesetting"/>
          <w:sz w:val="34"/>
          <w:szCs w:val="34"/>
          <w:rtl/>
        </w:rPr>
        <w:t xml:space="preserve">تصنيف المعلومات </w:t>
      </w:r>
      <w:r>
        <w:rPr>
          <w:rFonts w:ascii="Arabic Typesetting" w:hAnsi="Arabic Typesetting" w:cs="Arabic Typesetting" w:hint="cs"/>
          <w:sz w:val="34"/>
          <w:szCs w:val="34"/>
          <w:rtl/>
        </w:rPr>
        <w:t xml:space="preserve">ومعالجتها من أجل </w:t>
      </w:r>
      <w:r w:rsidRPr="00EA005D">
        <w:rPr>
          <w:rFonts w:ascii="Arabic Typesetting" w:hAnsi="Arabic Typesetting" w:cs="Arabic Typesetting"/>
          <w:sz w:val="34"/>
          <w:szCs w:val="34"/>
          <w:rtl/>
        </w:rPr>
        <w:t>ضمان حماية فعالة من حيث التكلفة و</w:t>
      </w:r>
      <w:r>
        <w:rPr>
          <w:rFonts w:ascii="Arabic Typesetting" w:hAnsi="Arabic Typesetting" w:cs="Arabic Typesetting" w:hint="cs"/>
          <w:sz w:val="34"/>
          <w:szCs w:val="34"/>
          <w:rtl/>
        </w:rPr>
        <w:t xml:space="preserve">قائمة </w:t>
      </w:r>
      <w:r w:rsidRPr="00EA005D">
        <w:rPr>
          <w:rFonts w:ascii="Arabic Typesetting" w:hAnsi="Arabic Typesetting" w:cs="Arabic Typesetting"/>
          <w:sz w:val="34"/>
          <w:szCs w:val="34"/>
          <w:rtl/>
        </w:rPr>
        <w:t xml:space="preserve">على </w:t>
      </w:r>
      <w:r>
        <w:rPr>
          <w:rFonts w:ascii="Arabic Typesetting" w:hAnsi="Arabic Typesetting" w:cs="Arabic Typesetting" w:hint="cs"/>
          <w:sz w:val="34"/>
          <w:szCs w:val="34"/>
          <w:rtl/>
        </w:rPr>
        <w:t>ا</w:t>
      </w:r>
      <w:r w:rsidRPr="00EA005D">
        <w:rPr>
          <w:rFonts w:ascii="Arabic Typesetting" w:hAnsi="Arabic Typesetting" w:cs="Arabic Typesetting"/>
          <w:sz w:val="34"/>
          <w:szCs w:val="34"/>
          <w:rtl/>
        </w:rPr>
        <w:t xml:space="preserve">لمخاطر لأصول الويبو </w:t>
      </w:r>
      <w:r>
        <w:rPr>
          <w:rFonts w:ascii="Arabic Typesetting" w:hAnsi="Arabic Typesetting" w:cs="Arabic Typesetting" w:hint="cs"/>
          <w:sz w:val="34"/>
          <w:szCs w:val="34"/>
          <w:rtl/>
        </w:rPr>
        <w:t>من ال</w:t>
      </w:r>
      <w:r w:rsidRPr="00EA005D">
        <w:rPr>
          <w:rFonts w:ascii="Arabic Typesetting" w:hAnsi="Arabic Typesetting" w:cs="Arabic Typesetting"/>
          <w:sz w:val="34"/>
          <w:szCs w:val="34"/>
          <w:rtl/>
        </w:rPr>
        <w:t xml:space="preserve">معلومات </w:t>
      </w:r>
      <w:r>
        <w:rPr>
          <w:rFonts w:ascii="Arabic Typesetting" w:hAnsi="Arabic Typesetting" w:cs="Arabic Typesetting" w:hint="cs"/>
          <w:sz w:val="34"/>
          <w:szCs w:val="34"/>
          <w:rtl/>
        </w:rPr>
        <w:t>ال</w:t>
      </w:r>
      <w:r w:rsidRPr="00EA005D">
        <w:rPr>
          <w:rFonts w:ascii="Arabic Typesetting" w:hAnsi="Arabic Typesetting" w:cs="Arabic Typesetting"/>
          <w:sz w:val="34"/>
          <w:szCs w:val="34"/>
          <w:rtl/>
        </w:rPr>
        <w:t>حساسة. وست</w:t>
      </w:r>
      <w:r>
        <w:rPr>
          <w:rFonts w:ascii="Arabic Typesetting" w:hAnsi="Arabic Typesetting" w:cs="Arabic Typesetting" w:hint="cs"/>
          <w:sz w:val="34"/>
          <w:szCs w:val="34"/>
          <w:rtl/>
        </w:rPr>
        <w:t>ُ</w:t>
      </w:r>
      <w:r w:rsidRPr="00EA005D">
        <w:rPr>
          <w:rFonts w:ascii="Arabic Typesetting" w:hAnsi="Arabic Typesetting" w:cs="Arabic Typesetting"/>
          <w:sz w:val="34"/>
          <w:szCs w:val="34"/>
          <w:rtl/>
        </w:rPr>
        <w:t>نفذ آليات الحماية</w:t>
      </w:r>
      <w:r>
        <w:rPr>
          <w:rFonts w:ascii="Arabic Typesetting" w:hAnsi="Arabic Typesetting" w:cs="Arabic Typesetting" w:hint="cs"/>
          <w:sz w:val="34"/>
          <w:szCs w:val="34"/>
          <w:rtl/>
        </w:rPr>
        <w:t xml:space="preserve"> المستمدة من تلك السياسة</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مراقبة </w:t>
      </w:r>
      <w:r>
        <w:rPr>
          <w:rFonts w:ascii="Arabic Typesetting" w:hAnsi="Arabic Typesetting" w:cs="Arabic Typesetting"/>
          <w:sz w:val="34"/>
          <w:szCs w:val="34"/>
          <w:rtl/>
        </w:rPr>
        <w:t>العملي</w:t>
      </w:r>
      <w:r>
        <w:rPr>
          <w:rFonts w:ascii="Arabic Typesetting" w:hAnsi="Arabic Typesetting" w:cs="Arabic Typesetting" w:hint="cs"/>
          <w:sz w:val="34"/>
          <w:szCs w:val="34"/>
          <w:rtl/>
        </w:rPr>
        <w:t>ات</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والجوانب</w:t>
      </w:r>
      <w:r w:rsidRPr="00EA005D">
        <w:rPr>
          <w:rFonts w:ascii="Arabic Typesetting" w:hAnsi="Arabic Typesetting" w:cs="Arabic Typesetting"/>
          <w:sz w:val="34"/>
          <w:szCs w:val="34"/>
          <w:rtl/>
        </w:rPr>
        <w:t xml:space="preserve"> ال</w:t>
      </w:r>
      <w:r>
        <w:rPr>
          <w:rFonts w:ascii="Arabic Typesetting" w:hAnsi="Arabic Typesetting" w:cs="Arabic Typesetting" w:hint="cs"/>
          <w:sz w:val="34"/>
          <w:szCs w:val="34"/>
          <w:rtl/>
        </w:rPr>
        <w:t>تقنية</w:t>
      </w:r>
      <w:r>
        <w:rPr>
          <w:rFonts w:ascii="Arabic Typesetting" w:hAnsi="Arabic Typesetting" w:cs="Arabic Typesetting"/>
          <w:sz w:val="34"/>
          <w:szCs w:val="34"/>
          <w:rtl/>
        </w:rPr>
        <w:t>)</w:t>
      </w:r>
      <w:r>
        <w:rPr>
          <w:rFonts w:ascii="Arabic Typesetting" w:hAnsi="Arabic Typesetting" w:cs="Arabic Typesetting" w:hint="cs"/>
          <w:sz w:val="34"/>
          <w:szCs w:val="34"/>
          <w:rtl/>
        </w:rPr>
        <w:t>، مما سي</w:t>
      </w:r>
      <w:r w:rsidRPr="00EA005D">
        <w:rPr>
          <w:rFonts w:ascii="Arabic Typesetting" w:hAnsi="Arabic Typesetting" w:cs="Arabic Typesetting"/>
          <w:sz w:val="34"/>
          <w:szCs w:val="34"/>
          <w:rtl/>
        </w:rPr>
        <w:t xml:space="preserve">عزز </w:t>
      </w:r>
      <w:r>
        <w:rPr>
          <w:rFonts w:ascii="Arabic Typesetting" w:hAnsi="Arabic Typesetting" w:cs="Arabic Typesetting" w:hint="cs"/>
          <w:sz w:val="34"/>
          <w:szCs w:val="34"/>
          <w:rtl/>
        </w:rPr>
        <w:t>مرونة</w:t>
      </w:r>
      <w:r w:rsidRPr="00EA005D">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نظام </w:t>
      </w:r>
      <w:r w:rsidRPr="00EA005D">
        <w:rPr>
          <w:rFonts w:ascii="Arabic Typesetting" w:hAnsi="Arabic Typesetting" w:cs="Arabic Typesetting"/>
          <w:sz w:val="34"/>
          <w:szCs w:val="34"/>
          <w:rtl/>
        </w:rPr>
        <w:t xml:space="preserve">معاهدة التعاون بشأن البراءات وغيرها من </w:t>
      </w:r>
      <w:r>
        <w:rPr>
          <w:rFonts w:ascii="Arabic Typesetting" w:hAnsi="Arabic Typesetting" w:cs="Arabic Typesetting" w:hint="cs"/>
          <w:sz w:val="34"/>
          <w:szCs w:val="34"/>
          <w:rtl/>
        </w:rPr>
        <w:t>أ</w:t>
      </w:r>
      <w:r w:rsidRPr="00EA005D">
        <w:rPr>
          <w:rFonts w:ascii="Arabic Typesetting" w:hAnsi="Arabic Typesetting" w:cs="Arabic Typesetting"/>
          <w:sz w:val="34"/>
          <w:szCs w:val="34"/>
          <w:rtl/>
        </w:rPr>
        <w:t>نظم</w:t>
      </w:r>
      <w:r>
        <w:rPr>
          <w:rFonts w:ascii="Arabic Typesetting" w:hAnsi="Arabic Typesetting" w:cs="Arabic Typesetting" w:hint="cs"/>
          <w:sz w:val="34"/>
          <w:szCs w:val="34"/>
          <w:rtl/>
        </w:rPr>
        <w:t>ة</w:t>
      </w:r>
      <w:r w:rsidRPr="00EA005D">
        <w:rPr>
          <w:rFonts w:ascii="Arabic Typesetting" w:hAnsi="Arabic Typesetting" w:cs="Arabic Typesetting"/>
          <w:sz w:val="34"/>
          <w:szCs w:val="34"/>
          <w:rtl/>
        </w:rPr>
        <w:t xml:space="preserve"> عمل </w:t>
      </w:r>
      <w:r>
        <w:rPr>
          <w:rFonts w:ascii="Arabic Typesetting" w:hAnsi="Arabic Typesetting" w:cs="Arabic Typesetting" w:hint="cs"/>
          <w:sz w:val="34"/>
          <w:szCs w:val="34"/>
          <w:rtl/>
        </w:rPr>
        <w:t xml:space="preserve">الويبو </w:t>
      </w:r>
      <w:r w:rsidRPr="00EA005D">
        <w:rPr>
          <w:rFonts w:ascii="Arabic Typesetting" w:hAnsi="Arabic Typesetting" w:cs="Arabic Typesetting"/>
          <w:sz w:val="34"/>
          <w:szCs w:val="34"/>
          <w:rtl/>
        </w:rPr>
        <w:t>الحساسة.</w:t>
      </w:r>
    </w:p>
    <w:p w:rsidR="00072E5F" w:rsidRPr="00EA005D" w:rsidRDefault="00072E5F" w:rsidP="00DA5475">
      <w:pPr>
        <w:tabs>
          <w:tab w:val="left" w:pos="567"/>
        </w:tabs>
        <w:spacing w:after="120" w:line="340" w:lineRule="exact"/>
        <w:ind w:left="709"/>
        <w:rPr>
          <w:rFonts w:ascii="Arabic Typesetting" w:hAnsi="Arabic Typesetting" w:cs="Arabic Typesetting"/>
          <w:sz w:val="34"/>
          <w:szCs w:val="34"/>
          <w:rtl/>
        </w:rPr>
      </w:pPr>
      <w:r w:rsidRPr="00036B51">
        <w:rPr>
          <w:rFonts w:ascii="Arabic Typesetting" w:hAnsi="Arabic Typesetting" w:cs="Arabic Typesetting"/>
          <w:sz w:val="34"/>
          <w:szCs w:val="34"/>
          <w:rtl/>
        </w:rPr>
        <w:t>"5"</w:t>
      </w:r>
      <w:r w:rsidRPr="00036B51">
        <w:rPr>
          <w:rFonts w:ascii="Arabic Typesetting" w:hAnsi="Arabic Typesetting" w:cs="Arabic Typesetting" w:hint="cs"/>
          <w:sz w:val="34"/>
          <w:szCs w:val="34"/>
          <w:rtl/>
        </w:rPr>
        <w:tab/>
      </w:r>
      <w:r w:rsidRPr="00036B51">
        <w:rPr>
          <w:rFonts w:ascii="Arabic Typesetting" w:hAnsi="Arabic Typesetting" w:cs="Arabic Typesetting"/>
          <w:i/>
          <w:iCs/>
          <w:sz w:val="34"/>
          <w:szCs w:val="34"/>
          <w:rtl/>
        </w:rPr>
        <w:t xml:space="preserve">تعزيز </w:t>
      </w:r>
      <w:r w:rsidRPr="00036B51">
        <w:rPr>
          <w:rFonts w:ascii="Arabic Typesetting" w:hAnsi="Arabic Typesetting" w:cs="Arabic Typesetting" w:hint="cs"/>
          <w:i/>
          <w:iCs/>
          <w:sz w:val="34"/>
          <w:szCs w:val="34"/>
          <w:rtl/>
        </w:rPr>
        <w:t>الدراية بالمحيط</w:t>
      </w:r>
      <w:r w:rsidRPr="00036B51">
        <w:rPr>
          <w:rFonts w:ascii="Arabic Typesetting" w:hAnsi="Arabic Typesetting" w:cs="Arabic Typesetting"/>
          <w:i/>
          <w:iCs/>
          <w:sz w:val="34"/>
          <w:szCs w:val="34"/>
          <w:rtl/>
        </w:rPr>
        <w:t xml:space="preserve"> و</w:t>
      </w:r>
      <w:r w:rsidRPr="00036B51">
        <w:rPr>
          <w:rFonts w:ascii="Arabic Typesetting" w:hAnsi="Arabic Typesetting" w:cs="Arabic Typesetting" w:hint="cs"/>
          <w:i/>
          <w:iCs/>
          <w:sz w:val="34"/>
          <w:szCs w:val="34"/>
          <w:rtl/>
        </w:rPr>
        <w:t xml:space="preserve">القدرة على </w:t>
      </w:r>
      <w:r w:rsidRPr="00036B51">
        <w:rPr>
          <w:rFonts w:ascii="Arabic Typesetting" w:hAnsi="Arabic Typesetting" w:cs="Arabic Typesetting"/>
          <w:i/>
          <w:iCs/>
          <w:sz w:val="34"/>
          <w:szCs w:val="34"/>
          <w:rtl/>
        </w:rPr>
        <w:t>الاستجابة</w:t>
      </w:r>
      <w:r w:rsidRPr="00036B51">
        <w:rPr>
          <w:rFonts w:ascii="Arabic Typesetting" w:hAnsi="Arabic Typesetting" w:cs="Arabic Typesetting"/>
          <w:sz w:val="34"/>
          <w:szCs w:val="34"/>
          <w:rtl/>
        </w:rPr>
        <w:t>: س</w:t>
      </w:r>
      <w:r w:rsidRPr="00036B51">
        <w:rPr>
          <w:rFonts w:ascii="Arabic Typesetting" w:hAnsi="Arabic Typesetting" w:cs="Arabic Typesetting" w:hint="cs"/>
          <w:sz w:val="34"/>
          <w:szCs w:val="34"/>
          <w:rtl/>
        </w:rPr>
        <w:t xml:space="preserve">تُجرى </w:t>
      </w:r>
      <w:r w:rsidRPr="00036B51">
        <w:rPr>
          <w:rFonts w:ascii="Arabic Typesetting" w:hAnsi="Arabic Typesetting" w:cs="Arabic Typesetting"/>
          <w:sz w:val="34"/>
          <w:szCs w:val="34"/>
          <w:rtl/>
        </w:rPr>
        <w:t xml:space="preserve">تحسينات على عمليات الويبو </w:t>
      </w:r>
      <w:r>
        <w:rPr>
          <w:rFonts w:ascii="Arabic Typesetting" w:hAnsi="Arabic Typesetting" w:cs="Arabic Typesetting" w:hint="cs"/>
          <w:sz w:val="34"/>
          <w:szCs w:val="34"/>
          <w:rtl/>
        </w:rPr>
        <w:t>الحالية</w:t>
      </w:r>
      <w:r w:rsidRPr="00036B51">
        <w:rPr>
          <w:rFonts w:ascii="Arabic Typesetting" w:hAnsi="Arabic Typesetting" w:cs="Arabic Typesetting"/>
          <w:sz w:val="34"/>
          <w:szCs w:val="34"/>
          <w:rtl/>
        </w:rPr>
        <w:t xml:space="preserve"> </w:t>
      </w:r>
      <w:r w:rsidRPr="00036B51">
        <w:rPr>
          <w:rFonts w:ascii="Arabic Typesetting" w:hAnsi="Arabic Typesetting" w:cs="Arabic Typesetting" w:hint="cs"/>
          <w:sz w:val="34"/>
          <w:szCs w:val="34"/>
          <w:rtl/>
        </w:rPr>
        <w:t xml:space="preserve">بشأن </w:t>
      </w:r>
      <w:r w:rsidRPr="00036B51">
        <w:rPr>
          <w:rFonts w:ascii="Arabic Typesetting" w:hAnsi="Arabic Typesetting" w:cs="Arabic Typesetting"/>
          <w:sz w:val="34"/>
          <w:szCs w:val="34"/>
          <w:rtl/>
        </w:rPr>
        <w:t xml:space="preserve">الأمن </w:t>
      </w:r>
      <w:r w:rsidRPr="00036B51">
        <w:rPr>
          <w:rFonts w:ascii="Arabic Typesetting" w:hAnsi="Arabic Typesetting" w:cs="Arabic Typesetting" w:hint="cs"/>
          <w:sz w:val="34"/>
          <w:szCs w:val="34"/>
          <w:rtl/>
        </w:rPr>
        <w:t>الإلكترون</w:t>
      </w:r>
      <w:r w:rsidRPr="00036B51">
        <w:rPr>
          <w:rFonts w:ascii="Arabic Typesetting" w:hAnsi="Arabic Typesetting" w:cs="Arabic Typesetting" w:hint="eastAsia"/>
          <w:sz w:val="34"/>
          <w:szCs w:val="34"/>
          <w:rtl/>
        </w:rPr>
        <w:t>ي</w:t>
      </w:r>
      <w:r w:rsidRPr="00036B51">
        <w:rPr>
          <w:rFonts w:ascii="Arabic Typesetting" w:hAnsi="Arabic Typesetting" w:cs="Arabic Typesetting"/>
          <w:sz w:val="34"/>
          <w:szCs w:val="34"/>
          <w:rtl/>
        </w:rPr>
        <w:t xml:space="preserve"> وتحس</w:t>
      </w:r>
      <w:r>
        <w:rPr>
          <w:rFonts w:ascii="Arabic Typesetting" w:hAnsi="Arabic Typesetting" w:cs="Arabic Typesetting" w:hint="cs"/>
          <w:sz w:val="34"/>
          <w:szCs w:val="34"/>
          <w:rtl/>
        </w:rPr>
        <w:t>ي</w:t>
      </w:r>
      <w:r w:rsidRPr="00036B51">
        <w:rPr>
          <w:rFonts w:ascii="Arabic Typesetting" w:hAnsi="Arabic Typesetting" w:cs="Arabic Typesetting"/>
          <w:sz w:val="34"/>
          <w:szCs w:val="34"/>
          <w:rtl/>
        </w:rPr>
        <w:t xml:space="preserve">ن </w:t>
      </w:r>
      <w:r>
        <w:rPr>
          <w:rFonts w:ascii="Arabic Typesetting" w:hAnsi="Arabic Typesetting" w:cs="Arabic Typesetting" w:hint="cs"/>
          <w:sz w:val="34"/>
          <w:szCs w:val="34"/>
          <w:rtl/>
        </w:rPr>
        <w:t>الم</w:t>
      </w:r>
      <w:r w:rsidRPr="00036B51">
        <w:rPr>
          <w:rFonts w:ascii="Arabic Typesetting" w:hAnsi="Arabic Typesetting" w:cs="Arabic Typesetting"/>
          <w:sz w:val="34"/>
          <w:szCs w:val="34"/>
          <w:rtl/>
        </w:rPr>
        <w:t>عرفة</w:t>
      </w:r>
      <w:r>
        <w:rPr>
          <w:rFonts w:ascii="Arabic Typesetting" w:hAnsi="Arabic Typesetting" w:cs="Arabic Typesetting" w:hint="cs"/>
          <w:sz w:val="34"/>
          <w:szCs w:val="34"/>
          <w:rtl/>
        </w:rPr>
        <w:t xml:space="preserve"> بالمعلومات الداخلية والخارجية الجاهزة للاستخدام عن حالات التهديد</w:t>
      </w:r>
      <w:r w:rsidRPr="00036B51">
        <w:rPr>
          <w:rFonts w:ascii="Arabic Typesetting" w:hAnsi="Arabic Typesetting" w:cs="Arabic Typesetting"/>
          <w:sz w:val="34"/>
          <w:szCs w:val="34"/>
          <w:rtl/>
        </w:rPr>
        <w:t xml:space="preserve">، سواء </w:t>
      </w:r>
      <w:r>
        <w:rPr>
          <w:rFonts w:ascii="Arabic Typesetting" w:hAnsi="Arabic Typesetting" w:cs="Arabic Typesetting" w:hint="cs"/>
          <w:sz w:val="34"/>
          <w:szCs w:val="34"/>
          <w:rtl/>
        </w:rPr>
        <w:t>الإلكترونية</w:t>
      </w:r>
      <w:r w:rsidRPr="00036B51">
        <w:rPr>
          <w:rFonts w:ascii="Arabic Typesetting" w:hAnsi="Arabic Typesetting" w:cs="Arabic Typesetting"/>
          <w:sz w:val="34"/>
          <w:szCs w:val="34"/>
          <w:rtl/>
        </w:rPr>
        <w:t xml:space="preserve"> </w:t>
      </w:r>
      <w:r>
        <w:rPr>
          <w:rFonts w:ascii="Arabic Typesetting" w:hAnsi="Arabic Typesetting" w:cs="Arabic Typesetting" w:hint="cs"/>
          <w:sz w:val="34"/>
          <w:szCs w:val="34"/>
          <w:rtl/>
        </w:rPr>
        <w:t>أ</w:t>
      </w:r>
      <w:r w:rsidRPr="00036B51">
        <w:rPr>
          <w:rFonts w:ascii="Arabic Typesetting" w:hAnsi="Arabic Typesetting" w:cs="Arabic Typesetting"/>
          <w:sz w:val="34"/>
          <w:szCs w:val="34"/>
          <w:rtl/>
        </w:rPr>
        <w:t>و</w:t>
      </w:r>
      <w:r>
        <w:rPr>
          <w:rFonts w:ascii="Arabic Typesetting" w:hAnsi="Arabic Typesetting" w:cs="Arabic Typesetting" w:hint="cs"/>
          <w:sz w:val="34"/>
          <w:szCs w:val="34"/>
          <w:rtl/>
        </w:rPr>
        <w:t xml:space="preserve"> </w:t>
      </w:r>
      <w:r w:rsidRPr="00036B51">
        <w:rPr>
          <w:rFonts w:ascii="Arabic Typesetting" w:hAnsi="Arabic Typesetting" w:cs="Arabic Typesetting"/>
          <w:sz w:val="34"/>
          <w:szCs w:val="34"/>
          <w:rtl/>
        </w:rPr>
        <w:t xml:space="preserve">المادية، لتحديد مؤشرات </w:t>
      </w:r>
      <w:r>
        <w:rPr>
          <w:rFonts w:ascii="Arabic Typesetting" w:hAnsi="Arabic Typesetting" w:cs="Arabic Typesetting" w:hint="cs"/>
          <w:sz w:val="34"/>
          <w:szCs w:val="34"/>
          <w:rtl/>
        </w:rPr>
        <w:t>الخطر</w:t>
      </w:r>
      <w:r w:rsidRPr="00FA59A5">
        <w:rPr>
          <w:rFonts w:ascii="Arabic Typesetting" w:hAnsi="Arabic Typesetting" w:cs="Arabic Typesetting"/>
          <w:sz w:val="34"/>
          <w:szCs w:val="34"/>
          <w:rtl/>
        </w:rPr>
        <w:t xml:space="preserve"> </w:t>
      </w:r>
      <w:r>
        <w:rPr>
          <w:rFonts w:ascii="Arabic Typesetting" w:hAnsi="Arabic Typesetting" w:cs="Arabic Typesetting" w:hint="cs"/>
          <w:sz w:val="34"/>
          <w:szCs w:val="34"/>
          <w:rtl/>
        </w:rPr>
        <w:t xml:space="preserve">بشكل </w:t>
      </w:r>
      <w:r w:rsidRPr="00036B51">
        <w:rPr>
          <w:rFonts w:ascii="Arabic Typesetting" w:hAnsi="Arabic Typesetting" w:cs="Arabic Typesetting"/>
          <w:sz w:val="34"/>
          <w:szCs w:val="34"/>
          <w:rtl/>
        </w:rPr>
        <w:t xml:space="preserve">استباقي. </w:t>
      </w:r>
      <w:r>
        <w:rPr>
          <w:rFonts w:ascii="Arabic Typesetting" w:hAnsi="Arabic Typesetting" w:cs="Arabic Typesetting" w:hint="cs"/>
          <w:sz w:val="34"/>
          <w:szCs w:val="34"/>
          <w:rtl/>
        </w:rPr>
        <w:t xml:space="preserve">وستُعزز إلى حد كبير أيضا </w:t>
      </w:r>
      <w:r w:rsidRPr="00036B51">
        <w:rPr>
          <w:rFonts w:ascii="Arabic Typesetting" w:hAnsi="Arabic Typesetting" w:cs="Arabic Typesetting"/>
          <w:sz w:val="34"/>
          <w:szCs w:val="34"/>
          <w:rtl/>
        </w:rPr>
        <w:t xml:space="preserve">قدرة الويبو </w:t>
      </w:r>
      <w:r>
        <w:rPr>
          <w:rFonts w:ascii="Arabic Typesetting" w:hAnsi="Arabic Typesetting" w:cs="Arabic Typesetting" w:hint="cs"/>
          <w:sz w:val="34"/>
          <w:szCs w:val="34"/>
          <w:rtl/>
        </w:rPr>
        <w:t xml:space="preserve">على الاستجابة </w:t>
      </w:r>
      <w:r w:rsidRPr="00036B51">
        <w:rPr>
          <w:rFonts w:ascii="Arabic Typesetting" w:hAnsi="Arabic Typesetting" w:cs="Arabic Typesetting"/>
          <w:sz w:val="34"/>
          <w:szCs w:val="34"/>
          <w:rtl/>
        </w:rPr>
        <w:t>لحوادث أمن المعلومات لضمان احتواء</w:t>
      </w:r>
      <w:r>
        <w:rPr>
          <w:rFonts w:ascii="Arabic Typesetting" w:hAnsi="Arabic Typesetting" w:cs="Arabic Typesetting" w:hint="cs"/>
          <w:sz w:val="34"/>
          <w:szCs w:val="34"/>
          <w:rtl/>
        </w:rPr>
        <w:t xml:space="preserve"> سريع للحوادث</w:t>
      </w:r>
      <w:r w:rsidRPr="00036B5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وتعطيل</w:t>
      </w:r>
      <w:r w:rsidRPr="00036B51">
        <w:rPr>
          <w:rFonts w:ascii="Arabic Typesetting" w:hAnsi="Arabic Typesetting" w:cs="Arabic Typesetting"/>
          <w:sz w:val="34"/>
          <w:szCs w:val="34"/>
          <w:rtl/>
        </w:rPr>
        <w:t xml:space="preserve"> أقل </w:t>
      </w:r>
      <w:r>
        <w:rPr>
          <w:rFonts w:ascii="Arabic Typesetting" w:hAnsi="Arabic Typesetting" w:cs="Arabic Typesetting" w:hint="cs"/>
          <w:sz w:val="34"/>
          <w:szCs w:val="34"/>
          <w:rtl/>
        </w:rPr>
        <w:t>لل</w:t>
      </w:r>
      <w:r w:rsidRPr="00036B51">
        <w:rPr>
          <w:rFonts w:ascii="Arabic Typesetting" w:hAnsi="Arabic Typesetting" w:cs="Arabic Typesetting"/>
          <w:sz w:val="34"/>
          <w:szCs w:val="34"/>
          <w:rtl/>
        </w:rPr>
        <w:t>عمل.</w:t>
      </w:r>
    </w:p>
    <w:p w:rsidR="00072E5F" w:rsidRPr="009A52B0" w:rsidRDefault="00072E5F" w:rsidP="00861CFF">
      <w:pPr>
        <w:numPr>
          <w:ilvl w:val="0"/>
          <w:numId w:val="43"/>
        </w:numPr>
        <w:spacing w:after="240" w:line="340" w:lineRule="exact"/>
        <w:rPr>
          <w:rFonts w:ascii="Arabic Typesetting" w:hAnsi="Arabic Typesetting" w:cs="Arabic Typesetting"/>
          <w:sz w:val="34"/>
          <w:szCs w:val="34"/>
          <w:rtl/>
        </w:rPr>
      </w:pPr>
      <w:r w:rsidRPr="009A52B0">
        <w:rPr>
          <w:rFonts w:ascii="Arabic Typesetting" w:hAnsi="Arabic Typesetting" w:cs="Arabic Typesetting"/>
          <w:sz w:val="34"/>
          <w:szCs w:val="34"/>
          <w:rtl/>
        </w:rPr>
        <w:t>وس</w:t>
      </w:r>
      <w:r>
        <w:rPr>
          <w:rFonts w:ascii="Arabic Typesetting" w:hAnsi="Arabic Typesetting" w:cs="Arabic Typesetting" w:hint="cs"/>
          <w:sz w:val="34"/>
          <w:szCs w:val="34"/>
          <w:rtl/>
        </w:rPr>
        <w:t xml:space="preserve">يتواصل إجراء </w:t>
      </w:r>
      <w:r w:rsidRPr="009A52B0">
        <w:rPr>
          <w:rFonts w:ascii="Arabic Typesetting" w:hAnsi="Arabic Typesetting" w:cs="Arabic Typesetting"/>
          <w:sz w:val="34"/>
          <w:szCs w:val="34"/>
          <w:rtl/>
        </w:rPr>
        <w:t xml:space="preserve">التحسينات </w:t>
      </w:r>
      <w:r>
        <w:rPr>
          <w:rFonts w:ascii="Arabic Typesetting" w:hAnsi="Arabic Typesetting" w:cs="Arabic Typesetting" w:hint="cs"/>
          <w:sz w:val="34"/>
          <w:szCs w:val="34"/>
          <w:rtl/>
        </w:rPr>
        <w:t xml:space="preserve">المتعلقة بالجوانب </w:t>
      </w:r>
      <w:r w:rsidRPr="009A52B0">
        <w:rPr>
          <w:rFonts w:ascii="Arabic Typesetting" w:hAnsi="Arabic Typesetting" w:cs="Arabic Typesetting"/>
          <w:sz w:val="34"/>
          <w:szCs w:val="34"/>
          <w:rtl/>
        </w:rPr>
        <w:t xml:space="preserve">المادية والسلامة </w:t>
      </w:r>
      <w:r>
        <w:rPr>
          <w:rFonts w:ascii="Arabic Typesetting" w:hAnsi="Arabic Typesetting" w:cs="Arabic Typesetting" w:hint="cs"/>
          <w:sz w:val="34"/>
          <w:szCs w:val="34"/>
          <w:rtl/>
        </w:rPr>
        <w:t>عبر</w:t>
      </w:r>
      <w:r w:rsidRPr="009A52B0">
        <w:rPr>
          <w:rFonts w:ascii="Arabic Typesetting" w:hAnsi="Arabic Typesetting" w:cs="Arabic Typesetting"/>
          <w:sz w:val="34"/>
          <w:szCs w:val="34"/>
          <w:rtl/>
        </w:rPr>
        <w:t xml:space="preserve"> إدارة المخاطر والرصد المستمر لتهديدات الأمن والسلامة </w:t>
      </w:r>
      <w:r>
        <w:rPr>
          <w:rFonts w:ascii="Arabic Typesetting" w:hAnsi="Arabic Typesetting" w:cs="Arabic Typesetting" w:hint="cs"/>
          <w:sz w:val="34"/>
          <w:szCs w:val="34"/>
          <w:rtl/>
        </w:rPr>
        <w:t>الماديين</w:t>
      </w:r>
      <w:r>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وسيستمر كذلك</w:t>
      </w:r>
      <w:r w:rsidRPr="009A52B0">
        <w:rPr>
          <w:rFonts w:ascii="Arabic Typesetting" w:hAnsi="Arabic Typesetting" w:cs="Arabic Typesetting"/>
          <w:sz w:val="34"/>
          <w:szCs w:val="34"/>
          <w:rtl/>
        </w:rPr>
        <w:t xml:space="preserve"> تعزيز سياسات وإجراءات الأمن والسلامة</w:t>
      </w:r>
      <w:r>
        <w:rPr>
          <w:rFonts w:ascii="Arabic Typesetting" w:hAnsi="Arabic Typesetting" w:cs="Arabic Typesetting" w:hint="cs"/>
          <w:sz w:val="34"/>
          <w:szCs w:val="34"/>
          <w:rtl/>
        </w:rPr>
        <w:t>،</w:t>
      </w:r>
      <w:r w:rsidRPr="009A52B0">
        <w:rPr>
          <w:rFonts w:ascii="Arabic Typesetting" w:hAnsi="Arabic Typesetting" w:cs="Arabic Typesetting"/>
          <w:sz w:val="34"/>
          <w:szCs w:val="34"/>
          <w:rtl/>
        </w:rPr>
        <w:t xml:space="preserve"> و</w:t>
      </w:r>
      <w:r>
        <w:rPr>
          <w:rFonts w:ascii="Arabic Typesetting" w:hAnsi="Arabic Typesetting" w:cs="Arabic Typesetting" w:hint="cs"/>
          <w:sz w:val="34"/>
          <w:szCs w:val="34"/>
          <w:rtl/>
        </w:rPr>
        <w:t xml:space="preserve">إذكاء </w:t>
      </w:r>
      <w:r w:rsidRPr="009A52B0">
        <w:rPr>
          <w:rFonts w:ascii="Arabic Typesetting" w:hAnsi="Arabic Typesetting" w:cs="Arabic Typesetting"/>
          <w:sz w:val="34"/>
          <w:szCs w:val="34"/>
          <w:rtl/>
        </w:rPr>
        <w:t>وعي الحراس وتدريب</w:t>
      </w:r>
      <w:r>
        <w:rPr>
          <w:rFonts w:ascii="Arabic Typesetting" w:hAnsi="Arabic Typesetting" w:cs="Arabic Typesetting" w:hint="cs"/>
          <w:sz w:val="34"/>
          <w:szCs w:val="34"/>
          <w:rtl/>
        </w:rPr>
        <w:t>هم،</w:t>
      </w:r>
      <w:r w:rsidRPr="009A52B0">
        <w:rPr>
          <w:rFonts w:ascii="Arabic Typesetting" w:hAnsi="Arabic Typesetting" w:cs="Arabic Typesetting"/>
          <w:sz w:val="34"/>
          <w:szCs w:val="34"/>
          <w:rtl/>
        </w:rPr>
        <w:t xml:space="preserve"> وتعزيز رصد أداء الموردين. </w:t>
      </w:r>
      <w:r>
        <w:rPr>
          <w:rFonts w:ascii="Arabic Typesetting" w:hAnsi="Arabic Typesetting" w:cs="Arabic Typesetting" w:hint="cs"/>
          <w:sz w:val="34"/>
          <w:szCs w:val="34"/>
          <w:rtl/>
        </w:rPr>
        <w:t>و</w:t>
      </w:r>
      <w:r w:rsidRPr="009A52B0">
        <w:rPr>
          <w:rFonts w:ascii="Arabic Typesetting" w:hAnsi="Arabic Typesetting" w:cs="Arabic Typesetting"/>
          <w:sz w:val="34"/>
          <w:szCs w:val="34"/>
          <w:rtl/>
        </w:rPr>
        <w:t>بالإضافة إلى ذلك، س</w:t>
      </w:r>
      <w:r>
        <w:rPr>
          <w:rFonts w:ascii="Arabic Typesetting" w:hAnsi="Arabic Typesetting" w:cs="Arabic Typesetting" w:hint="cs"/>
          <w:sz w:val="34"/>
          <w:szCs w:val="34"/>
          <w:rtl/>
        </w:rPr>
        <w:t>يُ</w:t>
      </w:r>
      <w:r w:rsidRPr="009A52B0">
        <w:rPr>
          <w:rFonts w:ascii="Arabic Typesetting" w:hAnsi="Arabic Typesetting" w:cs="Arabic Typesetting"/>
          <w:sz w:val="34"/>
          <w:szCs w:val="34"/>
          <w:rtl/>
        </w:rPr>
        <w:t>دمج الأمن</w:t>
      </w:r>
      <w:r>
        <w:rPr>
          <w:rFonts w:ascii="Arabic Typesetting" w:hAnsi="Arabic Typesetting" w:cs="Arabic Typesetting" w:hint="cs"/>
          <w:sz w:val="34"/>
          <w:szCs w:val="34"/>
          <w:rtl/>
        </w:rPr>
        <w:t xml:space="preserve"> والسلامة </w:t>
      </w:r>
      <w:r w:rsidRPr="009A52B0">
        <w:rPr>
          <w:rFonts w:ascii="Arabic Typesetting" w:hAnsi="Arabic Typesetting" w:cs="Arabic Typesetting"/>
          <w:sz w:val="34"/>
          <w:szCs w:val="34"/>
          <w:rtl/>
        </w:rPr>
        <w:t>المادي</w:t>
      </w:r>
      <w:r>
        <w:rPr>
          <w:rFonts w:ascii="Arabic Typesetting" w:hAnsi="Arabic Typesetting" w:cs="Arabic Typesetting" w:hint="cs"/>
          <w:sz w:val="34"/>
          <w:szCs w:val="34"/>
          <w:rtl/>
        </w:rPr>
        <w:t>ان</w:t>
      </w:r>
      <w:r w:rsidRPr="009A52B0">
        <w:rPr>
          <w:rFonts w:ascii="Arabic Typesetting" w:hAnsi="Arabic Typesetting" w:cs="Arabic Typesetting"/>
          <w:sz w:val="34"/>
          <w:szCs w:val="34"/>
          <w:rtl/>
        </w:rPr>
        <w:t xml:space="preserve"> بشكل كامل في عمليات إدارة الأزمات وإدارة استمرارية العمل.</w:t>
      </w:r>
    </w:p>
    <w:p w:rsidR="00072E5F" w:rsidRPr="009A52B0" w:rsidRDefault="00072E5F" w:rsidP="00861CFF">
      <w:pPr>
        <w:numPr>
          <w:ilvl w:val="0"/>
          <w:numId w:val="43"/>
        </w:numPr>
        <w:spacing w:after="240" w:line="340" w:lineRule="exact"/>
        <w:rPr>
          <w:rFonts w:ascii="Arabic Typesetting" w:hAnsi="Arabic Typesetting" w:cs="Arabic Typesetting"/>
          <w:sz w:val="34"/>
          <w:szCs w:val="34"/>
        </w:rPr>
      </w:pPr>
      <w:r>
        <w:rPr>
          <w:rFonts w:ascii="Arabic Typesetting" w:hAnsi="Arabic Typesetting" w:cs="Arabic Typesetting" w:hint="cs"/>
          <w:sz w:val="34"/>
          <w:szCs w:val="34"/>
          <w:rtl/>
        </w:rPr>
        <w:t>وسيمضي البرنامج</w:t>
      </w:r>
      <w:r w:rsidRPr="009A52B0">
        <w:rPr>
          <w:rFonts w:ascii="Arabic Typesetting" w:hAnsi="Arabic Typesetting" w:cs="Arabic Typesetting"/>
          <w:sz w:val="34"/>
          <w:szCs w:val="34"/>
          <w:rtl/>
        </w:rPr>
        <w:t xml:space="preserve"> </w:t>
      </w:r>
      <w:r>
        <w:rPr>
          <w:rFonts w:ascii="Arabic Typesetting" w:hAnsi="Arabic Typesetting" w:cs="Arabic Typesetting" w:hint="cs"/>
          <w:sz w:val="34"/>
          <w:szCs w:val="34"/>
          <w:rtl/>
        </w:rPr>
        <w:t>في التركيز على إذكاء وعي م</w:t>
      </w:r>
      <w:r w:rsidRPr="009A52B0">
        <w:rPr>
          <w:rFonts w:ascii="Arabic Typesetting" w:hAnsi="Arabic Typesetting" w:cs="Arabic Typesetting"/>
          <w:sz w:val="34"/>
          <w:szCs w:val="34"/>
          <w:rtl/>
        </w:rPr>
        <w:t xml:space="preserve">وظفي الويبو </w:t>
      </w:r>
      <w:r>
        <w:rPr>
          <w:rFonts w:ascii="Arabic Typesetting" w:hAnsi="Arabic Typesetting" w:cs="Arabic Typesetting" w:hint="cs"/>
          <w:sz w:val="34"/>
          <w:szCs w:val="34"/>
          <w:rtl/>
        </w:rPr>
        <w:t>ب</w:t>
      </w:r>
      <w:r w:rsidRPr="009A52B0">
        <w:rPr>
          <w:rFonts w:ascii="Arabic Typesetting" w:hAnsi="Arabic Typesetting" w:cs="Arabic Typesetting"/>
          <w:sz w:val="34"/>
          <w:szCs w:val="34"/>
          <w:rtl/>
        </w:rPr>
        <w:t xml:space="preserve">تدابير الأمن والسلامة </w:t>
      </w:r>
      <w:r>
        <w:rPr>
          <w:rFonts w:ascii="Arabic Typesetting" w:hAnsi="Arabic Typesetting" w:cs="Arabic Typesetting" w:hint="cs"/>
          <w:sz w:val="34"/>
          <w:szCs w:val="34"/>
          <w:rtl/>
        </w:rPr>
        <w:t>الماديين</w:t>
      </w:r>
      <w:r w:rsidRPr="009A52B0">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وباستخدام</w:t>
      </w:r>
      <w:r w:rsidRPr="009A52B0">
        <w:rPr>
          <w:rFonts w:ascii="Arabic Typesetting" w:hAnsi="Arabic Typesetting" w:cs="Arabic Typesetting"/>
          <w:sz w:val="34"/>
          <w:szCs w:val="34"/>
          <w:rtl/>
        </w:rPr>
        <w:t xml:space="preserve"> أنظمة جديدة </w:t>
      </w:r>
      <w:r>
        <w:rPr>
          <w:rFonts w:ascii="Arabic Typesetting" w:hAnsi="Arabic Typesetting" w:cs="Arabic Typesetting" w:hint="cs"/>
          <w:sz w:val="34"/>
          <w:szCs w:val="34"/>
          <w:rtl/>
        </w:rPr>
        <w:t>ل</w:t>
      </w:r>
      <w:r w:rsidRPr="009A52B0">
        <w:rPr>
          <w:rFonts w:ascii="Arabic Typesetting" w:hAnsi="Arabic Typesetting" w:cs="Arabic Typesetting"/>
          <w:sz w:val="34"/>
          <w:szCs w:val="34"/>
          <w:rtl/>
        </w:rPr>
        <w:t xml:space="preserve">لأمن والسلامة </w:t>
      </w:r>
      <w:r>
        <w:rPr>
          <w:rFonts w:ascii="Arabic Typesetting" w:hAnsi="Arabic Typesetting" w:cs="Arabic Typesetting" w:hint="cs"/>
          <w:sz w:val="34"/>
          <w:szCs w:val="34"/>
          <w:rtl/>
        </w:rPr>
        <w:t>الماديين</w:t>
      </w:r>
      <w:r w:rsidRPr="009A52B0">
        <w:rPr>
          <w:rFonts w:ascii="Arabic Typesetting" w:hAnsi="Arabic Typesetting" w:cs="Arabic Typesetting"/>
          <w:sz w:val="34"/>
          <w:szCs w:val="34"/>
          <w:rtl/>
        </w:rPr>
        <w:t>، سيتحقق تكامل</w:t>
      </w:r>
      <w:r>
        <w:rPr>
          <w:rFonts w:ascii="Arabic Typesetting" w:hAnsi="Arabic Typesetting" w:cs="Arabic Typesetting" w:hint="cs"/>
          <w:sz w:val="34"/>
          <w:szCs w:val="34"/>
          <w:rtl/>
        </w:rPr>
        <w:t xml:space="preserve"> أكبر </w:t>
      </w:r>
      <w:r w:rsidRPr="009A52B0">
        <w:rPr>
          <w:rFonts w:ascii="Arabic Typesetting" w:hAnsi="Arabic Typesetting" w:cs="Arabic Typesetting"/>
          <w:sz w:val="34"/>
          <w:szCs w:val="34"/>
          <w:rtl/>
        </w:rPr>
        <w:t xml:space="preserve">بين </w:t>
      </w:r>
      <w:r>
        <w:rPr>
          <w:rFonts w:ascii="Arabic Typesetting" w:hAnsi="Arabic Typesetting" w:cs="Arabic Typesetting" w:hint="cs"/>
          <w:sz w:val="34"/>
          <w:szCs w:val="34"/>
          <w:rtl/>
        </w:rPr>
        <w:t>تلك</w:t>
      </w:r>
      <w:r w:rsidRPr="009A52B0">
        <w:rPr>
          <w:rFonts w:ascii="Arabic Typesetting" w:hAnsi="Arabic Typesetting" w:cs="Arabic Typesetting"/>
          <w:sz w:val="34"/>
          <w:szCs w:val="34"/>
          <w:rtl/>
        </w:rPr>
        <w:t xml:space="preserve"> الأنظمة</w:t>
      </w:r>
      <w:r>
        <w:rPr>
          <w:rFonts w:ascii="Arabic Typesetting" w:hAnsi="Arabic Typesetting" w:cs="Arabic Typesetting" w:hint="cs"/>
          <w:sz w:val="34"/>
          <w:szCs w:val="34"/>
          <w:rtl/>
        </w:rPr>
        <w:t xml:space="preserve"> </w:t>
      </w:r>
      <w:r>
        <w:rPr>
          <w:rFonts w:ascii="Arabic Typesetting" w:hAnsi="Arabic Typesetting" w:cs="Arabic Typesetting"/>
          <w:sz w:val="34"/>
          <w:szCs w:val="34"/>
          <w:rtl/>
        </w:rPr>
        <w:t>و</w:t>
      </w:r>
      <w:r>
        <w:rPr>
          <w:rFonts w:ascii="Arabic Typesetting" w:hAnsi="Arabic Typesetting" w:cs="Arabic Typesetting" w:hint="cs"/>
          <w:sz w:val="34"/>
          <w:szCs w:val="34"/>
          <w:rtl/>
        </w:rPr>
        <w:t>سيتم التخلي عن ال</w:t>
      </w:r>
      <w:r w:rsidRPr="009A52B0">
        <w:rPr>
          <w:rFonts w:ascii="Arabic Typesetting" w:hAnsi="Arabic Typesetting" w:cs="Arabic Typesetting"/>
          <w:sz w:val="34"/>
          <w:szCs w:val="34"/>
          <w:rtl/>
        </w:rPr>
        <w:t xml:space="preserve">أنظمة </w:t>
      </w:r>
      <w:r>
        <w:rPr>
          <w:rFonts w:ascii="Arabic Typesetting" w:hAnsi="Arabic Typesetting" w:cs="Arabic Typesetting" w:hint="cs"/>
          <w:sz w:val="34"/>
          <w:szCs w:val="34"/>
          <w:rtl/>
        </w:rPr>
        <w:t>ال</w:t>
      </w:r>
      <w:r w:rsidRPr="009A52B0">
        <w:rPr>
          <w:rFonts w:ascii="Arabic Typesetting" w:hAnsi="Arabic Typesetting" w:cs="Arabic Typesetting"/>
          <w:sz w:val="34"/>
          <w:szCs w:val="34"/>
          <w:rtl/>
        </w:rPr>
        <w:t>قديمة.</w:t>
      </w:r>
    </w:p>
    <w:p w:rsidR="00072E5F" w:rsidRPr="008954A8" w:rsidRDefault="00072E5F" w:rsidP="00DA5475">
      <w:pPr>
        <w:pStyle w:val="ARProgramHeading2"/>
        <w:rPr>
          <w:rtl/>
        </w:rPr>
      </w:pPr>
      <w:r w:rsidRPr="008954A8">
        <w:rPr>
          <w:rFonts w:hint="cs"/>
          <w:rtl/>
        </w:rPr>
        <w:t xml:space="preserve">المخاطر الرئيسية واستراتيجيات </w:t>
      </w:r>
      <w:r>
        <w:rPr>
          <w:rFonts w:hint="cs"/>
          <w:rtl/>
        </w:rPr>
        <w:t>التخفيف منها</w:t>
      </w:r>
    </w:p>
    <w:tbl>
      <w:tblPr>
        <w:bidiVisual/>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22"/>
        <w:gridCol w:w="4620"/>
      </w:tblGrid>
      <w:tr w:rsidR="00072E5F" w:rsidRPr="008954A8" w:rsidTr="00DA5475">
        <w:trPr>
          <w:trHeight w:val="765"/>
          <w:jc w:val="center"/>
        </w:trPr>
        <w:tc>
          <w:tcPr>
            <w:tcW w:w="4422" w:type="dxa"/>
            <w:tcBorders>
              <w:top w:val="single" w:sz="4" w:space="0" w:color="auto"/>
              <w:bottom w:val="single" w:sz="4" w:space="0" w:color="auto"/>
            </w:tcBorders>
            <w:shd w:val="clear" w:color="auto" w:fill="C6D9F1"/>
          </w:tcPr>
          <w:p w:rsidR="00072E5F" w:rsidRPr="008954A8" w:rsidRDefault="00072E5F" w:rsidP="00DA5475">
            <w:pPr>
              <w:pStyle w:val="ARProgramTableHeading"/>
              <w:spacing w:beforeLines="60" w:before="144" w:afterLines="60" w:after="144" w:line="300" w:lineRule="exact"/>
              <w:rPr>
                <w:rtl/>
                <w:lang w:bidi="ar-SA"/>
              </w:rPr>
            </w:pPr>
            <w:r>
              <w:rPr>
                <w:rFonts w:hint="cs"/>
                <w:rtl/>
                <w:lang w:bidi="ar-SA"/>
              </w:rPr>
              <w:t>المخاطر</w:t>
            </w:r>
          </w:p>
        </w:tc>
        <w:tc>
          <w:tcPr>
            <w:tcW w:w="4620" w:type="dxa"/>
            <w:tcBorders>
              <w:top w:val="single" w:sz="4" w:space="0" w:color="auto"/>
              <w:bottom w:val="single" w:sz="4" w:space="0" w:color="auto"/>
            </w:tcBorders>
            <w:shd w:val="clear" w:color="auto" w:fill="C6D9F1"/>
          </w:tcPr>
          <w:p w:rsidR="00072E5F" w:rsidRPr="008954A8" w:rsidRDefault="00072E5F" w:rsidP="00DA5475">
            <w:pPr>
              <w:pStyle w:val="ARProgramTableHeading"/>
              <w:spacing w:beforeLines="60" w:before="144" w:afterLines="60" w:after="144" w:line="300" w:lineRule="exact"/>
              <w:rPr>
                <w:rtl/>
              </w:rPr>
            </w:pPr>
            <w:r>
              <w:rPr>
                <w:rFonts w:hint="cs"/>
                <w:rtl/>
              </w:rPr>
              <w:t>التخفيف منها</w:t>
            </w:r>
          </w:p>
        </w:tc>
      </w:tr>
      <w:tr w:rsidR="00072E5F" w:rsidRPr="008954A8" w:rsidTr="00072E5F">
        <w:trPr>
          <w:trHeight w:val="1939"/>
          <w:jc w:val="center"/>
        </w:trPr>
        <w:tc>
          <w:tcPr>
            <w:tcW w:w="4422" w:type="dxa"/>
            <w:tcBorders>
              <w:top w:val="single" w:sz="4" w:space="0" w:color="auto"/>
              <w:left w:val="single" w:sz="4" w:space="0" w:color="auto"/>
              <w:bottom w:val="nil"/>
              <w:right w:val="nil"/>
            </w:tcBorders>
            <w:tcMar>
              <w:top w:w="113" w:type="dxa"/>
            </w:tcMar>
          </w:tcPr>
          <w:p w:rsidR="00072E5F" w:rsidRPr="008954A8" w:rsidRDefault="00072E5F" w:rsidP="00DA5475">
            <w:pPr>
              <w:spacing w:beforeLines="60" w:before="144" w:afterLines="60" w:after="144"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rPr>
              <w:t>على غرار ال</w:t>
            </w:r>
            <w:r w:rsidRPr="00BD2C2B">
              <w:rPr>
                <w:rFonts w:ascii="Arabic Typesetting" w:hAnsi="Arabic Typesetting" w:cs="Arabic Typesetting"/>
                <w:sz w:val="30"/>
                <w:szCs w:val="30"/>
                <w:rtl/>
              </w:rPr>
              <w:t xml:space="preserve">منظمات </w:t>
            </w:r>
            <w:r>
              <w:rPr>
                <w:rFonts w:ascii="Arabic Typesetting" w:hAnsi="Arabic Typesetting" w:cs="Arabic Typesetting" w:hint="cs"/>
                <w:sz w:val="30"/>
                <w:szCs w:val="30"/>
                <w:rtl/>
              </w:rPr>
              <w:t>ال</w:t>
            </w:r>
            <w:r w:rsidRPr="00BD2C2B">
              <w:rPr>
                <w:rFonts w:ascii="Arabic Typesetting" w:hAnsi="Arabic Typesetting" w:cs="Arabic Typesetting"/>
                <w:sz w:val="30"/>
                <w:szCs w:val="30"/>
                <w:rtl/>
              </w:rPr>
              <w:t xml:space="preserve">أخرى، الويبو </w:t>
            </w:r>
            <w:r>
              <w:rPr>
                <w:rFonts w:ascii="Arabic Typesetting" w:hAnsi="Arabic Typesetting" w:cs="Arabic Typesetting" w:hint="cs"/>
                <w:sz w:val="30"/>
                <w:szCs w:val="30"/>
                <w:rtl/>
              </w:rPr>
              <w:t xml:space="preserve">معرضة </w:t>
            </w:r>
            <w:r>
              <w:rPr>
                <w:rFonts w:ascii="Arabic Typesetting" w:hAnsi="Arabic Typesetting" w:cs="Arabic Typesetting"/>
                <w:sz w:val="30"/>
                <w:szCs w:val="30"/>
                <w:rtl/>
              </w:rPr>
              <w:t>لخطر الهجمات ال</w:t>
            </w:r>
            <w:r>
              <w:rPr>
                <w:rFonts w:ascii="Arabic Typesetting" w:hAnsi="Arabic Typesetting" w:cs="Arabic Typesetting" w:hint="cs"/>
                <w:sz w:val="30"/>
                <w:szCs w:val="30"/>
                <w:rtl/>
              </w:rPr>
              <w:t>إ</w:t>
            </w:r>
            <w:r w:rsidRPr="00BD2C2B">
              <w:rPr>
                <w:rFonts w:ascii="Arabic Typesetting" w:hAnsi="Arabic Typesetting" w:cs="Arabic Typesetting"/>
                <w:sz w:val="30"/>
                <w:szCs w:val="30"/>
                <w:rtl/>
              </w:rPr>
              <w:t xml:space="preserve">لكترونية وخطر </w:t>
            </w:r>
            <w:r>
              <w:rPr>
                <w:rFonts w:ascii="Arabic Typesetting" w:hAnsi="Arabic Typesetting" w:cs="Arabic Typesetting" w:hint="cs"/>
                <w:sz w:val="30"/>
                <w:szCs w:val="30"/>
                <w:rtl/>
              </w:rPr>
              <w:t>الا</w:t>
            </w:r>
            <w:r w:rsidRPr="00BD2C2B">
              <w:rPr>
                <w:rFonts w:ascii="Arabic Typesetting" w:hAnsi="Arabic Typesetting" w:cs="Arabic Typesetting"/>
                <w:sz w:val="30"/>
                <w:szCs w:val="30"/>
                <w:rtl/>
              </w:rPr>
              <w:t>خ</w:t>
            </w:r>
            <w:r>
              <w:rPr>
                <w:rFonts w:ascii="Arabic Typesetting" w:hAnsi="Arabic Typesetting" w:cs="Arabic Typesetting" w:hint="cs"/>
                <w:sz w:val="30"/>
                <w:szCs w:val="30"/>
                <w:rtl/>
              </w:rPr>
              <w:t>ت</w:t>
            </w:r>
            <w:r w:rsidRPr="00BD2C2B">
              <w:rPr>
                <w:rFonts w:ascii="Arabic Typesetting" w:hAnsi="Arabic Typesetting" w:cs="Arabic Typesetting"/>
                <w:sz w:val="30"/>
                <w:szCs w:val="30"/>
                <w:rtl/>
              </w:rPr>
              <w:t>ر</w:t>
            </w:r>
            <w:r>
              <w:rPr>
                <w:rFonts w:ascii="Arabic Typesetting" w:hAnsi="Arabic Typesetting" w:cs="Arabic Typesetting" w:hint="cs"/>
                <w:sz w:val="30"/>
                <w:szCs w:val="30"/>
                <w:rtl/>
              </w:rPr>
              <w:t>ا</w:t>
            </w:r>
            <w:r w:rsidRPr="00BD2C2B">
              <w:rPr>
                <w:rFonts w:ascii="Arabic Typesetting" w:hAnsi="Arabic Typesetting" w:cs="Arabic Typesetting"/>
                <w:sz w:val="30"/>
                <w:szCs w:val="30"/>
                <w:rtl/>
              </w:rPr>
              <w:t xml:space="preserve">ق </w:t>
            </w:r>
            <w:r>
              <w:rPr>
                <w:rFonts w:ascii="Arabic Typesetting" w:hAnsi="Arabic Typesetting" w:cs="Arabic Typesetting" w:hint="cs"/>
                <w:sz w:val="30"/>
                <w:szCs w:val="30"/>
                <w:rtl/>
              </w:rPr>
              <w:t>المؤذي أو غير المتعمد ل</w:t>
            </w:r>
            <w:r w:rsidRPr="00BD2C2B">
              <w:rPr>
                <w:rFonts w:ascii="Arabic Typesetting" w:hAnsi="Arabic Typesetting" w:cs="Arabic Typesetting"/>
                <w:sz w:val="30"/>
                <w:szCs w:val="30"/>
                <w:rtl/>
              </w:rPr>
              <w:t>لبيانات</w:t>
            </w:r>
            <w:r>
              <w:rPr>
                <w:rFonts w:ascii="Arabic Typesetting" w:hAnsi="Arabic Typesetting" w:cs="Arabic Typesetting" w:hint="cs"/>
                <w:sz w:val="30"/>
                <w:szCs w:val="30"/>
                <w:rtl/>
              </w:rPr>
              <w:t>،</w:t>
            </w:r>
            <w:r w:rsidRPr="00BD2C2B">
              <w:rPr>
                <w:rFonts w:ascii="Arabic Typesetting" w:hAnsi="Arabic Typesetting" w:cs="Arabic Typesetting"/>
                <w:sz w:val="30"/>
                <w:szCs w:val="30"/>
                <w:rtl/>
              </w:rPr>
              <w:t xml:space="preserve"> مما يؤدي إلى الكشف غير المصرح به </w:t>
            </w:r>
            <w:r>
              <w:rPr>
                <w:rFonts w:ascii="Arabic Typesetting" w:hAnsi="Arabic Typesetting" w:cs="Arabic Typesetting" w:hint="cs"/>
                <w:sz w:val="30"/>
                <w:szCs w:val="30"/>
                <w:rtl/>
              </w:rPr>
              <w:t xml:space="preserve">عن </w:t>
            </w:r>
            <w:r w:rsidRPr="00BD2C2B">
              <w:rPr>
                <w:rFonts w:ascii="Arabic Typesetting" w:hAnsi="Arabic Typesetting" w:cs="Arabic Typesetting"/>
                <w:sz w:val="30"/>
                <w:szCs w:val="30"/>
                <w:rtl/>
              </w:rPr>
              <w:t xml:space="preserve">المعلومات </w:t>
            </w:r>
            <w:r>
              <w:rPr>
                <w:rFonts w:ascii="Arabic Typesetting" w:hAnsi="Arabic Typesetting" w:cs="Arabic Typesetting" w:hint="cs"/>
                <w:sz w:val="30"/>
                <w:szCs w:val="30"/>
                <w:rtl/>
              </w:rPr>
              <w:t>ال</w:t>
            </w:r>
            <w:r w:rsidRPr="00BD2C2B">
              <w:rPr>
                <w:rFonts w:ascii="Arabic Typesetting" w:hAnsi="Arabic Typesetting" w:cs="Arabic Typesetting"/>
                <w:sz w:val="30"/>
                <w:szCs w:val="30"/>
                <w:rtl/>
              </w:rPr>
              <w:t xml:space="preserve">سرية </w:t>
            </w:r>
            <w:r>
              <w:rPr>
                <w:rFonts w:ascii="Arabic Typesetting" w:hAnsi="Arabic Typesetting" w:cs="Arabic Typesetting" w:hint="cs"/>
                <w:sz w:val="30"/>
                <w:szCs w:val="30"/>
                <w:rtl/>
              </w:rPr>
              <w:t>ل</w:t>
            </w:r>
            <w:r w:rsidRPr="00BD2C2B">
              <w:rPr>
                <w:rFonts w:ascii="Arabic Typesetting" w:hAnsi="Arabic Typesetting" w:cs="Arabic Typesetting"/>
                <w:sz w:val="30"/>
                <w:szCs w:val="30"/>
                <w:rtl/>
              </w:rPr>
              <w:t>لويبو أو إساءة استخدام</w:t>
            </w:r>
            <w:r>
              <w:rPr>
                <w:rFonts w:ascii="Arabic Typesetting" w:hAnsi="Arabic Typesetting" w:cs="Arabic Typesetting" w:hint="cs"/>
                <w:sz w:val="30"/>
                <w:szCs w:val="30"/>
                <w:rtl/>
              </w:rPr>
              <w:t xml:space="preserve">ها </w:t>
            </w:r>
            <w:r w:rsidRPr="00BD2C2B">
              <w:rPr>
                <w:rFonts w:ascii="Arabic Typesetting" w:hAnsi="Arabic Typesetting" w:cs="Arabic Typesetting"/>
                <w:sz w:val="30"/>
                <w:szCs w:val="30"/>
                <w:rtl/>
              </w:rPr>
              <w:t xml:space="preserve">أو تعطيل </w:t>
            </w:r>
            <w:r>
              <w:rPr>
                <w:rFonts w:ascii="Arabic Typesetting" w:hAnsi="Arabic Typesetting" w:cs="Arabic Typesetting" w:hint="cs"/>
                <w:sz w:val="30"/>
                <w:szCs w:val="30"/>
                <w:rtl/>
              </w:rPr>
              <w:t>الأعمال</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و</w:t>
            </w:r>
            <w:r w:rsidRPr="00BD2C2B">
              <w:rPr>
                <w:rFonts w:ascii="Arabic Typesetting" w:hAnsi="Arabic Typesetting" w:cs="Arabic Typesetting"/>
                <w:sz w:val="30"/>
                <w:szCs w:val="30"/>
                <w:rtl/>
              </w:rPr>
              <w:t xml:space="preserve">يمكن لمثل </w:t>
            </w:r>
            <w:r>
              <w:rPr>
                <w:rFonts w:ascii="Arabic Typesetting" w:hAnsi="Arabic Typesetting" w:cs="Arabic Typesetting" w:hint="cs"/>
                <w:sz w:val="30"/>
                <w:szCs w:val="30"/>
                <w:rtl/>
              </w:rPr>
              <w:t xml:space="preserve">تلك </w:t>
            </w:r>
            <w:r w:rsidRPr="00BD2C2B">
              <w:rPr>
                <w:rFonts w:ascii="Arabic Typesetting" w:hAnsi="Arabic Typesetting" w:cs="Arabic Typesetting"/>
                <w:sz w:val="30"/>
                <w:szCs w:val="30"/>
                <w:rtl/>
              </w:rPr>
              <w:t>الح</w:t>
            </w:r>
            <w:r>
              <w:rPr>
                <w:rFonts w:ascii="Arabic Typesetting" w:hAnsi="Arabic Typesetting" w:cs="Arabic Typesetting" w:hint="cs"/>
                <w:sz w:val="30"/>
                <w:szCs w:val="30"/>
                <w:rtl/>
              </w:rPr>
              <w:t>وا</w:t>
            </w:r>
            <w:r w:rsidRPr="00BD2C2B">
              <w:rPr>
                <w:rFonts w:ascii="Arabic Typesetting" w:hAnsi="Arabic Typesetting" w:cs="Arabic Typesetting"/>
                <w:sz w:val="30"/>
                <w:szCs w:val="30"/>
                <w:rtl/>
              </w:rPr>
              <w:t xml:space="preserve">دث أن تؤثر </w:t>
            </w:r>
            <w:r>
              <w:rPr>
                <w:rFonts w:ascii="Arabic Typesetting" w:hAnsi="Arabic Typesetting" w:cs="Arabic Typesetting" w:hint="cs"/>
                <w:sz w:val="30"/>
                <w:szCs w:val="30"/>
                <w:rtl/>
              </w:rPr>
              <w:t xml:space="preserve">في </w:t>
            </w:r>
            <w:r w:rsidRPr="00BD2C2B">
              <w:rPr>
                <w:rFonts w:ascii="Arabic Typesetting" w:hAnsi="Arabic Typesetting" w:cs="Arabic Typesetting"/>
                <w:sz w:val="30"/>
                <w:szCs w:val="30"/>
                <w:rtl/>
              </w:rPr>
              <w:t xml:space="preserve">سمعة الويبو </w:t>
            </w:r>
            <w:r>
              <w:rPr>
                <w:rFonts w:ascii="Arabic Typesetting" w:hAnsi="Arabic Typesetting" w:cs="Arabic Typesetting" w:hint="cs"/>
                <w:sz w:val="30"/>
                <w:szCs w:val="30"/>
                <w:rtl/>
              </w:rPr>
              <w:t xml:space="preserve">بصفتها جهة </w:t>
            </w:r>
            <w:r w:rsidRPr="00BD2C2B">
              <w:rPr>
                <w:rFonts w:ascii="Arabic Typesetting" w:hAnsi="Arabic Typesetting" w:cs="Arabic Typesetting"/>
                <w:sz w:val="30"/>
                <w:szCs w:val="30"/>
                <w:rtl/>
              </w:rPr>
              <w:t>موثوق به</w:t>
            </w:r>
            <w:r>
              <w:rPr>
                <w:rFonts w:ascii="Arabic Typesetting" w:hAnsi="Arabic Typesetting" w:cs="Arabic Typesetting" w:hint="cs"/>
                <w:sz w:val="30"/>
                <w:szCs w:val="30"/>
                <w:rtl/>
              </w:rPr>
              <w:t>ا</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في تقديم المشورة وا</w:t>
            </w:r>
            <w:r w:rsidRPr="00BD2C2B">
              <w:rPr>
                <w:rFonts w:ascii="Arabic Typesetting" w:hAnsi="Arabic Typesetting" w:cs="Arabic Typesetting"/>
                <w:sz w:val="30"/>
                <w:szCs w:val="30"/>
                <w:rtl/>
              </w:rPr>
              <w:t>لخ</w:t>
            </w:r>
            <w:r>
              <w:rPr>
                <w:rFonts w:ascii="Arabic Typesetting" w:hAnsi="Arabic Typesetting" w:cs="Arabic Typesetting"/>
                <w:sz w:val="30"/>
                <w:szCs w:val="30"/>
                <w:rtl/>
              </w:rPr>
              <w:t>دم</w:t>
            </w:r>
            <w:r>
              <w:rPr>
                <w:rFonts w:ascii="Arabic Typesetting" w:hAnsi="Arabic Typesetting" w:cs="Arabic Typesetting" w:hint="cs"/>
                <w:sz w:val="30"/>
                <w:szCs w:val="30"/>
                <w:rtl/>
              </w:rPr>
              <w:t>ات</w:t>
            </w:r>
            <w:r w:rsidRPr="00BD2C2B">
              <w:rPr>
                <w:rFonts w:ascii="Arabic Typesetting" w:hAnsi="Arabic Typesetting" w:cs="Arabic Typesetting"/>
                <w:sz w:val="30"/>
                <w:szCs w:val="30"/>
                <w:rtl/>
              </w:rPr>
              <w:t xml:space="preserve"> لأعضائها و</w:t>
            </w:r>
            <w:r>
              <w:rPr>
                <w:rFonts w:ascii="Arabic Typesetting" w:hAnsi="Arabic Typesetting" w:cs="Arabic Typesetting"/>
                <w:sz w:val="30"/>
                <w:szCs w:val="30"/>
                <w:rtl/>
              </w:rPr>
              <w:t>زبا</w:t>
            </w:r>
            <w:r>
              <w:rPr>
                <w:rFonts w:ascii="Arabic Typesetting" w:hAnsi="Arabic Typesetting" w:cs="Arabic Typesetting" w:hint="cs"/>
                <w:sz w:val="30"/>
                <w:szCs w:val="30"/>
                <w:rtl/>
              </w:rPr>
              <w:t>ئنها.</w:t>
            </w:r>
          </w:p>
        </w:tc>
        <w:tc>
          <w:tcPr>
            <w:tcW w:w="4620" w:type="dxa"/>
            <w:tcBorders>
              <w:top w:val="single" w:sz="4" w:space="0" w:color="auto"/>
              <w:left w:val="nil"/>
              <w:bottom w:val="nil"/>
              <w:right w:val="single" w:sz="4" w:space="0" w:color="auto"/>
            </w:tcBorders>
            <w:tcMar>
              <w:top w:w="113" w:type="dxa"/>
            </w:tcMar>
          </w:tcPr>
          <w:p w:rsidR="00072E5F" w:rsidRPr="00BD2C2B" w:rsidRDefault="00072E5F" w:rsidP="00DA5475">
            <w:pPr>
              <w:autoSpaceDE w:val="0"/>
              <w:autoSpaceDN w:val="0"/>
              <w:adjustRightInd w:val="0"/>
              <w:spacing w:beforeLines="60" w:before="144" w:afterLines="60" w:after="144" w:line="300" w:lineRule="exact"/>
              <w:ind w:right="108"/>
              <w:rPr>
                <w:rFonts w:ascii="Arabic Typesetting" w:hAnsi="Arabic Typesetting" w:cs="Arabic Typesetting"/>
                <w:sz w:val="30"/>
                <w:szCs w:val="30"/>
                <w:rtl/>
              </w:rPr>
            </w:pPr>
            <w:r>
              <w:rPr>
                <w:rFonts w:ascii="Arabic Typesetting" w:hAnsi="Arabic Typesetting" w:cs="Arabic Typesetting" w:hint="cs"/>
                <w:sz w:val="30"/>
                <w:szCs w:val="30"/>
                <w:rtl/>
              </w:rPr>
              <w:t>إن ال</w:t>
            </w:r>
            <w:r w:rsidRPr="00BD2C2B">
              <w:rPr>
                <w:rFonts w:ascii="Arabic Typesetting" w:hAnsi="Arabic Typesetting" w:cs="Arabic Typesetting"/>
                <w:sz w:val="30"/>
                <w:szCs w:val="30"/>
                <w:rtl/>
              </w:rPr>
              <w:t xml:space="preserve">تنفيذ </w:t>
            </w:r>
            <w:r>
              <w:rPr>
                <w:rFonts w:ascii="Arabic Typesetting" w:hAnsi="Arabic Typesetting" w:cs="Arabic Typesetting" w:hint="cs"/>
                <w:sz w:val="30"/>
                <w:szCs w:val="30"/>
                <w:rtl/>
              </w:rPr>
              <w:t>ال</w:t>
            </w:r>
            <w:r w:rsidRPr="00BD2C2B">
              <w:rPr>
                <w:rFonts w:ascii="Arabic Typesetting" w:hAnsi="Arabic Typesetting" w:cs="Arabic Typesetting"/>
                <w:sz w:val="30"/>
                <w:szCs w:val="30"/>
                <w:rtl/>
              </w:rPr>
              <w:t xml:space="preserve">مرحلي </w:t>
            </w:r>
            <w:r>
              <w:rPr>
                <w:rFonts w:ascii="Arabic Typesetting" w:hAnsi="Arabic Typesetting" w:cs="Arabic Typesetting" w:hint="cs"/>
                <w:sz w:val="30"/>
                <w:szCs w:val="30"/>
                <w:rtl/>
              </w:rPr>
              <w:t>لا</w:t>
            </w:r>
            <w:r w:rsidRPr="00BD2C2B">
              <w:rPr>
                <w:rFonts w:ascii="Arabic Typesetting" w:hAnsi="Arabic Typesetting" w:cs="Arabic Typesetting"/>
                <w:sz w:val="30"/>
                <w:szCs w:val="30"/>
                <w:rtl/>
              </w:rPr>
              <w:t>ستراتيجية</w:t>
            </w:r>
            <w:r>
              <w:rPr>
                <w:rFonts w:ascii="Arabic Typesetting" w:hAnsi="Arabic Typesetting" w:cs="Arabic Typesetting" w:hint="cs"/>
                <w:sz w:val="30"/>
                <w:szCs w:val="30"/>
                <w:rtl/>
              </w:rPr>
              <w:t>ٍ</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ل</w:t>
            </w:r>
            <w:r>
              <w:rPr>
                <w:rFonts w:ascii="Arabic Typesetting" w:hAnsi="Arabic Typesetting" w:cs="Arabic Typesetting"/>
                <w:sz w:val="30"/>
                <w:szCs w:val="30"/>
                <w:rtl/>
              </w:rPr>
              <w:t>ت</w:t>
            </w:r>
            <w:r>
              <w:rPr>
                <w:rFonts w:ascii="Arabic Typesetting" w:hAnsi="Arabic Typesetting" w:cs="Arabic Typesetting" w:hint="cs"/>
                <w:sz w:val="30"/>
                <w:szCs w:val="30"/>
                <w:rtl/>
              </w:rPr>
              <w:t>أ</w:t>
            </w:r>
            <w:r>
              <w:rPr>
                <w:rFonts w:ascii="Arabic Typesetting" w:hAnsi="Arabic Typesetting" w:cs="Arabic Typesetting"/>
                <w:sz w:val="30"/>
                <w:szCs w:val="30"/>
                <w:rtl/>
              </w:rPr>
              <w:t>مين المعلومات</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ت</w:t>
            </w:r>
            <w:r w:rsidRPr="00BD2C2B">
              <w:rPr>
                <w:rFonts w:ascii="Arabic Typesetting" w:hAnsi="Arabic Typesetting" w:cs="Arabic Typesetting"/>
                <w:sz w:val="30"/>
                <w:szCs w:val="30"/>
                <w:rtl/>
              </w:rPr>
              <w:t xml:space="preserve">تناسب </w:t>
            </w:r>
            <w:r>
              <w:rPr>
                <w:rFonts w:ascii="Arabic Typesetting" w:hAnsi="Arabic Typesetting" w:cs="Arabic Typesetting" w:hint="cs"/>
                <w:sz w:val="30"/>
                <w:szCs w:val="30"/>
                <w:rtl/>
              </w:rPr>
              <w:t>وال</w:t>
            </w:r>
            <w:r w:rsidRPr="00BD2C2B">
              <w:rPr>
                <w:rFonts w:ascii="Arabic Typesetting" w:hAnsi="Arabic Typesetting" w:cs="Arabic Typesetting"/>
                <w:sz w:val="30"/>
                <w:szCs w:val="30"/>
                <w:rtl/>
              </w:rPr>
              <w:t xml:space="preserve">غرض </w:t>
            </w:r>
            <w:r>
              <w:rPr>
                <w:rFonts w:ascii="Arabic Typesetting" w:hAnsi="Arabic Typesetting" w:cs="Arabic Typesetting" w:hint="cs"/>
                <w:sz w:val="30"/>
                <w:szCs w:val="30"/>
                <w:rtl/>
              </w:rPr>
              <w:t xml:space="preserve">ستمكّن </w:t>
            </w:r>
            <w:r w:rsidRPr="00BD2C2B">
              <w:rPr>
                <w:rFonts w:ascii="Arabic Typesetting" w:hAnsi="Arabic Typesetting" w:cs="Arabic Typesetting"/>
                <w:sz w:val="30"/>
                <w:szCs w:val="30"/>
                <w:rtl/>
              </w:rPr>
              <w:t xml:space="preserve">الويبو </w:t>
            </w:r>
            <w:r>
              <w:rPr>
                <w:rFonts w:ascii="Arabic Typesetting" w:hAnsi="Arabic Typesetting" w:cs="Arabic Typesetting" w:hint="cs"/>
                <w:sz w:val="30"/>
                <w:szCs w:val="30"/>
                <w:rtl/>
              </w:rPr>
              <w:t>من</w:t>
            </w:r>
            <w:r w:rsidRPr="00BD2C2B">
              <w:rPr>
                <w:rFonts w:ascii="Arabic Typesetting" w:hAnsi="Arabic Typesetting" w:cs="Arabic Typesetting"/>
                <w:sz w:val="30"/>
                <w:szCs w:val="30"/>
                <w:rtl/>
              </w:rPr>
              <w:t xml:space="preserve"> مواصلة تعزيز</w:t>
            </w:r>
            <w:r>
              <w:rPr>
                <w:rFonts w:ascii="Arabic Typesetting" w:hAnsi="Arabic Typesetting" w:cs="Arabic Typesetting" w:hint="cs"/>
                <w:sz w:val="30"/>
                <w:szCs w:val="30"/>
                <w:rtl/>
              </w:rPr>
              <w:t xml:space="preserve"> </w:t>
            </w:r>
            <w:r w:rsidRPr="00BD2C2B">
              <w:rPr>
                <w:rFonts w:ascii="Arabic Typesetting" w:hAnsi="Arabic Typesetting" w:cs="Arabic Typesetting"/>
                <w:sz w:val="30"/>
                <w:szCs w:val="30"/>
                <w:rtl/>
              </w:rPr>
              <w:t>أمن معلومات</w:t>
            </w:r>
            <w:r>
              <w:rPr>
                <w:rFonts w:ascii="Arabic Typesetting" w:hAnsi="Arabic Typesetting" w:cs="Arabic Typesetting" w:hint="cs"/>
                <w:sz w:val="30"/>
                <w:szCs w:val="30"/>
                <w:rtl/>
              </w:rPr>
              <w:t>ها</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ومقاومتها للأعطال</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في </w:t>
            </w:r>
            <w:r w:rsidRPr="00BD2C2B">
              <w:rPr>
                <w:rFonts w:ascii="Arabic Typesetting" w:hAnsi="Arabic Typesetting" w:cs="Arabic Typesetting"/>
                <w:sz w:val="30"/>
                <w:szCs w:val="30"/>
                <w:rtl/>
              </w:rPr>
              <w:t>مجالات</w:t>
            </w:r>
            <w:r>
              <w:rPr>
                <w:rFonts w:ascii="Arabic Typesetting" w:hAnsi="Arabic Typesetting" w:cs="Arabic Typesetting" w:hint="cs"/>
                <w:sz w:val="30"/>
                <w:szCs w:val="30"/>
                <w:rtl/>
              </w:rPr>
              <w:t xml:space="preserve"> إدارة</w:t>
            </w:r>
            <w:r w:rsidRPr="00BD2C2B">
              <w:rPr>
                <w:rFonts w:ascii="Arabic Typesetting" w:hAnsi="Arabic Typesetting" w:cs="Arabic Typesetting"/>
                <w:sz w:val="30"/>
                <w:szCs w:val="30"/>
                <w:rtl/>
              </w:rPr>
              <w:t xml:space="preserve"> </w:t>
            </w:r>
            <w:r>
              <w:rPr>
                <w:rFonts w:ascii="Arabic Typesetting" w:hAnsi="Arabic Typesetting" w:cs="Arabic Typesetting"/>
                <w:sz w:val="30"/>
                <w:szCs w:val="30"/>
                <w:rtl/>
              </w:rPr>
              <w:t>ت</w:t>
            </w:r>
            <w:r>
              <w:rPr>
                <w:rFonts w:ascii="Arabic Typesetting" w:hAnsi="Arabic Typesetting" w:cs="Arabic Typesetting" w:hint="cs"/>
                <w:sz w:val="30"/>
                <w:szCs w:val="30"/>
                <w:rtl/>
              </w:rPr>
              <w:t>أ</w:t>
            </w:r>
            <w:r>
              <w:rPr>
                <w:rFonts w:ascii="Arabic Typesetting" w:hAnsi="Arabic Typesetting" w:cs="Arabic Typesetting"/>
                <w:sz w:val="30"/>
                <w:szCs w:val="30"/>
                <w:rtl/>
              </w:rPr>
              <w:t>مين المعلومات</w:t>
            </w:r>
            <w:r>
              <w:rPr>
                <w:rFonts w:ascii="Arabic Typesetting" w:hAnsi="Arabic Typesetting" w:cs="Arabic Typesetting" w:hint="cs"/>
                <w:sz w:val="30"/>
                <w:szCs w:val="30"/>
                <w:rtl/>
              </w:rPr>
              <w:t>، والأشخاص</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وال</w:t>
            </w:r>
            <w:r>
              <w:rPr>
                <w:rFonts w:ascii="Arabic Typesetting" w:hAnsi="Arabic Typesetting" w:cs="Arabic Typesetting"/>
                <w:sz w:val="30"/>
                <w:szCs w:val="30"/>
                <w:rtl/>
              </w:rPr>
              <w:t>عملي</w:t>
            </w:r>
            <w:r>
              <w:rPr>
                <w:rFonts w:ascii="Arabic Typesetting" w:hAnsi="Arabic Typesetting" w:cs="Arabic Typesetting" w:hint="cs"/>
                <w:sz w:val="30"/>
                <w:szCs w:val="30"/>
                <w:rtl/>
              </w:rPr>
              <w:t>ات</w:t>
            </w:r>
            <w:r w:rsidRPr="00BD2C2B">
              <w:rPr>
                <w:rFonts w:ascii="Arabic Typesetting" w:hAnsi="Arabic Typesetting" w:cs="Arabic Typesetting"/>
                <w:sz w:val="30"/>
                <w:szCs w:val="30"/>
                <w:rtl/>
              </w:rPr>
              <w:t xml:space="preserve"> والتكنولوجيا</w:t>
            </w:r>
            <w:r>
              <w:rPr>
                <w:rFonts w:ascii="Arabic Typesetting" w:hAnsi="Arabic Typesetting" w:cs="Arabic Typesetting" w:hint="cs"/>
                <w:sz w:val="30"/>
                <w:szCs w:val="30"/>
                <w:rtl/>
              </w:rPr>
              <w:t>ت</w:t>
            </w:r>
            <w:r w:rsidRPr="00BD2C2B">
              <w:rPr>
                <w:rFonts w:ascii="Arabic Typesetting" w:hAnsi="Arabic Typesetting" w:cs="Arabic Typesetting"/>
                <w:sz w:val="30"/>
                <w:szCs w:val="30"/>
                <w:rtl/>
              </w:rPr>
              <w:t>.</w:t>
            </w:r>
          </w:p>
          <w:p w:rsidR="00072E5F" w:rsidRPr="008954A8" w:rsidRDefault="00072E5F" w:rsidP="00DA5475">
            <w:pPr>
              <w:autoSpaceDE w:val="0"/>
              <w:autoSpaceDN w:val="0"/>
              <w:adjustRightInd w:val="0"/>
              <w:spacing w:beforeLines="60" w:before="144" w:afterLines="60" w:after="144" w:line="300" w:lineRule="exact"/>
              <w:ind w:right="108"/>
              <w:rPr>
                <w:rFonts w:ascii="Arabic Typesetting" w:hAnsi="Arabic Typesetting" w:cs="Arabic Typesetting"/>
                <w:sz w:val="30"/>
                <w:szCs w:val="30"/>
                <w:rtl/>
              </w:rPr>
            </w:pPr>
          </w:p>
        </w:tc>
      </w:tr>
      <w:tr w:rsidR="00072E5F" w:rsidRPr="008954A8" w:rsidTr="00DA5475">
        <w:trPr>
          <w:trHeight w:val="859"/>
          <w:jc w:val="center"/>
        </w:trPr>
        <w:tc>
          <w:tcPr>
            <w:tcW w:w="4422" w:type="dxa"/>
            <w:tcBorders>
              <w:top w:val="nil"/>
              <w:left w:val="single" w:sz="4" w:space="0" w:color="auto"/>
              <w:bottom w:val="nil"/>
              <w:right w:val="nil"/>
            </w:tcBorders>
            <w:tcMar>
              <w:top w:w="113" w:type="dxa"/>
            </w:tcMar>
          </w:tcPr>
          <w:p w:rsidR="00072E5F" w:rsidRDefault="00072E5F" w:rsidP="00DA5475">
            <w:pPr>
              <w:spacing w:beforeLines="60" w:before="144" w:afterLines="60" w:after="144" w:line="300" w:lineRule="exact"/>
              <w:rPr>
                <w:rFonts w:ascii="Arabic Typesetting" w:hAnsi="Arabic Typesetting" w:cs="Arabic Typesetting"/>
                <w:sz w:val="30"/>
                <w:szCs w:val="30"/>
                <w:rtl/>
                <w:lang w:bidi="ar-SA"/>
              </w:rPr>
            </w:pPr>
            <w:r w:rsidRPr="00BD2C2B">
              <w:rPr>
                <w:rFonts w:ascii="Arabic Typesetting" w:hAnsi="Arabic Typesetting" w:cs="Arabic Typesetting"/>
                <w:sz w:val="30"/>
                <w:szCs w:val="30"/>
                <w:rtl/>
              </w:rPr>
              <w:t xml:space="preserve">المخاطر المرتبطة بالكوارث الطبيعية </w:t>
            </w:r>
            <w:r>
              <w:rPr>
                <w:rFonts w:ascii="Arabic Typesetting" w:hAnsi="Arabic Typesetting" w:cs="Arabic Typesetting" w:hint="cs"/>
                <w:sz w:val="30"/>
                <w:szCs w:val="30"/>
                <w:rtl/>
              </w:rPr>
              <w:t xml:space="preserve">أو الكوارث </w:t>
            </w:r>
            <w:r w:rsidRPr="00BD2C2B">
              <w:rPr>
                <w:rFonts w:ascii="Arabic Typesetting" w:hAnsi="Arabic Typesetting" w:cs="Arabic Typesetting"/>
                <w:sz w:val="30"/>
                <w:szCs w:val="30"/>
                <w:rtl/>
              </w:rPr>
              <w:t xml:space="preserve">من صنع الإنسان التي </w:t>
            </w:r>
            <w:r>
              <w:rPr>
                <w:rFonts w:ascii="Arabic Typesetting" w:hAnsi="Arabic Typesetting" w:cs="Arabic Typesetting" w:hint="cs"/>
                <w:sz w:val="30"/>
                <w:szCs w:val="30"/>
                <w:rtl/>
              </w:rPr>
              <w:t xml:space="preserve">تمس </w:t>
            </w:r>
            <w:r w:rsidRPr="00BD2C2B">
              <w:rPr>
                <w:rFonts w:ascii="Arabic Typesetting" w:hAnsi="Arabic Typesetting" w:cs="Arabic Typesetting"/>
                <w:sz w:val="30"/>
                <w:szCs w:val="30"/>
                <w:rtl/>
              </w:rPr>
              <w:t>موظفي الويبو وزوار</w:t>
            </w:r>
            <w:r>
              <w:rPr>
                <w:rFonts w:ascii="Arabic Typesetting" w:hAnsi="Arabic Typesetting" w:cs="Arabic Typesetting" w:hint="cs"/>
                <w:sz w:val="30"/>
                <w:szCs w:val="30"/>
                <w:rtl/>
              </w:rPr>
              <w:t>ها</w:t>
            </w:r>
            <w:r w:rsidRPr="00BD2C2B">
              <w:rPr>
                <w:rFonts w:ascii="Arabic Typesetting" w:hAnsi="Arabic Typesetting" w:cs="Arabic Typesetting"/>
                <w:sz w:val="30"/>
                <w:szCs w:val="30"/>
                <w:rtl/>
              </w:rPr>
              <w:t xml:space="preserve"> وبني</w:t>
            </w:r>
            <w:r>
              <w:rPr>
                <w:rFonts w:ascii="Arabic Typesetting" w:hAnsi="Arabic Typesetting" w:cs="Arabic Typesetting" w:hint="cs"/>
                <w:sz w:val="30"/>
                <w:szCs w:val="30"/>
                <w:rtl/>
              </w:rPr>
              <w:t>تها</w:t>
            </w:r>
            <w:r w:rsidRPr="00BD2C2B">
              <w:rPr>
                <w:rFonts w:ascii="Arabic Typesetting" w:hAnsi="Arabic Typesetting" w:cs="Arabic Typesetting"/>
                <w:sz w:val="30"/>
                <w:szCs w:val="30"/>
                <w:rtl/>
              </w:rPr>
              <w:t xml:space="preserve"> التحتية (حريق أو انفجار أو فيضان</w:t>
            </w:r>
            <w:r>
              <w:rPr>
                <w:rFonts w:ascii="Arabic Typesetting" w:hAnsi="Arabic Typesetting" w:cs="Arabic Typesetting" w:hint="cs"/>
                <w:sz w:val="30"/>
                <w:szCs w:val="30"/>
                <w:rtl/>
              </w:rPr>
              <w:t xml:space="preserve"> </w:t>
            </w:r>
            <w:r w:rsidRPr="00BD2C2B">
              <w:rPr>
                <w:rFonts w:ascii="Arabic Typesetting" w:hAnsi="Arabic Typesetting" w:cs="Arabic Typesetting"/>
                <w:sz w:val="30"/>
                <w:szCs w:val="30"/>
                <w:rtl/>
              </w:rPr>
              <w:t xml:space="preserve">أو انهيار </w:t>
            </w:r>
            <w:r>
              <w:rPr>
                <w:rFonts w:ascii="Arabic Typesetting" w:hAnsi="Arabic Typesetting" w:cs="Arabic Typesetting" w:hint="cs"/>
                <w:sz w:val="30"/>
                <w:szCs w:val="30"/>
                <w:rtl/>
              </w:rPr>
              <w:t>أ</w:t>
            </w:r>
            <w:r w:rsidRPr="00BD2C2B">
              <w:rPr>
                <w:rFonts w:ascii="Arabic Typesetting" w:hAnsi="Arabic Typesetting" w:cs="Arabic Typesetting"/>
                <w:sz w:val="30"/>
                <w:szCs w:val="30"/>
                <w:rtl/>
              </w:rPr>
              <w:t>و</w:t>
            </w:r>
            <w:r>
              <w:rPr>
                <w:rFonts w:ascii="Arabic Typesetting" w:hAnsi="Arabic Typesetting" w:cs="Arabic Typesetting" w:hint="cs"/>
                <w:sz w:val="30"/>
                <w:szCs w:val="30"/>
                <w:rtl/>
              </w:rPr>
              <w:t xml:space="preserve"> تعطل </w:t>
            </w:r>
            <w:r w:rsidRPr="00BD2C2B">
              <w:rPr>
                <w:rFonts w:ascii="Arabic Typesetting" w:hAnsi="Arabic Typesetting" w:cs="Arabic Typesetting"/>
                <w:sz w:val="30"/>
                <w:szCs w:val="30"/>
                <w:rtl/>
              </w:rPr>
              <w:t xml:space="preserve">الأنظمة </w:t>
            </w:r>
            <w:r>
              <w:rPr>
                <w:rFonts w:ascii="Arabic Typesetting" w:hAnsi="Arabic Typesetting" w:cs="Arabic Typesetting" w:hint="cs"/>
                <w:sz w:val="30"/>
                <w:szCs w:val="30"/>
                <w:rtl/>
              </w:rPr>
              <w:t>التقنية</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وعدم الاستعداد</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لتلك</w:t>
            </w:r>
            <w:r w:rsidRPr="00BD2C2B">
              <w:rPr>
                <w:rFonts w:ascii="Arabic Typesetting" w:hAnsi="Arabic Typesetting" w:cs="Arabic Typesetting"/>
                <w:sz w:val="30"/>
                <w:szCs w:val="30"/>
                <w:rtl/>
              </w:rPr>
              <w:t xml:space="preserve"> الأحداث ورصد</w:t>
            </w:r>
            <w:r>
              <w:rPr>
                <w:rFonts w:ascii="Arabic Typesetting" w:hAnsi="Arabic Typesetting" w:cs="Arabic Typesetting" w:hint="cs"/>
                <w:sz w:val="30"/>
                <w:szCs w:val="30"/>
                <w:rtl/>
              </w:rPr>
              <w:t>ها</w:t>
            </w:r>
            <w:r w:rsidRPr="00BD2C2B">
              <w:rPr>
                <w:rFonts w:ascii="Arabic Typesetting" w:hAnsi="Arabic Typesetting" w:cs="Arabic Typesetting"/>
                <w:sz w:val="30"/>
                <w:szCs w:val="30"/>
                <w:rtl/>
              </w:rPr>
              <w:t xml:space="preserve"> والاستجابة</w:t>
            </w:r>
            <w:r>
              <w:rPr>
                <w:rFonts w:ascii="Arabic Typesetting" w:hAnsi="Arabic Typesetting" w:cs="Arabic Typesetting" w:hint="cs"/>
                <w:sz w:val="30"/>
                <w:szCs w:val="30"/>
                <w:rtl/>
              </w:rPr>
              <w:t xml:space="preserve"> لها </w:t>
            </w:r>
            <w:r w:rsidRPr="00BD2C2B">
              <w:rPr>
                <w:rFonts w:ascii="Arabic Typesetting" w:hAnsi="Arabic Typesetting" w:cs="Arabic Typesetting"/>
                <w:sz w:val="30"/>
                <w:szCs w:val="30"/>
                <w:rtl/>
              </w:rPr>
              <w:t xml:space="preserve">قد يسبب </w:t>
            </w:r>
            <w:r>
              <w:rPr>
                <w:rFonts w:ascii="Arabic Typesetting" w:hAnsi="Arabic Typesetting" w:cs="Arabic Typesetting"/>
                <w:sz w:val="30"/>
                <w:szCs w:val="30"/>
                <w:rtl/>
              </w:rPr>
              <w:t>إصاب</w:t>
            </w:r>
            <w:r>
              <w:rPr>
                <w:rFonts w:ascii="Arabic Typesetting" w:hAnsi="Arabic Typesetting" w:cs="Arabic Typesetting" w:hint="cs"/>
                <w:sz w:val="30"/>
                <w:szCs w:val="30"/>
                <w:rtl/>
              </w:rPr>
              <w:t>ات في الأشخاص أو وفيات</w:t>
            </w:r>
            <w:r w:rsidRPr="00BD2C2B">
              <w:rPr>
                <w:rFonts w:ascii="Arabic Typesetting" w:hAnsi="Arabic Typesetting" w:cs="Arabic Typesetting"/>
                <w:sz w:val="30"/>
                <w:szCs w:val="30"/>
                <w:rtl/>
              </w:rPr>
              <w:t xml:space="preserve"> و/أو </w:t>
            </w:r>
            <w:r>
              <w:rPr>
                <w:rFonts w:ascii="Arabic Typesetting" w:hAnsi="Arabic Typesetting" w:cs="Arabic Typesetting" w:hint="cs"/>
                <w:sz w:val="30"/>
                <w:szCs w:val="30"/>
                <w:rtl/>
              </w:rPr>
              <w:t xml:space="preserve">يؤثر تأثيرا بالغا في عمليات </w:t>
            </w:r>
            <w:r w:rsidRPr="00BD2C2B">
              <w:rPr>
                <w:rFonts w:ascii="Arabic Typesetting" w:hAnsi="Arabic Typesetting" w:cs="Arabic Typesetting"/>
                <w:sz w:val="30"/>
                <w:szCs w:val="30"/>
                <w:rtl/>
              </w:rPr>
              <w:t>الويبو.</w:t>
            </w:r>
          </w:p>
        </w:tc>
        <w:tc>
          <w:tcPr>
            <w:tcW w:w="4620" w:type="dxa"/>
            <w:tcBorders>
              <w:top w:val="nil"/>
              <w:left w:val="nil"/>
              <w:bottom w:val="nil"/>
              <w:right w:val="single" w:sz="4" w:space="0" w:color="auto"/>
            </w:tcBorders>
            <w:tcMar>
              <w:top w:w="113" w:type="dxa"/>
            </w:tcMar>
          </w:tcPr>
          <w:p w:rsidR="00072E5F" w:rsidRPr="00BD2C2B" w:rsidRDefault="00072E5F" w:rsidP="00DA5475">
            <w:pPr>
              <w:autoSpaceDE w:val="0"/>
              <w:autoSpaceDN w:val="0"/>
              <w:adjustRightInd w:val="0"/>
              <w:spacing w:beforeLines="60" w:before="144" w:afterLines="60" w:after="144" w:line="300" w:lineRule="exact"/>
              <w:ind w:right="108"/>
              <w:rPr>
                <w:rFonts w:ascii="Arabic Typesetting" w:hAnsi="Arabic Typesetting" w:cs="Arabic Typesetting"/>
                <w:sz w:val="30"/>
                <w:szCs w:val="30"/>
                <w:rtl/>
              </w:rPr>
            </w:pPr>
            <w:r w:rsidRPr="00BD2C2B">
              <w:rPr>
                <w:rFonts w:ascii="Arabic Typesetting" w:hAnsi="Arabic Typesetting" w:cs="Arabic Typesetting"/>
                <w:sz w:val="30"/>
                <w:szCs w:val="30"/>
                <w:rtl/>
              </w:rPr>
              <w:t>خطط طوارئ/إخلاء فعالة وآليات استجابة لجميع المرافق</w:t>
            </w:r>
            <w:r>
              <w:rPr>
                <w:rFonts w:ascii="Arabic Typesetting" w:hAnsi="Arabic Typesetting" w:cs="Arabic Typesetting" w:hint="cs"/>
                <w:sz w:val="30"/>
                <w:szCs w:val="30"/>
                <w:rtl/>
              </w:rPr>
              <w:t xml:space="preserve"> الحالية</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في المقر الرئيسي ل</w:t>
            </w:r>
            <w:r w:rsidRPr="00BD2C2B">
              <w:rPr>
                <w:rFonts w:ascii="Arabic Typesetting" w:hAnsi="Arabic Typesetting" w:cs="Arabic Typesetting"/>
                <w:sz w:val="30"/>
                <w:szCs w:val="30"/>
                <w:rtl/>
              </w:rPr>
              <w:t xml:space="preserve">لويبو، بما في ذلك </w:t>
            </w:r>
            <w:r>
              <w:rPr>
                <w:rFonts w:ascii="Arabic Typesetting" w:hAnsi="Arabic Typesetting" w:cs="Arabic Typesetting" w:hint="cs"/>
                <w:sz w:val="30"/>
                <w:szCs w:val="30"/>
                <w:rtl/>
              </w:rPr>
              <w:t xml:space="preserve">قدرات </w:t>
            </w:r>
            <w:r w:rsidRPr="00BD2C2B">
              <w:rPr>
                <w:rFonts w:ascii="Arabic Typesetting" w:hAnsi="Arabic Typesetting" w:cs="Arabic Typesetting"/>
                <w:sz w:val="30"/>
                <w:szCs w:val="30"/>
                <w:rtl/>
              </w:rPr>
              <w:t xml:space="preserve">الاستجابة للطوارئ والتنسيق. </w:t>
            </w:r>
            <w:r>
              <w:rPr>
                <w:rFonts w:ascii="Arabic Typesetting" w:hAnsi="Arabic Typesetting" w:cs="Arabic Typesetting" w:hint="cs"/>
                <w:sz w:val="30"/>
                <w:szCs w:val="30"/>
                <w:rtl/>
              </w:rPr>
              <w:t>و</w:t>
            </w:r>
            <w:r w:rsidRPr="00BD2C2B">
              <w:rPr>
                <w:rFonts w:ascii="Arabic Typesetting" w:hAnsi="Arabic Typesetting" w:cs="Arabic Typesetting"/>
                <w:sz w:val="30"/>
                <w:szCs w:val="30"/>
                <w:rtl/>
              </w:rPr>
              <w:t xml:space="preserve">برنامج </w:t>
            </w:r>
            <w:r>
              <w:rPr>
                <w:rFonts w:ascii="Arabic Typesetting" w:hAnsi="Arabic Typesetting" w:cs="Arabic Typesetting" w:hint="cs"/>
                <w:sz w:val="30"/>
                <w:szCs w:val="30"/>
                <w:rtl/>
              </w:rPr>
              <w:t>ال</w:t>
            </w:r>
            <w:r w:rsidRPr="00BD2C2B">
              <w:rPr>
                <w:rFonts w:ascii="Arabic Typesetting" w:hAnsi="Arabic Typesetting" w:cs="Arabic Typesetting"/>
                <w:sz w:val="30"/>
                <w:szCs w:val="30"/>
                <w:rtl/>
              </w:rPr>
              <w:t>تفتيش</w:t>
            </w:r>
            <w:r>
              <w:rPr>
                <w:rFonts w:ascii="Arabic Typesetting" w:hAnsi="Arabic Typesetting" w:cs="Arabic Typesetting" w:hint="cs"/>
                <w:sz w:val="30"/>
                <w:szCs w:val="30"/>
                <w:rtl/>
              </w:rPr>
              <w:t xml:space="preserve"> </w:t>
            </w:r>
            <w:proofErr w:type="spellStart"/>
            <w:r>
              <w:rPr>
                <w:rFonts w:ascii="Arabic Typesetting" w:hAnsi="Arabic Typesetting" w:cs="Arabic Typesetting" w:hint="cs"/>
                <w:sz w:val="30"/>
                <w:szCs w:val="30"/>
                <w:rtl/>
              </w:rPr>
              <w:t>الاستباقي</w:t>
            </w:r>
            <w:proofErr w:type="spellEnd"/>
            <w:r>
              <w:rPr>
                <w:rFonts w:ascii="Arabic Typesetting" w:hAnsi="Arabic Typesetting" w:cs="Arabic Typesetting" w:hint="cs"/>
                <w:sz w:val="30"/>
                <w:szCs w:val="30"/>
                <w:rtl/>
              </w:rPr>
              <w:t xml:space="preserve"> لم</w:t>
            </w:r>
            <w:r w:rsidRPr="00BD2C2B">
              <w:rPr>
                <w:rFonts w:ascii="Arabic Typesetting" w:hAnsi="Arabic Typesetting" w:cs="Arabic Typesetting"/>
                <w:sz w:val="30"/>
                <w:szCs w:val="30"/>
                <w:rtl/>
              </w:rPr>
              <w:t xml:space="preserve">رافق السلامة/الأمن </w:t>
            </w:r>
            <w:r>
              <w:rPr>
                <w:rFonts w:ascii="Arabic Typesetting" w:hAnsi="Arabic Typesetting" w:cs="Arabic Typesetting" w:hint="cs"/>
                <w:sz w:val="30"/>
                <w:szCs w:val="30"/>
                <w:rtl/>
              </w:rPr>
              <w:t>الذي وُضع في</w:t>
            </w:r>
            <w:r w:rsidRPr="00BD2C2B">
              <w:rPr>
                <w:rFonts w:ascii="Arabic Typesetting" w:hAnsi="Arabic Typesetting" w:cs="Arabic Typesetting"/>
                <w:sz w:val="30"/>
                <w:szCs w:val="30"/>
                <w:rtl/>
              </w:rPr>
              <w:t xml:space="preserve"> 2013 لرصد و</w:t>
            </w:r>
            <w:r>
              <w:rPr>
                <w:rFonts w:ascii="Arabic Typesetting" w:hAnsi="Arabic Typesetting" w:cs="Arabic Typesetting" w:hint="cs"/>
                <w:sz w:val="30"/>
                <w:szCs w:val="30"/>
                <w:rtl/>
              </w:rPr>
              <w:t>معالجة</w:t>
            </w:r>
            <w:r w:rsidRPr="00BD2C2B">
              <w:rPr>
                <w:rFonts w:ascii="Arabic Typesetting" w:hAnsi="Arabic Typesetting" w:cs="Arabic Typesetting"/>
                <w:sz w:val="30"/>
                <w:szCs w:val="30"/>
                <w:rtl/>
              </w:rPr>
              <w:t xml:space="preserve"> أوجه القصور </w:t>
            </w:r>
            <w:r>
              <w:rPr>
                <w:rFonts w:ascii="Arabic Typesetting" w:hAnsi="Arabic Typesetting" w:cs="Arabic Typesetting" w:hint="cs"/>
                <w:sz w:val="30"/>
                <w:szCs w:val="30"/>
                <w:rtl/>
              </w:rPr>
              <w:t>المحددة والمراقبة</w:t>
            </w:r>
            <w:r w:rsidRPr="00BD2C2B">
              <w:rPr>
                <w:rFonts w:ascii="Arabic Typesetting" w:hAnsi="Arabic Typesetting" w:cs="Arabic Typesetting"/>
                <w:sz w:val="30"/>
                <w:szCs w:val="30"/>
                <w:rtl/>
              </w:rPr>
              <w:t>.</w:t>
            </w:r>
          </w:p>
          <w:p w:rsidR="00072E5F" w:rsidRDefault="00072E5F" w:rsidP="00DA5475">
            <w:pPr>
              <w:autoSpaceDE w:val="0"/>
              <w:autoSpaceDN w:val="0"/>
              <w:adjustRightInd w:val="0"/>
              <w:spacing w:beforeLines="60" w:before="144" w:afterLines="60" w:after="144" w:line="300" w:lineRule="exact"/>
              <w:ind w:right="108"/>
              <w:rPr>
                <w:rFonts w:ascii="Arabic Typesetting" w:hAnsi="Arabic Typesetting" w:cs="Arabic Typesetting"/>
                <w:sz w:val="30"/>
                <w:szCs w:val="30"/>
                <w:rtl/>
              </w:rPr>
            </w:pPr>
          </w:p>
        </w:tc>
      </w:tr>
      <w:tr w:rsidR="00072E5F" w:rsidRPr="008954A8" w:rsidTr="00DA5475">
        <w:trPr>
          <w:trHeight w:val="859"/>
          <w:jc w:val="center"/>
        </w:trPr>
        <w:tc>
          <w:tcPr>
            <w:tcW w:w="4422" w:type="dxa"/>
            <w:tcBorders>
              <w:top w:val="nil"/>
              <w:left w:val="single" w:sz="4" w:space="0" w:color="auto"/>
              <w:bottom w:val="single" w:sz="4" w:space="0" w:color="auto"/>
              <w:right w:val="nil"/>
            </w:tcBorders>
            <w:tcMar>
              <w:top w:w="113" w:type="dxa"/>
            </w:tcMar>
          </w:tcPr>
          <w:p w:rsidR="00072E5F" w:rsidRDefault="00072E5F" w:rsidP="00DA5475">
            <w:pPr>
              <w:spacing w:beforeLines="60" w:before="144" w:afterLines="60" w:after="144" w:line="300" w:lineRule="exact"/>
              <w:rPr>
                <w:rFonts w:ascii="Arabic Typesetting" w:hAnsi="Arabic Typesetting" w:cs="Arabic Typesetting"/>
                <w:sz w:val="30"/>
                <w:szCs w:val="30"/>
                <w:rtl/>
              </w:rPr>
            </w:pPr>
            <w:r w:rsidRPr="00BD2C2B">
              <w:rPr>
                <w:rFonts w:ascii="Arabic Typesetting" w:hAnsi="Arabic Typesetting" w:cs="Arabic Typesetting"/>
                <w:sz w:val="30"/>
                <w:szCs w:val="30"/>
                <w:rtl/>
              </w:rPr>
              <w:t xml:space="preserve">الحوادث الجنائية الداخلية والخارجية التي تؤثر </w:t>
            </w:r>
            <w:r>
              <w:rPr>
                <w:rFonts w:ascii="Arabic Typesetting" w:hAnsi="Arabic Typesetting" w:cs="Arabic Typesetting" w:hint="cs"/>
                <w:sz w:val="30"/>
                <w:szCs w:val="30"/>
                <w:rtl/>
              </w:rPr>
              <w:t>في</w:t>
            </w:r>
            <w:r w:rsidRPr="00BD2C2B">
              <w:rPr>
                <w:rFonts w:ascii="Arabic Typesetting" w:hAnsi="Arabic Typesetting" w:cs="Arabic Typesetting"/>
                <w:sz w:val="30"/>
                <w:szCs w:val="30"/>
                <w:rtl/>
              </w:rPr>
              <w:t xml:space="preserve"> المنظمة (السرقة والتخريب والإرهاب)؛ </w:t>
            </w:r>
            <w:r>
              <w:rPr>
                <w:rFonts w:ascii="Arabic Typesetting" w:hAnsi="Arabic Typesetting" w:cs="Arabic Typesetting" w:hint="cs"/>
                <w:sz w:val="30"/>
                <w:szCs w:val="30"/>
                <w:rtl/>
              </w:rPr>
              <w:t>و</w:t>
            </w:r>
            <w:r w:rsidRPr="00BD2C2B">
              <w:rPr>
                <w:rFonts w:ascii="Arabic Typesetting" w:hAnsi="Arabic Typesetting" w:cs="Arabic Typesetting"/>
                <w:sz w:val="30"/>
                <w:szCs w:val="30"/>
                <w:rtl/>
              </w:rPr>
              <w:t xml:space="preserve">الأفعال </w:t>
            </w:r>
            <w:r>
              <w:rPr>
                <w:rFonts w:ascii="Arabic Typesetting" w:hAnsi="Arabic Typesetting" w:cs="Arabic Typesetting" w:hint="cs"/>
                <w:sz w:val="30"/>
                <w:szCs w:val="30"/>
                <w:rtl/>
              </w:rPr>
              <w:t>المؤذية التي</w:t>
            </w:r>
            <w:r w:rsidRPr="00BD2C2B">
              <w:rPr>
                <w:rFonts w:ascii="Arabic Typesetting" w:hAnsi="Arabic Typesetting" w:cs="Arabic Typesetting"/>
                <w:sz w:val="30"/>
                <w:szCs w:val="30"/>
                <w:rtl/>
              </w:rPr>
              <w:t xml:space="preserve"> تعطل عمليات المنظمة و/ أو </w:t>
            </w:r>
            <w:r>
              <w:rPr>
                <w:rFonts w:ascii="Arabic Typesetting" w:hAnsi="Arabic Typesetting" w:cs="Arabic Typesetting" w:hint="cs"/>
                <w:sz w:val="30"/>
                <w:szCs w:val="30"/>
                <w:rtl/>
              </w:rPr>
              <w:t>الأفعال</w:t>
            </w:r>
            <w:r w:rsidRPr="00BD2C2B">
              <w:rPr>
                <w:rFonts w:ascii="Arabic Typesetting" w:hAnsi="Arabic Typesetting" w:cs="Arabic Typesetting"/>
                <w:sz w:val="30"/>
                <w:szCs w:val="30"/>
                <w:rtl/>
              </w:rPr>
              <w:t xml:space="preserve"> التي تعطل عمل المنظمة (المظاهرات/الاضطرابات المدنية/</w:t>
            </w:r>
            <w:r>
              <w:rPr>
                <w:rFonts w:ascii="Arabic Typesetting" w:hAnsi="Arabic Typesetting" w:cs="Arabic Typesetting" w:hint="cs"/>
                <w:sz w:val="30"/>
                <w:szCs w:val="30"/>
                <w:rtl/>
              </w:rPr>
              <w:t xml:space="preserve">المجموعات </w:t>
            </w:r>
            <w:r w:rsidRPr="00BD2C2B">
              <w:rPr>
                <w:rFonts w:ascii="Arabic Typesetting" w:hAnsi="Arabic Typesetting" w:cs="Arabic Typesetting"/>
                <w:sz w:val="30"/>
                <w:szCs w:val="30"/>
                <w:rtl/>
              </w:rPr>
              <w:t>المناهضة للعولمة/</w:t>
            </w:r>
            <w:r>
              <w:rPr>
                <w:rFonts w:ascii="Arabic Typesetting" w:hAnsi="Arabic Typesetting" w:cs="Arabic Typesetting" w:hint="cs"/>
                <w:sz w:val="30"/>
                <w:szCs w:val="30"/>
                <w:rtl/>
              </w:rPr>
              <w:t>المجموعات</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الفوضوية</w:t>
            </w:r>
            <w:r w:rsidRPr="00BD2C2B">
              <w:rPr>
                <w:rFonts w:ascii="Arabic Typesetting" w:hAnsi="Arabic Typesetting" w:cs="Arabic Typesetting"/>
                <w:sz w:val="30"/>
                <w:szCs w:val="30"/>
                <w:rtl/>
              </w:rPr>
              <w:t>).</w:t>
            </w:r>
          </w:p>
        </w:tc>
        <w:tc>
          <w:tcPr>
            <w:tcW w:w="4620" w:type="dxa"/>
            <w:tcBorders>
              <w:top w:val="nil"/>
              <w:left w:val="nil"/>
              <w:bottom w:val="single" w:sz="4" w:space="0" w:color="auto"/>
              <w:right w:val="single" w:sz="4" w:space="0" w:color="auto"/>
            </w:tcBorders>
            <w:tcMar>
              <w:top w:w="113" w:type="dxa"/>
            </w:tcMar>
          </w:tcPr>
          <w:p w:rsidR="00072E5F" w:rsidRDefault="00072E5F" w:rsidP="00DA5475">
            <w:pPr>
              <w:autoSpaceDE w:val="0"/>
              <w:autoSpaceDN w:val="0"/>
              <w:adjustRightInd w:val="0"/>
              <w:spacing w:beforeLines="60" w:before="144" w:afterLines="60" w:after="144" w:line="300" w:lineRule="exact"/>
              <w:ind w:right="108"/>
              <w:rPr>
                <w:rFonts w:ascii="Arabic Typesetting" w:hAnsi="Arabic Typesetting" w:cs="Arabic Typesetting"/>
                <w:sz w:val="30"/>
                <w:szCs w:val="30"/>
                <w:rtl/>
              </w:rPr>
            </w:pPr>
            <w:r>
              <w:rPr>
                <w:rFonts w:ascii="Arabic Typesetting" w:hAnsi="Arabic Typesetting" w:cs="Arabic Typesetting" w:hint="cs"/>
                <w:sz w:val="30"/>
                <w:szCs w:val="30"/>
                <w:rtl/>
              </w:rPr>
              <w:t>الإطار ال</w:t>
            </w:r>
            <w:r w:rsidRPr="00BD2C2B">
              <w:rPr>
                <w:rFonts w:ascii="Arabic Typesetting" w:hAnsi="Arabic Typesetting" w:cs="Arabic Typesetting"/>
                <w:sz w:val="30"/>
                <w:szCs w:val="30"/>
                <w:rtl/>
              </w:rPr>
              <w:t xml:space="preserve">شامل </w:t>
            </w:r>
            <w:r>
              <w:rPr>
                <w:rFonts w:ascii="Arabic Typesetting" w:hAnsi="Arabic Typesetting" w:cs="Arabic Typesetting" w:hint="cs"/>
                <w:sz w:val="30"/>
                <w:szCs w:val="30"/>
                <w:rtl/>
              </w:rPr>
              <w:t>القائم حاليا بشأن ا</w:t>
            </w:r>
            <w:r w:rsidRPr="00BD2C2B">
              <w:rPr>
                <w:rFonts w:ascii="Arabic Typesetting" w:hAnsi="Arabic Typesetting" w:cs="Arabic Typesetting"/>
                <w:sz w:val="30"/>
                <w:szCs w:val="30"/>
                <w:rtl/>
              </w:rPr>
              <w:t xml:space="preserve">لسلامة والأمن، </w:t>
            </w:r>
            <w:r>
              <w:rPr>
                <w:rFonts w:ascii="Arabic Typesetting" w:hAnsi="Arabic Typesetting" w:cs="Arabic Typesetting" w:hint="cs"/>
                <w:sz w:val="30"/>
                <w:szCs w:val="30"/>
                <w:rtl/>
              </w:rPr>
              <w:t>و</w:t>
            </w:r>
            <w:r w:rsidRPr="00BD2C2B">
              <w:rPr>
                <w:rFonts w:ascii="Arabic Typesetting" w:hAnsi="Arabic Typesetting" w:cs="Arabic Typesetting"/>
                <w:sz w:val="30"/>
                <w:szCs w:val="30"/>
                <w:rtl/>
              </w:rPr>
              <w:t xml:space="preserve">بروتوكولات إدارة المخاطر وطبقات </w:t>
            </w:r>
            <w:r>
              <w:rPr>
                <w:rFonts w:ascii="Arabic Typesetting" w:hAnsi="Arabic Typesetting" w:cs="Arabic Typesetting" w:hint="cs"/>
                <w:sz w:val="30"/>
                <w:szCs w:val="30"/>
                <w:rtl/>
              </w:rPr>
              <w:t>ممركزة لمراقبة</w:t>
            </w:r>
            <w:r w:rsidRPr="00BD2C2B">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الأمن المادي </w:t>
            </w:r>
            <w:r w:rsidRPr="00BD2C2B">
              <w:rPr>
                <w:rFonts w:ascii="Arabic Typesetting" w:hAnsi="Arabic Typesetting" w:cs="Arabic Typesetting"/>
                <w:sz w:val="30"/>
                <w:szCs w:val="30"/>
                <w:rtl/>
              </w:rPr>
              <w:t xml:space="preserve">التي تتضمن تدابير </w:t>
            </w:r>
            <w:r>
              <w:rPr>
                <w:rFonts w:ascii="Arabic Typesetting" w:hAnsi="Arabic Typesetting" w:cs="Arabic Typesetting" w:hint="cs"/>
                <w:sz w:val="30"/>
                <w:szCs w:val="30"/>
                <w:rtl/>
              </w:rPr>
              <w:t>لمنع</w:t>
            </w:r>
            <w:r>
              <w:rPr>
                <w:rFonts w:ascii="Arabic Typesetting" w:hAnsi="Arabic Typesetting" w:cs="Arabic Typesetting"/>
                <w:sz w:val="30"/>
                <w:szCs w:val="30"/>
                <w:rtl/>
              </w:rPr>
              <w:t xml:space="preserve"> التسلل، وكاميرات</w:t>
            </w:r>
            <w:r>
              <w:rPr>
                <w:rFonts w:ascii="Arabic Typesetting" w:hAnsi="Arabic Typesetting" w:cs="Arabic Typesetting" w:hint="cs"/>
                <w:sz w:val="30"/>
                <w:szCs w:val="30"/>
                <w:rtl/>
              </w:rPr>
              <w:t xml:space="preserve"> الدوائر</w:t>
            </w:r>
            <w:r w:rsidRPr="00FD167B">
              <w:rPr>
                <w:rFonts w:ascii="Arabic Typesetting" w:hAnsi="Arabic Typesetting" w:cs="Arabic Typesetting"/>
                <w:sz w:val="30"/>
                <w:szCs w:val="30"/>
                <w:rtl/>
              </w:rPr>
              <w:t xml:space="preserve"> التلفزيونية المغلقة </w:t>
            </w:r>
            <w:r w:rsidRPr="00BD2C2B">
              <w:rPr>
                <w:rFonts w:ascii="Arabic Typesetting" w:hAnsi="Arabic Typesetting" w:cs="Arabic Typesetting"/>
                <w:sz w:val="30"/>
                <w:szCs w:val="30"/>
                <w:rtl/>
              </w:rPr>
              <w:t xml:space="preserve">ونظام </w:t>
            </w:r>
            <w:r>
              <w:rPr>
                <w:rFonts w:ascii="Arabic Typesetting" w:hAnsi="Arabic Typesetting" w:cs="Arabic Typesetting" w:hint="cs"/>
                <w:sz w:val="30"/>
                <w:szCs w:val="30"/>
                <w:rtl/>
              </w:rPr>
              <w:t xml:space="preserve">جد متطور للنفاذ إلى </w:t>
            </w:r>
            <w:r w:rsidRPr="00BD2C2B">
              <w:rPr>
                <w:rFonts w:ascii="Arabic Typesetting" w:hAnsi="Arabic Typesetting" w:cs="Arabic Typesetting"/>
                <w:sz w:val="30"/>
                <w:szCs w:val="30"/>
                <w:rtl/>
              </w:rPr>
              <w:t>المباني.</w:t>
            </w:r>
          </w:p>
        </w:tc>
      </w:tr>
    </w:tbl>
    <w:p w:rsidR="00072E5F" w:rsidRPr="008954A8" w:rsidRDefault="00072E5F" w:rsidP="00DA5475">
      <w:pPr>
        <w:tabs>
          <w:tab w:val="left" w:pos="567"/>
          <w:tab w:val="left" w:pos="1985"/>
        </w:tabs>
        <w:jc w:val="both"/>
        <w:rPr>
          <w:rFonts w:ascii="Arabic Typesetting" w:hAnsi="Arabic Typesetting" w:cs="Arabic Typesetting"/>
          <w:sz w:val="30"/>
          <w:szCs w:val="30"/>
        </w:rPr>
      </w:pPr>
    </w:p>
    <w:p w:rsidR="00072E5F" w:rsidRPr="00703710" w:rsidRDefault="00072E5F"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703710">
        <w:rPr>
          <w:rFonts w:ascii="Arabic Typesetting" w:hAnsi="Arabic Typesetting" w:cs="Arabic Typesetting"/>
          <w:noProof/>
          <w:snapToGrid/>
          <w:sz w:val="38"/>
          <w:szCs w:val="38"/>
          <w:rtl/>
          <w:lang w:val="x-none" w:eastAsia="x-none" w:bidi="ar-EG"/>
        </w:rPr>
        <w:lastRenderedPageBreak/>
        <w:t>إطار النتائج</w:t>
      </w:r>
    </w:p>
    <w:tbl>
      <w:tblPr>
        <w:bidiVisual/>
        <w:tblW w:w="48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2836"/>
        <w:gridCol w:w="2126"/>
        <w:gridCol w:w="2206"/>
      </w:tblGrid>
      <w:tr w:rsidR="00072E5F" w:rsidRPr="008954A8" w:rsidTr="00F01A85">
        <w:trPr>
          <w:cantSplit/>
          <w:trHeight w:val="605"/>
        </w:trPr>
        <w:tc>
          <w:tcPr>
            <w:tcW w:w="1143" w:type="pct"/>
            <w:tcBorders>
              <w:top w:val="single" w:sz="4" w:space="0" w:color="auto"/>
              <w:left w:val="single" w:sz="4" w:space="0" w:color="auto"/>
              <w:bottom w:val="single" w:sz="4" w:space="0" w:color="auto"/>
              <w:right w:val="nil"/>
            </w:tcBorders>
            <w:shd w:val="clear" w:color="auto" w:fill="C6D9F1"/>
            <w:tcMar>
              <w:top w:w="113" w:type="dxa"/>
            </w:tcMar>
            <w:vAlign w:val="center"/>
          </w:tcPr>
          <w:p w:rsidR="00072E5F" w:rsidRPr="008954A8" w:rsidRDefault="00072E5F" w:rsidP="00DA5475">
            <w:pPr>
              <w:keepNext/>
              <w:spacing w:before="60" w:afterLines="60" w:after="144"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النتائج المرتقبة</w:t>
            </w:r>
          </w:p>
        </w:tc>
        <w:tc>
          <w:tcPr>
            <w:tcW w:w="1526" w:type="pct"/>
            <w:tcBorders>
              <w:top w:val="single" w:sz="4" w:space="0" w:color="auto"/>
              <w:left w:val="nil"/>
              <w:bottom w:val="single" w:sz="4" w:space="0" w:color="auto"/>
              <w:right w:val="nil"/>
            </w:tcBorders>
            <w:shd w:val="clear" w:color="auto" w:fill="C6D9F1"/>
            <w:tcMar>
              <w:top w:w="113" w:type="dxa"/>
            </w:tcMar>
            <w:vAlign w:val="center"/>
          </w:tcPr>
          <w:p w:rsidR="00072E5F" w:rsidRPr="008954A8" w:rsidRDefault="00072E5F" w:rsidP="00DA5475">
            <w:pPr>
              <w:keepNext/>
              <w:spacing w:before="60" w:afterLines="60" w:after="144" w:line="300" w:lineRule="exact"/>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مؤشرات الأداء</w:t>
            </w:r>
          </w:p>
        </w:tc>
        <w:tc>
          <w:tcPr>
            <w:tcW w:w="1144" w:type="pct"/>
            <w:tcBorders>
              <w:top w:val="single" w:sz="4" w:space="0" w:color="auto"/>
              <w:left w:val="nil"/>
              <w:bottom w:val="single" w:sz="4" w:space="0" w:color="auto"/>
              <w:right w:val="nil"/>
            </w:tcBorders>
            <w:shd w:val="clear" w:color="auto" w:fill="C6D9F1"/>
            <w:tcMar>
              <w:top w:w="113" w:type="dxa"/>
            </w:tcMar>
            <w:vAlign w:val="center"/>
          </w:tcPr>
          <w:p w:rsidR="00072E5F" w:rsidRPr="008954A8" w:rsidRDefault="00072E5F" w:rsidP="00DA5475">
            <w:pPr>
              <w:keepNext/>
              <w:spacing w:before="60" w:afterLines="60" w:after="144" w:line="300" w:lineRule="exact"/>
              <w:ind w:left="85"/>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أسس المقارنة</w:t>
            </w:r>
          </w:p>
        </w:tc>
        <w:tc>
          <w:tcPr>
            <w:tcW w:w="1187" w:type="pct"/>
            <w:tcBorders>
              <w:top w:val="single" w:sz="4" w:space="0" w:color="auto"/>
              <w:left w:val="nil"/>
              <w:bottom w:val="single" w:sz="4" w:space="0" w:color="auto"/>
              <w:right w:val="single" w:sz="4" w:space="0" w:color="auto"/>
            </w:tcBorders>
            <w:shd w:val="clear" w:color="auto" w:fill="C6D9F1"/>
            <w:tcMar>
              <w:top w:w="113" w:type="dxa"/>
            </w:tcMar>
            <w:vAlign w:val="center"/>
          </w:tcPr>
          <w:p w:rsidR="00072E5F" w:rsidRPr="008954A8" w:rsidRDefault="00072E5F" w:rsidP="00DA5475">
            <w:pPr>
              <w:keepNext/>
              <w:keepLines/>
              <w:tabs>
                <w:tab w:val="left" w:pos="1648"/>
              </w:tabs>
              <w:spacing w:before="60" w:afterLines="60" w:after="144" w:line="300" w:lineRule="exact"/>
              <w:ind w:right="271"/>
              <w:jc w:val="center"/>
              <w:rPr>
                <w:rFonts w:ascii="Arabic Typesetting" w:hAnsi="Arabic Typesetting" w:cs="Arabic Typesetting"/>
                <w:sz w:val="30"/>
                <w:szCs w:val="30"/>
                <w:rtl/>
              </w:rPr>
            </w:pPr>
            <w:r w:rsidRPr="008954A8">
              <w:rPr>
                <w:rFonts w:ascii="Arabic Typesetting" w:hAnsi="Arabic Typesetting" w:cs="Arabic Typesetting"/>
                <w:bCs/>
                <w:sz w:val="30"/>
                <w:szCs w:val="30"/>
                <w:rtl/>
              </w:rPr>
              <w:t>الأهداف</w:t>
            </w:r>
          </w:p>
        </w:tc>
      </w:tr>
      <w:tr w:rsidR="00072E5F" w:rsidRPr="008954A8" w:rsidTr="00F01A85">
        <w:trPr>
          <w:cantSplit/>
        </w:trPr>
        <w:tc>
          <w:tcPr>
            <w:tcW w:w="1143" w:type="pct"/>
            <w:vMerge w:val="restart"/>
            <w:tcBorders>
              <w:top w:val="single" w:sz="4" w:space="0" w:color="auto"/>
              <w:left w:val="single" w:sz="4" w:space="0" w:color="auto"/>
              <w:bottom w:val="nil"/>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tl/>
              </w:rPr>
            </w:pPr>
            <w:r w:rsidRPr="008954A8">
              <w:rPr>
                <w:rFonts w:ascii="Arabic Typesetting" w:hAnsi="Arabic Typesetting" w:cs="Arabic Typesetting" w:hint="cs"/>
                <w:sz w:val="30"/>
                <w:szCs w:val="30"/>
                <w:rtl/>
              </w:rPr>
              <w:t xml:space="preserve">ه </w:t>
            </w:r>
            <w:r>
              <w:rPr>
                <w:rFonts w:ascii="Arabic Typesetting" w:hAnsi="Arabic Typesetting" w:cs="Arabic Typesetting" w:hint="cs"/>
                <w:sz w:val="30"/>
                <w:szCs w:val="30"/>
                <w:rtl/>
              </w:rPr>
              <w:t>1</w:t>
            </w:r>
            <w:r w:rsidRPr="008954A8">
              <w:rPr>
                <w:rFonts w:ascii="Arabic Typesetting" w:hAnsi="Arabic Typesetting" w:cs="Arabic Typesetting" w:hint="cs"/>
                <w:sz w:val="30"/>
                <w:szCs w:val="30"/>
                <w:rtl/>
              </w:rPr>
              <w:t>.9</w:t>
            </w:r>
            <w:r w:rsidRPr="008954A8">
              <w:rPr>
                <w:rFonts w:ascii="Arabic Typesetting" w:hAnsi="Arabic Typesetting" w:cs="Arabic Typesetting"/>
                <w:sz w:val="30"/>
                <w:szCs w:val="30"/>
                <w:rtl/>
              </w:rPr>
              <w:t xml:space="preserve"> </w:t>
            </w:r>
            <w:r w:rsidRPr="00B22714">
              <w:rPr>
                <w:rFonts w:ascii="Arabic Typesetting" w:hAnsi="Arabic Typesetting" w:cs="Arabic Typesetting"/>
                <w:sz w:val="30"/>
                <w:szCs w:val="30"/>
                <w:rtl/>
              </w:rPr>
              <w:t>خدمات دعم موجهة للزبون بفعالية وكفاءة وجودة لفائدة الزبائن الداخليين وأصحاب المصلحة الخارجيين</w:t>
            </w:r>
          </w:p>
        </w:tc>
        <w:tc>
          <w:tcPr>
            <w:tcW w:w="1526" w:type="pct"/>
            <w:tcBorders>
              <w:top w:val="single" w:sz="4" w:space="0" w:color="auto"/>
              <w:left w:val="nil"/>
              <w:bottom w:val="nil"/>
              <w:right w:val="nil"/>
            </w:tcBorders>
            <w:tcMar>
              <w:top w:w="113" w:type="dxa"/>
            </w:tcMar>
          </w:tcPr>
          <w:p w:rsidR="00072E5F" w:rsidRDefault="00072E5F" w:rsidP="00DA5475">
            <w:pPr>
              <w:keepNext/>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إدارة تأمين المعلومات مُحدَّدة ومنفَّذة</w:t>
            </w:r>
          </w:p>
          <w:p w:rsidR="00072E5F" w:rsidRPr="008954A8" w:rsidRDefault="00072E5F" w:rsidP="00DA5475">
            <w:pPr>
              <w:keepNext/>
              <w:spacing w:before="60" w:afterLines="60" w:after="144" w:line="300" w:lineRule="exact"/>
              <w:rPr>
                <w:rFonts w:ascii="Arabic Typesetting" w:hAnsi="Arabic Typesetting" w:cs="Arabic Typesetting"/>
                <w:sz w:val="30"/>
                <w:szCs w:val="30"/>
                <w:rtl/>
              </w:rPr>
            </w:pPr>
          </w:p>
        </w:tc>
        <w:tc>
          <w:tcPr>
            <w:tcW w:w="1144" w:type="pct"/>
            <w:tcBorders>
              <w:top w:val="single" w:sz="4" w:space="0" w:color="auto"/>
              <w:left w:val="nil"/>
              <w:bottom w:val="nil"/>
              <w:right w:val="nil"/>
            </w:tcBorders>
            <w:shd w:val="clear" w:color="auto" w:fill="FFFFFF"/>
            <w:tcMar>
              <w:top w:w="113" w:type="dxa"/>
            </w:tcMar>
          </w:tcPr>
          <w:p w:rsidR="00072E5F" w:rsidRPr="008954A8" w:rsidRDefault="00072E5F" w:rsidP="00DA5475">
            <w:pPr>
              <w:keepNext/>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إدارة محدودة لتأمين المعلومات</w:t>
            </w:r>
            <w:r>
              <w:rPr>
                <w:rFonts w:ascii="Arabic Typesetting" w:hAnsi="Arabic Typesetting" w:cs="Arabic Typesetting"/>
                <w:sz w:val="30"/>
                <w:szCs w:val="30"/>
                <w:rtl/>
              </w:rPr>
              <w:br/>
            </w:r>
            <w:r>
              <w:rPr>
                <w:rFonts w:ascii="Arabic Typesetting" w:hAnsi="Arabic Typesetting" w:cs="Arabic Typesetting" w:hint="cs"/>
                <w:sz w:val="30"/>
                <w:szCs w:val="30"/>
                <w:rtl/>
              </w:rPr>
              <w:t>قدرة محدودة لتنفيذ استراتيجي</w:t>
            </w:r>
            <w:r>
              <w:rPr>
                <w:rFonts w:ascii="Arabic Typesetting" w:hAnsi="Arabic Typesetting" w:cs="Arabic Typesetting" w:hint="eastAsia"/>
                <w:sz w:val="30"/>
                <w:szCs w:val="30"/>
                <w:rtl/>
              </w:rPr>
              <w:t>ة</w:t>
            </w:r>
            <w:r>
              <w:rPr>
                <w:rFonts w:ascii="Arabic Typesetting" w:hAnsi="Arabic Typesetting" w:cs="Arabic Typesetting" w:hint="cs"/>
                <w:sz w:val="30"/>
                <w:szCs w:val="30"/>
                <w:rtl/>
              </w:rPr>
              <w:t xml:space="preserve"> تأمين المعلومات</w:t>
            </w:r>
          </w:p>
        </w:tc>
        <w:tc>
          <w:tcPr>
            <w:tcW w:w="1187" w:type="pct"/>
            <w:tcBorders>
              <w:top w:val="single" w:sz="4" w:space="0" w:color="auto"/>
              <w:left w:val="nil"/>
              <w:bottom w:val="nil"/>
              <w:right w:val="single" w:sz="4" w:space="0" w:color="auto"/>
            </w:tcBorders>
            <w:tcMar>
              <w:top w:w="113" w:type="dxa"/>
            </w:tcMar>
          </w:tcPr>
          <w:p w:rsidR="00072E5F" w:rsidRPr="008954A8" w:rsidRDefault="00072E5F" w:rsidP="00DA5475">
            <w:pPr>
              <w:keepNext/>
              <w:keepLines/>
              <w:spacing w:before="60" w:afterLines="60" w:after="144" w:line="300" w:lineRule="exact"/>
              <w:ind w:right="381"/>
              <w:rPr>
                <w:rFonts w:ascii="Arabic Typesetting" w:hAnsi="Arabic Typesetting" w:cs="Arabic Typesetting"/>
                <w:b/>
                <w:sz w:val="30"/>
                <w:szCs w:val="30"/>
                <w:rtl/>
              </w:rPr>
            </w:pPr>
            <w:r>
              <w:rPr>
                <w:rFonts w:ascii="Arabic Typesetting" w:hAnsi="Arabic Typesetting" w:cs="Arabic Typesetting" w:hint="cs"/>
                <w:b/>
                <w:sz w:val="30"/>
                <w:szCs w:val="30"/>
                <w:rtl/>
              </w:rPr>
              <w:t>إصدار إطار متفق عليه بشأن إدارة تأمين المعلومات</w:t>
            </w:r>
          </w:p>
        </w:tc>
      </w:tr>
      <w:tr w:rsidR="00072E5F" w:rsidRPr="008954A8" w:rsidTr="00F01A85">
        <w:trPr>
          <w:cantSplit/>
          <w:trHeight w:val="1377"/>
        </w:trPr>
        <w:tc>
          <w:tcPr>
            <w:tcW w:w="1143" w:type="pct"/>
            <w:vMerge/>
            <w:tcBorders>
              <w:top w:val="nil"/>
              <w:left w:val="single" w:sz="4" w:space="0" w:color="auto"/>
              <w:bottom w:val="nil"/>
              <w:right w:val="nil"/>
            </w:tcBorders>
            <w:tcMar>
              <w:top w:w="113" w:type="dxa"/>
            </w:tcMar>
          </w:tcPr>
          <w:p w:rsidR="00072E5F" w:rsidRPr="008954A8" w:rsidRDefault="00072E5F" w:rsidP="00DA5475">
            <w:pPr>
              <w:keepNext/>
              <w:spacing w:before="60" w:afterLines="60" w:after="144" w:line="300" w:lineRule="exact"/>
              <w:rPr>
                <w:rFonts w:ascii="Arabic Typesetting" w:hAnsi="Arabic Typesetting" w:cs="Arabic Typesetting"/>
                <w:sz w:val="30"/>
                <w:szCs w:val="30"/>
              </w:rPr>
            </w:pPr>
          </w:p>
        </w:tc>
        <w:tc>
          <w:tcPr>
            <w:tcW w:w="1526" w:type="pct"/>
            <w:tcBorders>
              <w:top w:val="nil"/>
              <w:left w:val="nil"/>
              <w:bottom w:val="nil"/>
              <w:right w:val="nil"/>
            </w:tcBorders>
            <w:tcMar>
              <w:top w:w="113" w:type="dxa"/>
            </w:tcMar>
          </w:tcPr>
          <w:p w:rsidR="00072E5F" w:rsidRPr="008954A8" w:rsidRDefault="00072E5F" w:rsidP="00DA5475">
            <w:pPr>
              <w:keepNext/>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الموظفين الذين هم على علم بمسؤولياتهم فيما يخص أمن المعلومات وسياسات الأمن وأفضل الممارسات</w:t>
            </w:r>
          </w:p>
        </w:tc>
        <w:tc>
          <w:tcPr>
            <w:tcW w:w="1144" w:type="pct"/>
            <w:tcBorders>
              <w:top w:val="nil"/>
              <w:left w:val="nil"/>
              <w:bottom w:val="nil"/>
              <w:right w:val="nil"/>
            </w:tcBorders>
            <w:shd w:val="clear" w:color="auto" w:fill="FFFFFF"/>
            <w:tcMar>
              <w:top w:w="113" w:type="dxa"/>
            </w:tcMar>
          </w:tcPr>
          <w:p w:rsidR="00072E5F" w:rsidRPr="008954A8" w:rsidRDefault="00E42F85" w:rsidP="00BA0BDF">
            <w:pPr>
              <w:keepNext/>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12</w:t>
            </w:r>
            <w:r w:rsidR="00072E5F">
              <w:rPr>
                <w:rFonts w:ascii="Arabic Typesetting" w:hAnsi="Arabic Typesetting" w:cs="Arabic Typesetting" w:hint="cs"/>
                <w:sz w:val="30"/>
                <w:szCs w:val="30"/>
                <w:rtl/>
              </w:rPr>
              <w:t>% من الموظفين وقعوا ضحية حملات الانتحال</w:t>
            </w:r>
            <w:r>
              <w:rPr>
                <w:rFonts w:ascii="Arabic Typesetting" w:hAnsi="Arabic Typesetting" w:cs="Arabic Typesetting" w:hint="cs"/>
                <w:sz w:val="30"/>
                <w:szCs w:val="30"/>
                <w:rtl/>
              </w:rPr>
              <w:t xml:space="preserve"> (معدل قائم على حملتي محاكاة أجريتا في 2014 والشطر الأول من 2015)</w:t>
            </w:r>
          </w:p>
        </w:tc>
        <w:tc>
          <w:tcPr>
            <w:tcW w:w="1187" w:type="pct"/>
            <w:tcBorders>
              <w:top w:val="nil"/>
              <w:left w:val="nil"/>
              <w:bottom w:val="nil"/>
              <w:right w:val="single" w:sz="4" w:space="0" w:color="auto"/>
            </w:tcBorders>
            <w:tcMar>
              <w:top w:w="113" w:type="dxa"/>
            </w:tcMar>
          </w:tcPr>
          <w:p w:rsidR="00072E5F" w:rsidRPr="008954A8" w:rsidRDefault="00072E5F" w:rsidP="00DA5475">
            <w:pPr>
              <w:keepNext/>
              <w:keepLines/>
              <w:tabs>
                <w:tab w:val="left" w:pos="2051"/>
              </w:tabs>
              <w:spacing w:before="60" w:afterLines="60" w:after="144" w:line="300" w:lineRule="exact"/>
              <w:ind w:right="381"/>
              <w:rPr>
                <w:rFonts w:ascii="Arabic Typesetting" w:hAnsi="Arabic Typesetting" w:cs="Arabic Typesetting"/>
                <w:b/>
                <w:sz w:val="30"/>
                <w:szCs w:val="30"/>
                <w:rtl/>
              </w:rPr>
            </w:pPr>
            <w:r>
              <w:rPr>
                <w:rFonts w:ascii="Arabic Typesetting" w:hAnsi="Arabic Typesetting" w:cs="Arabic Typesetting" w:hint="cs"/>
                <w:sz w:val="30"/>
                <w:szCs w:val="30"/>
                <w:rtl/>
              </w:rPr>
              <w:t>نسبة الموظفين الذين وقعوا ضحية حملات الانتحال</w:t>
            </w:r>
            <w:r>
              <w:rPr>
                <w:rFonts w:ascii="Arabic Typesetting" w:hAnsi="Arabic Typesetting" w:cs="Arabic Typesetting" w:hint="cs"/>
                <w:b/>
                <w:sz w:val="30"/>
                <w:szCs w:val="30"/>
                <w:rtl/>
              </w:rPr>
              <w:t xml:space="preserve"> أقل من 5%</w:t>
            </w:r>
            <w:r>
              <w:rPr>
                <w:rFonts w:ascii="Arabic Typesetting" w:hAnsi="Arabic Typesetting" w:cs="Arabic Typesetting" w:hint="cs"/>
                <w:sz w:val="30"/>
                <w:szCs w:val="30"/>
                <w:rtl/>
              </w:rPr>
              <w:t xml:space="preserve"> </w:t>
            </w:r>
          </w:p>
        </w:tc>
      </w:tr>
      <w:tr w:rsidR="00072E5F" w:rsidRPr="008954A8" w:rsidTr="00F01A85">
        <w:trPr>
          <w:cantSplit/>
          <w:trHeight w:val="1377"/>
        </w:trPr>
        <w:tc>
          <w:tcPr>
            <w:tcW w:w="1143" w:type="pct"/>
            <w:tcBorders>
              <w:top w:val="nil"/>
              <w:left w:val="single" w:sz="4" w:space="0" w:color="auto"/>
              <w:bottom w:val="nil"/>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r w:rsidRPr="008954A8">
              <w:rPr>
                <w:rFonts w:ascii="Arabic Typesetting" w:hAnsi="Arabic Typesetting" w:cs="Arabic Typesetting" w:hint="cs"/>
                <w:sz w:val="30"/>
                <w:szCs w:val="30"/>
                <w:rtl/>
              </w:rPr>
              <w:t>ه 4.9</w:t>
            </w:r>
            <w:r w:rsidRPr="008954A8">
              <w:rPr>
                <w:rFonts w:ascii="Arabic Typesetting" w:hAnsi="Arabic Typesetting" w:cs="Arabic Typesetting"/>
                <w:sz w:val="30"/>
                <w:szCs w:val="30"/>
                <w:rtl/>
              </w:rPr>
              <w:t xml:space="preserve"> </w:t>
            </w:r>
            <w:r w:rsidRPr="00BD2C2B">
              <w:rPr>
                <w:rFonts w:ascii="Arabic Typesetting" w:hAnsi="Arabic Typesetting" w:cs="Arabic Typesetting"/>
                <w:sz w:val="30"/>
                <w:szCs w:val="30"/>
                <w:rtl/>
              </w:rPr>
              <w:t>منظمة ذات مسؤولية بيئية واجتماعية تكفل السلامة والأمن للموظفين في الويبو والمندوبين والزائرين والممتلكات المادية والمعلومات</w:t>
            </w:r>
          </w:p>
        </w:tc>
        <w:tc>
          <w:tcPr>
            <w:tcW w:w="1526" w:type="pct"/>
            <w:tcBorders>
              <w:top w:val="nil"/>
              <w:left w:val="nil"/>
              <w:bottom w:val="nil"/>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النسبة المئوية لمخاطر </w:t>
            </w:r>
            <w:r w:rsidRPr="008F4191">
              <w:rPr>
                <w:rFonts w:ascii="Arabic Typesetting" w:hAnsi="Arabic Typesetting" w:cs="Arabic Typesetting"/>
                <w:sz w:val="30"/>
                <w:szCs w:val="30"/>
                <w:rtl/>
              </w:rPr>
              <w:t xml:space="preserve">المعلومات، بما في ذلك مخاطر </w:t>
            </w:r>
            <w:r>
              <w:rPr>
                <w:rFonts w:ascii="Arabic Typesetting" w:hAnsi="Arabic Typesetting" w:cs="Arabic Typesetting" w:hint="cs"/>
                <w:sz w:val="30"/>
                <w:szCs w:val="30"/>
                <w:rtl/>
              </w:rPr>
              <w:t>الغير</w:t>
            </w:r>
            <w:r>
              <w:rPr>
                <w:rFonts w:ascii="Arabic Typesetting" w:hAnsi="Arabic Typesetting" w:cs="Arabic Typesetting"/>
                <w:sz w:val="30"/>
                <w:szCs w:val="30"/>
                <w:rtl/>
              </w:rPr>
              <w:t>،</w:t>
            </w:r>
            <w:r>
              <w:rPr>
                <w:rFonts w:ascii="Arabic Typesetting" w:hAnsi="Arabic Typesetting" w:cs="Arabic Typesetting" w:hint="cs"/>
                <w:sz w:val="30"/>
                <w:szCs w:val="30"/>
                <w:rtl/>
              </w:rPr>
              <w:t xml:space="preserve"> التي تم الإبلاغ عنها وإدارتها</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بشكل متسق ضمن حدود </w:t>
            </w:r>
            <w:r w:rsidRPr="008F4191">
              <w:rPr>
                <w:rFonts w:ascii="Arabic Typesetting" w:hAnsi="Arabic Typesetting" w:cs="Arabic Typesetting"/>
                <w:sz w:val="30"/>
                <w:szCs w:val="30"/>
                <w:rtl/>
              </w:rPr>
              <w:t xml:space="preserve">تحمل </w:t>
            </w:r>
            <w:r>
              <w:rPr>
                <w:rFonts w:ascii="Arabic Typesetting" w:hAnsi="Arabic Typesetting" w:cs="Arabic Typesetting" w:hint="cs"/>
                <w:sz w:val="30"/>
                <w:szCs w:val="30"/>
                <w:rtl/>
              </w:rPr>
              <w:t>الويبو للمخاطر</w:t>
            </w:r>
          </w:p>
        </w:tc>
        <w:tc>
          <w:tcPr>
            <w:tcW w:w="1144" w:type="pct"/>
            <w:tcBorders>
              <w:top w:val="nil"/>
              <w:left w:val="nil"/>
              <w:bottom w:val="nil"/>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 xml:space="preserve">مخاطر المعلومات </w:t>
            </w:r>
            <w:r>
              <w:rPr>
                <w:rFonts w:ascii="Arabic Typesetting" w:hAnsi="Arabic Typesetting" w:cs="Arabic Typesetting" w:hint="cs"/>
                <w:sz w:val="30"/>
                <w:szCs w:val="30"/>
                <w:rtl/>
              </w:rPr>
              <w:t>المبلغ عنها</w:t>
            </w:r>
            <w:r w:rsidRPr="008F4191">
              <w:rPr>
                <w:rFonts w:ascii="Arabic Typesetting" w:hAnsi="Arabic Typesetting" w:cs="Arabic Typesetting"/>
                <w:sz w:val="30"/>
                <w:szCs w:val="30"/>
                <w:rtl/>
              </w:rPr>
              <w:t xml:space="preserve"> على أساس مخصص</w:t>
            </w:r>
            <w:r w:rsidRPr="008F4191">
              <w:rPr>
                <w:rFonts w:ascii="Arabic Typesetting" w:hAnsi="Arabic Typesetting" w:cs="Arabic Typesetting"/>
                <w:sz w:val="30"/>
                <w:szCs w:val="30"/>
              </w:rPr>
              <w:t>.</w:t>
            </w:r>
            <w:r w:rsidRPr="008F4191">
              <w:rPr>
                <w:rFonts w:ascii="Arabic Typesetting" w:hAnsi="Arabic Typesetting" w:cs="Arabic Typesetting" w:hint="cs"/>
                <w:sz w:val="30"/>
                <w:szCs w:val="30"/>
                <w:rtl/>
              </w:rPr>
              <w:br/>
            </w:r>
            <w:r w:rsidRPr="008F4191">
              <w:rPr>
                <w:rFonts w:ascii="Arabic Typesetting" w:hAnsi="Arabic Typesetting" w:cs="Arabic Typesetting"/>
                <w:sz w:val="30"/>
                <w:szCs w:val="30"/>
                <w:rtl/>
              </w:rPr>
              <w:t xml:space="preserve">مخاطر معلومات </w:t>
            </w:r>
            <w:r>
              <w:rPr>
                <w:rFonts w:ascii="Arabic Typesetting" w:hAnsi="Arabic Typesetting" w:cs="Arabic Typesetting" w:hint="cs"/>
                <w:sz w:val="30"/>
                <w:szCs w:val="30"/>
                <w:rtl/>
              </w:rPr>
              <w:t>الغير التي لم تحدد ولم تُدر بشكل متسق</w:t>
            </w:r>
            <w:r w:rsidRPr="008F4191">
              <w:rPr>
                <w:rFonts w:ascii="Arabic Typesetting" w:hAnsi="Arabic Typesetting" w:cs="Arabic Typesetting"/>
                <w:sz w:val="30"/>
                <w:szCs w:val="30"/>
                <w:rtl/>
              </w:rPr>
              <w:t xml:space="preserve"> </w:t>
            </w:r>
          </w:p>
        </w:tc>
        <w:tc>
          <w:tcPr>
            <w:tcW w:w="1187" w:type="pct"/>
            <w:tcBorders>
              <w:top w:val="nil"/>
              <w:left w:val="nil"/>
              <w:bottom w:val="nil"/>
              <w:right w:val="single" w:sz="4" w:space="0" w:color="auto"/>
            </w:tcBorders>
            <w:tcMar>
              <w:top w:w="113" w:type="dxa"/>
            </w:tcMar>
          </w:tcPr>
          <w:p w:rsidR="00072E5F" w:rsidRPr="008F4191"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Pr>
                <w:rFonts w:ascii="Arabic Typesetting" w:hAnsi="Arabic Typesetting" w:cs="Arabic Typesetting" w:hint="cs"/>
                <w:sz w:val="30"/>
                <w:szCs w:val="30"/>
                <w:rtl/>
              </w:rPr>
              <w:t>إبلاغ الهيئات الداخلية المعنية بإدارة تأمين المعلومات بشكل دوري عن</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مخاطر ال</w:t>
            </w:r>
            <w:r w:rsidRPr="008F4191">
              <w:rPr>
                <w:rFonts w:ascii="Arabic Typesetting" w:hAnsi="Arabic Typesetting" w:cs="Arabic Typesetting"/>
                <w:sz w:val="30"/>
                <w:szCs w:val="30"/>
                <w:rtl/>
              </w:rPr>
              <w:t xml:space="preserve">معلومات </w:t>
            </w:r>
            <w:r>
              <w:rPr>
                <w:rFonts w:ascii="Arabic Typesetting" w:hAnsi="Arabic Typesetting" w:cs="Arabic Typesetting" w:hint="cs"/>
                <w:sz w:val="30"/>
                <w:szCs w:val="30"/>
                <w:rtl/>
              </w:rPr>
              <w:t>المؤسسية</w:t>
            </w:r>
          </w:p>
          <w:p w:rsidR="00072E5F"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sidRPr="008F4191">
              <w:rPr>
                <w:rFonts w:ascii="Arabic Typesetting" w:hAnsi="Arabic Typesetting" w:cs="Arabic Typesetting"/>
                <w:sz w:val="30"/>
                <w:szCs w:val="30"/>
                <w:rtl/>
              </w:rPr>
              <w:t xml:space="preserve">الإدارة الفعالة </w:t>
            </w:r>
            <w:r>
              <w:rPr>
                <w:rFonts w:ascii="Arabic Typesetting" w:hAnsi="Arabic Typesetting" w:cs="Arabic Typesetting" w:hint="cs"/>
                <w:sz w:val="30"/>
                <w:szCs w:val="30"/>
                <w:rtl/>
              </w:rPr>
              <w:t xml:space="preserve">لمخاطر </w:t>
            </w:r>
            <w:r w:rsidRPr="008F4191">
              <w:rPr>
                <w:rFonts w:ascii="Arabic Typesetting" w:hAnsi="Arabic Typesetting" w:cs="Arabic Typesetting"/>
                <w:sz w:val="30"/>
                <w:szCs w:val="30"/>
                <w:rtl/>
              </w:rPr>
              <w:t xml:space="preserve">معلومات </w:t>
            </w:r>
            <w:r>
              <w:rPr>
                <w:rFonts w:ascii="Arabic Typesetting" w:hAnsi="Arabic Typesetting" w:cs="Arabic Typesetting" w:hint="cs"/>
                <w:sz w:val="30"/>
                <w:szCs w:val="30"/>
                <w:rtl/>
              </w:rPr>
              <w:t>الغير</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زيادة بأكثر من 10%</w:t>
            </w:r>
            <w:r w:rsidRPr="008F4191">
              <w:rPr>
                <w:rFonts w:ascii="Arabic Typesetting" w:hAnsi="Arabic Typesetting" w:cs="Arabic Typesetting"/>
                <w:sz w:val="30"/>
                <w:szCs w:val="30"/>
                <w:rtl/>
              </w:rPr>
              <w:t>).</w:t>
            </w:r>
          </w:p>
        </w:tc>
      </w:tr>
      <w:tr w:rsidR="00072E5F" w:rsidRPr="008954A8" w:rsidTr="00F01A85">
        <w:trPr>
          <w:cantSplit/>
          <w:trHeight w:val="1377"/>
        </w:trPr>
        <w:tc>
          <w:tcPr>
            <w:tcW w:w="1143" w:type="pct"/>
            <w:tcBorders>
              <w:top w:val="nil"/>
              <w:left w:val="single" w:sz="4" w:space="0" w:color="auto"/>
              <w:bottom w:val="nil"/>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p>
        </w:tc>
        <w:tc>
          <w:tcPr>
            <w:tcW w:w="1526" w:type="pct"/>
            <w:tcBorders>
              <w:top w:val="nil"/>
              <w:left w:val="nil"/>
              <w:bottom w:val="nil"/>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 xml:space="preserve">تحديد </w:t>
            </w:r>
            <w:r>
              <w:rPr>
                <w:rFonts w:ascii="Arabic Typesetting" w:hAnsi="Arabic Typesetting" w:cs="Arabic Typesetting"/>
                <w:sz w:val="30"/>
                <w:szCs w:val="30"/>
                <w:rtl/>
              </w:rPr>
              <w:t>ومعالج</w:t>
            </w:r>
            <w:r>
              <w:rPr>
                <w:rFonts w:ascii="Arabic Typesetting" w:hAnsi="Arabic Typesetting" w:cs="Arabic Typesetting" w:hint="cs"/>
                <w:sz w:val="30"/>
                <w:szCs w:val="30"/>
                <w:rtl/>
              </w:rPr>
              <w:t>ة</w:t>
            </w:r>
            <w:r w:rsidRPr="008F4191">
              <w:rPr>
                <w:rFonts w:ascii="Arabic Typesetting" w:hAnsi="Arabic Typesetting" w:cs="Arabic Typesetting"/>
                <w:sz w:val="30"/>
                <w:szCs w:val="30"/>
                <w:rtl/>
              </w:rPr>
              <w:t xml:space="preserve"> نقاط الضعف </w:t>
            </w:r>
            <w:r>
              <w:rPr>
                <w:rFonts w:ascii="Arabic Typesetting" w:hAnsi="Arabic Typesetting" w:cs="Arabic Typesetting" w:hint="cs"/>
                <w:sz w:val="30"/>
                <w:szCs w:val="30"/>
                <w:rtl/>
              </w:rPr>
              <w:t xml:space="preserve">بشكل </w:t>
            </w:r>
            <w:r w:rsidRPr="008F4191">
              <w:rPr>
                <w:rFonts w:ascii="Arabic Typesetting" w:hAnsi="Arabic Typesetting" w:cs="Arabic Typesetting"/>
                <w:sz w:val="30"/>
                <w:szCs w:val="30"/>
                <w:rtl/>
              </w:rPr>
              <w:t xml:space="preserve">استباقي </w:t>
            </w:r>
            <w:r>
              <w:rPr>
                <w:rFonts w:ascii="Arabic Typesetting" w:hAnsi="Arabic Typesetting" w:cs="Arabic Typesetting" w:hint="cs"/>
                <w:sz w:val="30"/>
                <w:szCs w:val="30"/>
                <w:rtl/>
              </w:rPr>
              <w:t>و</w:t>
            </w:r>
            <w:r w:rsidRPr="008F4191">
              <w:rPr>
                <w:rFonts w:ascii="Arabic Typesetting" w:hAnsi="Arabic Typesetting" w:cs="Arabic Typesetting"/>
                <w:sz w:val="30"/>
                <w:szCs w:val="30"/>
                <w:rtl/>
              </w:rPr>
              <w:t xml:space="preserve">في الوقت المناسب </w:t>
            </w:r>
            <w:r>
              <w:rPr>
                <w:rFonts w:ascii="Arabic Typesetting" w:hAnsi="Arabic Typesetting" w:cs="Arabic Typesetting" w:hint="cs"/>
                <w:sz w:val="30"/>
                <w:szCs w:val="30"/>
                <w:rtl/>
              </w:rPr>
              <w:t xml:space="preserve">ضمن </w:t>
            </w:r>
            <w:r w:rsidRPr="008F4191">
              <w:rPr>
                <w:rFonts w:ascii="Arabic Typesetting" w:hAnsi="Arabic Typesetting" w:cs="Arabic Typesetting"/>
                <w:sz w:val="30"/>
                <w:szCs w:val="30"/>
                <w:rtl/>
              </w:rPr>
              <w:t>مستويات الخدمة المتفق عليها</w:t>
            </w:r>
          </w:p>
        </w:tc>
        <w:tc>
          <w:tcPr>
            <w:tcW w:w="1144" w:type="pct"/>
            <w:tcBorders>
              <w:top w:val="nil"/>
              <w:left w:val="nil"/>
              <w:bottom w:val="nil"/>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 xml:space="preserve">ثغرات محدودة </w:t>
            </w:r>
            <w:r>
              <w:rPr>
                <w:rFonts w:ascii="Arabic Typesetting" w:hAnsi="Arabic Typesetting" w:cs="Arabic Typesetting" w:hint="cs"/>
                <w:sz w:val="30"/>
                <w:szCs w:val="30"/>
                <w:rtl/>
              </w:rPr>
              <w:t xml:space="preserve">في </w:t>
            </w:r>
            <w:r w:rsidRPr="008F4191">
              <w:rPr>
                <w:rFonts w:ascii="Arabic Typesetting" w:hAnsi="Arabic Typesetting" w:cs="Arabic Typesetting"/>
                <w:sz w:val="30"/>
                <w:szCs w:val="30"/>
                <w:rtl/>
              </w:rPr>
              <w:t xml:space="preserve">أمن </w:t>
            </w:r>
            <w:r>
              <w:rPr>
                <w:rFonts w:ascii="Arabic Typesetting" w:hAnsi="Arabic Typesetting" w:cs="Arabic Typesetting" w:hint="cs"/>
                <w:sz w:val="30"/>
                <w:szCs w:val="30"/>
                <w:rtl/>
              </w:rPr>
              <w:t>ال</w:t>
            </w:r>
            <w:r w:rsidRPr="008F4191">
              <w:rPr>
                <w:rFonts w:ascii="Arabic Typesetting" w:hAnsi="Arabic Typesetting" w:cs="Arabic Typesetting"/>
                <w:sz w:val="30"/>
                <w:szCs w:val="30"/>
                <w:rtl/>
              </w:rPr>
              <w:t xml:space="preserve">معلومات </w:t>
            </w:r>
            <w:r>
              <w:rPr>
                <w:rFonts w:ascii="Arabic Typesetting" w:hAnsi="Arabic Typesetting" w:cs="Arabic Typesetting" w:hint="cs"/>
                <w:sz w:val="30"/>
                <w:szCs w:val="30"/>
                <w:rtl/>
              </w:rPr>
              <w:t>محددة ومعالجة</w:t>
            </w:r>
            <w:r w:rsidRPr="008F4191">
              <w:rPr>
                <w:rFonts w:ascii="Arabic Typesetting" w:hAnsi="Arabic Typesetting" w:cs="Arabic Typesetting"/>
                <w:sz w:val="30"/>
                <w:szCs w:val="30"/>
              </w:rPr>
              <w:t>.</w:t>
            </w:r>
          </w:p>
        </w:tc>
        <w:tc>
          <w:tcPr>
            <w:tcW w:w="1187" w:type="pct"/>
            <w:tcBorders>
              <w:top w:val="nil"/>
              <w:left w:val="nil"/>
              <w:bottom w:val="nil"/>
              <w:right w:val="single" w:sz="4" w:space="0" w:color="auto"/>
            </w:tcBorders>
            <w:tcMar>
              <w:top w:w="113" w:type="dxa"/>
            </w:tcMar>
          </w:tcPr>
          <w:p w:rsidR="00072E5F"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sidRPr="008F4191">
              <w:rPr>
                <w:rFonts w:ascii="Arabic Typesetting" w:hAnsi="Arabic Typesetting" w:cs="Arabic Typesetting"/>
                <w:sz w:val="30"/>
                <w:szCs w:val="30"/>
                <w:rtl/>
              </w:rPr>
              <w:t xml:space="preserve">ثغرات </w:t>
            </w:r>
            <w:r>
              <w:rPr>
                <w:rFonts w:ascii="Arabic Typesetting" w:hAnsi="Arabic Typesetting" w:cs="Arabic Typesetting" w:hint="cs"/>
                <w:sz w:val="30"/>
                <w:szCs w:val="30"/>
                <w:rtl/>
              </w:rPr>
              <w:t xml:space="preserve">في </w:t>
            </w:r>
            <w:r w:rsidRPr="008F4191">
              <w:rPr>
                <w:rFonts w:ascii="Arabic Typesetting" w:hAnsi="Arabic Typesetting" w:cs="Arabic Typesetting"/>
                <w:sz w:val="30"/>
                <w:szCs w:val="30"/>
                <w:rtl/>
              </w:rPr>
              <w:t xml:space="preserve">أمن </w:t>
            </w:r>
            <w:r>
              <w:rPr>
                <w:rFonts w:ascii="Arabic Typesetting" w:hAnsi="Arabic Typesetting" w:cs="Arabic Typesetting" w:hint="cs"/>
                <w:sz w:val="30"/>
                <w:szCs w:val="30"/>
                <w:rtl/>
              </w:rPr>
              <w:t>ال</w:t>
            </w:r>
            <w:r w:rsidRPr="008F4191">
              <w:rPr>
                <w:rFonts w:ascii="Arabic Typesetting" w:hAnsi="Arabic Typesetting" w:cs="Arabic Typesetting"/>
                <w:sz w:val="30"/>
                <w:szCs w:val="30"/>
                <w:rtl/>
              </w:rPr>
              <w:t xml:space="preserve">معلومات </w:t>
            </w:r>
            <w:r>
              <w:rPr>
                <w:rFonts w:ascii="Arabic Typesetting" w:hAnsi="Arabic Typesetting" w:cs="Arabic Typesetting" w:hint="cs"/>
                <w:sz w:val="30"/>
                <w:szCs w:val="30"/>
                <w:rtl/>
              </w:rPr>
              <w:t>محددة ومعالجة</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فيما يخص</w:t>
            </w:r>
            <w:r w:rsidRPr="008F4191">
              <w:rPr>
                <w:rFonts w:ascii="Arabic Typesetting" w:hAnsi="Arabic Typesetting" w:cs="Arabic Typesetting"/>
                <w:sz w:val="30"/>
                <w:szCs w:val="30"/>
                <w:rtl/>
              </w:rPr>
              <w:t xml:space="preserve"> 90</w:t>
            </w:r>
            <w:r>
              <w:rPr>
                <w:rFonts w:ascii="Arabic Typesetting" w:hAnsi="Arabic Typesetting" w:cs="Arabic Typesetting" w:hint="cs"/>
                <w:sz w:val="30"/>
                <w:szCs w:val="30"/>
                <w:rtl/>
              </w:rPr>
              <w:t>%</w:t>
            </w:r>
            <w:r w:rsidRPr="008F4191">
              <w:rPr>
                <w:rFonts w:ascii="Arabic Typesetting" w:hAnsi="Arabic Typesetting" w:cs="Arabic Typesetting"/>
                <w:sz w:val="30"/>
                <w:szCs w:val="30"/>
                <w:rtl/>
              </w:rPr>
              <w:t xml:space="preserve"> من أصول المعلومات الحساسة.</w:t>
            </w:r>
          </w:p>
        </w:tc>
      </w:tr>
      <w:tr w:rsidR="00072E5F" w:rsidRPr="008954A8" w:rsidTr="00F01A85">
        <w:trPr>
          <w:cantSplit/>
          <w:trHeight w:val="1377"/>
        </w:trPr>
        <w:tc>
          <w:tcPr>
            <w:tcW w:w="1143" w:type="pct"/>
            <w:tcBorders>
              <w:top w:val="nil"/>
              <w:left w:val="single" w:sz="4" w:space="0" w:color="auto"/>
              <w:bottom w:val="nil"/>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p>
        </w:tc>
        <w:tc>
          <w:tcPr>
            <w:tcW w:w="1526" w:type="pct"/>
            <w:tcBorders>
              <w:top w:val="nil"/>
              <w:left w:val="nil"/>
              <w:bottom w:val="nil"/>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ز</w:t>
            </w:r>
            <w:r>
              <w:rPr>
                <w:rFonts w:ascii="Arabic Typesetting" w:hAnsi="Arabic Typesetting" w:cs="Arabic Typesetting"/>
                <w:sz w:val="30"/>
                <w:szCs w:val="30"/>
                <w:rtl/>
              </w:rPr>
              <w:t>يادة الامتثال لسياسات ومعايي</w:t>
            </w:r>
            <w:r>
              <w:rPr>
                <w:rFonts w:ascii="Arabic Typesetting" w:hAnsi="Arabic Typesetting" w:cs="Arabic Typesetting" w:hint="cs"/>
                <w:sz w:val="30"/>
                <w:szCs w:val="30"/>
                <w:rtl/>
              </w:rPr>
              <w:t>ر تأمين المعلومات</w:t>
            </w:r>
          </w:p>
        </w:tc>
        <w:tc>
          <w:tcPr>
            <w:tcW w:w="1144" w:type="pct"/>
            <w:tcBorders>
              <w:top w:val="nil"/>
              <w:left w:val="nil"/>
              <w:bottom w:val="nil"/>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 xml:space="preserve">الامتثال </w:t>
            </w:r>
            <w:r>
              <w:rPr>
                <w:rFonts w:ascii="Arabic Typesetting" w:hAnsi="Arabic Typesetting" w:cs="Arabic Typesetting" w:hint="cs"/>
                <w:sz w:val="30"/>
                <w:szCs w:val="30"/>
                <w:rtl/>
              </w:rPr>
              <w:t xml:space="preserve">والتصديق وفقا </w:t>
            </w:r>
            <w:r w:rsidRPr="008F4191">
              <w:rPr>
                <w:rFonts w:ascii="Arabic Typesetting" w:hAnsi="Arabic Typesetting" w:cs="Arabic Typesetting"/>
                <w:sz w:val="30"/>
                <w:szCs w:val="30"/>
                <w:rtl/>
              </w:rPr>
              <w:t>للمعايير</w:t>
            </w:r>
            <w:r w:rsidRPr="008F4191">
              <w:rPr>
                <w:rFonts w:ascii="Arabic Typesetting" w:hAnsi="Arabic Typesetting" w:cs="Arabic Typesetting"/>
                <w:sz w:val="30"/>
                <w:szCs w:val="30"/>
              </w:rPr>
              <w:t xml:space="preserve"> ISO 27001 </w:t>
            </w:r>
            <w:r>
              <w:rPr>
                <w:rFonts w:ascii="Arabic Typesetting" w:hAnsi="Arabic Typesetting" w:cs="Arabic Typesetting" w:hint="cs"/>
                <w:sz w:val="30"/>
                <w:szCs w:val="30"/>
                <w:rtl/>
              </w:rPr>
              <w:t>مقتصران</w:t>
            </w:r>
            <w:r w:rsidRPr="008F4191">
              <w:rPr>
                <w:rFonts w:ascii="Arabic Typesetting" w:hAnsi="Arabic Typesetting" w:cs="Arabic Typesetting"/>
                <w:sz w:val="30"/>
                <w:szCs w:val="30"/>
                <w:rtl/>
              </w:rPr>
              <w:t xml:space="preserve"> على </w:t>
            </w:r>
            <w:r>
              <w:rPr>
                <w:rFonts w:ascii="Arabic Typesetting" w:hAnsi="Arabic Typesetting" w:cs="Arabic Typesetting" w:hint="cs"/>
                <w:sz w:val="30"/>
                <w:szCs w:val="30"/>
                <w:rtl/>
              </w:rPr>
              <w:t xml:space="preserve">طلبات </w:t>
            </w:r>
            <w:r w:rsidRPr="008F4191">
              <w:rPr>
                <w:rFonts w:ascii="Arabic Typesetting" w:hAnsi="Arabic Typesetting" w:cs="Arabic Typesetting"/>
                <w:sz w:val="30"/>
                <w:szCs w:val="30"/>
                <w:rtl/>
              </w:rPr>
              <w:t>معاهدة التعاون بشأن البراءات</w:t>
            </w:r>
            <w:r w:rsidRPr="008F4191">
              <w:rPr>
                <w:rFonts w:ascii="Arabic Typesetting" w:hAnsi="Arabic Typesetting" w:cs="Arabic Typesetting"/>
                <w:sz w:val="30"/>
                <w:szCs w:val="30"/>
              </w:rPr>
              <w:t>.</w:t>
            </w:r>
          </w:p>
        </w:tc>
        <w:tc>
          <w:tcPr>
            <w:tcW w:w="1187" w:type="pct"/>
            <w:tcBorders>
              <w:top w:val="nil"/>
              <w:left w:val="nil"/>
              <w:bottom w:val="nil"/>
              <w:right w:val="single" w:sz="4" w:space="0" w:color="auto"/>
            </w:tcBorders>
            <w:tcMar>
              <w:top w:w="113" w:type="dxa"/>
            </w:tcMar>
          </w:tcPr>
          <w:p w:rsidR="00072E5F" w:rsidRPr="008F4191"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Pr>
                <w:rFonts w:ascii="Arabic Typesetting" w:hAnsi="Arabic Typesetting" w:cs="Arabic Typesetting" w:hint="cs"/>
                <w:sz w:val="30"/>
                <w:szCs w:val="30"/>
                <w:rtl/>
              </w:rPr>
              <w:t xml:space="preserve">تمديد </w:t>
            </w:r>
            <w:r w:rsidRPr="008F4191">
              <w:rPr>
                <w:rFonts w:ascii="Arabic Typesetting" w:hAnsi="Arabic Typesetting" w:cs="Arabic Typesetting"/>
                <w:sz w:val="30"/>
                <w:szCs w:val="30"/>
                <w:rtl/>
              </w:rPr>
              <w:t xml:space="preserve">الامتثال </w:t>
            </w:r>
            <w:r>
              <w:rPr>
                <w:rFonts w:ascii="Arabic Typesetting" w:hAnsi="Arabic Typesetting" w:cs="Arabic Typesetting" w:hint="cs"/>
                <w:sz w:val="30"/>
                <w:szCs w:val="30"/>
                <w:rtl/>
              </w:rPr>
              <w:t xml:space="preserve">والتصديق وفقا </w:t>
            </w:r>
            <w:r w:rsidRPr="008F4191">
              <w:rPr>
                <w:rFonts w:ascii="Arabic Typesetting" w:hAnsi="Arabic Typesetting" w:cs="Arabic Typesetting"/>
                <w:sz w:val="30"/>
                <w:szCs w:val="30"/>
                <w:rtl/>
              </w:rPr>
              <w:t>للمعايير</w:t>
            </w:r>
            <w:r w:rsidRPr="008F4191">
              <w:rPr>
                <w:rFonts w:ascii="Arabic Typesetting" w:hAnsi="Arabic Typesetting" w:cs="Arabic Typesetting"/>
                <w:sz w:val="30"/>
                <w:szCs w:val="30"/>
              </w:rPr>
              <w:t xml:space="preserve"> ISO</w:t>
            </w:r>
            <w:r>
              <w:rPr>
                <w:rFonts w:ascii="Arabic Typesetting" w:hAnsi="Arabic Typesetting" w:cs="Arabic Typesetting"/>
                <w:sz w:val="30"/>
                <w:szCs w:val="30"/>
              </w:rPr>
              <w:t xml:space="preserve"> </w:t>
            </w:r>
            <w:r w:rsidRPr="008F4191">
              <w:rPr>
                <w:rFonts w:ascii="Arabic Typesetting" w:hAnsi="Arabic Typesetting" w:cs="Arabic Typesetting"/>
                <w:sz w:val="30"/>
                <w:szCs w:val="30"/>
              </w:rPr>
              <w:t>27001</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ليشمل طلبات لاهاي </w:t>
            </w:r>
            <w:r w:rsidRPr="008F4191">
              <w:rPr>
                <w:rFonts w:ascii="Arabic Typesetting" w:hAnsi="Arabic Typesetting" w:cs="Arabic Typesetting"/>
                <w:sz w:val="30"/>
                <w:szCs w:val="30"/>
                <w:rtl/>
              </w:rPr>
              <w:t>ومدريد و</w:t>
            </w:r>
            <w:r>
              <w:rPr>
                <w:rFonts w:ascii="Arabic Typesetting" w:hAnsi="Arabic Typesetting" w:cs="Arabic Typesetting" w:hint="cs"/>
                <w:sz w:val="30"/>
                <w:szCs w:val="30"/>
                <w:rtl/>
              </w:rPr>
              <w:t xml:space="preserve">تطبيقات </w:t>
            </w:r>
            <w:r w:rsidRPr="008F4191">
              <w:rPr>
                <w:rFonts w:ascii="Arabic Typesetting" w:hAnsi="Arabic Typesetting" w:cs="Arabic Typesetting"/>
                <w:sz w:val="30"/>
                <w:szCs w:val="30"/>
                <w:rtl/>
              </w:rPr>
              <w:t>الموارد البشرية.</w:t>
            </w:r>
          </w:p>
        </w:tc>
      </w:tr>
      <w:tr w:rsidR="00072E5F" w:rsidRPr="008954A8" w:rsidTr="00F01A85">
        <w:trPr>
          <w:cantSplit/>
          <w:trHeight w:val="1514"/>
        </w:trPr>
        <w:tc>
          <w:tcPr>
            <w:tcW w:w="1143" w:type="pct"/>
            <w:tcBorders>
              <w:top w:val="nil"/>
              <w:left w:val="single" w:sz="4" w:space="0" w:color="auto"/>
              <w:bottom w:val="single" w:sz="4" w:space="0" w:color="auto"/>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p>
        </w:tc>
        <w:tc>
          <w:tcPr>
            <w:tcW w:w="1526" w:type="pct"/>
            <w:tcBorders>
              <w:top w:val="nil"/>
              <w:left w:val="nil"/>
              <w:bottom w:val="single" w:sz="4" w:space="0" w:color="auto"/>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سياسة بشأن تصنيف المعلومات ومعالجتها تُعتمد على </w:t>
            </w:r>
            <w:r w:rsidRPr="008F4191">
              <w:rPr>
                <w:rFonts w:ascii="Arabic Typesetting" w:hAnsi="Arabic Typesetting" w:cs="Arabic Typesetting"/>
                <w:sz w:val="30"/>
                <w:szCs w:val="30"/>
                <w:rtl/>
              </w:rPr>
              <w:t>نطاق واسع لضمان سرية المعلومات</w:t>
            </w:r>
            <w:r w:rsidRPr="008F4191">
              <w:rPr>
                <w:rFonts w:ascii="Arabic Typesetting" w:hAnsi="Arabic Typesetting" w:cs="Arabic Typesetting"/>
                <w:sz w:val="30"/>
                <w:szCs w:val="30"/>
              </w:rPr>
              <w:t>.</w:t>
            </w:r>
          </w:p>
        </w:tc>
        <w:tc>
          <w:tcPr>
            <w:tcW w:w="1144" w:type="pct"/>
            <w:tcBorders>
              <w:top w:val="nil"/>
              <w:left w:val="nil"/>
              <w:bottom w:val="single" w:sz="4" w:space="0" w:color="auto"/>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 xml:space="preserve">اعتماد محدود </w:t>
            </w:r>
            <w:r>
              <w:rPr>
                <w:rFonts w:ascii="Arabic Typesetting" w:hAnsi="Arabic Typesetting" w:cs="Arabic Typesetting" w:hint="cs"/>
                <w:sz w:val="30"/>
                <w:szCs w:val="30"/>
                <w:rtl/>
              </w:rPr>
              <w:t>للسياسة بشأن تصنيف المعلومات ومعالجتها.</w:t>
            </w:r>
          </w:p>
        </w:tc>
        <w:tc>
          <w:tcPr>
            <w:tcW w:w="1187" w:type="pct"/>
            <w:tcBorders>
              <w:top w:val="nil"/>
              <w:left w:val="nil"/>
              <w:bottom w:val="single" w:sz="4" w:space="0" w:color="auto"/>
              <w:right w:val="single" w:sz="4" w:space="0" w:color="auto"/>
            </w:tcBorders>
            <w:tcMar>
              <w:top w:w="113" w:type="dxa"/>
            </w:tcMar>
          </w:tcPr>
          <w:p w:rsidR="00072E5F" w:rsidRPr="008F4191"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Pr>
                <w:rFonts w:ascii="Arabic Typesetting" w:hAnsi="Arabic Typesetting" w:cs="Arabic Typesetting" w:hint="cs"/>
                <w:sz w:val="30"/>
                <w:szCs w:val="30"/>
                <w:rtl/>
              </w:rPr>
              <w:t>زيادة اعتماد سياسة بشأن تصنيف المعلومات ومعالجتها بنسبة 40%.</w:t>
            </w:r>
          </w:p>
        </w:tc>
      </w:tr>
      <w:tr w:rsidR="00072E5F" w:rsidRPr="008954A8" w:rsidTr="00F01A85">
        <w:trPr>
          <w:cantSplit/>
          <w:trHeight w:val="1377"/>
        </w:trPr>
        <w:tc>
          <w:tcPr>
            <w:tcW w:w="1143" w:type="pct"/>
            <w:tcBorders>
              <w:top w:val="single" w:sz="4" w:space="0" w:color="auto"/>
              <w:left w:val="single" w:sz="4" w:space="0" w:color="auto"/>
              <w:bottom w:val="nil"/>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p>
        </w:tc>
        <w:tc>
          <w:tcPr>
            <w:tcW w:w="1526" w:type="pct"/>
            <w:tcBorders>
              <w:top w:val="single" w:sz="4" w:space="0" w:color="auto"/>
              <w:left w:val="nil"/>
              <w:bottom w:val="nil"/>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 xml:space="preserve">الحد من ازدواجية القدرات التقنية </w:t>
            </w:r>
            <w:r>
              <w:rPr>
                <w:rFonts w:ascii="Arabic Typesetting" w:hAnsi="Arabic Typesetting" w:cs="Arabic Typesetting" w:hint="cs"/>
                <w:sz w:val="30"/>
                <w:szCs w:val="30"/>
                <w:rtl/>
              </w:rPr>
              <w:t>الخاصة ب</w:t>
            </w:r>
            <w:r w:rsidRPr="008F4191">
              <w:rPr>
                <w:rFonts w:ascii="Arabic Typesetting" w:hAnsi="Arabic Typesetting" w:cs="Arabic Typesetting"/>
                <w:sz w:val="30"/>
                <w:szCs w:val="30"/>
                <w:rtl/>
              </w:rPr>
              <w:t xml:space="preserve">أمن المعلومات </w:t>
            </w:r>
            <w:r>
              <w:rPr>
                <w:rFonts w:ascii="Arabic Typesetting" w:hAnsi="Arabic Typesetting" w:cs="Arabic Typesetting" w:hint="cs"/>
                <w:sz w:val="30"/>
                <w:szCs w:val="30"/>
                <w:rtl/>
              </w:rPr>
              <w:t xml:space="preserve">عبر </w:t>
            </w:r>
            <w:r w:rsidRPr="008F4191">
              <w:rPr>
                <w:rFonts w:ascii="Arabic Typesetting" w:hAnsi="Arabic Typesetting" w:cs="Arabic Typesetting"/>
                <w:sz w:val="30"/>
                <w:szCs w:val="30"/>
                <w:rtl/>
              </w:rPr>
              <w:t>أنماط</w:t>
            </w:r>
            <w:r>
              <w:rPr>
                <w:rFonts w:ascii="Arabic Typesetting" w:hAnsi="Arabic Typesetting" w:cs="Arabic Typesetting" w:hint="cs"/>
                <w:sz w:val="30"/>
                <w:szCs w:val="30"/>
                <w:rtl/>
              </w:rPr>
              <w:t xml:space="preserve"> بنية</w:t>
            </w:r>
            <w:r w:rsidRPr="008F4191">
              <w:rPr>
                <w:rFonts w:ascii="Arabic Typesetting" w:hAnsi="Arabic Typesetting" w:cs="Arabic Typesetting"/>
                <w:sz w:val="30"/>
                <w:szCs w:val="30"/>
                <w:rtl/>
              </w:rPr>
              <w:t xml:space="preserve"> أمن قابلة </w:t>
            </w:r>
            <w:r>
              <w:rPr>
                <w:rFonts w:ascii="Arabic Typesetting" w:hAnsi="Arabic Typesetting" w:cs="Arabic Typesetting" w:hint="cs"/>
                <w:sz w:val="30"/>
                <w:szCs w:val="30"/>
                <w:rtl/>
              </w:rPr>
              <w:t>ل</w:t>
            </w:r>
            <w:r>
              <w:rPr>
                <w:rFonts w:ascii="Arabic Typesetting" w:hAnsi="Arabic Typesetting" w:cs="Arabic Typesetting"/>
                <w:sz w:val="30"/>
                <w:szCs w:val="30"/>
                <w:rtl/>
              </w:rPr>
              <w:t>إعادة الاستخدا</w:t>
            </w:r>
            <w:r>
              <w:rPr>
                <w:rFonts w:ascii="Arabic Typesetting" w:hAnsi="Arabic Typesetting" w:cs="Arabic Typesetting" w:hint="cs"/>
                <w:sz w:val="30"/>
                <w:szCs w:val="30"/>
                <w:rtl/>
              </w:rPr>
              <w:t>م</w:t>
            </w:r>
          </w:p>
        </w:tc>
        <w:tc>
          <w:tcPr>
            <w:tcW w:w="1144" w:type="pct"/>
            <w:tcBorders>
              <w:top w:val="single" w:sz="4" w:space="0" w:color="auto"/>
              <w:left w:val="nil"/>
              <w:bottom w:val="nil"/>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الاستخدام</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ال</w:t>
            </w:r>
            <w:r w:rsidRPr="008F4191">
              <w:rPr>
                <w:rFonts w:ascii="Arabic Typesetting" w:hAnsi="Arabic Typesetting" w:cs="Arabic Typesetting"/>
                <w:sz w:val="30"/>
                <w:szCs w:val="30"/>
                <w:rtl/>
              </w:rPr>
              <w:t>متباين و</w:t>
            </w:r>
            <w:r>
              <w:rPr>
                <w:rFonts w:ascii="Arabic Typesetting" w:hAnsi="Arabic Typesetting" w:cs="Arabic Typesetting" w:hint="cs"/>
                <w:sz w:val="30"/>
                <w:szCs w:val="30"/>
                <w:rtl/>
              </w:rPr>
              <w:t>ال</w:t>
            </w:r>
            <w:r w:rsidRPr="008F4191">
              <w:rPr>
                <w:rFonts w:ascii="Arabic Typesetting" w:hAnsi="Arabic Typesetting" w:cs="Arabic Typesetting"/>
                <w:sz w:val="30"/>
                <w:szCs w:val="30"/>
                <w:rtl/>
              </w:rPr>
              <w:t xml:space="preserve">محدود </w:t>
            </w:r>
            <w:r>
              <w:rPr>
                <w:rFonts w:ascii="Arabic Typesetting" w:hAnsi="Arabic Typesetting" w:cs="Arabic Typesetting" w:hint="cs"/>
                <w:sz w:val="30"/>
                <w:szCs w:val="30"/>
                <w:rtl/>
              </w:rPr>
              <w:t>ل</w:t>
            </w:r>
            <w:r w:rsidRPr="008F4191">
              <w:rPr>
                <w:rFonts w:ascii="Arabic Typesetting" w:hAnsi="Arabic Typesetting" w:cs="Arabic Typesetting"/>
                <w:sz w:val="30"/>
                <w:szCs w:val="30"/>
                <w:rtl/>
              </w:rPr>
              <w:t xml:space="preserve">لقدرات الأمنية </w:t>
            </w:r>
            <w:r>
              <w:rPr>
                <w:rFonts w:ascii="Arabic Typesetting" w:hAnsi="Arabic Typesetting" w:cs="Arabic Typesetting" w:hint="cs"/>
                <w:sz w:val="30"/>
                <w:szCs w:val="30"/>
                <w:rtl/>
              </w:rPr>
              <w:t>الذي يحد</w:t>
            </w:r>
            <w:r w:rsidRPr="008F4191">
              <w:rPr>
                <w:rFonts w:ascii="Arabic Typesetting" w:hAnsi="Arabic Typesetting" w:cs="Arabic Typesetting"/>
                <w:sz w:val="30"/>
                <w:szCs w:val="30"/>
                <w:rtl/>
              </w:rPr>
              <w:t xml:space="preserve"> من </w:t>
            </w:r>
            <w:r>
              <w:rPr>
                <w:rFonts w:ascii="Arabic Typesetting" w:hAnsi="Arabic Typesetting" w:cs="Arabic Typesetting" w:hint="cs"/>
                <w:sz w:val="30"/>
                <w:szCs w:val="30"/>
                <w:rtl/>
              </w:rPr>
              <w:t>القابلية ل</w:t>
            </w:r>
            <w:r w:rsidRPr="008F4191">
              <w:rPr>
                <w:rFonts w:ascii="Arabic Typesetting" w:hAnsi="Arabic Typesetting" w:cs="Arabic Typesetting"/>
                <w:sz w:val="30"/>
                <w:szCs w:val="30"/>
                <w:rtl/>
              </w:rPr>
              <w:t>إعادة ا</w:t>
            </w:r>
            <w:r>
              <w:rPr>
                <w:rFonts w:ascii="Arabic Typesetting" w:hAnsi="Arabic Typesetting" w:cs="Arabic Typesetting" w:hint="cs"/>
                <w:sz w:val="30"/>
                <w:szCs w:val="30"/>
                <w:rtl/>
              </w:rPr>
              <w:t>لا</w:t>
            </w:r>
            <w:r w:rsidRPr="008F4191">
              <w:rPr>
                <w:rFonts w:ascii="Arabic Typesetting" w:hAnsi="Arabic Typesetting" w:cs="Arabic Typesetting"/>
                <w:sz w:val="30"/>
                <w:szCs w:val="30"/>
                <w:rtl/>
              </w:rPr>
              <w:t>ستخدام والمرونة.</w:t>
            </w:r>
          </w:p>
        </w:tc>
        <w:tc>
          <w:tcPr>
            <w:tcW w:w="1187" w:type="pct"/>
            <w:tcBorders>
              <w:top w:val="single" w:sz="4" w:space="0" w:color="auto"/>
              <w:left w:val="nil"/>
              <w:bottom w:val="nil"/>
              <w:right w:val="single" w:sz="4" w:space="0" w:color="auto"/>
            </w:tcBorders>
            <w:tcMar>
              <w:top w:w="113" w:type="dxa"/>
            </w:tcMar>
          </w:tcPr>
          <w:p w:rsidR="00072E5F" w:rsidRPr="008F4191"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Pr>
                <w:rFonts w:ascii="Arabic Typesetting" w:hAnsi="Arabic Typesetting" w:cs="Arabic Typesetting" w:hint="cs"/>
                <w:sz w:val="30"/>
                <w:szCs w:val="30"/>
                <w:rtl/>
              </w:rPr>
              <w:t>بنية أمنية</w:t>
            </w:r>
            <w:r w:rsidRPr="008F4191">
              <w:rPr>
                <w:rFonts w:ascii="Arabic Typesetting" w:hAnsi="Arabic Typesetting" w:cs="Arabic Typesetting"/>
                <w:sz w:val="30"/>
                <w:szCs w:val="30"/>
                <w:rtl/>
              </w:rPr>
              <w:t xml:space="preserve"> مرجعية </w:t>
            </w:r>
            <w:r>
              <w:rPr>
                <w:rFonts w:ascii="Arabic Typesetting" w:hAnsi="Arabic Typesetting" w:cs="Arabic Typesetting" w:hint="cs"/>
                <w:sz w:val="30"/>
                <w:szCs w:val="30"/>
                <w:rtl/>
              </w:rPr>
              <w:t xml:space="preserve">معتمدة </w:t>
            </w:r>
            <w:r w:rsidRPr="008F4191">
              <w:rPr>
                <w:rFonts w:ascii="Arabic Typesetting" w:hAnsi="Arabic Typesetting" w:cs="Arabic Typesetting"/>
                <w:sz w:val="30"/>
                <w:szCs w:val="30"/>
                <w:rtl/>
              </w:rPr>
              <w:t xml:space="preserve">لزيادة </w:t>
            </w:r>
            <w:r>
              <w:rPr>
                <w:rFonts w:ascii="Arabic Typesetting" w:hAnsi="Arabic Typesetting" w:cs="Arabic Typesetting" w:hint="cs"/>
                <w:sz w:val="30"/>
                <w:szCs w:val="30"/>
                <w:rtl/>
              </w:rPr>
              <w:t xml:space="preserve">قابلية </w:t>
            </w:r>
            <w:r w:rsidRPr="008F4191">
              <w:rPr>
                <w:rFonts w:ascii="Arabic Typesetting" w:hAnsi="Arabic Typesetting" w:cs="Arabic Typesetting"/>
                <w:sz w:val="30"/>
                <w:szCs w:val="30"/>
                <w:rtl/>
              </w:rPr>
              <w:t>القدرات الأمنية</w:t>
            </w:r>
            <w:r>
              <w:rPr>
                <w:rFonts w:ascii="Arabic Typesetting" w:hAnsi="Arabic Typesetting" w:cs="Arabic Typesetting" w:hint="cs"/>
                <w:sz w:val="30"/>
                <w:szCs w:val="30"/>
                <w:rtl/>
              </w:rPr>
              <w:t xml:space="preserve"> ل</w:t>
            </w:r>
            <w:r w:rsidRPr="008F4191">
              <w:rPr>
                <w:rFonts w:ascii="Arabic Typesetting" w:hAnsi="Arabic Typesetting" w:cs="Arabic Typesetting"/>
                <w:sz w:val="30"/>
                <w:szCs w:val="30"/>
                <w:rtl/>
              </w:rPr>
              <w:t>إعادة ا</w:t>
            </w:r>
            <w:r>
              <w:rPr>
                <w:rFonts w:ascii="Arabic Typesetting" w:hAnsi="Arabic Typesetting" w:cs="Arabic Typesetting" w:hint="cs"/>
                <w:sz w:val="30"/>
                <w:szCs w:val="30"/>
                <w:rtl/>
              </w:rPr>
              <w:t>لا</w:t>
            </w:r>
            <w:r w:rsidRPr="008F4191">
              <w:rPr>
                <w:rFonts w:ascii="Arabic Typesetting" w:hAnsi="Arabic Typesetting" w:cs="Arabic Typesetting"/>
                <w:sz w:val="30"/>
                <w:szCs w:val="30"/>
                <w:rtl/>
              </w:rPr>
              <w:t>ستخدام و</w:t>
            </w:r>
            <w:r>
              <w:rPr>
                <w:rFonts w:ascii="Arabic Typesetting" w:hAnsi="Arabic Typesetting" w:cs="Arabic Typesetting" w:hint="cs"/>
                <w:sz w:val="30"/>
                <w:szCs w:val="30"/>
                <w:rtl/>
              </w:rPr>
              <w:t xml:space="preserve">الرفع من </w:t>
            </w:r>
            <w:r w:rsidRPr="008F4191">
              <w:rPr>
                <w:rFonts w:ascii="Arabic Typesetting" w:hAnsi="Arabic Typesetting" w:cs="Arabic Typesetting"/>
                <w:sz w:val="30"/>
                <w:szCs w:val="30"/>
                <w:rtl/>
              </w:rPr>
              <w:t>مرون</w:t>
            </w:r>
            <w:r>
              <w:rPr>
                <w:rFonts w:ascii="Arabic Typesetting" w:hAnsi="Arabic Typesetting" w:cs="Arabic Typesetting" w:hint="cs"/>
                <w:sz w:val="30"/>
                <w:szCs w:val="30"/>
                <w:rtl/>
              </w:rPr>
              <w:t>تها</w:t>
            </w:r>
            <w:r w:rsidRPr="008F4191">
              <w:rPr>
                <w:rFonts w:ascii="Arabic Typesetting" w:hAnsi="Arabic Typesetting" w:cs="Arabic Typesetting"/>
                <w:sz w:val="30"/>
                <w:szCs w:val="30"/>
                <w:rtl/>
              </w:rPr>
              <w:t xml:space="preserve"> بنسبة 30</w:t>
            </w:r>
            <w:r>
              <w:rPr>
                <w:rFonts w:ascii="Arabic Typesetting" w:hAnsi="Arabic Typesetting" w:cs="Arabic Typesetting" w:hint="cs"/>
                <w:sz w:val="30"/>
                <w:szCs w:val="30"/>
                <w:rtl/>
              </w:rPr>
              <w:t>%</w:t>
            </w:r>
            <w:r w:rsidRPr="008F4191">
              <w:rPr>
                <w:rFonts w:ascii="Arabic Typesetting" w:hAnsi="Arabic Typesetting" w:cs="Arabic Typesetting"/>
                <w:sz w:val="30"/>
                <w:szCs w:val="30"/>
                <w:rtl/>
              </w:rPr>
              <w:t>.</w:t>
            </w:r>
          </w:p>
        </w:tc>
      </w:tr>
      <w:tr w:rsidR="00072E5F" w:rsidRPr="008954A8" w:rsidTr="00F01A85">
        <w:trPr>
          <w:cantSplit/>
          <w:trHeight w:val="1377"/>
        </w:trPr>
        <w:tc>
          <w:tcPr>
            <w:tcW w:w="1143" w:type="pct"/>
            <w:tcBorders>
              <w:top w:val="nil"/>
              <w:left w:val="single" w:sz="4" w:space="0" w:color="auto"/>
              <w:bottom w:val="nil"/>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p>
        </w:tc>
        <w:tc>
          <w:tcPr>
            <w:tcW w:w="1526" w:type="pct"/>
            <w:tcBorders>
              <w:top w:val="nil"/>
              <w:left w:val="nil"/>
              <w:bottom w:val="nil"/>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 xml:space="preserve">قدرة </w:t>
            </w:r>
            <w:r>
              <w:rPr>
                <w:rFonts w:ascii="Arabic Typesetting" w:hAnsi="Arabic Typesetting" w:cs="Arabic Typesetting" w:hint="cs"/>
                <w:sz w:val="30"/>
                <w:szCs w:val="30"/>
                <w:rtl/>
              </w:rPr>
              <w:t xml:space="preserve">معزَّزة </w:t>
            </w:r>
            <w:r w:rsidRPr="008F4191">
              <w:rPr>
                <w:rFonts w:ascii="Arabic Typesetting" w:hAnsi="Arabic Typesetting" w:cs="Arabic Typesetting"/>
                <w:sz w:val="30"/>
                <w:szCs w:val="30"/>
                <w:rtl/>
              </w:rPr>
              <w:t xml:space="preserve">على </w:t>
            </w:r>
            <w:r>
              <w:rPr>
                <w:rFonts w:ascii="Arabic Typesetting" w:hAnsi="Arabic Typesetting" w:cs="Arabic Typesetting" w:hint="cs"/>
                <w:sz w:val="30"/>
                <w:szCs w:val="30"/>
                <w:rtl/>
              </w:rPr>
              <w:t>ال</w:t>
            </w:r>
            <w:r w:rsidRPr="008F4191">
              <w:rPr>
                <w:rFonts w:ascii="Arabic Typesetting" w:hAnsi="Arabic Typesetting" w:cs="Arabic Typesetting"/>
                <w:sz w:val="30"/>
                <w:szCs w:val="30"/>
                <w:rtl/>
              </w:rPr>
              <w:t xml:space="preserve">كشف </w:t>
            </w:r>
            <w:r>
              <w:rPr>
                <w:rFonts w:ascii="Arabic Typesetting" w:hAnsi="Arabic Typesetting" w:cs="Arabic Typesetting" w:hint="cs"/>
                <w:sz w:val="30"/>
                <w:szCs w:val="30"/>
                <w:rtl/>
              </w:rPr>
              <w:t xml:space="preserve">عن </w:t>
            </w:r>
            <w:r w:rsidRPr="008F4191">
              <w:rPr>
                <w:rFonts w:ascii="Arabic Typesetting" w:hAnsi="Arabic Typesetting" w:cs="Arabic Typesetting"/>
                <w:sz w:val="30"/>
                <w:szCs w:val="30"/>
                <w:rtl/>
              </w:rPr>
              <w:t xml:space="preserve">تهديدات أمن المعلومات </w:t>
            </w:r>
            <w:r>
              <w:rPr>
                <w:rFonts w:ascii="Arabic Typesetting" w:hAnsi="Arabic Typesetting" w:cs="Arabic Typesetting" w:hint="cs"/>
                <w:sz w:val="30"/>
                <w:szCs w:val="30"/>
                <w:rtl/>
              </w:rPr>
              <w:t xml:space="preserve">والاستجابة لها بسرعة أكبر </w:t>
            </w:r>
            <w:r w:rsidRPr="008F4191">
              <w:rPr>
                <w:rFonts w:ascii="Arabic Typesetting" w:hAnsi="Arabic Typesetting" w:cs="Arabic Typesetting"/>
                <w:sz w:val="30"/>
                <w:szCs w:val="30"/>
                <w:rtl/>
              </w:rPr>
              <w:t xml:space="preserve">بكثير </w:t>
            </w:r>
            <w:r>
              <w:rPr>
                <w:rFonts w:ascii="Arabic Typesetting" w:hAnsi="Arabic Typesetting" w:cs="Arabic Typesetting" w:hint="cs"/>
                <w:sz w:val="30"/>
                <w:szCs w:val="30"/>
                <w:rtl/>
              </w:rPr>
              <w:t>بما ي</w:t>
            </w:r>
            <w:r w:rsidRPr="008F4191">
              <w:rPr>
                <w:rFonts w:ascii="Arabic Typesetting" w:hAnsi="Arabic Typesetting" w:cs="Arabic Typesetting"/>
                <w:sz w:val="30"/>
                <w:szCs w:val="30"/>
                <w:rtl/>
              </w:rPr>
              <w:t>ضمن حد</w:t>
            </w:r>
            <w:r>
              <w:rPr>
                <w:rFonts w:ascii="Arabic Typesetting" w:hAnsi="Arabic Typesetting" w:cs="Arabic Typesetting" w:hint="cs"/>
                <w:sz w:val="30"/>
                <w:szCs w:val="30"/>
                <w:rtl/>
              </w:rPr>
              <w:t>ا</w:t>
            </w:r>
            <w:r w:rsidRPr="008F4191">
              <w:rPr>
                <w:rFonts w:ascii="Arabic Typesetting" w:hAnsi="Arabic Typesetting" w:cs="Arabic Typesetting"/>
                <w:sz w:val="30"/>
                <w:szCs w:val="30"/>
                <w:rtl/>
              </w:rPr>
              <w:t xml:space="preserve"> أدنى </w:t>
            </w:r>
            <w:r>
              <w:rPr>
                <w:rFonts w:ascii="Arabic Typesetting" w:hAnsi="Arabic Typesetting" w:cs="Arabic Typesetting" w:hint="cs"/>
                <w:sz w:val="30"/>
                <w:szCs w:val="30"/>
                <w:rtl/>
              </w:rPr>
              <w:t>ل</w:t>
            </w:r>
            <w:r w:rsidRPr="008F4191">
              <w:rPr>
                <w:rFonts w:ascii="Arabic Typesetting" w:hAnsi="Arabic Typesetting" w:cs="Arabic Typesetting"/>
                <w:sz w:val="30"/>
                <w:szCs w:val="30"/>
                <w:rtl/>
              </w:rPr>
              <w:t>تعطل الأعمال</w:t>
            </w:r>
          </w:p>
        </w:tc>
        <w:tc>
          <w:tcPr>
            <w:tcW w:w="1144" w:type="pct"/>
            <w:tcBorders>
              <w:top w:val="nil"/>
              <w:left w:val="nil"/>
              <w:bottom w:val="nil"/>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وجود </w:t>
            </w:r>
            <w:r w:rsidRPr="008F4191">
              <w:rPr>
                <w:rFonts w:ascii="Arabic Typesetting" w:hAnsi="Arabic Typesetting" w:cs="Arabic Typesetting"/>
                <w:sz w:val="30"/>
                <w:szCs w:val="30"/>
                <w:rtl/>
              </w:rPr>
              <w:t xml:space="preserve">عمليات أمنية أساسية </w:t>
            </w:r>
            <w:r>
              <w:rPr>
                <w:rFonts w:ascii="Arabic Typesetting" w:hAnsi="Arabic Typesetting" w:cs="Arabic Typesetting" w:hint="cs"/>
                <w:sz w:val="30"/>
                <w:szCs w:val="30"/>
                <w:rtl/>
              </w:rPr>
              <w:t xml:space="preserve">ومعلومات عن التهديد الإلكتروني </w:t>
            </w:r>
            <w:r w:rsidRPr="008F4191">
              <w:rPr>
                <w:rFonts w:ascii="Arabic Typesetting" w:hAnsi="Arabic Typesetting" w:cs="Arabic Typesetting"/>
                <w:sz w:val="30"/>
                <w:szCs w:val="30"/>
                <w:rtl/>
              </w:rPr>
              <w:t>و</w:t>
            </w:r>
            <w:r>
              <w:rPr>
                <w:rFonts w:ascii="Arabic Typesetting" w:hAnsi="Arabic Typesetting" w:cs="Arabic Typesetting" w:hint="cs"/>
                <w:sz w:val="30"/>
                <w:szCs w:val="30"/>
                <w:rtl/>
              </w:rPr>
              <w:t xml:space="preserve">قدرات </w:t>
            </w:r>
            <w:r w:rsidRPr="008F4191">
              <w:rPr>
                <w:rFonts w:ascii="Arabic Typesetting" w:hAnsi="Arabic Typesetting" w:cs="Arabic Typesetting"/>
                <w:sz w:val="30"/>
                <w:szCs w:val="30"/>
                <w:rtl/>
              </w:rPr>
              <w:t>الاستجابة للحوادث</w:t>
            </w:r>
            <w:r>
              <w:rPr>
                <w:rFonts w:ascii="Arabic Typesetting" w:hAnsi="Arabic Typesetting" w:cs="Arabic Typesetting" w:hint="cs"/>
                <w:sz w:val="30"/>
                <w:szCs w:val="30"/>
                <w:rtl/>
              </w:rPr>
              <w:t>.</w:t>
            </w:r>
          </w:p>
        </w:tc>
        <w:tc>
          <w:tcPr>
            <w:tcW w:w="1187" w:type="pct"/>
            <w:tcBorders>
              <w:top w:val="nil"/>
              <w:left w:val="nil"/>
              <w:bottom w:val="nil"/>
              <w:right w:val="single" w:sz="4" w:space="0" w:color="auto"/>
            </w:tcBorders>
            <w:tcMar>
              <w:top w:w="113" w:type="dxa"/>
            </w:tcMar>
          </w:tcPr>
          <w:p w:rsidR="00072E5F" w:rsidRPr="008F4191"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Pr>
                <w:rFonts w:ascii="Arabic Typesetting" w:hAnsi="Arabic Typesetting" w:cs="Arabic Typesetting" w:hint="cs"/>
                <w:sz w:val="30"/>
                <w:szCs w:val="30"/>
                <w:rtl/>
              </w:rPr>
              <w:t>إنشاء</w:t>
            </w:r>
            <w:r w:rsidRPr="008F4191">
              <w:rPr>
                <w:rFonts w:ascii="Arabic Typesetting" w:hAnsi="Arabic Typesetting" w:cs="Arabic Typesetting"/>
                <w:sz w:val="30"/>
                <w:szCs w:val="30"/>
                <w:rtl/>
              </w:rPr>
              <w:t xml:space="preserve"> مركز </w:t>
            </w:r>
            <w:r>
              <w:rPr>
                <w:rFonts w:ascii="Arabic Typesetting" w:hAnsi="Arabic Typesetting" w:cs="Arabic Typesetting" w:hint="cs"/>
                <w:sz w:val="30"/>
                <w:szCs w:val="30"/>
                <w:rtl/>
              </w:rPr>
              <w:t>ل</w:t>
            </w:r>
            <w:r w:rsidRPr="008F4191">
              <w:rPr>
                <w:rFonts w:ascii="Arabic Typesetting" w:hAnsi="Arabic Typesetting" w:cs="Arabic Typesetting"/>
                <w:sz w:val="30"/>
                <w:szCs w:val="30"/>
                <w:rtl/>
              </w:rPr>
              <w:t xml:space="preserve">عمليات الأمن </w:t>
            </w:r>
            <w:r>
              <w:rPr>
                <w:rFonts w:ascii="Arabic Typesetting" w:hAnsi="Arabic Typesetting" w:cs="Arabic Typesetting" w:hint="cs"/>
                <w:sz w:val="30"/>
                <w:szCs w:val="30"/>
                <w:rtl/>
              </w:rPr>
              <w:t>الإلكتروني</w:t>
            </w:r>
            <w:r w:rsidRPr="008F4191">
              <w:rPr>
                <w:rFonts w:ascii="Arabic Typesetting" w:hAnsi="Arabic Typesetting" w:cs="Arabic Typesetting"/>
                <w:sz w:val="30"/>
                <w:szCs w:val="30"/>
                <w:rtl/>
              </w:rPr>
              <w:t xml:space="preserve"> (</w:t>
            </w:r>
            <w:r w:rsidRPr="008F4191">
              <w:rPr>
                <w:rFonts w:ascii="Arabic Typesetting" w:hAnsi="Arabic Typesetting" w:cs="Arabic Typesetting"/>
                <w:sz w:val="30"/>
                <w:szCs w:val="30"/>
              </w:rPr>
              <w:t>CSOC</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ي</w:t>
            </w:r>
            <w:r w:rsidRPr="008F4191">
              <w:rPr>
                <w:rFonts w:ascii="Arabic Typesetting" w:hAnsi="Arabic Typesetting" w:cs="Arabic Typesetting"/>
                <w:sz w:val="30"/>
                <w:szCs w:val="30"/>
                <w:rtl/>
              </w:rPr>
              <w:t>حسن القدرة على</w:t>
            </w:r>
            <w:r>
              <w:rPr>
                <w:rFonts w:ascii="Arabic Typesetting" w:hAnsi="Arabic Typesetting" w:cs="Arabic Typesetting" w:hint="cs"/>
                <w:sz w:val="30"/>
                <w:szCs w:val="30"/>
                <w:rtl/>
              </w:rPr>
              <w:t xml:space="preserve"> الكشف عن </w:t>
            </w:r>
            <w:r w:rsidRPr="008F4191">
              <w:rPr>
                <w:rFonts w:ascii="Arabic Typesetting" w:hAnsi="Arabic Typesetting" w:cs="Arabic Typesetting"/>
                <w:sz w:val="30"/>
                <w:szCs w:val="30"/>
                <w:rtl/>
              </w:rPr>
              <w:t>حوادث أمن المعلومات</w:t>
            </w:r>
            <w:r>
              <w:rPr>
                <w:rFonts w:ascii="Arabic Typesetting" w:hAnsi="Arabic Typesetting" w:cs="Arabic Typesetting" w:hint="cs"/>
                <w:sz w:val="30"/>
                <w:szCs w:val="30"/>
                <w:rtl/>
              </w:rPr>
              <w:t xml:space="preserve"> ورصدها </w:t>
            </w:r>
            <w:r w:rsidRPr="008F4191">
              <w:rPr>
                <w:rFonts w:ascii="Arabic Typesetting" w:hAnsi="Arabic Typesetting" w:cs="Arabic Typesetting"/>
                <w:sz w:val="30"/>
                <w:szCs w:val="30"/>
                <w:rtl/>
              </w:rPr>
              <w:t xml:space="preserve">والاستجابة </w:t>
            </w:r>
            <w:r>
              <w:rPr>
                <w:rFonts w:ascii="Arabic Typesetting" w:hAnsi="Arabic Typesetting" w:cs="Arabic Typesetting" w:hint="cs"/>
                <w:sz w:val="30"/>
                <w:szCs w:val="30"/>
                <w:rtl/>
              </w:rPr>
              <w:t xml:space="preserve">لها </w:t>
            </w:r>
            <w:r w:rsidRPr="008F4191">
              <w:rPr>
                <w:rFonts w:ascii="Arabic Typesetting" w:hAnsi="Arabic Typesetting" w:cs="Arabic Typesetting"/>
                <w:sz w:val="30"/>
                <w:szCs w:val="30"/>
                <w:rtl/>
              </w:rPr>
              <w:t>بنسبة</w:t>
            </w:r>
            <w:r>
              <w:rPr>
                <w:rFonts w:ascii="Arabic Typesetting" w:hAnsi="Arabic Typesetting" w:cs="Arabic Typesetting" w:hint="cs"/>
                <w:sz w:val="30"/>
                <w:szCs w:val="30"/>
                <w:rtl/>
              </w:rPr>
              <w:t xml:space="preserve"> </w:t>
            </w:r>
            <w:r w:rsidRPr="008F4191">
              <w:rPr>
                <w:rFonts w:ascii="Arabic Typesetting" w:hAnsi="Arabic Typesetting" w:cs="Arabic Typesetting"/>
                <w:sz w:val="30"/>
                <w:szCs w:val="30"/>
                <w:rtl/>
              </w:rPr>
              <w:t>30</w:t>
            </w:r>
            <w:r>
              <w:rPr>
                <w:rFonts w:ascii="Arabic Typesetting" w:hAnsi="Arabic Typesetting" w:cs="Arabic Typesetting" w:hint="cs"/>
                <w:sz w:val="30"/>
                <w:szCs w:val="30"/>
                <w:rtl/>
              </w:rPr>
              <w:t>%.</w:t>
            </w:r>
          </w:p>
        </w:tc>
      </w:tr>
      <w:tr w:rsidR="00072E5F" w:rsidRPr="008954A8" w:rsidTr="00F01A85">
        <w:trPr>
          <w:cantSplit/>
          <w:trHeight w:val="1377"/>
        </w:trPr>
        <w:tc>
          <w:tcPr>
            <w:tcW w:w="1143" w:type="pct"/>
            <w:tcBorders>
              <w:top w:val="nil"/>
              <w:left w:val="single" w:sz="4" w:space="0" w:color="auto"/>
              <w:bottom w:val="nil"/>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p>
        </w:tc>
        <w:tc>
          <w:tcPr>
            <w:tcW w:w="1526" w:type="pct"/>
            <w:tcBorders>
              <w:top w:val="nil"/>
              <w:left w:val="nil"/>
              <w:bottom w:val="nil"/>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النسبة المئوية ل</w:t>
            </w:r>
            <w:r w:rsidRPr="008F4191">
              <w:rPr>
                <w:rFonts w:ascii="Arabic Typesetting" w:hAnsi="Arabic Typesetting" w:cs="Arabic Typesetting"/>
                <w:sz w:val="30"/>
                <w:szCs w:val="30"/>
                <w:rtl/>
              </w:rPr>
              <w:t>موظفي الويبو والمندوبين و</w:t>
            </w:r>
            <w:r>
              <w:rPr>
                <w:rFonts w:ascii="Arabic Typesetting" w:hAnsi="Arabic Typesetting" w:cs="Arabic Typesetting" w:hint="cs"/>
                <w:sz w:val="30"/>
                <w:szCs w:val="30"/>
                <w:rtl/>
              </w:rPr>
              <w:t>ال</w:t>
            </w:r>
            <w:r w:rsidRPr="008F4191">
              <w:rPr>
                <w:rFonts w:ascii="Arabic Typesetting" w:hAnsi="Arabic Typesetting" w:cs="Arabic Typesetting"/>
                <w:sz w:val="30"/>
                <w:szCs w:val="30"/>
                <w:rtl/>
              </w:rPr>
              <w:t xml:space="preserve">زوار </w:t>
            </w:r>
            <w:r>
              <w:rPr>
                <w:rFonts w:ascii="Arabic Typesetting" w:hAnsi="Arabic Typesetting" w:cs="Arabic Typesetting" w:hint="cs"/>
                <w:sz w:val="30"/>
                <w:szCs w:val="30"/>
                <w:rtl/>
              </w:rPr>
              <w:t xml:space="preserve">الذين يبلغون عن </w:t>
            </w:r>
            <w:r w:rsidRPr="008F4191">
              <w:rPr>
                <w:rFonts w:ascii="Arabic Typesetting" w:hAnsi="Arabic Typesetting" w:cs="Arabic Typesetting"/>
                <w:sz w:val="30"/>
                <w:szCs w:val="30"/>
                <w:rtl/>
              </w:rPr>
              <w:t xml:space="preserve">إصابات </w:t>
            </w:r>
            <w:r>
              <w:rPr>
                <w:rFonts w:ascii="Arabic Typesetting" w:hAnsi="Arabic Typesetting" w:cs="Arabic Typesetting" w:hint="cs"/>
                <w:sz w:val="30"/>
                <w:szCs w:val="30"/>
                <w:rtl/>
              </w:rPr>
              <w:t xml:space="preserve">أو </w:t>
            </w:r>
            <w:r w:rsidRPr="008F4191">
              <w:rPr>
                <w:rFonts w:ascii="Arabic Typesetting" w:hAnsi="Arabic Typesetting" w:cs="Arabic Typesetting"/>
                <w:sz w:val="30"/>
                <w:szCs w:val="30"/>
                <w:rtl/>
              </w:rPr>
              <w:t>ح</w:t>
            </w:r>
            <w:r>
              <w:rPr>
                <w:rFonts w:ascii="Arabic Typesetting" w:hAnsi="Arabic Typesetting" w:cs="Arabic Typesetting" w:hint="cs"/>
                <w:sz w:val="30"/>
                <w:szCs w:val="30"/>
                <w:rtl/>
              </w:rPr>
              <w:t>و</w:t>
            </w:r>
            <w:r w:rsidRPr="008F4191">
              <w:rPr>
                <w:rFonts w:ascii="Arabic Typesetting" w:hAnsi="Arabic Typesetting" w:cs="Arabic Typesetting"/>
                <w:sz w:val="30"/>
                <w:szCs w:val="30"/>
                <w:rtl/>
              </w:rPr>
              <w:t>ادث ذات صلة</w:t>
            </w:r>
            <w:r>
              <w:rPr>
                <w:rFonts w:ascii="Arabic Typesetting" w:hAnsi="Arabic Typesetting" w:cs="Arabic Typesetting" w:hint="cs"/>
                <w:sz w:val="30"/>
                <w:szCs w:val="30"/>
                <w:rtl/>
              </w:rPr>
              <w:t xml:space="preserve"> بالعمل</w:t>
            </w:r>
          </w:p>
        </w:tc>
        <w:tc>
          <w:tcPr>
            <w:tcW w:w="1144" w:type="pct"/>
            <w:tcBorders>
              <w:top w:val="nil"/>
              <w:left w:val="nil"/>
              <w:bottom w:val="nil"/>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2</w:t>
            </w:r>
            <w:r>
              <w:rPr>
                <w:rFonts w:ascii="Arabic Typesetting" w:hAnsi="Arabic Typesetting" w:cs="Arabic Typesetting" w:hint="cs"/>
                <w:sz w:val="30"/>
                <w:szCs w:val="30"/>
                <w:rtl/>
              </w:rPr>
              <w:t>%</w:t>
            </w:r>
            <w:r>
              <w:rPr>
                <w:rFonts w:ascii="Arabic Typesetting" w:hAnsi="Arabic Typesetting" w:cs="Arabic Typesetting"/>
                <w:sz w:val="30"/>
                <w:szCs w:val="30"/>
                <w:rtl/>
              </w:rPr>
              <w:t xml:space="preserve"> أو أقل من مجموع أصحاب المصلحة</w:t>
            </w:r>
            <w:r w:rsidRPr="008F4191">
              <w:rPr>
                <w:rFonts w:ascii="Arabic Typesetting" w:hAnsi="Arabic Typesetting" w:cs="Arabic Typesetting"/>
                <w:sz w:val="30"/>
                <w:szCs w:val="30"/>
                <w:rtl/>
              </w:rPr>
              <w:t>/</w:t>
            </w:r>
            <w:r>
              <w:rPr>
                <w:rFonts w:ascii="Arabic Typesetting" w:hAnsi="Arabic Typesetting" w:cs="Arabic Typesetting" w:hint="cs"/>
                <w:sz w:val="30"/>
                <w:szCs w:val="30"/>
                <w:rtl/>
              </w:rPr>
              <w:t>الزبائن</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يبلغون عن </w:t>
            </w:r>
            <w:r w:rsidRPr="008F4191">
              <w:rPr>
                <w:rFonts w:ascii="Arabic Typesetting" w:hAnsi="Arabic Typesetting" w:cs="Arabic Typesetting"/>
                <w:sz w:val="30"/>
                <w:szCs w:val="30"/>
                <w:rtl/>
              </w:rPr>
              <w:t xml:space="preserve">إصابات </w:t>
            </w:r>
            <w:r>
              <w:rPr>
                <w:rFonts w:ascii="Arabic Typesetting" w:hAnsi="Arabic Typesetting" w:cs="Arabic Typesetting" w:hint="cs"/>
                <w:sz w:val="30"/>
                <w:szCs w:val="30"/>
                <w:rtl/>
              </w:rPr>
              <w:t xml:space="preserve">أو </w:t>
            </w:r>
            <w:r w:rsidRPr="008F4191">
              <w:rPr>
                <w:rFonts w:ascii="Arabic Typesetting" w:hAnsi="Arabic Typesetting" w:cs="Arabic Typesetting"/>
                <w:sz w:val="30"/>
                <w:szCs w:val="30"/>
                <w:rtl/>
              </w:rPr>
              <w:t>ح</w:t>
            </w:r>
            <w:r>
              <w:rPr>
                <w:rFonts w:ascii="Arabic Typesetting" w:hAnsi="Arabic Typesetting" w:cs="Arabic Typesetting" w:hint="cs"/>
                <w:sz w:val="30"/>
                <w:szCs w:val="30"/>
                <w:rtl/>
              </w:rPr>
              <w:t>و</w:t>
            </w:r>
            <w:r w:rsidRPr="008F4191">
              <w:rPr>
                <w:rFonts w:ascii="Arabic Typesetting" w:hAnsi="Arabic Typesetting" w:cs="Arabic Typesetting"/>
                <w:sz w:val="30"/>
                <w:szCs w:val="30"/>
                <w:rtl/>
              </w:rPr>
              <w:t>ادث ذات صلة</w:t>
            </w:r>
            <w:r>
              <w:rPr>
                <w:rFonts w:ascii="Arabic Typesetting" w:hAnsi="Arabic Typesetting" w:cs="Arabic Typesetting" w:hint="cs"/>
                <w:sz w:val="30"/>
                <w:szCs w:val="30"/>
                <w:rtl/>
              </w:rPr>
              <w:t xml:space="preserve"> بالعمل</w:t>
            </w:r>
          </w:p>
        </w:tc>
        <w:tc>
          <w:tcPr>
            <w:tcW w:w="1187" w:type="pct"/>
            <w:tcBorders>
              <w:top w:val="nil"/>
              <w:left w:val="nil"/>
              <w:bottom w:val="nil"/>
              <w:right w:val="single" w:sz="4" w:space="0" w:color="auto"/>
            </w:tcBorders>
            <w:tcMar>
              <w:top w:w="113" w:type="dxa"/>
            </w:tcMar>
          </w:tcPr>
          <w:p w:rsidR="00072E5F" w:rsidRPr="008F4191"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sidRPr="008F4191">
              <w:rPr>
                <w:rFonts w:ascii="Arabic Typesetting" w:hAnsi="Arabic Typesetting" w:cs="Arabic Typesetting"/>
                <w:sz w:val="30"/>
                <w:szCs w:val="30"/>
                <w:rtl/>
              </w:rPr>
              <w:t>2</w:t>
            </w:r>
            <w:r>
              <w:rPr>
                <w:rFonts w:ascii="Arabic Typesetting" w:hAnsi="Arabic Typesetting" w:cs="Arabic Typesetting" w:hint="cs"/>
                <w:sz w:val="30"/>
                <w:szCs w:val="30"/>
                <w:rtl/>
              </w:rPr>
              <w:t>%</w:t>
            </w:r>
            <w:r w:rsidRPr="008F4191">
              <w:rPr>
                <w:rFonts w:ascii="Arabic Typesetting" w:hAnsi="Arabic Typesetting" w:cs="Arabic Typesetting"/>
                <w:sz w:val="30"/>
                <w:szCs w:val="30"/>
                <w:rtl/>
              </w:rPr>
              <w:t xml:space="preserve"> أو أقل</w:t>
            </w:r>
          </w:p>
        </w:tc>
      </w:tr>
      <w:tr w:rsidR="00072E5F" w:rsidRPr="008954A8" w:rsidTr="00F01A85">
        <w:trPr>
          <w:cantSplit/>
          <w:trHeight w:val="1377"/>
        </w:trPr>
        <w:tc>
          <w:tcPr>
            <w:tcW w:w="1143" w:type="pct"/>
            <w:tcBorders>
              <w:top w:val="nil"/>
              <w:left w:val="single" w:sz="4" w:space="0" w:color="auto"/>
              <w:bottom w:val="single" w:sz="4" w:space="0" w:color="auto"/>
              <w:right w:val="nil"/>
            </w:tcBorders>
            <w:tcMar>
              <w:top w:w="113" w:type="dxa"/>
            </w:tcMar>
          </w:tcPr>
          <w:p w:rsidR="00072E5F" w:rsidRPr="008954A8" w:rsidRDefault="00072E5F" w:rsidP="00DA5475">
            <w:pPr>
              <w:spacing w:before="60" w:afterLines="60" w:after="144" w:line="300" w:lineRule="exact"/>
              <w:rPr>
                <w:rFonts w:ascii="Arabic Typesetting" w:hAnsi="Arabic Typesetting" w:cs="Arabic Typesetting"/>
                <w:sz w:val="30"/>
                <w:szCs w:val="30"/>
              </w:rPr>
            </w:pPr>
          </w:p>
        </w:tc>
        <w:tc>
          <w:tcPr>
            <w:tcW w:w="1526" w:type="pct"/>
            <w:tcBorders>
              <w:top w:val="nil"/>
              <w:left w:val="nil"/>
              <w:bottom w:val="single" w:sz="4" w:space="0" w:color="auto"/>
              <w:right w:val="nil"/>
            </w:tcBorders>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النسبة المئوية لل</w:t>
            </w:r>
            <w:r w:rsidRPr="008F4191">
              <w:rPr>
                <w:rFonts w:ascii="Arabic Typesetting" w:hAnsi="Arabic Typesetting" w:cs="Arabic Typesetting"/>
                <w:sz w:val="30"/>
                <w:szCs w:val="30"/>
                <w:rtl/>
              </w:rPr>
              <w:t xml:space="preserve">طلبات </w:t>
            </w:r>
            <w:r>
              <w:rPr>
                <w:rFonts w:ascii="Arabic Typesetting" w:hAnsi="Arabic Typesetting" w:cs="Arabic Typesetting" w:hint="cs"/>
                <w:sz w:val="30"/>
                <w:szCs w:val="30"/>
                <w:rtl/>
              </w:rPr>
              <w:t xml:space="preserve">المستجاب لها </w:t>
            </w:r>
            <w:r w:rsidRPr="008F4191">
              <w:rPr>
                <w:rFonts w:ascii="Arabic Typesetting" w:hAnsi="Arabic Typesetting" w:cs="Arabic Typesetting"/>
                <w:sz w:val="30"/>
                <w:szCs w:val="30"/>
                <w:rtl/>
              </w:rPr>
              <w:t xml:space="preserve">في الوقت المناسب للحصول على مساعدة </w:t>
            </w:r>
            <w:r>
              <w:rPr>
                <w:rFonts w:ascii="Arabic Typesetting" w:hAnsi="Arabic Typesetting" w:cs="Arabic Typesetting" w:hint="cs"/>
                <w:sz w:val="30"/>
                <w:szCs w:val="30"/>
                <w:rtl/>
              </w:rPr>
              <w:t>متعلقة ب</w:t>
            </w:r>
            <w:r w:rsidRPr="008F4191">
              <w:rPr>
                <w:rFonts w:ascii="Arabic Typesetting" w:hAnsi="Arabic Typesetting" w:cs="Arabic Typesetting"/>
                <w:sz w:val="30"/>
                <w:szCs w:val="30"/>
                <w:rtl/>
              </w:rPr>
              <w:t xml:space="preserve">السلامة والأمن في المؤتمرات أو </w:t>
            </w:r>
            <w:r>
              <w:rPr>
                <w:rFonts w:ascii="Arabic Typesetting" w:hAnsi="Arabic Typesetting" w:cs="Arabic Typesetting" w:hint="cs"/>
                <w:sz w:val="30"/>
                <w:szCs w:val="30"/>
                <w:rtl/>
              </w:rPr>
              <w:t>التظاهرات</w:t>
            </w:r>
            <w:r w:rsidRPr="008F4191">
              <w:rPr>
                <w:rFonts w:ascii="Arabic Typesetting" w:hAnsi="Arabic Typesetting" w:cs="Arabic Typesetting"/>
                <w:sz w:val="30"/>
                <w:szCs w:val="30"/>
                <w:rtl/>
              </w:rPr>
              <w:t xml:space="preserve"> التي تقام في جنيف أو خارج</w:t>
            </w:r>
            <w:r>
              <w:rPr>
                <w:rFonts w:ascii="Arabic Typesetting" w:hAnsi="Arabic Typesetting" w:cs="Arabic Typesetting" w:hint="cs"/>
                <w:sz w:val="30"/>
                <w:szCs w:val="30"/>
                <w:rtl/>
              </w:rPr>
              <w:t>ها</w:t>
            </w:r>
          </w:p>
        </w:tc>
        <w:tc>
          <w:tcPr>
            <w:tcW w:w="1144" w:type="pct"/>
            <w:tcBorders>
              <w:top w:val="nil"/>
              <w:left w:val="nil"/>
              <w:bottom w:val="single" w:sz="4" w:space="0" w:color="auto"/>
              <w:right w:val="nil"/>
            </w:tcBorders>
            <w:shd w:val="clear" w:color="auto" w:fill="FFFFFF"/>
            <w:tcMar>
              <w:top w:w="113" w:type="dxa"/>
            </w:tcMar>
          </w:tcPr>
          <w:p w:rsidR="00072E5F" w:rsidRPr="008F4191" w:rsidRDefault="00072E5F" w:rsidP="00DA5475">
            <w:pPr>
              <w:spacing w:before="60" w:afterLines="60" w:after="144" w:line="300" w:lineRule="exact"/>
              <w:rPr>
                <w:rFonts w:ascii="Arabic Typesetting" w:hAnsi="Arabic Typesetting" w:cs="Arabic Typesetting"/>
                <w:sz w:val="30"/>
                <w:szCs w:val="30"/>
              </w:rPr>
            </w:pPr>
            <w:r w:rsidRPr="008F4191">
              <w:rPr>
                <w:rFonts w:ascii="Arabic Typesetting" w:hAnsi="Arabic Typesetting" w:cs="Arabic Typesetting"/>
                <w:sz w:val="30"/>
                <w:szCs w:val="30"/>
                <w:rtl/>
              </w:rPr>
              <w:t>90</w:t>
            </w:r>
            <w:r>
              <w:rPr>
                <w:rFonts w:ascii="Arabic Typesetting" w:hAnsi="Arabic Typesetting" w:cs="Arabic Typesetting" w:hint="cs"/>
                <w:sz w:val="30"/>
                <w:szCs w:val="30"/>
                <w:rtl/>
              </w:rPr>
              <w:t>%</w:t>
            </w:r>
            <w:r w:rsidRPr="008F4191">
              <w:rPr>
                <w:rFonts w:ascii="Arabic Typesetting" w:hAnsi="Arabic Typesetting" w:cs="Arabic Typesetting"/>
                <w:sz w:val="30"/>
                <w:szCs w:val="30"/>
                <w:rtl/>
              </w:rPr>
              <w:t xml:space="preserve"> أو أكثر من </w:t>
            </w:r>
            <w:r>
              <w:rPr>
                <w:rFonts w:ascii="Arabic Typesetting" w:hAnsi="Arabic Typesetting" w:cs="Arabic Typesetting" w:hint="cs"/>
                <w:sz w:val="30"/>
                <w:szCs w:val="30"/>
                <w:rtl/>
              </w:rPr>
              <w:t xml:space="preserve">مجموع </w:t>
            </w:r>
            <w:r w:rsidRPr="008F4191">
              <w:rPr>
                <w:rFonts w:ascii="Arabic Typesetting" w:hAnsi="Arabic Typesetting" w:cs="Arabic Typesetting"/>
                <w:sz w:val="30"/>
                <w:szCs w:val="30"/>
                <w:rtl/>
              </w:rPr>
              <w:t>أصحاب المصلحة/</w:t>
            </w:r>
            <w:r>
              <w:rPr>
                <w:rFonts w:ascii="Arabic Typesetting" w:hAnsi="Arabic Typesetting" w:cs="Arabic Typesetting" w:hint="cs"/>
                <w:sz w:val="30"/>
                <w:szCs w:val="30"/>
                <w:rtl/>
              </w:rPr>
              <w:t>الزبائن</w:t>
            </w:r>
            <w:r w:rsidRPr="008F4191">
              <w:rPr>
                <w:rFonts w:ascii="Arabic Typesetting" w:hAnsi="Arabic Typesetting" w:cs="Arabic Typesetting"/>
                <w:sz w:val="30"/>
                <w:szCs w:val="30"/>
                <w:rtl/>
              </w:rPr>
              <w:t xml:space="preserve"> </w:t>
            </w:r>
            <w:r>
              <w:rPr>
                <w:rFonts w:ascii="Arabic Typesetting" w:hAnsi="Arabic Typesetting" w:cs="Arabic Typesetting" w:hint="cs"/>
                <w:sz w:val="30"/>
                <w:szCs w:val="30"/>
                <w:rtl/>
              </w:rPr>
              <w:t>تعالج طلباتهم في الوقت المناسب للحصول</w:t>
            </w:r>
            <w:r w:rsidRPr="008F4191">
              <w:rPr>
                <w:rFonts w:ascii="Arabic Typesetting" w:hAnsi="Arabic Typesetting" w:cs="Arabic Typesetting"/>
                <w:sz w:val="30"/>
                <w:szCs w:val="30"/>
                <w:rtl/>
              </w:rPr>
              <w:t xml:space="preserve"> على مساعدة </w:t>
            </w:r>
            <w:r>
              <w:rPr>
                <w:rFonts w:ascii="Arabic Typesetting" w:hAnsi="Arabic Typesetting" w:cs="Arabic Typesetting" w:hint="cs"/>
                <w:sz w:val="30"/>
                <w:szCs w:val="30"/>
                <w:rtl/>
              </w:rPr>
              <w:t>متعلقة ب</w:t>
            </w:r>
            <w:r w:rsidRPr="008F4191">
              <w:rPr>
                <w:rFonts w:ascii="Arabic Typesetting" w:hAnsi="Arabic Typesetting" w:cs="Arabic Typesetting"/>
                <w:sz w:val="30"/>
                <w:szCs w:val="30"/>
                <w:rtl/>
              </w:rPr>
              <w:t xml:space="preserve">السلامة والأمن في المؤتمرات أو </w:t>
            </w:r>
            <w:r>
              <w:rPr>
                <w:rFonts w:ascii="Arabic Typesetting" w:hAnsi="Arabic Typesetting" w:cs="Arabic Typesetting" w:hint="cs"/>
                <w:sz w:val="30"/>
                <w:szCs w:val="30"/>
                <w:rtl/>
              </w:rPr>
              <w:t>التظاهرات</w:t>
            </w:r>
            <w:r w:rsidRPr="008F4191">
              <w:rPr>
                <w:rFonts w:ascii="Arabic Typesetting" w:hAnsi="Arabic Typesetting" w:cs="Arabic Typesetting"/>
                <w:sz w:val="30"/>
                <w:szCs w:val="30"/>
                <w:rtl/>
              </w:rPr>
              <w:t xml:space="preserve"> التي تقام في جنيف أو خارج</w:t>
            </w:r>
            <w:r>
              <w:rPr>
                <w:rFonts w:ascii="Arabic Typesetting" w:hAnsi="Arabic Typesetting" w:cs="Arabic Typesetting" w:hint="cs"/>
                <w:sz w:val="30"/>
                <w:szCs w:val="30"/>
                <w:rtl/>
              </w:rPr>
              <w:t>ها</w:t>
            </w:r>
          </w:p>
        </w:tc>
        <w:tc>
          <w:tcPr>
            <w:tcW w:w="1187" w:type="pct"/>
            <w:tcBorders>
              <w:top w:val="nil"/>
              <w:left w:val="nil"/>
              <w:bottom w:val="single" w:sz="4" w:space="0" w:color="auto"/>
              <w:right w:val="single" w:sz="4" w:space="0" w:color="auto"/>
            </w:tcBorders>
            <w:tcMar>
              <w:top w:w="113" w:type="dxa"/>
            </w:tcMar>
          </w:tcPr>
          <w:p w:rsidR="00072E5F" w:rsidRPr="008F4191" w:rsidRDefault="00072E5F" w:rsidP="00DA5475">
            <w:pPr>
              <w:keepLines/>
              <w:tabs>
                <w:tab w:val="left" w:pos="2051"/>
              </w:tabs>
              <w:spacing w:before="60" w:afterLines="60" w:after="144" w:line="300" w:lineRule="exact"/>
              <w:ind w:right="381"/>
              <w:rPr>
                <w:rFonts w:ascii="Arabic Typesetting" w:hAnsi="Arabic Typesetting" w:cs="Arabic Typesetting"/>
                <w:sz w:val="30"/>
                <w:szCs w:val="30"/>
                <w:rtl/>
              </w:rPr>
            </w:pPr>
            <w:r w:rsidRPr="008F4191">
              <w:rPr>
                <w:rFonts w:ascii="Arabic Typesetting" w:hAnsi="Arabic Typesetting" w:cs="Arabic Typesetting"/>
                <w:sz w:val="30"/>
                <w:szCs w:val="30"/>
                <w:rtl/>
              </w:rPr>
              <w:t>90</w:t>
            </w:r>
            <w:r>
              <w:rPr>
                <w:rFonts w:ascii="Arabic Typesetting" w:hAnsi="Arabic Typesetting" w:cs="Arabic Typesetting" w:hint="cs"/>
                <w:sz w:val="30"/>
                <w:szCs w:val="30"/>
                <w:rtl/>
              </w:rPr>
              <w:t>%</w:t>
            </w:r>
            <w:r w:rsidRPr="008F4191">
              <w:rPr>
                <w:rFonts w:ascii="Arabic Typesetting" w:hAnsi="Arabic Typesetting" w:cs="Arabic Typesetting"/>
                <w:sz w:val="30"/>
                <w:szCs w:val="30"/>
                <w:rtl/>
              </w:rPr>
              <w:t xml:space="preserve"> أو أكثر</w:t>
            </w:r>
          </w:p>
        </w:tc>
      </w:tr>
    </w:tbl>
    <w:p w:rsidR="00072E5F" w:rsidRDefault="00072E5F" w:rsidP="00DA5475">
      <w:pPr>
        <w:pStyle w:val="ARNormal"/>
        <w:rPr>
          <w:rtl/>
        </w:rPr>
      </w:pPr>
    </w:p>
    <w:p w:rsidR="00072E5F" w:rsidRPr="00703710" w:rsidRDefault="00072E5F" w:rsidP="00DA5475">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703710">
        <w:rPr>
          <w:rFonts w:ascii="Arabic Typesetting" w:hAnsi="Arabic Typesetting" w:cs="Arabic Typesetting" w:hint="cs"/>
          <w:noProof/>
          <w:snapToGrid/>
          <w:sz w:val="38"/>
          <w:szCs w:val="38"/>
          <w:rtl/>
          <w:lang w:val="x-none" w:eastAsia="x-none" w:bidi="ar-EG"/>
        </w:rPr>
        <w:t>الموارد المخصصة للبرنامج 28</w:t>
      </w:r>
    </w:p>
    <w:p w:rsidR="00072E5F" w:rsidRDefault="00072E5F" w:rsidP="00861CFF">
      <w:pPr>
        <w:numPr>
          <w:ilvl w:val="0"/>
          <w:numId w:val="43"/>
        </w:numPr>
        <w:spacing w:after="240" w:line="340" w:lineRule="exact"/>
        <w:rPr>
          <w:rFonts w:ascii="Arabic Typesetting" w:hAnsi="Arabic Typesetting" w:cs="Arabic Typesetting"/>
          <w:sz w:val="34"/>
          <w:szCs w:val="34"/>
        </w:rPr>
      </w:pPr>
      <w:r>
        <w:rPr>
          <w:rFonts w:ascii="Arabic Typesetting" w:hAnsi="Arabic Typesetting" w:cs="Arabic Typesetting" w:hint="cs"/>
          <w:sz w:val="34"/>
          <w:szCs w:val="34"/>
          <w:rtl/>
        </w:rPr>
        <w:t xml:space="preserve">تُلاحظ زيادة إجمالية قدرها 6.9 مليون فرنك سويسري ضمن البرنامج مقارنة بميزانية 2014/15 بعد التحويلات. وتُعزى الزيادة أساسا إلى نقل المسؤوليات الخاصة بتأمين المعلومات من البرنامج 25 (تكنولوجيا المعلومات والاتصالات) إلى البرنامج. وينعكس ذلك بالدرجة الأولى ضمن موارد الموظفين وضمن النتيجة المرتقبة </w:t>
      </w:r>
      <w:r w:rsidRPr="00703710">
        <w:rPr>
          <w:rFonts w:ascii="Arabic Typesetting" w:hAnsi="Arabic Typesetting" w:cs="Arabic Typesetting" w:hint="cs"/>
          <w:sz w:val="34"/>
          <w:szCs w:val="34"/>
          <w:rtl/>
        </w:rPr>
        <w:t>ه 4.9</w:t>
      </w:r>
      <w:r>
        <w:rPr>
          <w:rFonts w:ascii="Arabic Typesetting" w:hAnsi="Arabic Typesetting" w:cs="Arabic Typesetting" w:hint="cs"/>
          <w:sz w:val="34"/>
          <w:szCs w:val="34"/>
          <w:rtl/>
        </w:rPr>
        <w:t>.</w:t>
      </w:r>
    </w:p>
    <w:p w:rsidR="00072E5F" w:rsidRDefault="00072E5F" w:rsidP="00AB7DA0">
      <w:pPr>
        <w:numPr>
          <w:ilvl w:val="0"/>
          <w:numId w:val="43"/>
        </w:numPr>
        <w:spacing w:after="240" w:line="340" w:lineRule="exact"/>
        <w:rPr>
          <w:rFonts w:ascii="Arabic Typesetting" w:hAnsi="Arabic Typesetting" w:cs="Arabic Typesetting"/>
          <w:sz w:val="34"/>
          <w:szCs w:val="34"/>
        </w:rPr>
      </w:pPr>
      <w:r>
        <w:rPr>
          <w:rFonts w:ascii="Arabic Typesetting" w:hAnsi="Arabic Typesetting" w:cs="Arabic Typesetting" w:hint="cs"/>
          <w:sz w:val="34"/>
          <w:szCs w:val="34"/>
          <w:rtl/>
        </w:rPr>
        <w:t>وتعكس الزيادة المُسجلة في خلاف موارد الموظفين تخصيص موارد إضافية قدرها 4</w:t>
      </w:r>
      <w:r w:rsidR="0029269C">
        <w:rPr>
          <w:rFonts w:ascii="Arabic Typesetting" w:hAnsi="Arabic Typesetting" w:cs="Arabic Typesetting" w:hint="eastAsia"/>
          <w:sz w:val="34"/>
          <w:szCs w:val="34"/>
          <w:rtl/>
        </w:rPr>
        <w:t> </w:t>
      </w:r>
      <w:r>
        <w:rPr>
          <w:rFonts w:ascii="Arabic Typesetting" w:hAnsi="Arabic Typesetting" w:cs="Arabic Typesetting" w:hint="cs"/>
          <w:sz w:val="34"/>
          <w:szCs w:val="34"/>
          <w:rtl/>
        </w:rPr>
        <w:t>ملايين فرنك سويسري لأغراض تنفيذ استراتيجيات تأمين المعلومات</w:t>
      </w:r>
      <w:r w:rsidR="0029269C">
        <w:rPr>
          <w:rFonts w:ascii="Arabic Typesetting" w:hAnsi="Arabic Typesetting" w:cs="Arabic Typesetting" w:hint="cs"/>
          <w:sz w:val="34"/>
          <w:szCs w:val="34"/>
          <w:rtl/>
        </w:rPr>
        <w:t xml:space="preserve"> </w:t>
      </w:r>
      <w:r>
        <w:rPr>
          <w:rFonts w:ascii="Arabic Typesetting" w:hAnsi="Arabic Typesetting" w:cs="Arabic Typesetting" w:hint="cs"/>
          <w:sz w:val="34"/>
          <w:szCs w:val="34"/>
          <w:rtl/>
        </w:rPr>
        <w:t>في الثنائية</w:t>
      </w:r>
      <w:r w:rsidR="00AB7DA0">
        <w:rPr>
          <w:rFonts w:ascii="Arabic Typesetting" w:hAnsi="Arabic Typesetting" w:cs="Arabic Typesetting" w:hint="eastAsia"/>
          <w:sz w:val="34"/>
          <w:szCs w:val="34"/>
          <w:rtl/>
        </w:rPr>
        <w:t> </w:t>
      </w:r>
      <w:r>
        <w:rPr>
          <w:rFonts w:ascii="Arabic Typesetting" w:hAnsi="Arabic Typesetting" w:cs="Arabic Typesetting" w:hint="cs"/>
          <w:sz w:val="34"/>
          <w:szCs w:val="34"/>
          <w:rtl/>
        </w:rPr>
        <w:t xml:space="preserve">2016/17. وتنعكس زيادة التركيز على تعزيز المساءلة والمسؤولية عن تأمين المعلومات من خلال إسهام البرنامج في النتيجة المرتقبة </w:t>
      </w:r>
      <w:r w:rsidRPr="00703710">
        <w:rPr>
          <w:rFonts w:ascii="Arabic Typesetting" w:hAnsi="Arabic Typesetting" w:cs="Arabic Typesetting" w:hint="cs"/>
          <w:sz w:val="34"/>
          <w:szCs w:val="34"/>
          <w:rtl/>
        </w:rPr>
        <w:t xml:space="preserve">ه </w:t>
      </w:r>
      <w:r>
        <w:rPr>
          <w:rFonts w:ascii="Arabic Typesetting" w:hAnsi="Arabic Typesetting" w:cs="Arabic Typesetting" w:hint="cs"/>
          <w:sz w:val="34"/>
          <w:szCs w:val="34"/>
          <w:rtl/>
        </w:rPr>
        <w:t>1</w:t>
      </w:r>
      <w:r w:rsidRPr="00703710">
        <w:rPr>
          <w:rFonts w:ascii="Arabic Typesetting" w:hAnsi="Arabic Typesetting" w:cs="Arabic Typesetting" w:hint="cs"/>
          <w:sz w:val="34"/>
          <w:szCs w:val="34"/>
          <w:rtl/>
        </w:rPr>
        <w:t>.9</w:t>
      </w:r>
      <w:r>
        <w:rPr>
          <w:rFonts w:ascii="Arabic Typesetting" w:hAnsi="Arabic Typesetting" w:cs="Arabic Typesetting" w:hint="cs"/>
          <w:sz w:val="34"/>
          <w:szCs w:val="34"/>
          <w:rtl/>
        </w:rPr>
        <w:t>.</w:t>
      </w:r>
    </w:p>
    <w:p w:rsidR="00072E5F" w:rsidRPr="006E5797" w:rsidRDefault="00072E5F" w:rsidP="00DA5475">
      <w:pPr>
        <w:pStyle w:val="ARNormal"/>
        <w:keepNext/>
        <w:spacing w:after="0"/>
        <w:jc w:val="center"/>
        <w:rPr>
          <w:b/>
          <w:bCs/>
          <w:rtl/>
        </w:rPr>
      </w:pPr>
      <w:r w:rsidRPr="006E5797">
        <w:rPr>
          <w:b/>
          <w:bCs/>
          <w:rtl/>
        </w:rPr>
        <w:lastRenderedPageBreak/>
        <w:t xml:space="preserve">البرنامج </w:t>
      </w:r>
      <w:r>
        <w:rPr>
          <w:rFonts w:hint="cs"/>
          <w:b/>
          <w:bCs/>
          <w:rtl/>
        </w:rPr>
        <w:t>28</w:t>
      </w:r>
      <w:r w:rsidRPr="006E5797">
        <w:rPr>
          <w:b/>
          <w:bCs/>
          <w:rtl/>
        </w:rPr>
        <w:t>: الموارد بحسب كل نتيجة</w:t>
      </w:r>
    </w:p>
    <w:p w:rsidR="00072E5F" w:rsidRPr="006E5797" w:rsidRDefault="00072E5F" w:rsidP="00072E5F">
      <w:pPr>
        <w:pStyle w:val="ARNormal"/>
        <w:keepNext/>
        <w:spacing w:after="0"/>
        <w:jc w:val="center"/>
        <w:rPr>
          <w:i/>
          <w:iCs/>
          <w:rtl/>
        </w:rPr>
      </w:pPr>
      <w:r w:rsidRPr="006E5797">
        <w:rPr>
          <w:i/>
          <w:iCs/>
          <w:rtl/>
        </w:rPr>
        <w:t>(بآلاف الفرنكات السويسرية)</w:t>
      </w:r>
    </w:p>
    <w:p w:rsidR="00072E5F" w:rsidRDefault="00072E5F" w:rsidP="00072E5F">
      <w:pPr>
        <w:spacing w:after="240"/>
        <w:jc w:val="center"/>
        <w:rPr>
          <w:rFonts w:ascii="Arabic Typesetting" w:hAnsi="Arabic Typesetting" w:cs="Arabic Typesetting"/>
          <w:sz w:val="34"/>
          <w:szCs w:val="34"/>
          <w:rtl/>
        </w:rPr>
      </w:pPr>
      <w:r w:rsidRPr="00072E5F">
        <w:rPr>
          <w:noProof/>
          <w:szCs w:val="20"/>
          <w:rtl/>
          <w:lang w:bidi="ar-SA"/>
        </w:rPr>
        <w:drawing>
          <wp:inline distT="0" distB="0" distL="0" distR="0" wp14:anchorId="585A563C" wp14:editId="1CAB205A">
            <wp:extent cx="5676900" cy="12954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676900" cy="1295400"/>
                    </a:xfrm>
                    <a:prstGeom prst="rect">
                      <a:avLst/>
                    </a:prstGeom>
                    <a:noFill/>
                    <a:ln>
                      <a:noFill/>
                    </a:ln>
                  </pic:spPr>
                </pic:pic>
              </a:graphicData>
            </a:graphic>
          </wp:inline>
        </w:drawing>
      </w:r>
    </w:p>
    <w:p w:rsidR="00072E5F" w:rsidRPr="00E41DA4" w:rsidRDefault="00072E5F" w:rsidP="00DA5475">
      <w:pPr>
        <w:pStyle w:val="ARNormal"/>
        <w:keepNext/>
        <w:spacing w:after="0"/>
        <w:jc w:val="center"/>
        <w:rPr>
          <w:b/>
          <w:bCs/>
          <w:rtl/>
        </w:rPr>
      </w:pPr>
      <w:r w:rsidRPr="00E41DA4">
        <w:rPr>
          <w:rFonts w:hint="cs"/>
          <w:b/>
          <w:bCs/>
          <w:rtl/>
        </w:rPr>
        <w:t xml:space="preserve">البرنامج </w:t>
      </w:r>
      <w:r>
        <w:rPr>
          <w:rFonts w:hint="cs"/>
          <w:b/>
          <w:bCs/>
          <w:rtl/>
        </w:rPr>
        <w:t>28</w:t>
      </w:r>
      <w:r w:rsidRPr="00E41DA4">
        <w:rPr>
          <w:rFonts w:hint="cs"/>
          <w:b/>
          <w:bCs/>
          <w:rtl/>
        </w:rPr>
        <w:t>: الموارد بحسب غرض الإنفاق</w:t>
      </w:r>
    </w:p>
    <w:p w:rsidR="00072E5F" w:rsidRPr="00E41DA4" w:rsidRDefault="00072E5F" w:rsidP="00DA5475">
      <w:pPr>
        <w:autoSpaceDE w:val="0"/>
        <w:autoSpaceDN w:val="0"/>
        <w:adjustRightInd w:val="0"/>
        <w:spacing w:after="120" w:line="340" w:lineRule="exact"/>
        <w:jc w:val="center"/>
        <w:rPr>
          <w:rFonts w:ascii="Arabic Typesetting" w:hAnsi="Arabic Typesetting" w:cs="Arabic Typesetting"/>
          <w:i/>
          <w:iCs/>
          <w:sz w:val="34"/>
          <w:szCs w:val="34"/>
        </w:rPr>
      </w:pPr>
      <w:r w:rsidRPr="00E41DA4">
        <w:rPr>
          <w:rFonts w:ascii="Arabic Typesetting" w:hAnsi="Arabic Typesetting" w:cs="Arabic Typesetting" w:hint="cs"/>
          <w:i/>
          <w:iCs/>
          <w:sz w:val="34"/>
          <w:szCs w:val="34"/>
          <w:rtl/>
        </w:rPr>
        <w:t>(بآلاف الفرنكات السويسرية)</w:t>
      </w:r>
    </w:p>
    <w:p w:rsidR="00072E5F" w:rsidRDefault="00072E5F" w:rsidP="00072E5F">
      <w:pPr>
        <w:spacing w:after="240"/>
        <w:jc w:val="center"/>
        <w:rPr>
          <w:rFonts w:ascii="Arabic Typesetting" w:hAnsi="Arabic Typesetting" w:cs="Arabic Typesetting"/>
          <w:sz w:val="34"/>
          <w:szCs w:val="34"/>
          <w:rtl/>
        </w:rPr>
      </w:pPr>
      <w:r w:rsidRPr="00072E5F">
        <w:rPr>
          <w:noProof/>
          <w:szCs w:val="20"/>
          <w:rtl/>
          <w:lang w:bidi="ar-SA"/>
        </w:rPr>
        <w:drawing>
          <wp:inline distT="0" distB="0" distL="0" distR="0" wp14:anchorId="6C04ED64" wp14:editId="14140739">
            <wp:extent cx="5276850" cy="6078858"/>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276850" cy="6078858"/>
                    </a:xfrm>
                    <a:prstGeom prst="rect">
                      <a:avLst/>
                    </a:prstGeom>
                    <a:noFill/>
                    <a:ln>
                      <a:noFill/>
                    </a:ln>
                  </pic:spPr>
                </pic:pic>
              </a:graphicData>
            </a:graphic>
          </wp:inline>
        </w:drawing>
      </w:r>
    </w:p>
    <w:p w:rsidR="00861CFF" w:rsidRPr="00E41DA4" w:rsidRDefault="00861CFF" w:rsidP="00072E5F">
      <w:pPr>
        <w:spacing w:after="240"/>
        <w:jc w:val="center"/>
        <w:rPr>
          <w:rFonts w:ascii="Arabic Typesetting" w:hAnsi="Arabic Typesetting" w:cs="Arabic Typesetting"/>
          <w:sz w:val="34"/>
          <w:szCs w:val="34"/>
          <w:rtl/>
        </w:rPr>
      </w:pPr>
    </w:p>
    <w:p w:rsidR="00072E5F" w:rsidRDefault="00072E5F" w:rsidP="002C3C33">
      <w:pPr>
        <w:pStyle w:val="ARNormal"/>
        <w:rPr>
          <w:rtl/>
          <w:lang w:bidi="ar-EG"/>
        </w:rPr>
        <w:sectPr w:rsidR="00072E5F" w:rsidSect="00861CFF">
          <w:pgSz w:w="11906" w:h="16838" w:code="9"/>
          <w:pgMar w:top="1134" w:right="1418" w:bottom="1418" w:left="1134" w:header="510" w:footer="1021" w:gutter="0"/>
          <w:cols w:space="720"/>
          <w:bidi/>
          <w:rtlGutter/>
        </w:sectPr>
      </w:pPr>
    </w:p>
    <w:p w:rsidR="00861CFF" w:rsidRPr="00DE6948" w:rsidRDefault="00861CFF" w:rsidP="001E56EC">
      <w:pPr>
        <w:pStyle w:val="Heading1"/>
        <w:spacing w:after="480"/>
        <w:rPr>
          <w:rFonts w:ascii="Arabic Typesetting" w:hAnsi="Arabic Typesetting" w:cs="Arabic Typesetting"/>
          <w:b w:val="0"/>
          <w:bCs w:val="0"/>
          <w:color w:val="auto"/>
          <w:sz w:val="38"/>
          <w:szCs w:val="38"/>
          <w:rtl/>
          <w:lang w:val="fr-CH" w:bidi="ar-SA"/>
        </w:rPr>
      </w:pPr>
      <w:bookmarkStart w:id="125" w:name="_Toc364355418"/>
      <w:bookmarkStart w:id="126" w:name="_Toc420595537"/>
      <w:r w:rsidRPr="009D6C30">
        <w:rPr>
          <w:rFonts w:ascii="Arabic Typesetting" w:hAnsi="Arabic Typesetting" w:cs="Arabic Typesetting" w:hint="cs"/>
          <w:color w:val="auto"/>
          <w:sz w:val="38"/>
          <w:szCs w:val="38"/>
          <w:rtl/>
          <w:lang w:val="fr-CH" w:bidi="ar-SA"/>
        </w:rPr>
        <w:lastRenderedPageBreak/>
        <w:t>ثالثا</w:t>
      </w:r>
      <w:r w:rsidRPr="009D6C30">
        <w:rPr>
          <w:rFonts w:ascii="Arabic Typesetting" w:hAnsi="Arabic Typesetting" w:cs="Arabic Typesetting" w:hint="cs"/>
          <w:color w:val="auto"/>
          <w:sz w:val="38"/>
          <w:szCs w:val="38"/>
          <w:rtl/>
          <w:lang w:val="fr-CH" w:bidi="ar-SA"/>
        </w:rPr>
        <w:tab/>
        <w:t>المرفقات</w:t>
      </w:r>
      <w:bookmarkEnd w:id="125"/>
      <w:bookmarkEnd w:id="126"/>
    </w:p>
    <w:p w:rsidR="00861CFF" w:rsidRDefault="00861CFF" w:rsidP="00DA5475">
      <w:pPr>
        <w:pStyle w:val="Heading3"/>
        <w:rPr>
          <w:rFonts w:ascii="Arabic Typesetting" w:hAnsi="Arabic Typesetting" w:cs="Arabic Typesetting"/>
          <w:sz w:val="38"/>
          <w:szCs w:val="38"/>
          <w:rtl/>
          <w:lang w:val="fr-CH" w:bidi="ar-SA"/>
        </w:rPr>
      </w:pPr>
      <w:bookmarkStart w:id="127" w:name="_Toc364355419"/>
      <w:bookmarkStart w:id="128" w:name="_Toc420595538"/>
      <w:r w:rsidRPr="003D4EAF">
        <w:rPr>
          <w:rFonts w:ascii="Arabic Typesetting" w:hAnsi="Arabic Typesetting" w:cs="Arabic Typesetting" w:hint="cs"/>
          <w:sz w:val="38"/>
          <w:szCs w:val="38"/>
          <w:rtl/>
          <w:lang w:val="fr-CH" w:bidi="ar-SA"/>
        </w:rPr>
        <w:t>المرفق الأول</w:t>
      </w:r>
      <w:r w:rsidRPr="003D4EAF">
        <w:rPr>
          <w:rFonts w:ascii="Arabic Typesetting" w:hAnsi="Arabic Typesetting" w:cs="Arabic Typesetting" w:hint="cs"/>
          <w:sz w:val="38"/>
          <w:szCs w:val="38"/>
          <w:rtl/>
          <w:lang w:val="fr-CH" w:bidi="ar-SA"/>
        </w:rPr>
        <w:tab/>
        <w:t>ميزانية الثنائية 2014/15 بعد التحويلات بحسب كل برنامج</w:t>
      </w:r>
      <w:bookmarkEnd w:id="127"/>
      <w:bookmarkEnd w:id="128"/>
    </w:p>
    <w:p w:rsidR="00861CFF" w:rsidRPr="00840215" w:rsidRDefault="00861CFF" w:rsidP="00DA5475">
      <w:pPr>
        <w:keepNext/>
        <w:spacing w:line="300" w:lineRule="exact"/>
        <w:jc w:val="center"/>
        <w:rPr>
          <w:rFonts w:ascii="Arabic Typesetting" w:hAnsi="Arabic Typesetting" w:cs="Arabic Typesetting"/>
          <w:b/>
          <w:bCs/>
          <w:sz w:val="34"/>
          <w:szCs w:val="34"/>
          <w:rtl/>
          <w:lang w:val="fr-CH" w:bidi="ar-SA"/>
        </w:rPr>
      </w:pPr>
      <w:r w:rsidRPr="00840215">
        <w:rPr>
          <w:rFonts w:ascii="Arabic Typesetting" w:hAnsi="Arabic Typesetting" w:cs="Arabic Typesetting" w:hint="cs"/>
          <w:b/>
          <w:bCs/>
          <w:sz w:val="34"/>
          <w:szCs w:val="34"/>
          <w:rtl/>
          <w:lang w:val="fr-CH" w:bidi="ar-SA"/>
        </w:rPr>
        <w:t xml:space="preserve">الجدول 8. ميزانية الثنائية 2014/15 </w:t>
      </w:r>
      <w:r w:rsidRPr="00840215">
        <w:rPr>
          <w:rFonts w:ascii="Arabic Typesetting" w:hAnsi="Arabic Typesetting" w:cs="Arabic Typesetting"/>
          <w:b/>
          <w:bCs/>
          <w:sz w:val="34"/>
          <w:szCs w:val="34"/>
          <w:rtl/>
          <w:lang w:val="fr-CH" w:bidi="ar-SA"/>
        </w:rPr>
        <w:t>بعد التحويلات بحسب كل برنامج</w:t>
      </w:r>
      <w:r w:rsidRPr="00840215">
        <w:rPr>
          <w:rFonts w:ascii="Arabic Typesetting" w:hAnsi="Arabic Typesetting" w:cs="Arabic Typesetting" w:hint="cs"/>
          <w:b/>
          <w:bCs/>
          <w:sz w:val="34"/>
          <w:szCs w:val="34"/>
          <w:rtl/>
          <w:lang w:val="fr-CH" w:bidi="ar-SA"/>
        </w:rPr>
        <w:t xml:space="preserve"> </w:t>
      </w:r>
    </w:p>
    <w:p w:rsidR="00861CFF" w:rsidRPr="00271524" w:rsidRDefault="00861CFF" w:rsidP="00DA5475">
      <w:pPr>
        <w:spacing w:after="120" w:line="300" w:lineRule="exact"/>
        <w:jc w:val="center"/>
        <w:rPr>
          <w:rFonts w:ascii="Arabic Typesetting" w:hAnsi="Arabic Typesetting" w:cs="Arabic Typesetting"/>
          <w:i/>
          <w:iCs/>
          <w:sz w:val="34"/>
          <w:szCs w:val="34"/>
          <w:rtl/>
          <w:lang w:val="fr-CH" w:bidi="ar-SA"/>
        </w:rPr>
      </w:pPr>
      <w:r w:rsidRPr="00271524">
        <w:rPr>
          <w:rFonts w:ascii="Arabic Typesetting" w:hAnsi="Arabic Typesetting" w:cs="Arabic Typesetting" w:hint="cs"/>
          <w:i/>
          <w:iCs/>
          <w:sz w:val="34"/>
          <w:szCs w:val="34"/>
          <w:rtl/>
          <w:lang w:val="fr-CH" w:bidi="ar-SA"/>
        </w:rPr>
        <w:t>(بآلاف الفرنكات السويسرية)</w:t>
      </w:r>
    </w:p>
    <w:p w:rsidR="00861CFF" w:rsidRPr="00C16521" w:rsidRDefault="00861CFF" w:rsidP="00862268">
      <w:pPr>
        <w:pStyle w:val="NormalParaAR"/>
        <w:spacing w:after="120" w:line="240" w:lineRule="auto"/>
        <w:jc w:val="center"/>
        <w:rPr>
          <w:highlight w:val="yellow"/>
          <w:rtl/>
          <w:lang w:val="fr-CH"/>
        </w:rPr>
      </w:pPr>
      <w:r w:rsidRPr="006E6EF4">
        <w:rPr>
          <w:noProof/>
          <w:rtl/>
        </w:rPr>
        <w:drawing>
          <wp:inline distT="0" distB="0" distL="0" distR="0" wp14:anchorId="5F65CCC7" wp14:editId="5F6DDB89">
            <wp:extent cx="5939790" cy="5186278"/>
            <wp:effectExtent l="0" t="0" r="381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939790" cy="5186278"/>
                    </a:xfrm>
                    <a:prstGeom prst="rect">
                      <a:avLst/>
                    </a:prstGeom>
                    <a:noFill/>
                    <a:ln>
                      <a:noFill/>
                    </a:ln>
                  </pic:spPr>
                </pic:pic>
              </a:graphicData>
            </a:graphic>
          </wp:inline>
        </w:drawing>
      </w:r>
    </w:p>
    <w:p w:rsidR="00861CFF" w:rsidRPr="0054007A" w:rsidRDefault="00861CFF" w:rsidP="00DA5475">
      <w:pPr>
        <w:spacing w:after="120"/>
        <w:rPr>
          <w:rFonts w:ascii="Arabic Typesetting" w:hAnsi="Arabic Typesetting" w:cs="Arabic Typesetting"/>
          <w:i/>
          <w:iCs/>
          <w:sz w:val="24"/>
          <w:rtl/>
          <w:lang w:val="fr-CH" w:bidi="ar-SA"/>
        </w:rPr>
      </w:pPr>
      <w:r w:rsidRPr="0054007A">
        <w:rPr>
          <w:rFonts w:ascii="Arabic Typesetting" w:hAnsi="Arabic Typesetting" w:cs="Arabic Typesetting"/>
          <w:i/>
          <w:iCs/>
          <w:sz w:val="24"/>
          <w:rtl/>
          <w:lang w:val="fr-CH" w:bidi="ar-SA"/>
        </w:rPr>
        <w:t>* ينص نظام الويبو المالي ولائحته على إمكانية تحويل الموارد وفقا للمادة 5.5 : " يجوز للمدير العام أن يحول مبالغ من برنامج إلى برنامج آخر من البرنامج والميزانية لأي فترة مالية معينة بحدود خمسة في المائة من المبلغ المطابق لاعتمادات فترة السنتين للبرنامج المستفيد من ذلك، أو بحدود واحد في المائة من إجمالي الميزانية، أيهما أكبر، متى كان ذلك التحوي</w:t>
      </w:r>
      <w:r>
        <w:rPr>
          <w:rFonts w:ascii="Arabic Typesetting" w:hAnsi="Arabic Typesetting" w:cs="Arabic Typesetting"/>
          <w:i/>
          <w:iCs/>
          <w:sz w:val="24"/>
          <w:rtl/>
          <w:lang w:val="fr-CH" w:bidi="ar-SA"/>
        </w:rPr>
        <w:t>ل ضرورياً لضمان حسن سير الأعمال</w:t>
      </w:r>
      <w:r>
        <w:rPr>
          <w:rFonts w:ascii="Arabic Typesetting" w:hAnsi="Arabic Typesetting" w:cs="Arabic Typesetting" w:hint="cs"/>
          <w:i/>
          <w:iCs/>
          <w:sz w:val="24"/>
          <w:rtl/>
          <w:lang w:val="fr-CH" w:bidi="ar-SA"/>
        </w:rPr>
        <w:t xml:space="preserve">." </w:t>
      </w:r>
      <w:r w:rsidRPr="0054007A">
        <w:rPr>
          <w:rFonts w:ascii="Arabic Typesetting" w:hAnsi="Arabic Typesetting" w:cs="Arabic Typesetting"/>
          <w:i/>
          <w:iCs/>
          <w:sz w:val="24"/>
          <w:rtl/>
          <w:lang w:val="fr-CH" w:bidi="ar-SA"/>
        </w:rPr>
        <w:t>وميزانية الثنائية 2014/15 بعد التحويلات هي الميزانية في 31 مارس 2015</w:t>
      </w:r>
      <w:r>
        <w:rPr>
          <w:rFonts w:ascii="Arabic Typesetting" w:hAnsi="Arabic Typesetting" w:cs="Arabic Typesetting" w:hint="cs"/>
          <w:i/>
          <w:iCs/>
          <w:sz w:val="24"/>
          <w:rtl/>
          <w:lang w:val="fr-CH" w:bidi="ar-SA"/>
        </w:rPr>
        <w:t>.</w:t>
      </w:r>
    </w:p>
    <w:p w:rsidR="00861CFF" w:rsidRPr="00C16521" w:rsidRDefault="00861CFF" w:rsidP="00862268">
      <w:pPr>
        <w:rPr>
          <w:rFonts w:ascii="Arabic Typesetting" w:hAnsi="Arabic Typesetting" w:cs="Arabic Typesetting"/>
          <w:sz w:val="30"/>
          <w:szCs w:val="30"/>
          <w:highlight w:val="yellow"/>
          <w:rtl/>
          <w:lang w:val="fr-CH" w:bidi="ar-SA"/>
        </w:rPr>
      </w:pPr>
    </w:p>
    <w:p w:rsidR="00861CFF" w:rsidRPr="00C16521" w:rsidRDefault="00861CFF" w:rsidP="00862268">
      <w:pPr>
        <w:rPr>
          <w:rFonts w:ascii="Arabic Typesetting" w:hAnsi="Arabic Typesetting" w:cs="Arabic Typesetting"/>
          <w:sz w:val="30"/>
          <w:szCs w:val="30"/>
          <w:highlight w:val="yellow"/>
          <w:rtl/>
          <w:lang w:val="fr-CH" w:bidi="ar-SA"/>
        </w:rPr>
        <w:sectPr w:rsidR="00861CFF" w:rsidRPr="00C16521" w:rsidSect="00861CFF">
          <w:footerReference w:type="first" r:id="rId218"/>
          <w:pgSz w:w="11906" w:h="16838" w:code="9"/>
          <w:pgMar w:top="1134" w:right="1418" w:bottom="1418" w:left="1134" w:header="510" w:footer="1021" w:gutter="0"/>
          <w:cols w:space="720"/>
          <w:bidi/>
          <w:rtlGutter/>
        </w:sectPr>
      </w:pPr>
    </w:p>
    <w:p w:rsidR="00861CFF" w:rsidRPr="00840215" w:rsidRDefault="00861CFF" w:rsidP="00DA5475">
      <w:pPr>
        <w:pStyle w:val="Heading3"/>
        <w:rPr>
          <w:rFonts w:ascii="Arabic Typesetting" w:hAnsi="Arabic Typesetting" w:cs="Arabic Typesetting"/>
          <w:sz w:val="38"/>
          <w:szCs w:val="38"/>
          <w:rtl/>
          <w:lang w:val="fr-CH" w:bidi="ar-SA"/>
        </w:rPr>
      </w:pPr>
      <w:bookmarkStart w:id="129" w:name="_Toc364355420"/>
      <w:bookmarkStart w:id="130" w:name="_Toc420595539"/>
      <w:r w:rsidRPr="00840215">
        <w:rPr>
          <w:rFonts w:ascii="Arabic Typesetting" w:hAnsi="Arabic Typesetting" w:cs="Arabic Typesetting" w:hint="cs"/>
          <w:sz w:val="38"/>
          <w:szCs w:val="38"/>
          <w:rtl/>
          <w:lang w:val="fr-CH" w:bidi="ar-SA"/>
        </w:rPr>
        <w:lastRenderedPageBreak/>
        <w:t>المرفق الثاني</w:t>
      </w:r>
      <w:r w:rsidRPr="00840215">
        <w:rPr>
          <w:rFonts w:ascii="Arabic Typesetting" w:hAnsi="Arabic Typesetting" w:cs="Arabic Typesetting"/>
          <w:sz w:val="38"/>
          <w:szCs w:val="38"/>
          <w:lang w:val="fr-CH" w:bidi="ar-SA"/>
        </w:rPr>
        <w:tab/>
      </w:r>
      <w:r w:rsidRPr="00840215">
        <w:rPr>
          <w:rFonts w:ascii="Arabic Typesetting" w:hAnsi="Arabic Typesetting" w:cs="Arabic Typesetting" w:hint="cs"/>
          <w:sz w:val="38"/>
          <w:szCs w:val="38"/>
          <w:rtl/>
          <w:lang w:val="fr-CH" w:bidi="ar-SA"/>
        </w:rPr>
        <w:t>الموارد المقترحة</w:t>
      </w:r>
      <w:r w:rsidRPr="00840215">
        <w:rPr>
          <w:rFonts w:ascii="Arabic Typesetting" w:hAnsi="Arabic Typesetting" w:cs="Arabic Typesetting"/>
          <w:sz w:val="38"/>
          <w:szCs w:val="38"/>
          <w:rtl/>
          <w:lang w:val="fr-CH" w:bidi="ar-SA"/>
        </w:rPr>
        <w:t xml:space="preserve"> </w:t>
      </w:r>
      <w:r w:rsidRPr="00840215">
        <w:rPr>
          <w:rFonts w:ascii="Arabic Typesetting" w:hAnsi="Arabic Typesetting" w:cs="Arabic Typesetting" w:hint="cs"/>
          <w:sz w:val="38"/>
          <w:szCs w:val="38"/>
          <w:rtl/>
          <w:lang w:val="fr-CH" w:bidi="ar-SA"/>
        </w:rPr>
        <w:t>للثنائية</w:t>
      </w:r>
      <w:r w:rsidRPr="00840215">
        <w:rPr>
          <w:rFonts w:ascii="Arabic Typesetting" w:hAnsi="Arabic Typesetting" w:cs="Arabic Typesetting"/>
          <w:sz w:val="38"/>
          <w:szCs w:val="38"/>
          <w:rtl/>
          <w:lang w:val="fr-CH" w:bidi="ar-SA"/>
        </w:rPr>
        <w:t xml:space="preserve"> </w:t>
      </w:r>
      <w:r w:rsidRPr="00840215">
        <w:rPr>
          <w:rFonts w:ascii="Arabic Typesetting" w:hAnsi="Arabic Typesetting" w:cs="Arabic Typesetting" w:hint="cs"/>
          <w:sz w:val="38"/>
          <w:szCs w:val="38"/>
          <w:rtl/>
          <w:lang w:val="fr-CH" w:bidi="ar-SA"/>
        </w:rPr>
        <w:t>2016</w:t>
      </w:r>
      <w:r w:rsidRPr="00840215">
        <w:rPr>
          <w:rFonts w:ascii="Arabic Typesetting" w:hAnsi="Arabic Typesetting" w:cs="Arabic Typesetting"/>
          <w:sz w:val="38"/>
          <w:szCs w:val="38"/>
          <w:rtl/>
          <w:lang w:val="fr-CH" w:bidi="ar-SA"/>
        </w:rPr>
        <w:t>/</w:t>
      </w:r>
      <w:r w:rsidRPr="00840215">
        <w:rPr>
          <w:rFonts w:ascii="Arabic Typesetting" w:hAnsi="Arabic Typesetting" w:cs="Arabic Typesetting" w:hint="cs"/>
          <w:sz w:val="38"/>
          <w:szCs w:val="38"/>
          <w:rtl/>
          <w:lang w:val="fr-CH" w:bidi="ar-SA"/>
        </w:rPr>
        <w:t>17</w:t>
      </w:r>
      <w:r w:rsidRPr="00840215">
        <w:rPr>
          <w:rFonts w:ascii="Arabic Typesetting" w:hAnsi="Arabic Typesetting" w:cs="Arabic Typesetting"/>
          <w:sz w:val="38"/>
          <w:szCs w:val="38"/>
          <w:rtl/>
          <w:lang w:val="fr-CH" w:bidi="ar-SA"/>
        </w:rPr>
        <w:t xml:space="preserve"> بحسب كل برنامج</w:t>
      </w:r>
      <w:bookmarkEnd w:id="129"/>
      <w:bookmarkEnd w:id="130"/>
    </w:p>
    <w:p w:rsidR="00861CFF" w:rsidRPr="00840215" w:rsidRDefault="00861CFF" w:rsidP="00DA5475">
      <w:pPr>
        <w:keepNext/>
        <w:spacing w:line="300" w:lineRule="exact"/>
        <w:jc w:val="center"/>
        <w:rPr>
          <w:rFonts w:ascii="Arabic Typesetting" w:hAnsi="Arabic Typesetting" w:cs="Arabic Typesetting"/>
          <w:b/>
          <w:bCs/>
          <w:sz w:val="34"/>
          <w:szCs w:val="34"/>
          <w:rtl/>
          <w:lang w:val="fr-CH" w:bidi="ar-SA"/>
        </w:rPr>
      </w:pPr>
      <w:r w:rsidRPr="00840215">
        <w:rPr>
          <w:rFonts w:ascii="Arabic Typesetting" w:hAnsi="Arabic Typesetting" w:cs="Arabic Typesetting"/>
          <w:b/>
          <w:bCs/>
          <w:sz w:val="34"/>
          <w:szCs w:val="34"/>
          <w:rtl/>
          <w:lang w:val="fr-CH" w:bidi="ar-SA"/>
        </w:rPr>
        <w:t xml:space="preserve">الجدول </w:t>
      </w:r>
      <w:r w:rsidRPr="00840215">
        <w:rPr>
          <w:rFonts w:ascii="Arabic Typesetting" w:hAnsi="Arabic Typesetting" w:cs="Arabic Typesetting" w:hint="cs"/>
          <w:b/>
          <w:bCs/>
          <w:sz w:val="34"/>
          <w:szCs w:val="34"/>
          <w:rtl/>
          <w:lang w:val="fr-CH" w:bidi="ar-SA"/>
        </w:rPr>
        <w:t>9</w:t>
      </w:r>
      <w:r w:rsidRPr="00840215">
        <w:rPr>
          <w:rFonts w:ascii="Arabic Typesetting" w:hAnsi="Arabic Typesetting" w:cs="Arabic Typesetting"/>
          <w:b/>
          <w:bCs/>
          <w:sz w:val="34"/>
          <w:szCs w:val="34"/>
          <w:rtl/>
          <w:lang w:val="fr-CH" w:bidi="ar-SA"/>
        </w:rPr>
        <w:t xml:space="preserve"> - </w:t>
      </w:r>
      <w:r w:rsidRPr="00840215">
        <w:rPr>
          <w:rFonts w:ascii="Arabic Typesetting" w:hAnsi="Arabic Typesetting" w:cs="Arabic Typesetting" w:hint="cs"/>
          <w:b/>
          <w:bCs/>
          <w:sz w:val="34"/>
          <w:szCs w:val="34"/>
          <w:rtl/>
          <w:lang w:val="fr-CH" w:bidi="ar-SA"/>
        </w:rPr>
        <w:t>ميزانية</w:t>
      </w:r>
      <w:r w:rsidRPr="00840215">
        <w:rPr>
          <w:rFonts w:ascii="Arabic Typesetting" w:hAnsi="Arabic Typesetting" w:cs="Arabic Typesetting"/>
          <w:b/>
          <w:bCs/>
          <w:sz w:val="34"/>
          <w:szCs w:val="34"/>
          <w:rtl/>
          <w:lang w:val="fr-CH" w:bidi="ar-SA"/>
        </w:rPr>
        <w:t xml:space="preserve"> الثنائية </w:t>
      </w:r>
      <w:r w:rsidRPr="00840215">
        <w:rPr>
          <w:rFonts w:ascii="Arabic Typesetting" w:hAnsi="Arabic Typesetting" w:cs="Arabic Typesetting" w:hint="cs"/>
          <w:b/>
          <w:bCs/>
          <w:sz w:val="34"/>
          <w:szCs w:val="34"/>
          <w:rtl/>
          <w:lang w:val="fr-CH" w:bidi="ar-SA"/>
        </w:rPr>
        <w:t>2016</w:t>
      </w:r>
      <w:r w:rsidRPr="00840215">
        <w:rPr>
          <w:rFonts w:ascii="Arabic Typesetting" w:hAnsi="Arabic Typesetting" w:cs="Arabic Typesetting"/>
          <w:b/>
          <w:bCs/>
          <w:sz w:val="34"/>
          <w:szCs w:val="34"/>
          <w:rtl/>
          <w:lang w:val="fr-CH" w:bidi="ar-SA"/>
        </w:rPr>
        <w:t>/</w:t>
      </w:r>
      <w:r w:rsidRPr="00840215">
        <w:rPr>
          <w:rFonts w:ascii="Arabic Typesetting" w:hAnsi="Arabic Typesetting" w:cs="Arabic Typesetting" w:hint="cs"/>
          <w:b/>
          <w:bCs/>
          <w:sz w:val="34"/>
          <w:szCs w:val="34"/>
          <w:rtl/>
          <w:lang w:val="fr-CH" w:bidi="ar-SA"/>
        </w:rPr>
        <w:t>17</w:t>
      </w:r>
      <w:r w:rsidRPr="00840215">
        <w:rPr>
          <w:rFonts w:ascii="Arabic Typesetting" w:hAnsi="Arabic Typesetting" w:cs="Arabic Typesetting"/>
          <w:b/>
          <w:bCs/>
          <w:sz w:val="34"/>
          <w:szCs w:val="34"/>
          <w:rtl/>
          <w:lang w:val="fr-CH" w:bidi="ar-SA"/>
        </w:rPr>
        <w:t xml:space="preserve"> بحسب كل برنامج</w:t>
      </w:r>
    </w:p>
    <w:p w:rsidR="00861CFF" w:rsidRPr="00840215" w:rsidRDefault="00861CFF" w:rsidP="00F01A85">
      <w:pPr>
        <w:spacing w:line="300" w:lineRule="exact"/>
        <w:jc w:val="center"/>
        <w:rPr>
          <w:rFonts w:ascii="Arabic Typesetting" w:hAnsi="Arabic Typesetting" w:cs="Arabic Typesetting"/>
          <w:i/>
          <w:iCs/>
          <w:rtl/>
          <w:lang w:val="fr-CH" w:bidi="ar-SA"/>
        </w:rPr>
      </w:pPr>
      <w:r w:rsidRPr="00840215">
        <w:rPr>
          <w:rFonts w:ascii="Arabic Typesetting" w:hAnsi="Arabic Typesetting" w:cs="Arabic Typesetting" w:hint="cs"/>
          <w:i/>
          <w:iCs/>
          <w:sz w:val="34"/>
          <w:szCs w:val="34"/>
          <w:rtl/>
          <w:lang w:val="fr-CH" w:bidi="ar-SA"/>
        </w:rPr>
        <w:t>(بآلاف الفرنكات السويسرية)</w:t>
      </w:r>
    </w:p>
    <w:p w:rsidR="00861CFF" w:rsidRDefault="00F01A85" w:rsidP="000700C6">
      <w:pPr>
        <w:spacing w:after="120"/>
        <w:jc w:val="center"/>
        <w:rPr>
          <w:rtl/>
          <w:lang w:val="fr-CH"/>
        </w:rPr>
      </w:pPr>
      <w:r w:rsidRPr="00F01A85">
        <w:rPr>
          <w:noProof/>
          <w:szCs w:val="20"/>
          <w:rtl/>
          <w:lang w:bidi="ar-SA"/>
        </w:rPr>
        <w:drawing>
          <wp:inline distT="0" distB="0" distL="0" distR="0" wp14:anchorId="79F524E1" wp14:editId="4C94B6E3">
            <wp:extent cx="9024731" cy="4899063"/>
            <wp:effectExtent l="0" t="0" r="508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9032545" cy="4903305"/>
                    </a:xfrm>
                    <a:prstGeom prst="rect">
                      <a:avLst/>
                    </a:prstGeom>
                    <a:noFill/>
                    <a:ln>
                      <a:noFill/>
                    </a:ln>
                  </pic:spPr>
                </pic:pic>
              </a:graphicData>
            </a:graphic>
          </wp:inline>
        </w:drawing>
      </w:r>
      <w:r w:rsidR="00861CFF">
        <w:rPr>
          <w:rtl/>
          <w:lang w:val="fr-CH"/>
        </w:rPr>
        <w:br w:type="page"/>
      </w:r>
    </w:p>
    <w:p w:rsidR="00861CFF" w:rsidRPr="00840215" w:rsidRDefault="00861CFF" w:rsidP="00DA5475">
      <w:pPr>
        <w:keepNext/>
        <w:spacing w:after="120" w:line="300" w:lineRule="exact"/>
        <w:jc w:val="center"/>
        <w:rPr>
          <w:rFonts w:ascii="Arabic Typesetting" w:hAnsi="Arabic Typesetting" w:cs="Arabic Typesetting"/>
          <w:b/>
          <w:bCs/>
          <w:sz w:val="34"/>
          <w:szCs w:val="34"/>
          <w:rtl/>
          <w:lang w:val="fr-CH" w:bidi="ar-SA"/>
        </w:rPr>
      </w:pPr>
      <w:r w:rsidRPr="00840215">
        <w:rPr>
          <w:rFonts w:ascii="Arabic Typesetting" w:hAnsi="Arabic Typesetting" w:cs="Arabic Typesetting"/>
          <w:b/>
          <w:bCs/>
          <w:sz w:val="34"/>
          <w:szCs w:val="34"/>
          <w:rtl/>
          <w:lang w:val="fr-CH" w:bidi="ar-SA"/>
        </w:rPr>
        <w:lastRenderedPageBreak/>
        <w:t xml:space="preserve">الجدول </w:t>
      </w:r>
      <w:r w:rsidRPr="00840215">
        <w:rPr>
          <w:rFonts w:ascii="Arabic Typesetting" w:hAnsi="Arabic Typesetting" w:cs="Arabic Typesetting"/>
          <w:b/>
          <w:bCs/>
          <w:sz w:val="34"/>
          <w:szCs w:val="34"/>
          <w:lang w:val="fr-CH" w:bidi="ar-SA"/>
        </w:rPr>
        <w:t>10</w:t>
      </w:r>
      <w:r w:rsidRPr="00840215">
        <w:rPr>
          <w:rFonts w:ascii="Arabic Typesetting" w:hAnsi="Arabic Typesetting" w:cs="Arabic Typesetting"/>
          <w:b/>
          <w:bCs/>
          <w:sz w:val="34"/>
          <w:szCs w:val="34"/>
          <w:rtl/>
          <w:lang w:val="fr-CH" w:bidi="ar-SA"/>
        </w:rPr>
        <w:t xml:space="preserve"> - وظائف الثنائية </w:t>
      </w:r>
      <w:r w:rsidRPr="00840215">
        <w:rPr>
          <w:rFonts w:ascii="Arabic Typesetting" w:hAnsi="Arabic Typesetting" w:cs="Arabic Typesetting" w:hint="cs"/>
          <w:b/>
          <w:bCs/>
          <w:sz w:val="34"/>
          <w:szCs w:val="34"/>
          <w:rtl/>
          <w:lang w:val="fr-CH" w:bidi="ar-SA"/>
        </w:rPr>
        <w:t>2016</w:t>
      </w:r>
      <w:r w:rsidRPr="00840215">
        <w:rPr>
          <w:rFonts w:ascii="Arabic Typesetting" w:hAnsi="Arabic Typesetting" w:cs="Arabic Typesetting"/>
          <w:b/>
          <w:bCs/>
          <w:sz w:val="34"/>
          <w:szCs w:val="34"/>
          <w:rtl/>
          <w:lang w:val="fr-CH" w:bidi="ar-SA"/>
        </w:rPr>
        <w:t>/</w:t>
      </w:r>
      <w:r w:rsidRPr="00840215">
        <w:rPr>
          <w:rFonts w:ascii="Arabic Typesetting" w:hAnsi="Arabic Typesetting" w:cs="Arabic Typesetting" w:hint="cs"/>
          <w:b/>
          <w:bCs/>
          <w:sz w:val="34"/>
          <w:szCs w:val="34"/>
          <w:rtl/>
          <w:lang w:val="fr-CH" w:bidi="ar-SA"/>
        </w:rPr>
        <w:t>17</w:t>
      </w:r>
      <w:r w:rsidRPr="00840215">
        <w:rPr>
          <w:rFonts w:ascii="Arabic Typesetting" w:hAnsi="Arabic Typesetting" w:cs="Arabic Typesetting"/>
          <w:b/>
          <w:bCs/>
          <w:sz w:val="34"/>
          <w:szCs w:val="34"/>
          <w:rtl/>
          <w:lang w:val="fr-CH" w:bidi="ar-SA"/>
        </w:rPr>
        <w:t xml:space="preserve"> بحسب كل برنامج</w:t>
      </w:r>
    </w:p>
    <w:p w:rsidR="00861CFF" w:rsidRPr="00C16521" w:rsidRDefault="00D7216C" w:rsidP="00A63F51">
      <w:pPr>
        <w:jc w:val="center"/>
        <w:rPr>
          <w:rFonts w:ascii="Arabic Typesetting" w:hAnsi="Arabic Typesetting" w:cs="Arabic Typesetting"/>
          <w:sz w:val="30"/>
          <w:szCs w:val="30"/>
          <w:highlight w:val="yellow"/>
          <w:rtl/>
          <w:lang w:val="fr-CH" w:bidi="ar-SA"/>
        </w:rPr>
      </w:pPr>
      <w:r w:rsidRPr="00D7216C">
        <w:rPr>
          <w:noProof/>
          <w:szCs w:val="20"/>
          <w:rtl/>
          <w:lang w:bidi="ar-SA"/>
        </w:rPr>
        <w:drawing>
          <wp:inline distT="0" distB="0" distL="0" distR="0" wp14:anchorId="16A7A052" wp14:editId="37BE3744">
            <wp:extent cx="9251950" cy="4857647"/>
            <wp:effectExtent l="0" t="0" r="6350" b="63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9251950" cy="4857647"/>
                    </a:xfrm>
                    <a:prstGeom prst="rect">
                      <a:avLst/>
                    </a:prstGeom>
                    <a:noFill/>
                    <a:ln>
                      <a:noFill/>
                    </a:ln>
                  </pic:spPr>
                </pic:pic>
              </a:graphicData>
            </a:graphic>
          </wp:inline>
        </w:drawing>
      </w:r>
    </w:p>
    <w:p w:rsidR="00861CFF" w:rsidRPr="00DE6948" w:rsidRDefault="00861CFF" w:rsidP="00DA5475">
      <w:pPr>
        <w:spacing w:line="340" w:lineRule="exact"/>
        <w:rPr>
          <w:rFonts w:ascii="Arabic Typesetting" w:hAnsi="Arabic Typesetting" w:cs="Arabic Typesetting"/>
          <w:sz w:val="38"/>
          <w:szCs w:val="38"/>
          <w:rtl/>
          <w:lang w:val="fr-CH" w:bidi="ar-SA"/>
        </w:rPr>
        <w:sectPr w:rsidR="00861CFF" w:rsidRPr="00DE6948" w:rsidSect="00861CFF">
          <w:pgSz w:w="16838" w:h="11906" w:orient="landscape" w:code="9"/>
          <w:pgMar w:top="1134" w:right="1134" w:bottom="1134" w:left="1134" w:header="510" w:footer="1021" w:gutter="0"/>
          <w:cols w:space="720"/>
          <w:bidi/>
          <w:rtlGutter/>
          <w:docGrid w:linePitch="272"/>
        </w:sectPr>
      </w:pPr>
      <w:r w:rsidRPr="0028136B">
        <w:rPr>
          <w:rFonts w:ascii="Arabic Typesetting" w:hAnsi="Arabic Typesetting" w:cs="Arabic Typesetting"/>
          <w:i/>
          <w:iCs/>
          <w:sz w:val="24"/>
          <w:rtl/>
          <w:lang w:val="fr-CH" w:bidi="ar-SA"/>
        </w:rPr>
        <w:t xml:space="preserve">* يشمل باب المبالغ غير المخصصة في ميزانية الثنائية </w:t>
      </w:r>
      <w:r>
        <w:rPr>
          <w:rFonts w:ascii="Arabic Typesetting" w:hAnsi="Arabic Typesetting" w:cs="Arabic Typesetting" w:hint="cs"/>
          <w:i/>
          <w:iCs/>
          <w:sz w:val="24"/>
          <w:rtl/>
          <w:lang w:val="fr-CH" w:bidi="ar-SA"/>
        </w:rPr>
        <w:t>2014</w:t>
      </w:r>
      <w:r w:rsidRPr="0028136B">
        <w:rPr>
          <w:rFonts w:ascii="Arabic Typesetting" w:hAnsi="Arabic Typesetting" w:cs="Arabic Typesetting"/>
          <w:i/>
          <w:iCs/>
          <w:sz w:val="24"/>
          <w:rtl/>
          <w:lang w:val="fr-CH" w:bidi="ar-SA"/>
        </w:rPr>
        <w:t>/</w:t>
      </w:r>
      <w:r>
        <w:rPr>
          <w:rFonts w:ascii="Arabic Typesetting" w:hAnsi="Arabic Typesetting" w:cs="Arabic Typesetting" w:hint="cs"/>
          <w:i/>
          <w:iCs/>
          <w:sz w:val="24"/>
          <w:rtl/>
          <w:lang w:val="fr-CH" w:bidi="ar-SA"/>
        </w:rPr>
        <w:t>15</w:t>
      </w:r>
      <w:r w:rsidRPr="0028136B">
        <w:rPr>
          <w:rFonts w:ascii="Arabic Typesetting" w:hAnsi="Arabic Typesetting" w:cs="Arabic Typesetting"/>
          <w:i/>
          <w:iCs/>
          <w:sz w:val="24"/>
          <w:rtl/>
          <w:lang w:val="fr-CH" w:bidi="ar-SA"/>
        </w:rPr>
        <w:t xml:space="preserve"> بعد التحويلات والميزانية المقترحة </w:t>
      </w:r>
      <w:r>
        <w:rPr>
          <w:rFonts w:ascii="Arabic Typesetting" w:hAnsi="Arabic Typesetting" w:cs="Arabic Typesetting" w:hint="cs"/>
          <w:i/>
          <w:iCs/>
          <w:sz w:val="24"/>
          <w:rtl/>
          <w:lang w:val="fr-CH" w:bidi="ar-SA"/>
        </w:rPr>
        <w:t>2016</w:t>
      </w:r>
      <w:r w:rsidRPr="0028136B">
        <w:rPr>
          <w:rFonts w:ascii="Arabic Typesetting" w:hAnsi="Arabic Typesetting" w:cs="Arabic Typesetting"/>
          <w:i/>
          <w:iCs/>
          <w:sz w:val="24"/>
          <w:rtl/>
          <w:lang w:val="fr-CH" w:bidi="ar-SA"/>
        </w:rPr>
        <w:t>/</w:t>
      </w:r>
      <w:r>
        <w:rPr>
          <w:rFonts w:ascii="Arabic Typesetting" w:hAnsi="Arabic Typesetting" w:cs="Arabic Typesetting" w:hint="cs"/>
          <w:i/>
          <w:iCs/>
          <w:sz w:val="24"/>
          <w:rtl/>
          <w:lang w:val="fr-CH" w:bidi="ar-SA"/>
        </w:rPr>
        <w:t>17</w:t>
      </w:r>
      <w:r w:rsidRPr="0028136B">
        <w:rPr>
          <w:rFonts w:ascii="Arabic Typesetting" w:hAnsi="Arabic Typesetting" w:cs="Arabic Typesetting"/>
          <w:i/>
          <w:iCs/>
          <w:sz w:val="24"/>
          <w:rtl/>
          <w:lang w:val="fr-CH" w:bidi="ar-SA"/>
        </w:rPr>
        <w:t xml:space="preserve"> ما عدده 41 وظيفة ترد تحت فئة "الخدمات العامة" في الجدول أعلاه، والتي كان الهدف منها تسوية وضعية الموظفين المؤقتين.  بيد أن رتب تلك الوظائف </w:t>
      </w:r>
      <w:proofErr w:type="spellStart"/>
      <w:r w:rsidRPr="0028136B">
        <w:rPr>
          <w:rFonts w:ascii="Arabic Typesetting" w:hAnsi="Arabic Typesetting" w:cs="Arabic Typesetting"/>
          <w:i/>
          <w:iCs/>
          <w:sz w:val="24"/>
          <w:rtl/>
          <w:lang w:val="fr-CH" w:bidi="ar-SA"/>
        </w:rPr>
        <w:t>وفئاتيها</w:t>
      </w:r>
      <w:proofErr w:type="spellEnd"/>
      <w:r w:rsidRPr="0028136B">
        <w:rPr>
          <w:rFonts w:ascii="Arabic Typesetting" w:hAnsi="Arabic Typesetting" w:cs="Arabic Typesetting"/>
          <w:i/>
          <w:iCs/>
          <w:sz w:val="24"/>
          <w:rtl/>
          <w:lang w:val="fr-CH" w:bidi="ar-SA"/>
        </w:rPr>
        <w:t xml:space="preserve"> (الفئة المهنية أو فئة الخدمات العامة) غير معروفة بعد.</w:t>
      </w:r>
    </w:p>
    <w:p w:rsidR="00861CFF" w:rsidRPr="00C16521" w:rsidRDefault="00861CFF" w:rsidP="000700C6">
      <w:pPr>
        <w:keepNext/>
        <w:spacing w:before="240" w:after="60"/>
        <w:ind w:left="1699" w:hanging="1699"/>
        <w:outlineLvl w:val="2"/>
        <w:rPr>
          <w:rFonts w:ascii="Arabic Typesetting" w:hAnsi="Arabic Typesetting" w:cs="Arabic Typesetting"/>
          <w:sz w:val="38"/>
          <w:szCs w:val="38"/>
          <w:rtl/>
          <w:lang w:val="fr-CH" w:bidi="ar-SA"/>
        </w:rPr>
      </w:pPr>
      <w:bookmarkStart w:id="131" w:name="_Toc364355421"/>
      <w:bookmarkStart w:id="132" w:name="_Toc420595540"/>
      <w:r w:rsidRPr="00C16521">
        <w:rPr>
          <w:rFonts w:ascii="Arabic Typesetting" w:hAnsi="Arabic Typesetting" w:cs="Arabic Typesetting"/>
          <w:b/>
          <w:bCs/>
          <w:sz w:val="38"/>
          <w:szCs w:val="38"/>
          <w:rtl/>
          <w:lang w:val="fr-CH" w:bidi="ar-SA"/>
        </w:rPr>
        <w:lastRenderedPageBreak/>
        <w:t>المرفق الثالث</w:t>
      </w:r>
      <w:r w:rsidRPr="00C16521">
        <w:rPr>
          <w:rFonts w:ascii="Arabic Typesetting" w:hAnsi="Arabic Typesetting" w:cs="Arabic Typesetting" w:hint="cs"/>
          <w:b/>
          <w:bCs/>
          <w:sz w:val="38"/>
          <w:szCs w:val="38"/>
          <w:rtl/>
          <w:lang w:val="fr-CH" w:bidi="ar-SA"/>
        </w:rPr>
        <w:tab/>
      </w:r>
      <w:r w:rsidRPr="00C16521">
        <w:rPr>
          <w:rFonts w:ascii="Arabic Typesetting" w:hAnsi="Arabic Typesetting" w:cs="Arabic Typesetting"/>
          <w:b/>
          <w:bCs/>
          <w:sz w:val="38"/>
          <w:szCs w:val="38"/>
          <w:rtl/>
          <w:lang w:val="fr-CH" w:bidi="ar-SA"/>
        </w:rPr>
        <w:t xml:space="preserve">تخصيص الإيرادات </w:t>
      </w:r>
      <w:r w:rsidRPr="00C16521">
        <w:rPr>
          <w:rFonts w:ascii="Arabic Typesetting" w:hAnsi="Arabic Typesetting" w:cs="Arabic Typesetting" w:hint="cs"/>
          <w:b/>
          <w:bCs/>
          <w:sz w:val="38"/>
          <w:szCs w:val="38"/>
          <w:rtl/>
          <w:lang w:val="fr-CH" w:bidi="ar-SA"/>
        </w:rPr>
        <w:t>و</w:t>
      </w:r>
      <w:r w:rsidRPr="00C16521">
        <w:rPr>
          <w:rFonts w:ascii="Arabic Typesetting" w:hAnsi="Arabic Typesetting" w:cs="Arabic Typesetting"/>
          <w:b/>
          <w:bCs/>
          <w:sz w:val="38"/>
          <w:szCs w:val="38"/>
          <w:rtl/>
          <w:lang w:val="fr-CH" w:bidi="ar-SA"/>
        </w:rPr>
        <w:t>الميزانية</w:t>
      </w:r>
      <w:r w:rsidRPr="00C16521">
        <w:rPr>
          <w:rFonts w:ascii="Arabic Typesetting" w:hAnsi="Arabic Typesetting" w:cs="Arabic Typesetting" w:hint="cs"/>
          <w:b/>
          <w:bCs/>
          <w:sz w:val="38"/>
          <w:szCs w:val="38"/>
          <w:rtl/>
          <w:lang w:val="fr-CH" w:bidi="ar-SA"/>
        </w:rPr>
        <w:t xml:space="preserve"> المتوقعة </w:t>
      </w:r>
      <w:r w:rsidRPr="00C16521">
        <w:rPr>
          <w:rFonts w:ascii="Arabic Typesetting" w:hAnsi="Arabic Typesetting" w:cs="Arabic Typesetting"/>
          <w:b/>
          <w:bCs/>
          <w:sz w:val="38"/>
          <w:szCs w:val="38"/>
          <w:rtl/>
          <w:lang w:val="fr-CH" w:bidi="ar-SA"/>
        </w:rPr>
        <w:t>بحسب كل اتحاد</w:t>
      </w:r>
      <w:bookmarkEnd w:id="131"/>
      <w:bookmarkEnd w:id="132"/>
    </w:p>
    <w:p w:rsidR="00861CFF" w:rsidRPr="00C16521" w:rsidRDefault="00861CFF" w:rsidP="00DA5475">
      <w:pPr>
        <w:keepNext/>
        <w:spacing w:after="120" w:line="340" w:lineRule="exact"/>
        <w:rPr>
          <w:rFonts w:ascii="Arabic Typesetting" w:hAnsi="Arabic Typesetting" w:cs="Arabic Typesetting"/>
          <w:sz w:val="38"/>
          <w:szCs w:val="38"/>
          <w:rtl/>
          <w:lang w:val="fr-CH" w:bidi="ar-SA"/>
        </w:rPr>
      </w:pPr>
      <w:r w:rsidRPr="00C16521">
        <w:rPr>
          <w:rFonts w:ascii="Arabic Typesetting" w:hAnsi="Arabic Typesetting" w:cs="Arabic Typesetting"/>
          <w:sz w:val="38"/>
          <w:szCs w:val="38"/>
          <w:rtl/>
          <w:lang w:val="fr-CH" w:bidi="ar-SA"/>
        </w:rPr>
        <w:t>مقدمة</w:t>
      </w:r>
    </w:p>
    <w:p w:rsidR="00861CFF" w:rsidRPr="00C16521" w:rsidRDefault="00861CFF" w:rsidP="00861CFF">
      <w:pPr>
        <w:numPr>
          <w:ilvl w:val="0"/>
          <w:numId w:val="44"/>
        </w:numPr>
        <w:spacing w:after="120" w:line="340" w:lineRule="exact"/>
        <w:rPr>
          <w:rFonts w:ascii="Arabic Typesetting" w:hAnsi="Arabic Typesetting" w:cs="Arabic Typesetting"/>
          <w:sz w:val="34"/>
          <w:szCs w:val="34"/>
          <w:rtl/>
          <w:lang w:val="fr-CH" w:bidi="ar-SA"/>
        </w:rPr>
      </w:pPr>
      <w:r w:rsidRPr="00C16521">
        <w:rPr>
          <w:rFonts w:ascii="Arabic Typesetting" w:hAnsi="Arabic Typesetting" w:cs="Arabic Typesetting"/>
          <w:sz w:val="34"/>
          <w:szCs w:val="34"/>
          <w:rtl/>
          <w:lang w:val="fr-CH" w:bidi="ar-SA"/>
        </w:rPr>
        <w:t xml:space="preserve">يقتضي نظام </w:t>
      </w:r>
      <w:r w:rsidRPr="00C16521">
        <w:rPr>
          <w:rFonts w:ascii="Arabic Typesetting" w:hAnsi="Arabic Typesetting" w:cs="Arabic Typesetting" w:hint="cs"/>
          <w:sz w:val="34"/>
          <w:szCs w:val="34"/>
          <w:rtl/>
          <w:lang w:val="fr-CH" w:bidi="ar-SA"/>
        </w:rPr>
        <w:t xml:space="preserve">الويبو </w:t>
      </w:r>
      <w:r w:rsidRPr="00C16521">
        <w:rPr>
          <w:rFonts w:ascii="Arabic Typesetting" w:hAnsi="Arabic Typesetting" w:cs="Arabic Typesetting"/>
          <w:sz w:val="34"/>
          <w:szCs w:val="34"/>
          <w:rtl/>
          <w:lang w:val="fr-CH" w:bidi="ar-SA"/>
        </w:rPr>
        <w:t>المالي ولائحته (</w:t>
      </w:r>
      <w:r w:rsidRPr="00C16521">
        <w:rPr>
          <w:rFonts w:ascii="Arabic Typesetting" w:hAnsi="Arabic Typesetting" w:cs="Arabic Typesetting" w:hint="cs"/>
          <w:sz w:val="34"/>
          <w:szCs w:val="34"/>
          <w:rtl/>
          <w:lang w:val="fr-CH" w:bidi="ar-SA"/>
        </w:rPr>
        <w:t>القاعدة</w:t>
      </w:r>
      <w:r w:rsidRPr="00C16521">
        <w:rPr>
          <w:rFonts w:ascii="Arabic Typesetting" w:hAnsi="Arabic Typesetting" w:cs="Arabic Typesetting"/>
          <w:sz w:val="34"/>
          <w:szCs w:val="34"/>
          <w:rtl/>
          <w:lang w:val="fr-CH" w:bidi="ar-SA"/>
        </w:rPr>
        <w:t xml:space="preserve"> </w:t>
      </w:r>
      <w:r w:rsidRPr="00C16521">
        <w:rPr>
          <w:rFonts w:ascii="Arabic Typesetting" w:hAnsi="Arabic Typesetting" w:cs="Arabic Typesetting" w:hint="cs"/>
          <w:sz w:val="34"/>
          <w:szCs w:val="34"/>
          <w:rtl/>
          <w:lang w:val="fr-CH" w:bidi="ar-SA"/>
        </w:rPr>
        <w:t>2.102</w:t>
      </w:r>
      <w:r w:rsidRPr="00C16521">
        <w:rPr>
          <w:rFonts w:ascii="Arabic Typesetting" w:hAnsi="Arabic Typesetting" w:cs="Arabic Typesetting"/>
          <w:sz w:val="34"/>
          <w:szCs w:val="34"/>
          <w:rtl/>
          <w:lang w:val="fr-CH" w:bidi="ar-SA"/>
        </w:rPr>
        <w:t>)</w:t>
      </w:r>
      <w:r w:rsidRPr="00C16521">
        <w:rPr>
          <w:rFonts w:ascii="Arabic Typesetting" w:hAnsi="Arabic Typesetting" w:cs="Arabic Typesetting" w:hint="cs"/>
          <w:sz w:val="34"/>
          <w:szCs w:val="34"/>
          <w:rtl/>
          <w:lang w:val="fr-CH" w:bidi="ar-SA"/>
        </w:rPr>
        <w:t xml:space="preserve"> أن تُعرض ميزانية المنظمة في الثنائية لكل اتحاد على حدة.</w:t>
      </w:r>
    </w:p>
    <w:p w:rsidR="00861CFF" w:rsidRPr="00C16521" w:rsidRDefault="00861CFF" w:rsidP="00DA5475">
      <w:pPr>
        <w:keepNext/>
        <w:spacing w:after="120" w:line="340" w:lineRule="exact"/>
        <w:rPr>
          <w:rFonts w:ascii="Arabic Typesetting" w:hAnsi="Arabic Typesetting" w:cs="Arabic Typesetting"/>
          <w:sz w:val="38"/>
          <w:szCs w:val="38"/>
          <w:rtl/>
          <w:lang w:val="fr-CH" w:bidi="ar-SA"/>
        </w:rPr>
      </w:pPr>
      <w:r w:rsidRPr="00C16521">
        <w:rPr>
          <w:rFonts w:ascii="Arabic Typesetting" w:hAnsi="Arabic Typesetting" w:cs="Arabic Typesetting"/>
          <w:sz w:val="38"/>
          <w:szCs w:val="38"/>
          <w:rtl/>
          <w:lang w:val="fr-CH" w:bidi="ar-SA"/>
        </w:rPr>
        <w:t>تخصيص النفقات المدرجة في الميزانية بحسب كل اتحاد</w:t>
      </w:r>
    </w:p>
    <w:p w:rsidR="00861CFF" w:rsidRPr="00C16521" w:rsidRDefault="00861CFF" w:rsidP="00861CFF">
      <w:pPr>
        <w:numPr>
          <w:ilvl w:val="0"/>
          <w:numId w:val="44"/>
        </w:numPr>
        <w:spacing w:after="120" w:line="340" w:lineRule="exact"/>
        <w:rPr>
          <w:rFonts w:ascii="Arabic Typesetting" w:hAnsi="Arabic Typesetting" w:cs="Arabic Typesetting"/>
          <w:sz w:val="34"/>
          <w:szCs w:val="34"/>
          <w:rtl/>
          <w:lang w:val="fr-CH" w:bidi="ar-SA"/>
        </w:rPr>
      </w:pPr>
      <w:r w:rsidRPr="00C16521">
        <w:rPr>
          <w:rFonts w:ascii="Arabic Typesetting" w:hAnsi="Arabic Typesetting" w:cs="Arabic Typesetting"/>
          <w:sz w:val="34"/>
          <w:szCs w:val="34"/>
          <w:rtl/>
          <w:lang w:val="fr-CH" w:bidi="ar-SA"/>
        </w:rPr>
        <w:t xml:space="preserve">تستند منهجية تخصيص النفقات بحسب كل اتحاد إلى تحديد نفقات الاتحادات المباشرة وغير المباشرة. وتصنف البرامج كأنشطة الاتحادات المباشرة وغير المباشرة على </w:t>
      </w:r>
      <w:r w:rsidRPr="00C16521">
        <w:rPr>
          <w:rFonts w:ascii="Arabic Typesetting" w:hAnsi="Arabic Typesetting" w:cs="Arabic Typesetting" w:hint="cs"/>
          <w:sz w:val="34"/>
          <w:szCs w:val="34"/>
          <w:rtl/>
          <w:lang w:val="fr-CH" w:bidi="ar-SA"/>
        </w:rPr>
        <w:t>النحو المبيّن أدناه. والمنهجية المتبعة في وثيقة البرنامج والميزانية للثنائية 2016/17 هي نفسها تلك المستخدمة في وثيقة البرنامج والميزانية للثنائية 2014/15.</w:t>
      </w:r>
    </w:p>
    <w:p w:rsidR="00861CFF" w:rsidRPr="00C16521" w:rsidRDefault="00861CFF" w:rsidP="00861CFF">
      <w:pPr>
        <w:numPr>
          <w:ilvl w:val="0"/>
          <w:numId w:val="44"/>
        </w:numPr>
        <w:spacing w:after="120" w:line="340" w:lineRule="exact"/>
        <w:rPr>
          <w:rFonts w:ascii="Arabic Typesetting" w:hAnsi="Arabic Typesetting" w:cs="Arabic Typesetting"/>
          <w:sz w:val="34"/>
          <w:szCs w:val="34"/>
          <w:rtl/>
          <w:lang w:val="fr-CH" w:bidi="ar-SA"/>
        </w:rPr>
      </w:pPr>
      <w:r w:rsidRPr="00C16521">
        <w:rPr>
          <w:rFonts w:ascii="Arabic Typesetting" w:hAnsi="Arabic Typesetting" w:cs="Arabic Typesetting"/>
          <w:i/>
          <w:iCs/>
          <w:sz w:val="34"/>
          <w:szCs w:val="34"/>
          <w:rtl/>
          <w:lang w:val="fr-CH" w:bidi="ar-SA"/>
        </w:rPr>
        <w:t>نفقات الاتحاد المباشرة</w:t>
      </w:r>
      <w:r w:rsidRPr="00C16521">
        <w:rPr>
          <w:rFonts w:ascii="Arabic Typesetting" w:hAnsi="Arabic Typesetting" w:cs="Arabic Typesetting"/>
          <w:sz w:val="34"/>
          <w:szCs w:val="34"/>
          <w:rtl/>
          <w:lang w:val="fr-CH" w:bidi="ar-SA"/>
        </w:rPr>
        <w:t xml:space="preserve"> هي النفقات المتكبدة في إطار الأنشطة الخاصة بالاتحاد المعني والحصة المسندة إليه من النفقات الإدارية المعنية وغيرها من النفقات المدرجة في الميزانية.</w:t>
      </w:r>
    </w:p>
    <w:p w:rsidR="00861CFF" w:rsidRPr="00C16521" w:rsidRDefault="00861CFF" w:rsidP="00DA5475">
      <w:pPr>
        <w:spacing w:after="120" w:line="340" w:lineRule="exact"/>
        <w:ind w:left="565"/>
        <w:rPr>
          <w:rFonts w:ascii="Arabic Typesetting" w:hAnsi="Arabic Typesetting" w:cs="Arabic Typesetting"/>
          <w:sz w:val="34"/>
          <w:szCs w:val="34"/>
          <w:rtl/>
          <w:lang w:val="fr-CH"/>
        </w:rPr>
      </w:pPr>
      <w:r w:rsidRPr="00C16521">
        <w:rPr>
          <w:rFonts w:ascii="Arabic Typesetting" w:hAnsi="Arabic Typesetting" w:cs="Arabic Typesetting" w:hint="cs"/>
          <w:sz w:val="34"/>
          <w:szCs w:val="34"/>
          <w:rtl/>
          <w:lang w:val="fr-CH"/>
        </w:rPr>
        <w:t>1.3</w:t>
      </w:r>
      <w:r w:rsidRPr="00C16521">
        <w:rPr>
          <w:rFonts w:ascii="Arabic Typesetting" w:hAnsi="Arabic Typesetting" w:cs="Arabic Typesetting"/>
          <w:sz w:val="34"/>
          <w:szCs w:val="34"/>
          <w:rtl/>
          <w:lang w:val="fr-CH"/>
        </w:rPr>
        <w:tab/>
      </w:r>
      <w:r w:rsidRPr="00C16521">
        <w:rPr>
          <w:rFonts w:ascii="Arabic Typesetting" w:hAnsi="Arabic Typesetting" w:cs="Arabic Typesetting"/>
          <w:i/>
          <w:iCs/>
          <w:sz w:val="34"/>
          <w:szCs w:val="34"/>
          <w:rtl/>
          <w:lang w:val="fr-CH"/>
        </w:rPr>
        <w:t>الأنشطة الخاصة بالاتحاد</w:t>
      </w:r>
      <w:r w:rsidRPr="00C16521">
        <w:rPr>
          <w:rFonts w:ascii="Arabic Typesetting" w:hAnsi="Arabic Typesetting" w:cs="Arabic Typesetting"/>
          <w:sz w:val="34"/>
          <w:szCs w:val="34"/>
          <w:rtl/>
          <w:lang w:val="fr-CH"/>
        </w:rPr>
        <w:t xml:space="preserve">: تندرج تحت هذا الباب الأنشطة البرمجية التالية والنفقات التالية المدرجة في الميزانية. وإذا كانت نفقات برنامج بعينه مخصصة لاتحاد على أساس جزئي فقط، فإن التخصيص يقوم على حصة الاتحاد المعني من تلك النفقات كما يقيّمها المسؤولون </w:t>
      </w:r>
      <w:r w:rsidRPr="00C16521">
        <w:rPr>
          <w:rFonts w:ascii="Arabic Typesetting" w:hAnsi="Arabic Typesetting" w:cs="Arabic Typesetting" w:hint="cs"/>
          <w:sz w:val="34"/>
          <w:szCs w:val="34"/>
          <w:rtl/>
          <w:lang w:val="fr-CH"/>
        </w:rPr>
        <w:t>عن</w:t>
      </w:r>
      <w:r w:rsidRPr="00C16521">
        <w:rPr>
          <w:rFonts w:ascii="Arabic Typesetting" w:hAnsi="Arabic Typesetting" w:cs="Arabic Typesetting"/>
          <w:sz w:val="34"/>
          <w:szCs w:val="34"/>
          <w:rtl/>
          <w:lang w:val="fr-CH"/>
        </w:rPr>
        <w:t xml:space="preserve"> البرامج المعنية. وإذا كانت الاعتمادات المخصصة لبرنامج بعينه تنسب لاتحاد واحد، فإن مجمل تكلفة ذلك البرنامج تعزى إلى ذلك الاتحاد.</w:t>
      </w:r>
    </w:p>
    <w:p w:rsidR="00861CFF" w:rsidRPr="00C16521" w:rsidRDefault="00861CFF" w:rsidP="00DA5475">
      <w:pPr>
        <w:spacing w:after="120" w:line="340" w:lineRule="exact"/>
        <w:ind w:left="1699" w:hanging="567"/>
        <w:rPr>
          <w:rFonts w:ascii="Arabic Typesetting" w:hAnsi="Arabic Typesetting" w:cs="Arabic Typesetting"/>
          <w:i/>
          <w:iCs/>
          <w:sz w:val="34"/>
          <w:szCs w:val="34"/>
          <w:rtl/>
          <w:lang w:val="fr-CH"/>
        </w:rPr>
      </w:pPr>
      <w:r w:rsidRPr="00C16521">
        <w:rPr>
          <w:rFonts w:ascii="Arabic Typesetting" w:hAnsi="Arabic Typesetting" w:cs="Arabic Typesetting" w:hint="cs"/>
          <w:i/>
          <w:iCs/>
          <w:sz w:val="34"/>
          <w:szCs w:val="34"/>
          <w:rtl/>
          <w:lang w:val="fr-CH"/>
        </w:rPr>
        <w:t>1.1.3</w:t>
      </w:r>
      <w:r w:rsidRPr="00C16521">
        <w:rPr>
          <w:rFonts w:ascii="Arabic Typesetting" w:hAnsi="Arabic Typesetting" w:cs="Arabic Typesetting"/>
          <w:i/>
          <w:iCs/>
          <w:sz w:val="34"/>
          <w:szCs w:val="34"/>
          <w:rtl/>
          <w:lang w:val="fr-CH"/>
        </w:rPr>
        <w:tab/>
        <w:t>الاتحادات المموّلة من الاشتراكات: البرامج 1 (</w:t>
      </w:r>
      <w:r w:rsidRPr="00C16521">
        <w:rPr>
          <w:rFonts w:ascii="Arabic Typesetting" w:hAnsi="Arabic Typesetting" w:cs="Arabic Typesetting" w:hint="cs"/>
          <w:i/>
          <w:iCs/>
          <w:sz w:val="34"/>
          <w:szCs w:val="34"/>
          <w:rtl/>
          <w:lang w:val="fr-CH"/>
        </w:rPr>
        <w:t>قانون البراءات</w:t>
      </w:r>
      <w:r w:rsidRPr="00C16521">
        <w:rPr>
          <w:rFonts w:ascii="Arabic Typesetting" w:hAnsi="Arabic Typesetting" w:cs="Arabic Typesetting"/>
          <w:i/>
          <w:iCs/>
          <w:sz w:val="34"/>
          <w:szCs w:val="34"/>
          <w:rtl/>
          <w:lang w:val="fr-CH"/>
        </w:rPr>
        <w:t xml:space="preserve">) (جزئيا) و2 (العلامات التجارية </w:t>
      </w:r>
      <w:r w:rsidRPr="00C16521">
        <w:rPr>
          <w:rFonts w:ascii="Arabic Typesetting" w:hAnsi="Arabic Typesetting" w:cs="Arabic Typesetting" w:hint="cs"/>
          <w:i/>
          <w:iCs/>
          <w:sz w:val="34"/>
          <w:szCs w:val="34"/>
          <w:rtl/>
          <w:lang w:val="fr-CH"/>
        </w:rPr>
        <w:t>والتصاميم</w:t>
      </w:r>
      <w:r w:rsidRPr="00C16521">
        <w:rPr>
          <w:rFonts w:ascii="Arabic Typesetting" w:hAnsi="Arabic Typesetting" w:cs="Arabic Typesetting"/>
          <w:i/>
          <w:iCs/>
          <w:sz w:val="34"/>
          <w:szCs w:val="34"/>
          <w:rtl/>
          <w:lang w:val="fr-CH"/>
        </w:rPr>
        <w:t xml:space="preserve"> الصناعية والبيانات الجغرافية) (جزئيا) و3 (حق المؤلف والحقوق المجاورة)</w:t>
      </w:r>
      <w:r w:rsidRPr="00C16521">
        <w:rPr>
          <w:rFonts w:ascii="Arabic Typesetting" w:hAnsi="Arabic Typesetting" w:cs="Arabic Typesetting" w:hint="cs"/>
          <w:i/>
          <w:iCs/>
          <w:sz w:val="34"/>
          <w:szCs w:val="34"/>
          <w:rtl/>
          <w:lang w:val="fr-CH"/>
        </w:rPr>
        <w:t xml:space="preserve"> (جزئيا)</w:t>
      </w:r>
      <w:r w:rsidRPr="00C16521">
        <w:rPr>
          <w:rFonts w:ascii="Arabic Typesetting" w:hAnsi="Arabic Typesetting" w:cs="Arabic Typesetting"/>
          <w:i/>
          <w:iCs/>
          <w:sz w:val="34"/>
          <w:szCs w:val="34"/>
          <w:rtl/>
          <w:lang w:val="fr-CH"/>
        </w:rPr>
        <w:t xml:space="preserve"> و4</w:t>
      </w:r>
      <w:r w:rsidRPr="00C16521">
        <w:rPr>
          <w:rFonts w:ascii="Arabic Typesetting" w:hAnsi="Arabic Typesetting" w:cs="Arabic Typesetting" w:hint="cs"/>
          <w:i/>
          <w:iCs/>
          <w:sz w:val="34"/>
          <w:szCs w:val="34"/>
          <w:rtl/>
          <w:lang w:val="fr-CH"/>
        </w:rPr>
        <w:t> </w:t>
      </w:r>
      <w:r w:rsidRPr="00C16521">
        <w:rPr>
          <w:rFonts w:ascii="Arabic Typesetting" w:hAnsi="Arabic Typesetting" w:cs="Arabic Typesetting"/>
          <w:i/>
          <w:iCs/>
          <w:sz w:val="34"/>
          <w:szCs w:val="34"/>
          <w:rtl/>
          <w:lang w:val="fr-CH"/>
        </w:rPr>
        <w:t>(المعارف التقليدية وأشكال التعبير الثقافي التقليدي والموارد الوراثية) و7 (</w:t>
      </w:r>
      <w:r w:rsidRPr="00C16521">
        <w:rPr>
          <w:rFonts w:ascii="Arabic Typesetting" w:hAnsi="Arabic Typesetting" w:cs="Arabic Typesetting" w:hint="cs"/>
          <w:i/>
          <w:iCs/>
          <w:sz w:val="34"/>
          <w:szCs w:val="34"/>
          <w:rtl/>
          <w:lang w:val="fr-CH"/>
        </w:rPr>
        <w:t>مركز الويبو ل</w:t>
      </w:r>
      <w:r w:rsidRPr="00C16521">
        <w:rPr>
          <w:rFonts w:ascii="Arabic Typesetting" w:hAnsi="Arabic Typesetting" w:cs="Arabic Typesetting"/>
          <w:i/>
          <w:iCs/>
          <w:sz w:val="34"/>
          <w:szCs w:val="34"/>
          <w:rtl/>
          <w:lang w:val="fr-CH"/>
        </w:rPr>
        <w:t>لتحكيم والوساطة) (جزئيا) و12</w:t>
      </w:r>
      <w:r w:rsidRPr="00C16521">
        <w:rPr>
          <w:rFonts w:ascii="Arabic Typesetting" w:hAnsi="Arabic Typesetting" w:cs="Arabic Typesetting" w:hint="cs"/>
          <w:i/>
          <w:iCs/>
          <w:sz w:val="34"/>
          <w:szCs w:val="34"/>
          <w:rtl/>
          <w:lang w:val="fr-CH"/>
        </w:rPr>
        <w:t> </w:t>
      </w:r>
      <w:r w:rsidRPr="00C16521">
        <w:rPr>
          <w:rFonts w:ascii="Arabic Typesetting" w:hAnsi="Arabic Typesetting" w:cs="Arabic Typesetting"/>
          <w:i/>
          <w:iCs/>
          <w:sz w:val="34"/>
          <w:szCs w:val="34"/>
          <w:rtl/>
          <w:lang w:val="fr-CH"/>
        </w:rPr>
        <w:t xml:space="preserve">(التصنيفات </w:t>
      </w:r>
      <w:r w:rsidRPr="00C16521">
        <w:rPr>
          <w:rFonts w:ascii="Arabic Typesetting" w:hAnsi="Arabic Typesetting" w:cs="Arabic Typesetting" w:hint="cs"/>
          <w:i/>
          <w:iCs/>
          <w:sz w:val="34"/>
          <w:szCs w:val="34"/>
          <w:rtl/>
          <w:lang w:val="fr-CH"/>
        </w:rPr>
        <w:t>والمعايير الدولية</w:t>
      </w:r>
      <w:r w:rsidRPr="00C16521">
        <w:rPr>
          <w:rFonts w:ascii="Arabic Typesetting" w:hAnsi="Arabic Typesetting" w:cs="Arabic Typesetting"/>
          <w:i/>
          <w:iCs/>
          <w:sz w:val="34"/>
          <w:szCs w:val="34"/>
          <w:rtl/>
          <w:lang w:val="fr-CH"/>
        </w:rPr>
        <w:t xml:space="preserve">) </w:t>
      </w:r>
      <w:r w:rsidRPr="00C16521">
        <w:rPr>
          <w:rFonts w:ascii="Arabic Typesetting" w:hAnsi="Arabic Typesetting" w:cs="Arabic Typesetting" w:hint="cs"/>
          <w:i/>
          <w:iCs/>
          <w:sz w:val="34"/>
          <w:szCs w:val="34"/>
          <w:rtl/>
          <w:lang w:val="fr-CH"/>
        </w:rPr>
        <w:t xml:space="preserve">(جزئيا) </w:t>
      </w:r>
      <w:r w:rsidRPr="00C16521">
        <w:rPr>
          <w:rFonts w:ascii="Arabic Typesetting" w:hAnsi="Arabic Typesetting" w:cs="Arabic Typesetting"/>
          <w:i/>
          <w:iCs/>
          <w:sz w:val="34"/>
          <w:szCs w:val="34"/>
          <w:rtl/>
          <w:lang w:val="fr-CH"/>
        </w:rPr>
        <w:t>و14 (</w:t>
      </w:r>
      <w:r w:rsidRPr="00C16521">
        <w:rPr>
          <w:rFonts w:ascii="Arabic Typesetting" w:hAnsi="Arabic Typesetting" w:cs="Arabic Typesetting" w:hint="cs"/>
          <w:i/>
          <w:iCs/>
          <w:sz w:val="34"/>
          <w:szCs w:val="34"/>
          <w:rtl/>
          <w:lang w:val="fr-CH"/>
        </w:rPr>
        <w:t>خدمات النفاذ إلى المعلومات والمعارف</w:t>
      </w:r>
      <w:r w:rsidRPr="00C16521">
        <w:rPr>
          <w:rFonts w:ascii="Arabic Typesetting" w:hAnsi="Arabic Typesetting" w:cs="Arabic Typesetting"/>
          <w:i/>
          <w:iCs/>
          <w:sz w:val="34"/>
          <w:szCs w:val="34"/>
          <w:rtl/>
          <w:lang w:val="fr-CH"/>
        </w:rPr>
        <w:t>) (جزئيا).</w:t>
      </w:r>
    </w:p>
    <w:p w:rsidR="00861CFF" w:rsidRPr="00C16521" w:rsidRDefault="00861CFF" w:rsidP="00DA5475">
      <w:pPr>
        <w:spacing w:after="120" w:line="340" w:lineRule="exact"/>
        <w:ind w:left="1699" w:hanging="567"/>
        <w:rPr>
          <w:rFonts w:ascii="Arabic Typesetting" w:hAnsi="Arabic Typesetting" w:cs="Arabic Typesetting"/>
          <w:i/>
          <w:iCs/>
          <w:sz w:val="34"/>
          <w:szCs w:val="34"/>
          <w:rtl/>
          <w:lang w:val="fr-CH"/>
        </w:rPr>
      </w:pPr>
      <w:r w:rsidRPr="00C16521">
        <w:rPr>
          <w:rFonts w:ascii="Arabic Typesetting" w:hAnsi="Arabic Typesetting" w:cs="Arabic Typesetting" w:hint="cs"/>
          <w:i/>
          <w:iCs/>
          <w:sz w:val="34"/>
          <w:szCs w:val="34"/>
          <w:rtl/>
          <w:lang w:val="fr-CH"/>
        </w:rPr>
        <w:t>2.1.3</w:t>
      </w:r>
      <w:r w:rsidRPr="00C16521">
        <w:rPr>
          <w:rFonts w:ascii="Arabic Typesetting" w:hAnsi="Arabic Typesetting" w:cs="Arabic Typesetting"/>
          <w:i/>
          <w:iCs/>
          <w:sz w:val="34"/>
          <w:szCs w:val="34"/>
          <w:rtl/>
          <w:lang w:val="fr-CH"/>
        </w:rPr>
        <w:tab/>
        <w:t>اتحاد معاهدة التعاون بشأن البراءات: البرامج 1 (</w:t>
      </w:r>
      <w:r w:rsidRPr="00C16521">
        <w:rPr>
          <w:rFonts w:ascii="Arabic Typesetting" w:hAnsi="Arabic Typesetting" w:cs="Arabic Typesetting" w:hint="cs"/>
          <w:i/>
          <w:iCs/>
          <w:sz w:val="34"/>
          <w:szCs w:val="34"/>
          <w:rtl/>
          <w:lang w:val="fr-CH"/>
        </w:rPr>
        <w:t>قانون البراءات</w:t>
      </w:r>
      <w:r w:rsidRPr="00C16521">
        <w:rPr>
          <w:rFonts w:ascii="Arabic Typesetting" w:hAnsi="Arabic Typesetting" w:cs="Arabic Typesetting"/>
          <w:i/>
          <w:iCs/>
          <w:sz w:val="34"/>
          <w:szCs w:val="34"/>
          <w:rtl/>
          <w:lang w:val="fr-CH"/>
        </w:rPr>
        <w:t>) (جزئيا) و5 (نظام معاهدة التعاون بشأن البراءات) و7 (</w:t>
      </w:r>
      <w:r w:rsidRPr="00C16521">
        <w:rPr>
          <w:rFonts w:ascii="Arabic Typesetting" w:hAnsi="Arabic Typesetting" w:cs="Arabic Typesetting" w:hint="cs"/>
          <w:i/>
          <w:iCs/>
          <w:sz w:val="34"/>
          <w:szCs w:val="34"/>
          <w:rtl/>
          <w:lang w:val="fr-CH"/>
        </w:rPr>
        <w:t xml:space="preserve">مركز </w:t>
      </w:r>
      <w:r w:rsidRPr="00C16521">
        <w:rPr>
          <w:rFonts w:ascii="Arabic Typesetting" w:hAnsi="Arabic Typesetting" w:cs="Arabic Typesetting"/>
          <w:i/>
          <w:iCs/>
          <w:sz w:val="34"/>
          <w:szCs w:val="34"/>
          <w:rtl/>
          <w:lang w:val="fr-CH"/>
        </w:rPr>
        <w:t>ا</w:t>
      </w:r>
      <w:r w:rsidRPr="00C16521">
        <w:rPr>
          <w:rFonts w:ascii="Arabic Typesetting" w:hAnsi="Arabic Typesetting" w:cs="Arabic Typesetting" w:hint="cs"/>
          <w:i/>
          <w:iCs/>
          <w:sz w:val="34"/>
          <w:szCs w:val="34"/>
          <w:rtl/>
          <w:lang w:val="fr-CH"/>
        </w:rPr>
        <w:t>لويبو ل</w:t>
      </w:r>
      <w:r w:rsidRPr="00C16521">
        <w:rPr>
          <w:rFonts w:ascii="Arabic Typesetting" w:hAnsi="Arabic Typesetting" w:cs="Arabic Typesetting"/>
          <w:i/>
          <w:iCs/>
          <w:sz w:val="34"/>
          <w:szCs w:val="34"/>
          <w:rtl/>
          <w:lang w:val="fr-CH"/>
        </w:rPr>
        <w:t xml:space="preserve">لتحكيم والوساطة) (جزئيا) و12 (التصنيفات </w:t>
      </w:r>
      <w:r w:rsidRPr="00C16521">
        <w:rPr>
          <w:rFonts w:ascii="Arabic Typesetting" w:hAnsi="Arabic Typesetting" w:cs="Arabic Typesetting" w:hint="cs"/>
          <w:i/>
          <w:iCs/>
          <w:sz w:val="34"/>
          <w:szCs w:val="34"/>
          <w:rtl/>
          <w:lang w:val="fr-CH"/>
        </w:rPr>
        <w:t>والمعايير الدولية</w:t>
      </w:r>
      <w:r w:rsidRPr="00C16521">
        <w:rPr>
          <w:rFonts w:ascii="Arabic Typesetting" w:hAnsi="Arabic Typesetting" w:cs="Arabic Typesetting"/>
          <w:i/>
          <w:iCs/>
          <w:sz w:val="34"/>
          <w:szCs w:val="34"/>
          <w:rtl/>
          <w:lang w:val="fr-CH"/>
        </w:rPr>
        <w:t>) (جزئيا)</w:t>
      </w:r>
      <w:r w:rsidRPr="00C16521">
        <w:rPr>
          <w:rFonts w:ascii="Arabic Typesetting" w:hAnsi="Arabic Typesetting" w:cs="Arabic Typesetting" w:hint="cs"/>
          <w:i/>
          <w:iCs/>
          <w:sz w:val="34"/>
          <w:szCs w:val="34"/>
          <w:rtl/>
          <w:lang w:val="fr-CH"/>
        </w:rPr>
        <w:t xml:space="preserve"> و13</w:t>
      </w:r>
      <w:r w:rsidRPr="00C16521">
        <w:rPr>
          <w:rFonts w:ascii="Arabic Typesetting" w:hAnsi="Arabic Typesetting" w:cs="Arabic Typesetting" w:hint="eastAsia"/>
          <w:i/>
          <w:iCs/>
          <w:sz w:val="34"/>
          <w:szCs w:val="34"/>
          <w:rtl/>
          <w:lang w:val="fr-CH"/>
        </w:rPr>
        <w:t> </w:t>
      </w:r>
      <w:r w:rsidRPr="00C16521">
        <w:rPr>
          <w:rFonts w:ascii="Arabic Typesetting" w:hAnsi="Arabic Typesetting" w:cs="Arabic Typesetting" w:hint="cs"/>
          <w:i/>
          <w:iCs/>
          <w:sz w:val="34"/>
          <w:szCs w:val="34"/>
          <w:rtl/>
          <w:lang w:val="fr-CH"/>
        </w:rPr>
        <w:t xml:space="preserve">(قواعد البيانات العالمية) (جزئيا) </w:t>
      </w:r>
      <w:r w:rsidRPr="00C16521">
        <w:rPr>
          <w:rFonts w:ascii="Arabic Typesetting" w:hAnsi="Arabic Typesetting" w:cs="Arabic Typesetting"/>
          <w:i/>
          <w:iCs/>
          <w:sz w:val="34"/>
          <w:szCs w:val="34"/>
          <w:rtl/>
          <w:lang w:val="fr-CH"/>
        </w:rPr>
        <w:t>و14 (</w:t>
      </w:r>
      <w:r w:rsidRPr="00C16521">
        <w:rPr>
          <w:rFonts w:ascii="Arabic Typesetting" w:hAnsi="Arabic Typesetting" w:cs="Arabic Typesetting" w:hint="cs"/>
          <w:i/>
          <w:iCs/>
          <w:sz w:val="34"/>
          <w:szCs w:val="34"/>
          <w:rtl/>
          <w:lang w:val="fr-CH"/>
        </w:rPr>
        <w:t>خدمات النفاذ إلى المعلومات والمعارف</w:t>
      </w:r>
      <w:r w:rsidRPr="00C16521">
        <w:rPr>
          <w:rFonts w:ascii="Arabic Typesetting" w:hAnsi="Arabic Typesetting" w:cs="Arabic Typesetting"/>
          <w:i/>
          <w:iCs/>
          <w:sz w:val="34"/>
          <w:szCs w:val="34"/>
          <w:rtl/>
          <w:lang w:val="fr-CH"/>
        </w:rPr>
        <w:t>) (جزئيا).</w:t>
      </w:r>
    </w:p>
    <w:p w:rsidR="00861CFF" w:rsidRPr="00C16521" w:rsidRDefault="00861CFF" w:rsidP="00377E19">
      <w:pPr>
        <w:spacing w:after="120" w:line="340" w:lineRule="exact"/>
        <w:ind w:left="1699" w:hanging="567"/>
        <w:rPr>
          <w:rFonts w:ascii="Arabic Typesetting" w:hAnsi="Arabic Typesetting" w:cs="Arabic Typesetting"/>
          <w:i/>
          <w:iCs/>
          <w:sz w:val="34"/>
          <w:szCs w:val="34"/>
          <w:rtl/>
          <w:lang w:val="fr-CH"/>
        </w:rPr>
      </w:pPr>
      <w:r w:rsidRPr="00C16521">
        <w:rPr>
          <w:rFonts w:ascii="Arabic Typesetting" w:hAnsi="Arabic Typesetting" w:cs="Arabic Typesetting" w:hint="cs"/>
          <w:i/>
          <w:iCs/>
          <w:sz w:val="34"/>
          <w:szCs w:val="34"/>
          <w:rtl/>
          <w:lang w:val="fr-CH"/>
        </w:rPr>
        <w:t>3.1.3</w:t>
      </w:r>
      <w:r w:rsidRPr="00C16521">
        <w:rPr>
          <w:rFonts w:ascii="Arabic Typesetting" w:hAnsi="Arabic Typesetting" w:cs="Arabic Typesetting"/>
          <w:i/>
          <w:iCs/>
          <w:sz w:val="34"/>
          <w:szCs w:val="34"/>
          <w:rtl/>
          <w:lang w:val="fr-CH"/>
        </w:rPr>
        <w:tab/>
        <w:t xml:space="preserve">اتحاد مدريد: البرامج 2 (العلامات التجارية </w:t>
      </w:r>
      <w:r w:rsidRPr="00C16521">
        <w:rPr>
          <w:rFonts w:ascii="Arabic Typesetting" w:hAnsi="Arabic Typesetting" w:cs="Arabic Typesetting" w:hint="cs"/>
          <w:i/>
          <w:iCs/>
          <w:sz w:val="34"/>
          <w:szCs w:val="34"/>
          <w:rtl/>
          <w:lang w:val="fr-CH"/>
        </w:rPr>
        <w:t>والتصاميم</w:t>
      </w:r>
      <w:r w:rsidRPr="00C16521">
        <w:rPr>
          <w:rFonts w:ascii="Arabic Typesetting" w:hAnsi="Arabic Typesetting" w:cs="Arabic Typesetting"/>
          <w:i/>
          <w:iCs/>
          <w:sz w:val="34"/>
          <w:szCs w:val="34"/>
          <w:rtl/>
          <w:lang w:val="fr-CH"/>
        </w:rPr>
        <w:t xml:space="preserve"> الصناعية والبيانات الجغرافية) (جزئيا) و6</w:t>
      </w:r>
      <w:r w:rsidRPr="00C16521">
        <w:rPr>
          <w:rFonts w:ascii="Arabic Typesetting" w:hAnsi="Arabic Typesetting" w:cs="Arabic Typesetting" w:hint="cs"/>
          <w:i/>
          <w:iCs/>
          <w:sz w:val="34"/>
          <w:szCs w:val="34"/>
          <w:rtl/>
          <w:lang w:val="fr-CH"/>
        </w:rPr>
        <w:t> </w:t>
      </w:r>
      <w:r w:rsidRPr="00C16521">
        <w:rPr>
          <w:rFonts w:ascii="Arabic Typesetting" w:hAnsi="Arabic Typesetting" w:cs="Arabic Typesetting"/>
          <w:i/>
          <w:iCs/>
          <w:sz w:val="34"/>
          <w:szCs w:val="34"/>
          <w:rtl/>
          <w:lang w:val="fr-CH"/>
        </w:rPr>
        <w:t>(</w:t>
      </w:r>
      <w:r w:rsidRPr="00C16521">
        <w:rPr>
          <w:rFonts w:ascii="Arabic Typesetting" w:hAnsi="Arabic Typesetting" w:cs="Arabic Typesetting" w:hint="cs"/>
          <w:i/>
          <w:iCs/>
          <w:sz w:val="34"/>
          <w:szCs w:val="34"/>
          <w:rtl/>
          <w:lang w:val="fr-CH"/>
        </w:rPr>
        <w:t>نظام مدريد</w:t>
      </w:r>
      <w:r w:rsidRPr="00C16521">
        <w:rPr>
          <w:rFonts w:ascii="Arabic Typesetting" w:hAnsi="Arabic Typesetting" w:cs="Arabic Typesetting"/>
          <w:i/>
          <w:iCs/>
          <w:sz w:val="34"/>
          <w:szCs w:val="34"/>
          <w:rtl/>
          <w:lang w:val="fr-CH"/>
        </w:rPr>
        <w:t>) (جزئيا) و7 (</w:t>
      </w:r>
      <w:r w:rsidRPr="00C16521">
        <w:rPr>
          <w:rFonts w:ascii="Arabic Typesetting" w:hAnsi="Arabic Typesetting" w:cs="Arabic Typesetting" w:hint="cs"/>
          <w:i/>
          <w:iCs/>
          <w:sz w:val="34"/>
          <w:szCs w:val="34"/>
          <w:rtl/>
          <w:lang w:val="fr-CH"/>
        </w:rPr>
        <w:t xml:space="preserve">مركز </w:t>
      </w:r>
      <w:r w:rsidRPr="00C16521">
        <w:rPr>
          <w:rFonts w:ascii="Arabic Typesetting" w:hAnsi="Arabic Typesetting" w:cs="Arabic Typesetting"/>
          <w:i/>
          <w:iCs/>
          <w:sz w:val="34"/>
          <w:szCs w:val="34"/>
          <w:rtl/>
          <w:lang w:val="fr-CH"/>
        </w:rPr>
        <w:t>ا</w:t>
      </w:r>
      <w:r w:rsidRPr="00C16521">
        <w:rPr>
          <w:rFonts w:ascii="Arabic Typesetting" w:hAnsi="Arabic Typesetting" w:cs="Arabic Typesetting" w:hint="cs"/>
          <w:i/>
          <w:iCs/>
          <w:sz w:val="34"/>
          <w:szCs w:val="34"/>
          <w:rtl/>
          <w:lang w:val="fr-CH"/>
        </w:rPr>
        <w:t>لويبو ل</w:t>
      </w:r>
      <w:r w:rsidRPr="00C16521">
        <w:rPr>
          <w:rFonts w:ascii="Arabic Typesetting" w:hAnsi="Arabic Typesetting" w:cs="Arabic Typesetting"/>
          <w:i/>
          <w:iCs/>
          <w:sz w:val="34"/>
          <w:szCs w:val="34"/>
          <w:rtl/>
          <w:lang w:val="fr-CH"/>
        </w:rPr>
        <w:t xml:space="preserve">لتحكيم والوساطة) (جزئيا) و12 (التصنيفات </w:t>
      </w:r>
      <w:r w:rsidRPr="00C16521">
        <w:rPr>
          <w:rFonts w:ascii="Arabic Typesetting" w:hAnsi="Arabic Typesetting" w:cs="Arabic Typesetting" w:hint="cs"/>
          <w:i/>
          <w:iCs/>
          <w:sz w:val="34"/>
          <w:szCs w:val="34"/>
          <w:rtl/>
          <w:lang w:val="fr-CH"/>
        </w:rPr>
        <w:t>والمعايير الدولية</w:t>
      </w:r>
      <w:r w:rsidRPr="00C16521">
        <w:rPr>
          <w:rFonts w:ascii="Arabic Typesetting" w:hAnsi="Arabic Typesetting" w:cs="Arabic Typesetting"/>
          <w:i/>
          <w:iCs/>
          <w:sz w:val="34"/>
          <w:szCs w:val="34"/>
          <w:rtl/>
          <w:lang w:val="fr-CH"/>
        </w:rPr>
        <w:t xml:space="preserve">) (جزئيا) </w:t>
      </w:r>
      <w:r w:rsidRPr="00C16521">
        <w:rPr>
          <w:rFonts w:ascii="Arabic Typesetting" w:hAnsi="Arabic Typesetting" w:cs="Arabic Typesetting" w:hint="cs"/>
          <w:i/>
          <w:iCs/>
          <w:sz w:val="34"/>
          <w:szCs w:val="34"/>
          <w:rtl/>
          <w:lang w:val="fr-CH"/>
        </w:rPr>
        <w:t xml:space="preserve">و13 (قواعد البيانات العالمية) (جزئيا) </w:t>
      </w:r>
      <w:r w:rsidRPr="00C16521">
        <w:rPr>
          <w:rFonts w:ascii="Arabic Typesetting" w:hAnsi="Arabic Typesetting" w:cs="Arabic Typesetting"/>
          <w:i/>
          <w:iCs/>
          <w:sz w:val="34"/>
          <w:szCs w:val="34"/>
          <w:rtl/>
          <w:lang w:val="fr-CH"/>
        </w:rPr>
        <w:t>و14 (</w:t>
      </w:r>
      <w:r w:rsidRPr="00C16521">
        <w:rPr>
          <w:rFonts w:ascii="Arabic Typesetting" w:hAnsi="Arabic Typesetting" w:cs="Arabic Typesetting" w:hint="cs"/>
          <w:i/>
          <w:iCs/>
          <w:sz w:val="34"/>
          <w:szCs w:val="34"/>
          <w:rtl/>
          <w:lang w:val="fr-CH"/>
        </w:rPr>
        <w:t>خدمات النفاذ إلى المعلومات والمعارف</w:t>
      </w:r>
      <w:r w:rsidRPr="00C16521">
        <w:rPr>
          <w:rFonts w:ascii="Arabic Typesetting" w:hAnsi="Arabic Typesetting" w:cs="Arabic Typesetting"/>
          <w:i/>
          <w:iCs/>
          <w:sz w:val="34"/>
          <w:szCs w:val="34"/>
          <w:rtl/>
          <w:lang w:val="fr-CH"/>
        </w:rPr>
        <w:t>) (جزئيا)</w:t>
      </w:r>
      <w:r w:rsidRPr="00C16521">
        <w:rPr>
          <w:rFonts w:ascii="Arabic Typesetting" w:hAnsi="Arabic Typesetting" w:cs="Arabic Typesetting" w:hint="cs"/>
          <w:i/>
          <w:iCs/>
          <w:sz w:val="34"/>
          <w:szCs w:val="34"/>
          <w:rtl/>
          <w:lang w:val="fr-CH"/>
        </w:rPr>
        <w:t>.</w:t>
      </w:r>
    </w:p>
    <w:p w:rsidR="00861CFF" w:rsidRPr="00C16521" w:rsidRDefault="00861CFF" w:rsidP="00377E19">
      <w:pPr>
        <w:spacing w:after="120" w:line="340" w:lineRule="exact"/>
        <w:ind w:left="1699" w:hanging="567"/>
        <w:rPr>
          <w:rFonts w:ascii="Arabic Typesetting" w:hAnsi="Arabic Typesetting" w:cs="Arabic Typesetting"/>
          <w:i/>
          <w:iCs/>
          <w:sz w:val="34"/>
          <w:szCs w:val="34"/>
          <w:rtl/>
          <w:lang w:val="fr-CH"/>
        </w:rPr>
      </w:pPr>
      <w:r w:rsidRPr="00C16521">
        <w:rPr>
          <w:rFonts w:ascii="Arabic Typesetting" w:hAnsi="Arabic Typesetting" w:cs="Arabic Typesetting" w:hint="cs"/>
          <w:i/>
          <w:iCs/>
          <w:sz w:val="34"/>
          <w:szCs w:val="34"/>
          <w:rtl/>
          <w:lang w:val="fr-CH"/>
        </w:rPr>
        <w:t>4.1.3</w:t>
      </w:r>
      <w:r w:rsidRPr="00C16521">
        <w:rPr>
          <w:rFonts w:ascii="Arabic Typesetting" w:hAnsi="Arabic Typesetting" w:cs="Arabic Typesetting"/>
          <w:i/>
          <w:iCs/>
          <w:sz w:val="34"/>
          <w:szCs w:val="34"/>
          <w:rtl/>
          <w:lang w:val="fr-CH"/>
        </w:rPr>
        <w:tab/>
        <w:t xml:space="preserve">اتحاد لاهاي: البرامج 2 (العلامات التجارية </w:t>
      </w:r>
      <w:r w:rsidRPr="00C16521">
        <w:rPr>
          <w:rFonts w:ascii="Arabic Typesetting" w:hAnsi="Arabic Typesetting" w:cs="Arabic Typesetting" w:hint="cs"/>
          <w:i/>
          <w:iCs/>
          <w:sz w:val="34"/>
          <w:szCs w:val="34"/>
          <w:rtl/>
          <w:lang w:val="fr-CH"/>
        </w:rPr>
        <w:t>والتصاميم</w:t>
      </w:r>
      <w:r w:rsidRPr="00C16521">
        <w:rPr>
          <w:rFonts w:ascii="Arabic Typesetting" w:hAnsi="Arabic Typesetting" w:cs="Arabic Typesetting"/>
          <w:i/>
          <w:iCs/>
          <w:sz w:val="34"/>
          <w:szCs w:val="34"/>
          <w:rtl/>
          <w:lang w:val="fr-CH"/>
        </w:rPr>
        <w:t xml:space="preserve"> الصناعية والبيانات الجغرافية) (جزئيا) </w:t>
      </w:r>
      <w:r w:rsidRPr="00C16521">
        <w:rPr>
          <w:rFonts w:ascii="Arabic Typesetting" w:hAnsi="Arabic Typesetting" w:cs="Arabic Typesetting" w:hint="cs"/>
          <w:i/>
          <w:iCs/>
          <w:sz w:val="34"/>
          <w:szCs w:val="34"/>
          <w:rtl/>
          <w:lang w:val="fr-CH"/>
        </w:rPr>
        <w:t xml:space="preserve">و6 (نظام مدريد) (جزئيا) </w:t>
      </w:r>
      <w:r w:rsidRPr="00C16521">
        <w:rPr>
          <w:rFonts w:ascii="Arabic Typesetting" w:hAnsi="Arabic Typesetting" w:cs="Arabic Typesetting"/>
          <w:i/>
          <w:iCs/>
          <w:sz w:val="34"/>
          <w:szCs w:val="34"/>
          <w:rtl/>
          <w:lang w:val="fr-CH"/>
        </w:rPr>
        <w:t>و7</w:t>
      </w:r>
      <w:r w:rsidRPr="00C16521">
        <w:rPr>
          <w:rFonts w:ascii="Arabic Typesetting" w:hAnsi="Arabic Typesetting" w:cs="Arabic Typesetting" w:hint="cs"/>
          <w:i/>
          <w:iCs/>
          <w:sz w:val="34"/>
          <w:szCs w:val="34"/>
          <w:rtl/>
          <w:lang w:val="fr-CH"/>
        </w:rPr>
        <w:t> </w:t>
      </w:r>
      <w:r w:rsidRPr="00C16521">
        <w:rPr>
          <w:rFonts w:ascii="Arabic Typesetting" w:hAnsi="Arabic Typesetting" w:cs="Arabic Typesetting"/>
          <w:i/>
          <w:iCs/>
          <w:sz w:val="34"/>
          <w:szCs w:val="34"/>
          <w:rtl/>
          <w:lang w:val="fr-CH"/>
        </w:rPr>
        <w:t>(</w:t>
      </w:r>
      <w:r w:rsidRPr="00C16521">
        <w:rPr>
          <w:rFonts w:ascii="Arabic Typesetting" w:hAnsi="Arabic Typesetting" w:cs="Arabic Typesetting" w:hint="cs"/>
          <w:i/>
          <w:iCs/>
          <w:sz w:val="34"/>
          <w:szCs w:val="34"/>
          <w:rtl/>
          <w:lang w:val="fr-CH"/>
        </w:rPr>
        <w:t xml:space="preserve">مركز </w:t>
      </w:r>
      <w:r w:rsidRPr="00C16521">
        <w:rPr>
          <w:rFonts w:ascii="Arabic Typesetting" w:hAnsi="Arabic Typesetting" w:cs="Arabic Typesetting"/>
          <w:i/>
          <w:iCs/>
          <w:sz w:val="34"/>
          <w:szCs w:val="34"/>
          <w:rtl/>
          <w:lang w:val="fr-CH"/>
        </w:rPr>
        <w:t>ا</w:t>
      </w:r>
      <w:r w:rsidRPr="00C16521">
        <w:rPr>
          <w:rFonts w:ascii="Arabic Typesetting" w:hAnsi="Arabic Typesetting" w:cs="Arabic Typesetting" w:hint="cs"/>
          <w:i/>
          <w:iCs/>
          <w:sz w:val="34"/>
          <w:szCs w:val="34"/>
          <w:rtl/>
          <w:lang w:val="fr-CH"/>
        </w:rPr>
        <w:t>لويبو ل</w:t>
      </w:r>
      <w:r w:rsidRPr="00C16521">
        <w:rPr>
          <w:rFonts w:ascii="Arabic Typesetting" w:hAnsi="Arabic Typesetting" w:cs="Arabic Typesetting"/>
          <w:i/>
          <w:iCs/>
          <w:sz w:val="34"/>
          <w:szCs w:val="34"/>
          <w:rtl/>
          <w:lang w:val="fr-CH"/>
        </w:rPr>
        <w:t xml:space="preserve">لتحكيم والوساطة) (جزئيا) و12 (التصنيفات </w:t>
      </w:r>
      <w:r w:rsidRPr="00C16521">
        <w:rPr>
          <w:rFonts w:ascii="Arabic Typesetting" w:hAnsi="Arabic Typesetting" w:cs="Arabic Typesetting" w:hint="cs"/>
          <w:i/>
          <w:iCs/>
          <w:sz w:val="34"/>
          <w:szCs w:val="34"/>
          <w:rtl/>
          <w:lang w:val="fr-CH"/>
        </w:rPr>
        <w:t>والمعايير الدولية</w:t>
      </w:r>
      <w:r w:rsidRPr="00C16521">
        <w:rPr>
          <w:rFonts w:ascii="Arabic Typesetting" w:hAnsi="Arabic Typesetting" w:cs="Arabic Typesetting"/>
          <w:i/>
          <w:iCs/>
          <w:sz w:val="34"/>
          <w:szCs w:val="34"/>
          <w:rtl/>
          <w:lang w:val="fr-CH"/>
        </w:rPr>
        <w:t>) (جزئيا) و14 (</w:t>
      </w:r>
      <w:r w:rsidRPr="00C16521">
        <w:rPr>
          <w:rFonts w:ascii="Arabic Typesetting" w:hAnsi="Arabic Typesetting" w:cs="Arabic Typesetting" w:hint="cs"/>
          <w:i/>
          <w:iCs/>
          <w:sz w:val="34"/>
          <w:szCs w:val="34"/>
          <w:rtl/>
          <w:lang w:val="fr-CH"/>
        </w:rPr>
        <w:t>خدمات النفاذ إلى المعلومات والمعارف</w:t>
      </w:r>
      <w:r w:rsidRPr="00C16521">
        <w:rPr>
          <w:rFonts w:ascii="Arabic Typesetting" w:hAnsi="Arabic Typesetting" w:cs="Arabic Typesetting"/>
          <w:i/>
          <w:iCs/>
          <w:sz w:val="34"/>
          <w:szCs w:val="34"/>
          <w:rtl/>
          <w:lang w:val="fr-CH"/>
        </w:rPr>
        <w:t>) (جزئيا)</w:t>
      </w:r>
      <w:r w:rsidRPr="00C16521">
        <w:rPr>
          <w:rFonts w:ascii="Arabic Typesetting" w:hAnsi="Arabic Typesetting" w:cs="Arabic Typesetting" w:hint="cs"/>
          <w:i/>
          <w:iCs/>
          <w:sz w:val="34"/>
          <w:szCs w:val="34"/>
          <w:rtl/>
          <w:lang w:val="fr-CH"/>
        </w:rPr>
        <w:t xml:space="preserve"> و31 (نظام لاهاي)</w:t>
      </w:r>
      <w:r w:rsidRPr="00C16521">
        <w:rPr>
          <w:rFonts w:ascii="Arabic Typesetting" w:hAnsi="Arabic Typesetting" w:cs="Arabic Typesetting"/>
          <w:i/>
          <w:iCs/>
          <w:sz w:val="34"/>
          <w:szCs w:val="34"/>
          <w:rtl/>
          <w:lang w:val="fr-CH"/>
        </w:rPr>
        <w:t>.</w:t>
      </w:r>
    </w:p>
    <w:p w:rsidR="00861CFF" w:rsidRPr="00C16521" w:rsidRDefault="00861CFF" w:rsidP="00377E19">
      <w:pPr>
        <w:spacing w:after="120" w:line="340" w:lineRule="exact"/>
        <w:ind w:left="1699" w:hanging="567"/>
        <w:rPr>
          <w:rFonts w:ascii="Arabic Typesetting" w:hAnsi="Arabic Typesetting" w:cs="Arabic Typesetting"/>
          <w:i/>
          <w:iCs/>
          <w:sz w:val="34"/>
          <w:szCs w:val="34"/>
          <w:rtl/>
          <w:lang w:val="fr-CH"/>
        </w:rPr>
      </w:pPr>
      <w:r w:rsidRPr="00C16521">
        <w:rPr>
          <w:rFonts w:ascii="Arabic Typesetting" w:hAnsi="Arabic Typesetting" w:cs="Arabic Typesetting"/>
          <w:i/>
          <w:iCs/>
          <w:sz w:val="34"/>
          <w:szCs w:val="34"/>
          <w:lang w:val="fr-CH"/>
        </w:rPr>
        <w:t>5.1.3</w:t>
      </w:r>
      <w:r w:rsidRPr="00C16521">
        <w:rPr>
          <w:rFonts w:ascii="Arabic Typesetting" w:hAnsi="Arabic Typesetting" w:cs="Arabic Typesetting"/>
          <w:i/>
          <w:iCs/>
          <w:sz w:val="34"/>
          <w:szCs w:val="34"/>
          <w:rtl/>
          <w:lang w:val="fr-CH"/>
        </w:rPr>
        <w:tab/>
        <w:t>اتحاد لشبون</w:t>
      </w:r>
      <w:r w:rsidR="002420AD">
        <w:rPr>
          <w:rFonts w:ascii="Arabic Typesetting" w:hAnsi="Arabic Typesetting" w:cs="Arabic Typesetting"/>
          <w:i/>
          <w:iCs/>
          <w:sz w:val="34"/>
          <w:szCs w:val="34"/>
          <w:rtl/>
          <w:lang w:val="fr-CH"/>
        </w:rPr>
        <w:t xml:space="preserve">ة: البرامج </w:t>
      </w:r>
      <w:r w:rsidRPr="00C16521">
        <w:rPr>
          <w:rFonts w:ascii="Arabic Typesetting" w:hAnsi="Arabic Typesetting" w:cs="Arabic Typesetting"/>
          <w:i/>
          <w:iCs/>
          <w:sz w:val="34"/>
          <w:szCs w:val="34"/>
          <w:rtl/>
          <w:lang w:val="fr-CH"/>
        </w:rPr>
        <w:t>6</w:t>
      </w:r>
      <w:r w:rsidRPr="00C16521">
        <w:rPr>
          <w:rFonts w:ascii="Arabic Typesetting" w:hAnsi="Arabic Typesetting" w:cs="Arabic Typesetting" w:hint="cs"/>
          <w:i/>
          <w:iCs/>
          <w:sz w:val="34"/>
          <w:szCs w:val="34"/>
          <w:rtl/>
          <w:lang w:val="fr-CH"/>
        </w:rPr>
        <w:t> </w:t>
      </w:r>
      <w:r w:rsidRPr="00C16521">
        <w:rPr>
          <w:rFonts w:ascii="Arabic Typesetting" w:hAnsi="Arabic Typesetting" w:cs="Arabic Typesetting"/>
          <w:i/>
          <w:iCs/>
          <w:sz w:val="34"/>
          <w:szCs w:val="34"/>
          <w:rtl/>
          <w:lang w:val="fr-CH"/>
        </w:rPr>
        <w:t>(</w:t>
      </w:r>
      <w:r w:rsidRPr="00C16521">
        <w:rPr>
          <w:rFonts w:ascii="Arabic Typesetting" w:hAnsi="Arabic Typesetting" w:cs="Arabic Typesetting" w:hint="cs"/>
          <w:i/>
          <w:iCs/>
          <w:sz w:val="34"/>
          <w:szCs w:val="34"/>
          <w:rtl/>
          <w:lang w:val="fr-CH"/>
        </w:rPr>
        <w:t>نظام مدريد</w:t>
      </w:r>
      <w:r w:rsidRPr="00C16521">
        <w:rPr>
          <w:rFonts w:ascii="Arabic Typesetting" w:hAnsi="Arabic Typesetting" w:cs="Arabic Typesetting"/>
          <w:i/>
          <w:iCs/>
          <w:sz w:val="34"/>
          <w:szCs w:val="34"/>
          <w:rtl/>
          <w:lang w:val="fr-CH"/>
        </w:rPr>
        <w:t>) (جزئيا) و7 (</w:t>
      </w:r>
      <w:r w:rsidRPr="00C16521">
        <w:rPr>
          <w:rFonts w:ascii="Arabic Typesetting" w:hAnsi="Arabic Typesetting" w:cs="Arabic Typesetting" w:hint="cs"/>
          <w:i/>
          <w:iCs/>
          <w:sz w:val="34"/>
          <w:szCs w:val="34"/>
          <w:rtl/>
          <w:lang w:val="fr-CH"/>
        </w:rPr>
        <w:t xml:space="preserve">مركز </w:t>
      </w:r>
      <w:r w:rsidRPr="00C16521">
        <w:rPr>
          <w:rFonts w:ascii="Arabic Typesetting" w:hAnsi="Arabic Typesetting" w:cs="Arabic Typesetting"/>
          <w:i/>
          <w:iCs/>
          <w:sz w:val="34"/>
          <w:szCs w:val="34"/>
          <w:rtl/>
          <w:lang w:val="fr-CH"/>
        </w:rPr>
        <w:t>ا</w:t>
      </w:r>
      <w:r w:rsidRPr="00C16521">
        <w:rPr>
          <w:rFonts w:ascii="Arabic Typesetting" w:hAnsi="Arabic Typesetting" w:cs="Arabic Typesetting" w:hint="cs"/>
          <w:i/>
          <w:iCs/>
          <w:sz w:val="34"/>
          <w:szCs w:val="34"/>
          <w:rtl/>
          <w:lang w:val="fr-CH"/>
        </w:rPr>
        <w:t>لويبو ل</w:t>
      </w:r>
      <w:r w:rsidRPr="00C16521">
        <w:rPr>
          <w:rFonts w:ascii="Arabic Typesetting" w:hAnsi="Arabic Typesetting" w:cs="Arabic Typesetting"/>
          <w:i/>
          <w:iCs/>
          <w:sz w:val="34"/>
          <w:szCs w:val="34"/>
          <w:rtl/>
          <w:lang w:val="fr-CH"/>
        </w:rPr>
        <w:t>لتحكيم والوساطة) (جزئيا) و14 (</w:t>
      </w:r>
      <w:r w:rsidRPr="00C16521">
        <w:rPr>
          <w:rFonts w:ascii="Arabic Typesetting" w:hAnsi="Arabic Typesetting" w:cs="Arabic Typesetting" w:hint="cs"/>
          <w:i/>
          <w:iCs/>
          <w:sz w:val="34"/>
          <w:szCs w:val="34"/>
          <w:rtl/>
          <w:lang w:val="fr-CH"/>
        </w:rPr>
        <w:t>خدمات النفاذ إلى المعلومات والمعارف</w:t>
      </w:r>
      <w:r w:rsidRPr="00C16521">
        <w:rPr>
          <w:rFonts w:ascii="Arabic Typesetting" w:hAnsi="Arabic Typesetting" w:cs="Arabic Typesetting"/>
          <w:i/>
          <w:iCs/>
          <w:sz w:val="34"/>
          <w:szCs w:val="34"/>
          <w:rtl/>
          <w:lang w:val="fr-CH"/>
        </w:rPr>
        <w:t>) (جزئيا)</w:t>
      </w:r>
      <w:r w:rsidR="00377E19">
        <w:rPr>
          <w:rFonts w:ascii="Arabic Typesetting" w:hAnsi="Arabic Typesetting" w:cs="Arabic Typesetting" w:hint="cs"/>
          <w:i/>
          <w:iCs/>
          <w:sz w:val="34"/>
          <w:szCs w:val="34"/>
          <w:rtl/>
          <w:lang w:val="fr-CH"/>
        </w:rPr>
        <w:t xml:space="preserve"> و32 (نظام لشبونة)</w:t>
      </w:r>
      <w:r w:rsidRPr="00C16521">
        <w:rPr>
          <w:rFonts w:ascii="Arabic Typesetting" w:hAnsi="Arabic Typesetting" w:cs="Arabic Typesetting"/>
          <w:i/>
          <w:iCs/>
          <w:sz w:val="34"/>
          <w:szCs w:val="34"/>
          <w:rtl/>
          <w:lang w:val="fr-CH"/>
        </w:rPr>
        <w:t>.</w:t>
      </w:r>
    </w:p>
    <w:p w:rsidR="00861CFF" w:rsidRPr="00C16521" w:rsidRDefault="00861CFF" w:rsidP="00DA5475">
      <w:pPr>
        <w:spacing w:after="120" w:line="340" w:lineRule="exact"/>
        <w:ind w:left="565"/>
        <w:rPr>
          <w:rFonts w:ascii="Arabic Typesetting" w:hAnsi="Arabic Typesetting" w:cs="Arabic Typesetting"/>
          <w:sz w:val="34"/>
          <w:szCs w:val="34"/>
          <w:rtl/>
          <w:lang w:val="fr-CH"/>
        </w:rPr>
      </w:pPr>
      <w:r w:rsidRPr="00C16521">
        <w:rPr>
          <w:rFonts w:ascii="Arabic Typesetting" w:hAnsi="Arabic Typesetting" w:cs="Arabic Typesetting" w:hint="cs"/>
          <w:sz w:val="34"/>
          <w:szCs w:val="34"/>
          <w:rtl/>
          <w:lang w:val="fr-CH"/>
        </w:rPr>
        <w:t>2.3</w:t>
      </w:r>
      <w:r w:rsidRPr="00C16521">
        <w:rPr>
          <w:rFonts w:ascii="Arabic Typesetting" w:hAnsi="Arabic Typesetting" w:cs="Arabic Typesetting" w:hint="cs"/>
          <w:sz w:val="34"/>
          <w:szCs w:val="34"/>
          <w:rtl/>
          <w:lang w:val="fr-CH"/>
        </w:rPr>
        <w:tab/>
      </w:r>
      <w:r w:rsidRPr="00C16521">
        <w:rPr>
          <w:rFonts w:ascii="Arabic Typesetting" w:hAnsi="Arabic Typesetting" w:cs="Arabic Typesetting"/>
          <w:i/>
          <w:iCs/>
          <w:sz w:val="34"/>
          <w:szCs w:val="34"/>
          <w:rtl/>
          <w:lang w:val="fr-CH"/>
        </w:rPr>
        <w:t>نفقات الاتحاد الإدارية المباشرة</w:t>
      </w:r>
      <w:r w:rsidRPr="00C16521">
        <w:rPr>
          <w:rFonts w:ascii="Arabic Typesetting" w:hAnsi="Arabic Typesetting" w:cs="Arabic Typesetting"/>
          <w:sz w:val="34"/>
          <w:szCs w:val="34"/>
          <w:rtl/>
          <w:lang w:val="fr-CH"/>
        </w:rPr>
        <w:t xml:space="preserve">: تندرج ضمن هذه الفئة حصة لكل البرامج الواردة في الهدف الاستراتيجي التاسع (البرامج من 21 إلى </w:t>
      </w:r>
      <w:r w:rsidRPr="00C16521">
        <w:rPr>
          <w:rFonts w:ascii="Arabic Typesetting" w:hAnsi="Arabic Typesetting" w:cs="Arabic Typesetting" w:hint="cs"/>
          <w:sz w:val="34"/>
          <w:szCs w:val="34"/>
          <w:rtl/>
          <w:lang w:val="fr-CH"/>
        </w:rPr>
        <w:t>28</w:t>
      </w:r>
      <w:r w:rsidRPr="00C16521">
        <w:rPr>
          <w:rFonts w:ascii="Arabic Typesetting" w:hAnsi="Arabic Typesetting" w:cs="Arabic Typesetting"/>
          <w:sz w:val="34"/>
          <w:szCs w:val="34"/>
          <w:rtl/>
          <w:lang w:val="fr-CH"/>
        </w:rPr>
        <w:t xml:space="preserve">) وما يرد في باب "غير مخصص". وتخصَّص النفقات المدرجة في الميزانية باتباع </w:t>
      </w:r>
      <w:r w:rsidRPr="00C16521">
        <w:rPr>
          <w:rFonts w:ascii="Arabic Typesetting" w:hAnsi="Arabic Typesetting" w:cs="Arabic Typesetting" w:hint="cs"/>
          <w:sz w:val="34"/>
          <w:szCs w:val="34"/>
          <w:rtl/>
          <w:lang w:val="fr-CH"/>
        </w:rPr>
        <w:t>عملية من خطوتين</w:t>
      </w:r>
      <w:r w:rsidRPr="00C16521">
        <w:rPr>
          <w:rFonts w:ascii="Arabic Typesetting" w:hAnsi="Arabic Typesetting" w:cs="Arabic Typesetting"/>
          <w:sz w:val="34"/>
          <w:szCs w:val="34"/>
          <w:rtl/>
          <w:lang w:val="fr-CH"/>
        </w:rPr>
        <w:t xml:space="preserve">: وبناء على </w:t>
      </w:r>
      <w:r w:rsidRPr="00C16521">
        <w:rPr>
          <w:rFonts w:ascii="Arabic Typesetting" w:hAnsi="Arabic Typesetting" w:cs="Arabic Typesetting" w:hint="cs"/>
          <w:sz w:val="34"/>
          <w:szCs w:val="34"/>
          <w:rtl/>
          <w:lang w:val="fr-CH"/>
        </w:rPr>
        <w:t>الخطوة</w:t>
      </w:r>
      <w:r w:rsidRPr="00C16521">
        <w:rPr>
          <w:rFonts w:ascii="Arabic Typesetting" w:hAnsi="Arabic Typesetting" w:cs="Arabic Typesetting"/>
          <w:sz w:val="34"/>
          <w:szCs w:val="34"/>
          <w:rtl/>
          <w:lang w:val="fr-CH"/>
        </w:rPr>
        <w:t xml:space="preserve"> الأولى تحدد الحصة الإجمالية للتكاليف الإدارية المباشرة لجميع الاتحادات على أساس مجموع العاملين في إطار البرامج المتعلقة مباشرة بالاتحاد نسبة إلى إجمالي عدد العاملين في كل البرامج عدا ما يندرج في الهدف الاستراتيجي التاسع. وتقوم </w:t>
      </w:r>
      <w:r w:rsidRPr="00C16521">
        <w:rPr>
          <w:rFonts w:ascii="Arabic Typesetting" w:hAnsi="Arabic Typesetting" w:cs="Arabic Typesetting" w:hint="cs"/>
          <w:sz w:val="34"/>
          <w:szCs w:val="34"/>
          <w:rtl/>
          <w:lang w:val="fr-CH"/>
        </w:rPr>
        <w:t>الخطوة</w:t>
      </w:r>
      <w:r w:rsidRPr="00C16521">
        <w:rPr>
          <w:rFonts w:ascii="Arabic Typesetting" w:hAnsi="Arabic Typesetting" w:cs="Arabic Typesetting"/>
          <w:sz w:val="34"/>
          <w:szCs w:val="34"/>
          <w:rtl/>
          <w:lang w:val="fr-CH"/>
        </w:rPr>
        <w:t xml:space="preserve"> الثانية على تخصيص هذه المصروفات الإدارية المباشرة للاتحادات إلى الاتحادات المعنية على أساس الحصة النسبية لكل اتحاد من العاملين نسبة إلى مجموع عدد العاملين في إطار البرامج المتعلقة مباشرة بالاتحاد.</w:t>
      </w:r>
      <w:r w:rsidRPr="00C16521">
        <w:rPr>
          <w:rFonts w:ascii="Arabic Typesetting" w:hAnsi="Arabic Typesetting" w:cs="Arabic Typesetting" w:hint="cs"/>
          <w:sz w:val="34"/>
          <w:szCs w:val="34"/>
          <w:rtl/>
          <w:lang w:val="fr-CH"/>
        </w:rPr>
        <w:t xml:space="preserve"> والعملية المكونة من خطوتين تنطبق</w:t>
      </w:r>
      <w:r w:rsidRPr="00C16521">
        <w:rPr>
          <w:rFonts w:ascii="Arabic Typesetting" w:hAnsi="Arabic Typesetting" w:cs="Arabic Typesetting" w:hint="cs"/>
          <w:sz w:val="34"/>
          <w:szCs w:val="34"/>
          <w:rtl/>
          <w:lang w:val="fr-CH" w:bidi="ar-SA"/>
        </w:rPr>
        <w:t xml:space="preserve"> على</w:t>
      </w:r>
      <w:r w:rsidRPr="00C16521">
        <w:rPr>
          <w:rFonts w:ascii="Arabic Typesetting" w:hAnsi="Arabic Typesetting" w:cs="Arabic Typesetting" w:hint="cs"/>
          <w:sz w:val="34"/>
          <w:szCs w:val="34"/>
          <w:rtl/>
          <w:lang w:val="fr-CH"/>
        </w:rPr>
        <w:t xml:space="preserve"> الجزء الخاص بالنفقات الإدارية الذي لا يسهل تعريفه على أنه يرتبط باتحاد معين. </w:t>
      </w:r>
    </w:p>
    <w:p w:rsidR="00861CFF" w:rsidRPr="00C16521" w:rsidRDefault="00861CFF" w:rsidP="00861CFF">
      <w:pPr>
        <w:numPr>
          <w:ilvl w:val="0"/>
          <w:numId w:val="44"/>
        </w:numPr>
        <w:spacing w:after="120" w:line="340" w:lineRule="exact"/>
        <w:rPr>
          <w:rFonts w:ascii="Arabic Typesetting" w:hAnsi="Arabic Typesetting" w:cs="Arabic Typesetting"/>
          <w:sz w:val="34"/>
          <w:szCs w:val="34"/>
          <w:rtl/>
          <w:lang w:val="fr-CH" w:bidi="ar-SA"/>
        </w:rPr>
      </w:pPr>
      <w:r w:rsidRPr="00C16521">
        <w:rPr>
          <w:rFonts w:ascii="Arabic Typesetting" w:hAnsi="Arabic Typesetting" w:cs="Arabic Typesetting"/>
          <w:i/>
          <w:iCs/>
          <w:sz w:val="34"/>
          <w:szCs w:val="34"/>
          <w:rtl/>
          <w:lang w:val="fr-CH" w:bidi="ar-SA"/>
        </w:rPr>
        <w:lastRenderedPageBreak/>
        <w:t>نفقات الاتحاد غير المباشرة</w:t>
      </w:r>
      <w:r w:rsidRPr="00C16521">
        <w:rPr>
          <w:rFonts w:ascii="Arabic Typesetting" w:hAnsi="Arabic Typesetting" w:cs="Arabic Typesetting"/>
          <w:sz w:val="34"/>
          <w:szCs w:val="34"/>
          <w:rtl/>
          <w:lang w:val="fr-CH" w:bidi="ar-SA"/>
        </w:rPr>
        <w:t xml:space="preserve"> هي الحصة المخصصة لكل اتحاد من المصروفات المدرجة في الميزانية للبرامج والتي لا تتعلق مباشرة بأنشطة الاتحاد المعني بالإضافة إلى الحصة من المصروفات الإدارية وغيرها من النفقات المدرجة في الميزانية.</w:t>
      </w:r>
    </w:p>
    <w:p w:rsidR="00861CFF" w:rsidRPr="00C16521" w:rsidRDefault="00861CFF" w:rsidP="00EA5693">
      <w:pPr>
        <w:spacing w:after="120" w:line="340" w:lineRule="exact"/>
        <w:ind w:left="1134" w:hanging="567"/>
        <w:rPr>
          <w:rFonts w:ascii="Arabic Typesetting" w:hAnsi="Arabic Typesetting" w:cs="Arabic Typesetting"/>
          <w:i/>
          <w:iCs/>
          <w:sz w:val="34"/>
          <w:szCs w:val="34"/>
          <w:rtl/>
          <w:lang w:val="fr-CH"/>
        </w:rPr>
      </w:pPr>
      <w:r w:rsidRPr="00C16521">
        <w:rPr>
          <w:rFonts w:ascii="Arabic Typesetting" w:hAnsi="Arabic Typesetting" w:cs="Arabic Typesetting" w:hint="cs"/>
          <w:i/>
          <w:iCs/>
          <w:sz w:val="34"/>
          <w:szCs w:val="34"/>
          <w:rtl/>
          <w:lang w:val="fr-CH"/>
        </w:rPr>
        <w:t>1.4</w:t>
      </w:r>
      <w:r w:rsidRPr="00C16521">
        <w:rPr>
          <w:rFonts w:ascii="Arabic Typesetting" w:hAnsi="Arabic Typesetting" w:cs="Arabic Typesetting" w:hint="cs"/>
          <w:i/>
          <w:iCs/>
          <w:sz w:val="34"/>
          <w:szCs w:val="34"/>
          <w:rtl/>
          <w:lang w:val="fr-CH"/>
        </w:rPr>
        <w:tab/>
      </w:r>
      <w:r w:rsidRPr="00C16521">
        <w:rPr>
          <w:rFonts w:ascii="Arabic Typesetting" w:hAnsi="Arabic Typesetting" w:cs="Arabic Typesetting"/>
          <w:i/>
          <w:iCs/>
          <w:sz w:val="34"/>
          <w:szCs w:val="34"/>
          <w:rtl/>
          <w:lang w:val="fr-CH"/>
        </w:rPr>
        <w:t xml:space="preserve">نفقات الاتحاد غير المباشرة: </w:t>
      </w:r>
      <w:r w:rsidRPr="00C16521">
        <w:rPr>
          <w:rFonts w:ascii="Arabic Typesetting" w:hAnsi="Arabic Typesetting" w:cs="Arabic Typesetting"/>
          <w:sz w:val="34"/>
          <w:szCs w:val="34"/>
          <w:rtl/>
          <w:lang w:val="fr-CH"/>
        </w:rPr>
        <w:t>تندرج ضمن هذه الفئة الأنشطة البرمجية التالية والنفقات التالية المدرجة في الميزانية: البرامج 1 (</w:t>
      </w:r>
      <w:r w:rsidRPr="00C16521">
        <w:rPr>
          <w:rFonts w:ascii="Arabic Typesetting" w:hAnsi="Arabic Typesetting" w:cs="Arabic Typesetting" w:hint="cs"/>
          <w:sz w:val="34"/>
          <w:szCs w:val="34"/>
          <w:rtl/>
          <w:lang w:val="fr-CH"/>
        </w:rPr>
        <w:t xml:space="preserve">قانون </w:t>
      </w:r>
      <w:r w:rsidRPr="00C16521">
        <w:rPr>
          <w:rFonts w:ascii="Arabic Typesetting" w:hAnsi="Arabic Typesetting" w:cs="Arabic Typesetting"/>
          <w:sz w:val="34"/>
          <w:szCs w:val="34"/>
          <w:rtl/>
          <w:lang w:val="fr-CH"/>
        </w:rPr>
        <w:t>البراءات</w:t>
      </w:r>
      <w:r w:rsidRPr="00C16521">
        <w:rPr>
          <w:rFonts w:ascii="Arabic Typesetting" w:hAnsi="Arabic Typesetting" w:cs="Arabic Typesetting" w:hint="cs"/>
          <w:sz w:val="34"/>
          <w:szCs w:val="34"/>
          <w:rtl/>
          <w:lang w:val="fr-CH"/>
        </w:rPr>
        <w:t>) (جزئيا)</w:t>
      </w:r>
      <w:r w:rsidRPr="00C16521">
        <w:rPr>
          <w:rFonts w:ascii="Arabic Typesetting" w:hAnsi="Arabic Typesetting" w:cs="Arabic Typesetting"/>
          <w:sz w:val="34"/>
          <w:szCs w:val="34"/>
          <w:rtl/>
          <w:lang w:val="fr-CH"/>
        </w:rPr>
        <w:t xml:space="preserve"> </w:t>
      </w:r>
      <w:r w:rsidRPr="00C16521">
        <w:rPr>
          <w:rFonts w:ascii="Arabic Typesetting" w:hAnsi="Arabic Typesetting" w:cs="Arabic Typesetting" w:hint="cs"/>
          <w:sz w:val="34"/>
          <w:szCs w:val="34"/>
          <w:rtl/>
          <w:lang w:val="fr-CH"/>
        </w:rPr>
        <w:t xml:space="preserve">و3 (حق المؤلف والحقوق المجاورة) (جزئيا) </w:t>
      </w:r>
      <w:r w:rsidRPr="00C16521">
        <w:rPr>
          <w:rFonts w:ascii="Arabic Typesetting" w:hAnsi="Arabic Typesetting" w:cs="Arabic Typesetting"/>
          <w:sz w:val="34"/>
          <w:szCs w:val="34"/>
          <w:rtl/>
          <w:lang w:val="fr-CH"/>
        </w:rPr>
        <w:t>و8 (تنسيق جدول أعمال التنمية) و9 (</w:t>
      </w:r>
      <w:r w:rsidR="00EA5693">
        <w:rPr>
          <w:rFonts w:ascii="Arabic Typesetting" w:hAnsi="Arabic Typesetting" w:cs="Arabic Typesetting" w:hint="cs"/>
          <w:sz w:val="34"/>
          <w:szCs w:val="34"/>
          <w:rtl/>
          <w:lang w:val="fr-CH"/>
        </w:rPr>
        <w:t xml:space="preserve">أفريقيا </w:t>
      </w:r>
      <w:r w:rsidRPr="00C16521">
        <w:rPr>
          <w:rFonts w:ascii="Arabic Typesetting" w:hAnsi="Arabic Typesetting" w:cs="Arabic Typesetting"/>
          <w:sz w:val="34"/>
          <w:szCs w:val="34"/>
          <w:rtl/>
          <w:lang w:val="fr-CH"/>
        </w:rPr>
        <w:t>و</w:t>
      </w:r>
      <w:r w:rsidR="00EA5693">
        <w:rPr>
          <w:rFonts w:ascii="Arabic Typesetting" w:hAnsi="Arabic Typesetting" w:cs="Arabic Typesetting" w:hint="cs"/>
          <w:sz w:val="34"/>
          <w:szCs w:val="34"/>
          <w:rtl/>
          <w:lang w:val="fr-CH"/>
        </w:rPr>
        <w:t xml:space="preserve">البلدان </w:t>
      </w:r>
      <w:r w:rsidRPr="00C16521">
        <w:rPr>
          <w:rFonts w:ascii="Arabic Typesetting" w:hAnsi="Arabic Typesetting" w:cs="Arabic Typesetting"/>
          <w:sz w:val="34"/>
          <w:szCs w:val="34"/>
          <w:rtl/>
          <w:lang w:val="fr-CH"/>
        </w:rPr>
        <w:t>العربية وبلدان آسيا والمحيط الهادئ وأمريكا اللاتينية والكاريبي والبلدان الأقل نموّا) و10 (</w:t>
      </w:r>
      <w:r w:rsidRPr="00C16521">
        <w:rPr>
          <w:rFonts w:ascii="Arabic Typesetting" w:hAnsi="Arabic Typesetting" w:cs="Arabic Typesetting" w:hint="cs"/>
          <w:sz w:val="34"/>
          <w:szCs w:val="34"/>
          <w:rtl/>
          <w:lang w:val="fr-CH"/>
        </w:rPr>
        <w:t>البلدان المتحولة والمتقدمة</w:t>
      </w:r>
      <w:r w:rsidRPr="00C16521">
        <w:rPr>
          <w:rFonts w:ascii="Arabic Typesetting" w:hAnsi="Arabic Typesetting" w:cs="Arabic Typesetting"/>
          <w:sz w:val="34"/>
          <w:szCs w:val="34"/>
          <w:rtl/>
          <w:lang w:val="fr-CH"/>
        </w:rPr>
        <w:t>) و11 (</w:t>
      </w:r>
      <w:r w:rsidRPr="00C16521">
        <w:rPr>
          <w:rFonts w:ascii="Arabic Typesetting" w:hAnsi="Arabic Typesetting" w:cs="Arabic Typesetting" w:hint="cs"/>
          <w:sz w:val="34"/>
          <w:szCs w:val="34"/>
          <w:rtl/>
          <w:lang w:val="fr-CH" w:bidi="ar-SA"/>
        </w:rPr>
        <w:t xml:space="preserve">أكاديمية </w:t>
      </w:r>
      <w:r w:rsidRPr="00C16521">
        <w:rPr>
          <w:rFonts w:ascii="Arabic Typesetting" w:hAnsi="Arabic Typesetting" w:cs="Arabic Typesetting"/>
          <w:sz w:val="34"/>
          <w:szCs w:val="34"/>
          <w:rtl/>
          <w:lang w:val="fr-CH"/>
        </w:rPr>
        <w:t>الويبو) و15 (</w:t>
      </w:r>
      <w:r w:rsidRPr="00C16521">
        <w:rPr>
          <w:rFonts w:ascii="Arabic Typesetting" w:hAnsi="Arabic Typesetting" w:cs="Arabic Typesetting" w:hint="cs"/>
          <w:sz w:val="34"/>
          <w:szCs w:val="34"/>
          <w:rtl/>
          <w:lang w:val="fr-CH"/>
        </w:rPr>
        <w:t>حلول لأعمال مكاتب الملكية الفكرية</w:t>
      </w:r>
      <w:r w:rsidRPr="00C16521">
        <w:rPr>
          <w:rFonts w:ascii="Arabic Typesetting" w:hAnsi="Arabic Typesetting" w:cs="Arabic Typesetting"/>
          <w:sz w:val="34"/>
          <w:szCs w:val="34"/>
          <w:rtl/>
          <w:lang w:val="fr-CH"/>
        </w:rPr>
        <w:t>) و16 (الدراسات الاقتصادية والإحصاءا</w:t>
      </w:r>
      <w:r w:rsidRPr="00C16521">
        <w:rPr>
          <w:rFonts w:ascii="Arabic Typesetting" w:hAnsi="Arabic Typesetting" w:cs="Arabic Typesetting" w:hint="cs"/>
          <w:sz w:val="34"/>
          <w:szCs w:val="34"/>
          <w:rtl/>
          <w:lang w:val="fr-CH"/>
        </w:rPr>
        <w:t>ت</w:t>
      </w:r>
      <w:r w:rsidRPr="00C16521">
        <w:rPr>
          <w:rFonts w:ascii="Arabic Typesetting" w:hAnsi="Arabic Typesetting" w:cs="Arabic Typesetting"/>
          <w:sz w:val="34"/>
          <w:szCs w:val="34"/>
          <w:rtl/>
          <w:lang w:val="fr-CH"/>
        </w:rPr>
        <w:t>) و17 (إذكاء الاحترام للملكية الفكرية) و18 (الملكية الفكرية والتحديات العالمية) و19 (التواصل) و20 (</w:t>
      </w:r>
      <w:r w:rsidRPr="00C16521">
        <w:rPr>
          <w:rFonts w:ascii="Arabic Typesetting" w:hAnsi="Arabic Typesetting" w:cs="Arabic Typesetting" w:hint="cs"/>
          <w:sz w:val="34"/>
          <w:szCs w:val="34"/>
          <w:rtl/>
          <w:lang w:val="fr-CH"/>
        </w:rPr>
        <w:t>العلاقات الخارجية والشراكات والمكاتب الخارجية</w:t>
      </w:r>
      <w:r w:rsidRPr="00C16521">
        <w:rPr>
          <w:rFonts w:ascii="Arabic Typesetting" w:hAnsi="Arabic Typesetting" w:cs="Arabic Typesetting"/>
          <w:sz w:val="34"/>
          <w:szCs w:val="34"/>
          <w:rtl/>
          <w:lang w:val="fr-CH"/>
        </w:rPr>
        <w:t>)</w:t>
      </w:r>
      <w:r w:rsidRPr="00C16521">
        <w:rPr>
          <w:rFonts w:ascii="Arabic Typesetting" w:hAnsi="Arabic Typesetting" w:cs="Arabic Typesetting" w:hint="cs"/>
          <w:sz w:val="34"/>
          <w:szCs w:val="34"/>
          <w:rtl/>
          <w:lang w:val="fr-CH"/>
        </w:rPr>
        <w:t xml:space="preserve"> و30 (</w:t>
      </w:r>
      <w:r w:rsidRPr="00C16521">
        <w:rPr>
          <w:rFonts w:ascii="Arabic Typesetting" w:hAnsi="Arabic Typesetting" w:cs="Arabic Typesetting"/>
          <w:sz w:val="34"/>
          <w:szCs w:val="34"/>
          <w:rtl/>
          <w:lang w:val="fr-CH"/>
        </w:rPr>
        <w:t>دعم الشركات الصغيرة والمتوسطة والمقاولات</w:t>
      </w:r>
      <w:r w:rsidRPr="00C16521">
        <w:rPr>
          <w:rFonts w:ascii="Arabic Typesetting" w:hAnsi="Arabic Typesetting" w:cs="Arabic Typesetting" w:hint="cs"/>
          <w:sz w:val="34"/>
          <w:szCs w:val="34"/>
          <w:rtl/>
          <w:lang w:val="fr-CH"/>
        </w:rPr>
        <w:t>)</w:t>
      </w:r>
      <w:r w:rsidRPr="00C16521">
        <w:rPr>
          <w:rFonts w:ascii="Arabic Typesetting" w:hAnsi="Arabic Typesetting" w:cs="Arabic Typesetting"/>
          <w:sz w:val="34"/>
          <w:szCs w:val="34"/>
          <w:rtl/>
          <w:lang w:val="fr-CH"/>
        </w:rPr>
        <w:t xml:space="preserve">. وحصة النفقات المدرجة في الميزانية عن كل واحد من تلك البرامج تخصّص للاتحادات على أساس </w:t>
      </w:r>
      <w:r w:rsidRPr="00C16521">
        <w:rPr>
          <w:rFonts w:ascii="Arabic Typesetting" w:hAnsi="Arabic Typesetting" w:cs="Arabic Typesetting"/>
          <w:i/>
          <w:iCs/>
          <w:sz w:val="34"/>
          <w:szCs w:val="34"/>
          <w:rtl/>
          <w:lang w:val="fr-CH"/>
        </w:rPr>
        <w:t xml:space="preserve">قدرة كل واحد على الدفع في </w:t>
      </w:r>
      <w:r w:rsidRPr="00C16521">
        <w:rPr>
          <w:rFonts w:ascii="Arabic Typesetting" w:hAnsi="Arabic Typesetting" w:cs="Arabic Typesetting" w:hint="cs"/>
          <w:i/>
          <w:iCs/>
          <w:sz w:val="34"/>
          <w:szCs w:val="34"/>
          <w:rtl/>
          <w:lang w:val="fr-CH"/>
        </w:rPr>
        <w:t>الثنائية</w:t>
      </w:r>
      <w:r w:rsidRPr="00C16521">
        <w:rPr>
          <w:rFonts w:ascii="Arabic Typesetting" w:hAnsi="Arabic Typesetting" w:cs="Arabic Typesetting"/>
          <w:sz w:val="34"/>
          <w:szCs w:val="34"/>
          <w:rtl/>
          <w:lang w:val="fr-CH"/>
        </w:rPr>
        <w:t xml:space="preserve">. ويحسب ذلك بحساب الفرق بين الإيرادات المتوقع أن يحققها كل اتحاد في </w:t>
      </w:r>
      <w:r w:rsidRPr="00C16521">
        <w:rPr>
          <w:rFonts w:ascii="Arabic Typesetting" w:hAnsi="Arabic Typesetting" w:cs="Arabic Typesetting" w:hint="cs"/>
          <w:sz w:val="34"/>
          <w:szCs w:val="34"/>
          <w:rtl/>
          <w:lang w:val="fr-CH"/>
        </w:rPr>
        <w:t>الثنائية</w:t>
      </w:r>
      <w:r w:rsidRPr="00C16521">
        <w:rPr>
          <w:rFonts w:ascii="Arabic Typesetting" w:hAnsi="Arabic Typesetting" w:cs="Arabic Typesetting"/>
          <w:sz w:val="34"/>
          <w:szCs w:val="34"/>
          <w:rtl/>
          <w:lang w:val="fr-CH"/>
        </w:rPr>
        <w:t xml:space="preserve"> وسائر النفقات المخصصة له والمستوى الأدنى المطلوب فيما يتعلق بالاحتياطيات ("المستوى الأدنى المستهدف للاحتياطيات"). ويستند حساب ذلك المستوى الأدنى إلى متطلبات الاحتياطيات المقيّدة في نفقات </w:t>
      </w:r>
      <w:r w:rsidRPr="00C16521">
        <w:rPr>
          <w:rFonts w:ascii="Arabic Typesetting" w:hAnsi="Arabic Typesetting" w:cs="Arabic Typesetting" w:hint="cs"/>
          <w:sz w:val="34"/>
          <w:szCs w:val="34"/>
          <w:rtl/>
          <w:lang w:val="fr-CH" w:bidi="ar-SA"/>
        </w:rPr>
        <w:t xml:space="preserve">الثنائية </w:t>
      </w:r>
      <w:r w:rsidRPr="00C16521">
        <w:rPr>
          <w:rFonts w:ascii="Arabic Typesetting" w:hAnsi="Arabic Typesetting" w:cs="Arabic Typesetting"/>
          <w:sz w:val="34"/>
          <w:szCs w:val="34"/>
          <w:rtl/>
          <w:lang w:val="fr-CH"/>
        </w:rPr>
        <w:t xml:space="preserve">السابقة. ويمكّن ذلك من اعتماد منهج تناسبي في تخصيص النفقات غير المباشرة للاتحادات على أساس الموارد المكتسبة (الفائض المحقق) في </w:t>
      </w:r>
      <w:r w:rsidRPr="00C16521">
        <w:rPr>
          <w:rFonts w:ascii="Arabic Typesetting" w:hAnsi="Arabic Typesetting" w:cs="Arabic Typesetting" w:hint="cs"/>
          <w:sz w:val="34"/>
          <w:szCs w:val="34"/>
          <w:rtl/>
          <w:lang w:val="fr-CH" w:bidi="ar-SA"/>
        </w:rPr>
        <w:t xml:space="preserve">الثنائية </w:t>
      </w:r>
      <w:r w:rsidRPr="00C16521">
        <w:rPr>
          <w:rFonts w:ascii="Arabic Typesetting" w:hAnsi="Arabic Typesetting" w:cs="Arabic Typesetting"/>
          <w:sz w:val="34"/>
          <w:szCs w:val="34"/>
          <w:rtl/>
          <w:lang w:val="fr-CH"/>
        </w:rPr>
        <w:t xml:space="preserve">الجارية. وإذا لم يكن فائض الإيرادات في </w:t>
      </w:r>
      <w:r w:rsidRPr="00C16521">
        <w:rPr>
          <w:rFonts w:ascii="Arabic Typesetting" w:hAnsi="Arabic Typesetting" w:cs="Arabic Typesetting" w:hint="cs"/>
          <w:sz w:val="34"/>
          <w:szCs w:val="34"/>
          <w:rtl/>
          <w:lang w:val="fr-CH" w:bidi="ar-SA"/>
        </w:rPr>
        <w:t xml:space="preserve">الثنائية </w:t>
      </w:r>
      <w:r w:rsidRPr="00C16521">
        <w:rPr>
          <w:rFonts w:ascii="Arabic Typesetting" w:hAnsi="Arabic Typesetting" w:cs="Arabic Typesetting"/>
          <w:sz w:val="34"/>
          <w:szCs w:val="34"/>
          <w:rtl/>
          <w:lang w:val="fr-CH"/>
        </w:rPr>
        <w:t>كافيا، آنذاك فقط تستعمل الاحتياطيات الزائدة لتغطية الجزء المتبقي من النفقات غير المباشرة، بالاستناد إلى حصتها النسبية للاتحادات.</w:t>
      </w:r>
    </w:p>
    <w:p w:rsidR="00861CFF" w:rsidRPr="00C16521" w:rsidRDefault="00861CFF" w:rsidP="00DA5475">
      <w:pPr>
        <w:spacing w:after="120" w:line="340" w:lineRule="exact"/>
        <w:ind w:left="1133" w:hanging="566"/>
        <w:rPr>
          <w:rFonts w:ascii="Arabic Typesetting" w:hAnsi="Arabic Typesetting" w:cs="Arabic Typesetting"/>
          <w:i/>
          <w:iCs/>
          <w:sz w:val="34"/>
          <w:szCs w:val="34"/>
          <w:rtl/>
          <w:lang w:bidi="ar-SA"/>
        </w:rPr>
      </w:pPr>
      <w:r w:rsidRPr="00C16521">
        <w:rPr>
          <w:rFonts w:ascii="Arabic Typesetting" w:hAnsi="Arabic Typesetting" w:cs="Arabic Typesetting" w:hint="cs"/>
          <w:i/>
          <w:iCs/>
          <w:sz w:val="34"/>
          <w:szCs w:val="34"/>
          <w:rtl/>
        </w:rPr>
        <w:t>2.4</w:t>
      </w:r>
      <w:r w:rsidRPr="00C16521">
        <w:rPr>
          <w:rFonts w:ascii="Arabic Typesetting" w:hAnsi="Arabic Typesetting" w:cs="Arabic Typesetting"/>
          <w:i/>
          <w:iCs/>
          <w:sz w:val="34"/>
          <w:szCs w:val="34"/>
          <w:rtl/>
        </w:rPr>
        <w:tab/>
      </w:r>
      <w:r w:rsidRPr="00C16521">
        <w:rPr>
          <w:rFonts w:ascii="Arabic Typesetting" w:hAnsi="Arabic Typesetting" w:cs="Arabic Typesetting"/>
          <w:i/>
          <w:iCs/>
          <w:sz w:val="34"/>
          <w:szCs w:val="34"/>
          <w:rtl/>
          <w:lang w:bidi="ar-SA"/>
        </w:rPr>
        <w:t>النفقات الإدارية غير المباشرة</w:t>
      </w:r>
      <w:r w:rsidRPr="00C16521">
        <w:rPr>
          <w:rFonts w:ascii="Arabic Typesetting" w:hAnsi="Arabic Typesetting" w:cs="Arabic Typesetting"/>
          <w:sz w:val="34"/>
          <w:szCs w:val="34"/>
          <w:rtl/>
          <w:lang w:bidi="ar-SA"/>
        </w:rPr>
        <w:t xml:space="preserve">: هي المصروفات المدرجة في الميزانية للبرامج من 21 إلى </w:t>
      </w:r>
      <w:r w:rsidRPr="00C16521">
        <w:rPr>
          <w:rFonts w:ascii="Arabic Typesetting" w:hAnsi="Arabic Typesetting" w:cs="Arabic Typesetting" w:hint="cs"/>
          <w:sz w:val="34"/>
          <w:szCs w:val="34"/>
          <w:rtl/>
          <w:lang w:bidi="ar-SA"/>
        </w:rPr>
        <w:t>28</w:t>
      </w:r>
      <w:r w:rsidRPr="00C16521">
        <w:rPr>
          <w:rFonts w:ascii="Arabic Typesetting" w:hAnsi="Arabic Typesetting" w:cs="Arabic Typesetting"/>
          <w:sz w:val="34"/>
          <w:szCs w:val="34"/>
          <w:rtl/>
          <w:lang w:bidi="ar-SA"/>
        </w:rPr>
        <w:t xml:space="preserve"> التي لم تخصص في إطار نفقات الاتحاد المباشرة، بالإضافة إلى المبلغ المرصود في باب "غير مخصّص" في الميزانية المقترحة. وتخصَّص تلك النفقات المدرجة في الميزانية بالاستناد إلى </w:t>
      </w:r>
      <w:r w:rsidRPr="00C16521">
        <w:rPr>
          <w:rFonts w:ascii="Arabic Typesetting" w:hAnsi="Arabic Typesetting" w:cs="Arabic Typesetting"/>
          <w:i/>
          <w:iCs/>
          <w:sz w:val="34"/>
          <w:szCs w:val="34"/>
          <w:rtl/>
          <w:lang w:bidi="ar-SA"/>
        </w:rPr>
        <w:t>قدرة كل اتحاد على الدفع (أي بتطبيق المبادئ نفسها المعتمدة بالنسبة إلى نفقات الاتحاد غير المباشرة).</w:t>
      </w:r>
    </w:p>
    <w:p w:rsidR="00861CFF" w:rsidRDefault="00861CFF" w:rsidP="00DA5475">
      <w:pPr>
        <w:keepNext/>
        <w:spacing w:after="120" w:line="340" w:lineRule="exact"/>
        <w:rPr>
          <w:rFonts w:ascii="Arabic Typesetting" w:hAnsi="Arabic Typesetting" w:cs="Arabic Typesetting"/>
          <w:sz w:val="38"/>
          <w:szCs w:val="38"/>
          <w:rtl/>
          <w:lang w:val="fr-CH" w:bidi="ar-SA"/>
        </w:rPr>
      </w:pPr>
      <w:r>
        <w:rPr>
          <w:rFonts w:ascii="Arabic Typesetting" w:hAnsi="Arabic Typesetting" w:cs="Arabic Typesetting" w:hint="cs"/>
          <w:sz w:val="38"/>
          <w:szCs w:val="38"/>
          <w:rtl/>
          <w:lang w:val="fr-CH" w:bidi="ar-SA"/>
        </w:rPr>
        <w:t>تخصيص الإيرادات بحسب كل اتحاد</w:t>
      </w:r>
    </w:p>
    <w:p w:rsidR="00861CFF" w:rsidRPr="008377CC" w:rsidRDefault="00861CFF" w:rsidP="00861CFF">
      <w:pPr>
        <w:numPr>
          <w:ilvl w:val="0"/>
          <w:numId w:val="44"/>
        </w:numPr>
        <w:spacing w:after="120" w:line="340" w:lineRule="exact"/>
        <w:rPr>
          <w:rFonts w:ascii="Arabic Typesetting" w:hAnsi="Arabic Typesetting" w:cs="Arabic Typesetting"/>
          <w:sz w:val="34"/>
          <w:szCs w:val="34"/>
          <w:rtl/>
          <w:lang w:val="fr-CH" w:bidi="ar-SA"/>
        </w:rPr>
      </w:pPr>
      <w:r w:rsidRPr="008377CC">
        <w:rPr>
          <w:rFonts w:ascii="Arabic Typesetting" w:hAnsi="Arabic Typesetting" w:cs="Arabic Typesetting" w:hint="cs"/>
          <w:sz w:val="34"/>
          <w:szCs w:val="34"/>
          <w:rtl/>
          <w:lang w:val="fr-CH" w:bidi="ar-SA"/>
        </w:rPr>
        <w:t xml:space="preserve">تُخصّص إيرادات </w:t>
      </w:r>
      <w:proofErr w:type="spellStart"/>
      <w:r w:rsidRPr="008377CC">
        <w:rPr>
          <w:rFonts w:ascii="Arabic Typesetting" w:hAnsi="Arabic Typesetting" w:cs="Arabic Typesetting" w:hint="cs"/>
          <w:sz w:val="34"/>
          <w:szCs w:val="34"/>
          <w:rtl/>
          <w:lang w:val="fr-CH" w:bidi="ar-SA"/>
        </w:rPr>
        <w:t>الاشتركات</w:t>
      </w:r>
      <w:proofErr w:type="spellEnd"/>
      <w:r>
        <w:rPr>
          <w:rFonts w:ascii="Arabic Typesetting" w:hAnsi="Arabic Typesetting" w:cs="Arabic Typesetting" w:hint="cs"/>
          <w:sz w:val="34"/>
          <w:szCs w:val="34"/>
          <w:rtl/>
          <w:lang w:val="fr-CH" w:bidi="ar-SA"/>
        </w:rPr>
        <w:t xml:space="preserve"> بالكامل للاتحادات الممولة من الاشتراكات. وتُخصّص إيرادات الرسوم من أنظمة التسجيل لكل من معاهدة </w:t>
      </w:r>
      <w:r w:rsidRPr="008377CC">
        <w:rPr>
          <w:rFonts w:ascii="Arabic Typesetting" w:hAnsi="Arabic Typesetting" w:cs="Arabic Typesetting" w:hint="cs"/>
          <w:color w:val="000000"/>
          <w:sz w:val="34"/>
          <w:szCs w:val="34"/>
          <w:rtl/>
          <w:lang w:val="fr-CH" w:bidi="ar-SA"/>
        </w:rPr>
        <w:t>البراءات</w:t>
      </w:r>
      <w:r>
        <w:rPr>
          <w:rFonts w:ascii="Arabic Typesetting" w:hAnsi="Arabic Typesetting" w:cs="Arabic Typesetting" w:hint="cs"/>
          <w:color w:val="000000"/>
          <w:sz w:val="34"/>
          <w:szCs w:val="34"/>
          <w:rtl/>
          <w:lang w:val="fr-CH" w:bidi="ar-SA"/>
        </w:rPr>
        <w:t xml:space="preserve">، ومدريد، ولاهاي، ولشبونة بالكامل للاتحاد المعني. وتُخصّص إيرادات المنشورات للاتحادات الممولة من الاشتراكات، واتحاد معاهدة </w:t>
      </w:r>
      <w:r w:rsidRPr="008377CC">
        <w:rPr>
          <w:rFonts w:ascii="Arabic Typesetting" w:hAnsi="Arabic Typesetting" w:cs="Arabic Typesetting" w:hint="cs"/>
          <w:color w:val="000000"/>
          <w:sz w:val="34"/>
          <w:szCs w:val="34"/>
          <w:rtl/>
          <w:lang w:val="fr-CH" w:bidi="ar-SA"/>
        </w:rPr>
        <w:t>البراءات</w:t>
      </w:r>
      <w:r>
        <w:rPr>
          <w:rFonts w:ascii="Arabic Typesetting" w:hAnsi="Arabic Typesetting" w:cs="Arabic Typesetting" w:hint="cs"/>
          <w:color w:val="000000"/>
          <w:sz w:val="34"/>
          <w:szCs w:val="34"/>
          <w:rtl/>
          <w:lang w:val="fr-CH" w:bidi="ar-SA"/>
        </w:rPr>
        <w:t>، واتحاد مدريد، واتحاد لاهاي على أساس الإيرادات المقدرة لمنشورات كل اتحاد. وتُخصّص إيرا</w:t>
      </w:r>
      <w:r>
        <w:rPr>
          <w:rFonts w:ascii="Arabic Typesetting" w:hAnsi="Arabic Typesetting" w:cs="Arabic Typesetting" w:hint="cs"/>
          <w:sz w:val="34"/>
          <w:szCs w:val="34"/>
          <w:rtl/>
          <w:lang w:val="fr-CH" w:bidi="ar-SA"/>
        </w:rPr>
        <w:t>دات مركز التحكيم والوساطة لجميع الاتحادات على أساس تقييم للحصة النسبية لكل اتحاد. وتُخصّص الإيرادات الأخرى لجميع الاتحادات على النحو التالي: "1" تُسند حصة من الإيرادات الأخرى مباشرة لاتحاد مدريد على الحساب المخصص لإيرادات تأجير مبنى مدريد. "2" وتخصص الحصة المتبقية من الإيرادات الأخرى لجميع الاتحادات بالتساوي.</w:t>
      </w:r>
    </w:p>
    <w:p w:rsidR="00861CFF" w:rsidRPr="00C16521" w:rsidRDefault="00861CFF" w:rsidP="00DA5475">
      <w:pPr>
        <w:keepNext/>
        <w:spacing w:after="120" w:line="340" w:lineRule="exact"/>
        <w:rPr>
          <w:rFonts w:ascii="Arabic Typesetting" w:hAnsi="Arabic Typesetting" w:cs="Arabic Typesetting"/>
          <w:sz w:val="38"/>
          <w:szCs w:val="38"/>
          <w:rtl/>
          <w:lang w:val="fr-CH" w:bidi="ar-SA"/>
        </w:rPr>
      </w:pPr>
      <w:r w:rsidRPr="00C16521">
        <w:rPr>
          <w:rFonts w:ascii="Arabic Typesetting" w:hAnsi="Arabic Typesetting" w:cs="Arabic Typesetting" w:hint="cs"/>
          <w:sz w:val="38"/>
          <w:szCs w:val="38"/>
          <w:rtl/>
          <w:lang w:val="fr-CH" w:bidi="ar-SA"/>
        </w:rPr>
        <w:t>تخصيص التسويات بناء على المعايير المحاسبية الدولية للقطاع العام بحسب كل اتحاد</w:t>
      </w:r>
    </w:p>
    <w:p w:rsidR="00861CFF" w:rsidRPr="00C16521" w:rsidRDefault="00861CFF" w:rsidP="00861CFF">
      <w:pPr>
        <w:numPr>
          <w:ilvl w:val="0"/>
          <w:numId w:val="44"/>
        </w:numPr>
        <w:spacing w:after="120" w:line="340" w:lineRule="exact"/>
        <w:rPr>
          <w:rFonts w:ascii="Arabic Typesetting" w:hAnsi="Arabic Typesetting" w:cs="Arabic Typesetting"/>
          <w:sz w:val="34"/>
          <w:szCs w:val="34"/>
          <w:lang w:val="fr-CH" w:bidi="ar-SA"/>
        </w:rPr>
      </w:pPr>
      <w:r w:rsidRPr="00C16521">
        <w:rPr>
          <w:rFonts w:ascii="Arabic Typesetting" w:hAnsi="Arabic Typesetting" w:cs="Arabic Typesetting" w:hint="cs"/>
          <w:sz w:val="34"/>
          <w:szCs w:val="34"/>
          <w:rtl/>
          <w:lang w:val="fr-CH" w:bidi="ar-SA"/>
        </w:rPr>
        <w:t xml:space="preserve">تسند تسويات الإيرادات بناء على المعايير المحاسبية الدولية للقطاع العام إلى اتحادات معينة، لأنها ترتبط مباشرة برسوم معاهدة التعاون بشأن البراءات ونظام مدريد ونظام لاهاي. وتخصص تسويات النفقات من الميزانية بناء على المعايير المحاسبية الدولية للقطاع العام بالنسبة والتناسب بين الاتحادات استنادا إلى تخصيص النفقات من الميزانية. </w:t>
      </w:r>
    </w:p>
    <w:p w:rsidR="00861CFF" w:rsidRPr="00DE6948" w:rsidRDefault="00861CFF" w:rsidP="00DA5475">
      <w:pPr>
        <w:spacing w:after="120" w:line="340" w:lineRule="exact"/>
        <w:rPr>
          <w:rFonts w:ascii="Arabic Typesetting" w:hAnsi="Arabic Typesetting" w:cs="Arabic Typesetting"/>
          <w:sz w:val="34"/>
          <w:szCs w:val="34"/>
          <w:rtl/>
          <w:lang w:val="fr-CH" w:bidi="ar-SA"/>
        </w:rPr>
      </w:pPr>
      <w:r w:rsidRPr="00C16521">
        <w:rPr>
          <w:rFonts w:ascii="Arabic Typesetting" w:hAnsi="Arabic Typesetting" w:cs="Arabic Typesetting"/>
          <w:sz w:val="34"/>
          <w:szCs w:val="34"/>
          <w:rtl/>
          <w:lang w:val="fr-CH" w:bidi="ar-SA"/>
        </w:rPr>
        <w:t xml:space="preserve">وبناء على المنهجية المبيّنة أعلاه، </w:t>
      </w:r>
      <w:r w:rsidRPr="00C16521">
        <w:rPr>
          <w:rFonts w:ascii="Arabic Typesetting" w:hAnsi="Arabic Typesetting" w:cs="Arabic Typesetting" w:hint="cs"/>
          <w:sz w:val="34"/>
          <w:szCs w:val="34"/>
          <w:rtl/>
          <w:lang w:val="fr-CH" w:bidi="ar-SA"/>
        </w:rPr>
        <w:t>تعرض ال</w:t>
      </w:r>
      <w:r w:rsidRPr="00C16521">
        <w:rPr>
          <w:rFonts w:ascii="Arabic Typesetting" w:hAnsi="Arabic Typesetting" w:cs="Arabic Typesetting"/>
          <w:sz w:val="34"/>
          <w:szCs w:val="34"/>
          <w:rtl/>
          <w:lang w:val="fr-CH" w:bidi="ar-SA"/>
        </w:rPr>
        <w:t xml:space="preserve">جداول </w:t>
      </w:r>
      <w:r w:rsidRPr="00C16521">
        <w:rPr>
          <w:rFonts w:ascii="Arabic Typesetting" w:hAnsi="Arabic Typesetting" w:cs="Arabic Typesetting" w:hint="cs"/>
          <w:sz w:val="34"/>
          <w:szCs w:val="34"/>
          <w:rtl/>
          <w:lang w:val="fr-CH" w:bidi="ar-SA"/>
        </w:rPr>
        <w:t>11 و12 و13 لمحة عامة عن ال</w:t>
      </w:r>
      <w:r>
        <w:rPr>
          <w:rFonts w:ascii="Arabic Typesetting" w:hAnsi="Arabic Typesetting" w:cs="Arabic Typesetting" w:hint="cs"/>
          <w:sz w:val="34"/>
          <w:szCs w:val="34"/>
          <w:rtl/>
          <w:lang w:val="fr-CH" w:bidi="ar-SA"/>
        </w:rPr>
        <w:t>سيناريو</w:t>
      </w:r>
      <w:r w:rsidRPr="00C16521">
        <w:rPr>
          <w:rFonts w:ascii="Arabic Typesetting" w:hAnsi="Arabic Typesetting" w:cs="Arabic Typesetting" w:hint="cs"/>
          <w:sz w:val="34"/>
          <w:szCs w:val="34"/>
          <w:rtl/>
          <w:lang w:val="fr-CH" w:bidi="ar-SA"/>
        </w:rPr>
        <w:t>هات العامة بحسب كل اتحاد للثنائية</w:t>
      </w:r>
      <w:r w:rsidRPr="00C16521">
        <w:rPr>
          <w:rFonts w:ascii="Arabic Typesetting" w:hAnsi="Arabic Typesetting" w:cs="Arabic Typesetting" w:hint="eastAsia"/>
          <w:sz w:val="34"/>
          <w:szCs w:val="34"/>
          <w:rtl/>
          <w:lang w:val="fr-CH" w:bidi="ar-SA"/>
        </w:rPr>
        <w:t> </w:t>
      </w:r>
      <w:r w:rsidRPr="00C16521">
        <w:rPr>
          <w:rFonts w:ascii="Arabic Typesetting" w:hAnsi="Arabic Typesetting" w:cs="Arabic Typesetting" w:hint="cs"/>
          <w:sz w:val="34"/>
          <w:szCs w:val="34"/>
          <w:rtl/>
          <w:lang w:val="fr-CH" w:bidi="ar-SA"/>
        </w:rPr>
        <w:t>2016/17 ، و</w:t>
      </w:r>
      <w:r w:rsidRPr="00C16521">
        <w:rPr>
          <w:rFonts w:ascii="Arabic Typesetting" w:hAnsi="Arabic Typesetting" w:cs="Arabic Typesetting"/>
          <w:sz w:val="34"/>
          <w:szCs w:val="34"/>
          <w:rtl/>
          <w:lang w:val="fr-CH" w:bidi="ar-SA"/>
        </w:rPr>
        <w:t xml:space="preserve">الإيرادات المقدّرة </w:t>
      </w:r>
      <w:r w:rsidRPr="00C16521">
        <w:rPr>
          <w:rFonts w:ascii="Arabic Typesetting" w:hAnsi="Arabic Typesetting" w:cs="Arabic Typesetting" w:hint="cs"/>
          <w:sz w:val="34"/>
          <w:szCs w:val="34"/>
          <w:rtl/>
          <w:lang w:val="fr-CH" w:bidi="ar-SA"/>
        </w:rPr>
        <w:t>للثنائية</w:t>
      </w:r>
      <w:r w:rsidRPr="00C16521">
        <w:rPr>
          <w:rFonts w:ascii="Arabic Typesetting" w:hAnsi="Arabic Typesetting" w:cs="Arabic Typesetting"/>
          <w:sz w:val="34"/>
          <w:szCs w:val="34"/>
          <w:rtl/>
          <w:lang w:val="fr-CH" w:bidi="ar-SA"/>
        </w:rPr>
        <w:t xml:space="preserve"> </w:t>
      </w:r>
      <w:r w:rsidRPr="00C16521">
        <w:rPr>
          <w:rFonts w:ascii="Arabic Typesetting" w:hAnsi="Arabic Typesetting" w:cs="Arabic Typesetting" w:hint="cs"/>
          <w:sz w:val="34"/>
          <w:szCs w:val="34"/>
          <w:rtl/>
          <w:lang w:val="fr-CH" w:bidi="ar-SA"/>
        </w:rPr>
        <w:t>2016</w:t>
      </w:r>
      <w:r w:rsidRPr="00C16521">
        <w:rPr>
          <w:rFonts w:ascii="Arabic Typesetting" w:hAnsi="Arabic Typesetting" w:cs="Arabic Typesetting"/>
          <w:sz w:val="34"/>
          <w:szCs w:val="34"/>
          <w:rtl/>
          <w:lang w:val="fr-CH" w:bidi="ar-SA"/>
        </w:rPr>
        <w:t>/</w:t>
      </w:r>
      <w:r w:rsidRPr="00C16521">
        <w:rPr>
          <w:rFonts w:ascii="Arabic Typesetting" w:hAnsi="Arabic Typesetting" w:cs="Arabic Typesetting" w:hint="cs"/>
          <w:sz w:val="34"/>
          <w:szCs w:val="34"/>
          <w:rtl/>
          <w:lang w:val="fr-CH" w:bidi="ar-SA"/>
        </w:rPr>
        <w:t>17</w:t>
      </w:r>
      <w:r w:rsidRPr="00C16521">
        <w:rPr>
          <w:rFonts w:ascii="Arabic Typesetting" w:hAnsi="Arabic Typesetting" w:cs="Arabic Typesetting"/>
          <w:sz w:val="34"/>
          <w:szCs w:val="34"/>
          <w:rtl/>
          <w:lang w:val="fr-CH" w:bidi="ar-SA"/>
        </w:rPr>
        <w:t xml:space="preserve"> بحسب كل اتحاد</w:t>
      </w:r>
      <w:r w:rsidRPr="00C16521">
        <w:rPr>
          <w:rFonts w:ascii="Arabic Typesetting" w:hAnsi="Arabic Typesetting" w:cs="Arabic Typesetting" w:hint="cs"/>
          <w:sz w:val="34"/>
          <w:szCs w:val="34"/>
          <w:rtl/>
          <w:lang w:val="fr-CH" w:bidi="ar-SA"/>
        </w:rPr>
        <w:t>، و</w:t>
      </w:r>
      <w:r w:rsidRPr="00C16521">
        <w:rPr>
          <w:rFonts w:ascii="Arabic Typesetting" w:hAnsi="Arabic Typesetting" w:cs="Arabic Typesetting"/>
          <w:sz w:val="34"/>
          <w:szCs w:val="34"/>
          <w:rtl/>
          <w:lang w:val="fr-CH" w:bidi="ar-SA"/>
        </w:rPr>
        <w:t xml:space="preserve">ميزانية </w:t>
      </w:r>
      <w:r w:rsidRPr="00C16521">
        <w:rPr>
          <w:rFonts w:ascii="Arabic Typesetting" w:hAnsi="Arabic Typesetting" w:cs="Arabic Typesetting" w:hint="cs"/>
          <w:sz w:val="34"/>
          <w:szCs w:val="34"/>
          <w:rtl/>
          <w:lang w:val="fr-CH" w:bidi="ar-SA"/>
        </w:rPr>
        <w:t>الثنائية</w:t>
      </w:r>
      <w:r w:rsidRPr="00C16521">
        <w:rPr>
          <w:rFonts w:ascii="Arabic Typesetting" w:hAnsi="Arabic Typesetting" w:cs="Arabic Typesetting"/>
          <w:sz w:val="34"/>
          <w:szCs w:val="34"/>
          <w:rtl/>
          <w:lang w:val="fr-CH" w:bidi="ar-SA"/>
        </w:rPr>
        <w:t xml:space="preserve"> </w:t>
      </w:r>
      <w:r w:rsidRPr="00C16521">
        <w:rPr>
          <w:rFonts w:ascii="Arabic Typesetting" w:hAnsi="Arabic Typesetting" w:cs="Arabic Typesetting" w:hint="cs"/>
          <w:sz w:val="34"/>
          <w:szCs w:val="34"/>
          <w:rtl/>
          <w:lang w:val="fr-CH" w:bidi="ar-SA"/>
        </w:rPr>
        <w:t>2016</w:t>
      </w:r>
      <w:r w:rsidRPr="00C16521">
        <w:rPr>
          <w:rFonts w:ascii="Arabic Typesetting" w:hAnsi="Arabic Typesetting" w:cs="Arabic Typesetting"/>
          <w:sz w:val="34"/>
          <w:szCs w:val="34"/>
          <w:rtl/>
          <w:lang w:val="fr-CH" w:bidi="ar-SA"/>
        </w:rPr>
        <w:t>/</w:t>
      </w:r>
      <w:r w:rsidRPr="00C16521">
        <w:rPr>
          <w:rFonts w:ascii="Arabic Typesetting" w:hAnsi="Arabic Typesetting" w:cs="Arabic Typesetting" w:hint="cs"/>
          <w:sz w:val="34"/>
          <w:szCs w:val="34"/>
          <w:rtl/>
          <w:lang w:val="fr-CH" w:bidi="ar-SA"/>
        </w:rPr>
        <w:t>17</w:t>
      </w:r>
      <w:r w:rsidRPr="00C16521">
        <w:rPr>
          <w:rFonts w:ascii="Arabic Typesetting" w:hAnsi="Arabic Typesetting" w:cs="Arabic Typesetting"/>
          <w:sz w:val="34"/>
          <w:szCs w:val="34"/>
          <w:rtl/>
          <w:lang w:val="fr-CH" w:bidi="ar-SA"/>
        </w:rPr>
        <w:t xml:space="preserve"> بحسب كل برنامج واتحاد</w:t>
      </w:r>
      <w:r w:rsidRPr="00C16521">
        <w:rPr>
          <w:rFonts w:ascii="Arabic Typesetting" w:hAnsi="Arabic Typesetting" w:cs="Arabic Typesetting" w:hint="cs"/>
          <w:sz w:val="34"/>
          <w:szCs w:val="34"/>
          <w:rtl/>
          <w:lang w:val="fr-CH" w:bidi="ar-SA"/>
        </w:rPr>
        <w:t>.</w:t>
      </w:r>
    </w:p>
    <w:p w:rsidR="00861CFF" w:rsidRPr="00DE6948" w:rsidRDefault="00861CFF" w:rsidP="00DA5475">
      <w:pPr>
        <w:spacing w:after="120" w:line="340" w:lineRule="exact"/>
        <w:rPr>
          <w:rFonts w:ascii="Arabic Typesetting" w:hAnsi="Arabic Typesetting" w:cs="Arabic Typesetting"/>
          <w:sz w:val="34"/>
          <w:szCs w:val="34"/>
          <w:rtl/>
          <w:lang w:val="fr-CH" w:bidi="ar-SA"/>
        </w:rPr>
      </w:pPr>
      <w:r w:rsidRPr="00DE6948">
        <w:rPr>
          <w:rFonts w:ascii="Arabic Typesetting" w:hAnsi="Arabic Typesetting" w:cs="Arabic Typesetting"/>
          <w:sz w:val="34"/>
          <w:szCs w:val="34"/>
          <w:rtl/>
          <w:lang w:val="fr-CH" w:bidi="ar-SA"/>
        </w:rPr>
        <w:br w:type="page"/>
      </w:r>
    </w:p>
    <w:p w:rsidR="00861CFF" w:rsidRPr="001D288E" w:rsidRDefault="00861CFF" w:rsidP="00DA5475">
      <w:pPr>
        <w:keepNext/>
        <w:spacing w:line="300" w:lineRule="exact"/>
        <w:jc w:val="center"/>
        <w:rPr>
          <w:rFonts w:ascii="Arabic Typesetting" w:hAnsi="Arabic Typesetting" w:cs="Arabic Typesetting"/>
          <w:b/>
          <w:bCs/>
          <w:sz w:val="34"/>
          <w:szCs w:val="34"/>
          <w:rtl/>
          <w:lang w:val="fr-CH" w:bidi="ar-SA"/>
        </w:rPr>
      </w:pPr>
      <w:r w:rsidRPr="001D288E">
        <w:rPr>
          <w:rFonts w:ascii="Arabic Typesetting" w:hAnsi="Arabic Typesetting" w:cs="Arabic Typesetting" w:hint="cs"/>
          <w:b/>
          <w:bCs/>
          <w:sz w:val="34"/>
          <w:szCs w:val="34"/>
          <w:rtl/>
          <w:lang w:val="fr-CH" w:bidi="ar-SA"/>
        </w:rPr>
        <w:lastRenderedPageBreak/>
        <w:t xml:space="preserve">الجدول 11 - </w:t>
      </w:r>
      <w:r>
        <w:rPr>
          <w:rFonts w:ascii="Arabic Typesetting" w:hAnsi="Arabic Typesetting" w:cs="Arabic Typesetting" w:hint="cs"/>
          <w:b/>
          <w:bCs/>
          <w:sz w:val="34"/>
          <w:szCs w:val="34"/>
          <w:rtl/>
          <w:lang w:val="fr-CH" w:bidi="ar-SA"/>
        </w:rPr>
        <w:t>السيناريوهات</w:t>
      </w:r>
      <w:r w:rsidRPr="007B0C6E">
        <w:rPr>
          <w:rFonts w:ascii="Arabic Typesetting" w:hAnsi="Arabic Typesetting" w:cs="Arabic Typesetting"/>
          <w:b/>
          <w:bCs/>
          <w:sz w:val="34"/>
          <w:szCs w:val="34"/>
          <w:rtl/>
          <w:lang w:val="fr-CH" w:bidi="ar-SA"/>
        </w:rPr>
        <w:t xml:space="preserve"> العام</w:t>
      </w:r>
      <w:r>
        <w:rPr>
          <w:rFonts w:ascii="Arabic Typesetting" w:hAnsi="Arabic Typesetting" w:cs="Arabic Typesetting" w:hint="cs"/>
          <w:b/>
          <w:bCs/>
          <w:sz w:val="34"/>
          <w:szCs w:val="34"/>
          <w:rtl/>
          <w:lang w:val="fr-CH" w:bidi="ar-SA"/>
        </w:rPr>
        <w:t>ة</w:t>
      </w:r>
      <w:r w:rsidRPr="007B0C6E">
        <w:rPr>
          <w:rFonts w:ascii="Arabic Typesetting" w:hAnsi="Arabic Typesetting" w:cs="Arabic Typesetting"/>
          <w:b/>
          <w:bCs/>
          <w:sz w:val="34"/>
          <w:szCs w:val="34"/>
          <w:rtl/>
          <w:lang w:val="fr-CH" w:bidi="ar-SA"/>
        </w:rPr>
        <w:t xml:space="preserve"> للثنائية </w:t>
      </w:r>
      <w:r w:rsidRPr="001D288E">
        <w:rPr>
          <w:rFonts w:ascii="Arabic Typesetting" w:hAnsi="Arabic Typesetting" w:cs="Arabic Typesetting" w:hint="cs"/>
          <w:b/>
          <w:bCs/>
          <w:sz w:val="34"/>
          <w:szCs w:val="34"/>
          <w:rtl/>
          <w:lang w:val="fr-CH" w:bidi="ar-SA"/>
        </w:rPr>
        <w:t>بحسب كل اتحاد 2016/17</w:t>
      </w:r>
    </w:p>
    <w:p w:rsidR="00861CFF" w:rsidRPr="00094CBA" w:rsidRDefault="00861CFF" w:rsidP="00DA5475">
      <w:pPr>
        <w:spacing w:after="120" w:line="300" w:lineRule="exact"/>
        <w:jc w:val="center"/>
        <w:rPr>
          <w:rFonts w:ascii="Arabic Typesetting" w:hAnsi="Arabic Typesetting" w:cs="Arabic Typesetting"/>
          <w:i/>
          <w:iCs/>
          <w:sz w:val="34"/>
          <w:szCs w:val="34"/>
          <w:rtl/>
          <w:lang w:val="fr-CH" w:bidi="ar-SA"/>
        </w:rPr>
      </w:pPr>
      <w:r w:rsidRPr="00094CBA">
        <w:rPr>
          <w:rFonts w:ascii="Arabic Typesetting" w:hAnsi="Arabic Typesetting" w:cs="Arabic Typesetting"/>
          <w:i/>
          <w:iCs/>
          <w:sz w:val="34"/>
          <w:szCs w:val="34"/>
          <w:rtl/>
          <w:lang w:val="fr-CH" w:bidi="ar-SA"/>
        </w:rPr>
        <w:t>(بآلاف الفرنكات السويسرية)</w:t>
      </w:r>
    </w:p>
    <w:p w:rsidR="00861CFF" w:rsidRPr="00C16521" w:rsidRDefault="00861CFF" w:rsidP="00862268">
      <w:pPr>
        <w:spacing w:after="120"/>
        <w:jc w:val="center"/>
        <w:rPr>
          <w:rFonts w:ascii="Arabic Typesetting" w:hAnsi="Arabic Typesetting" w:cs="Arabic Typesetting"/>
          <w:sz w:val="34"/>
          <w:szCs w:val="34"/>
          <w:highlight w:val="yellow"/>
          <w:rtl/>
          <w:lang w:val="fr-CH"/>
        </w:rPr>
      </w:pPr>
      <w:r w:rsidRPr="004C0334">
        <w:rPr>
          <w:noProof/>
          <w:szCs w:val="20"/>
          <w:rtl/>
          <w:lang w:bidi="ar-SA"/>
        </w:rPr>
        <w:drawing>
          <wp:inline distT="0" distB="0" distL="0" distR="0" wp14:anchorId="3D88E540" wp14:editId="47CF9B92">
            <wp:extent cx="5939790" cy="2416990"/>
            <wp:effectExtent l="0" t="0" r="3810" b="254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939790" cy="2416990"/>
                    </a:xfrm>
                    <a:prstGeom prst="rect">
                      <a:avLst/>
                    </a:prstGeom>
                    <a:noFill/>
                    <a:ln>
                      <a:noFill/>
                    </a:ln>
                  </pic:spPr>
                </pic:pic>
              </a:graphicData>
            </a:graphic>
          </wp:inline>
        </w:drawing>
      </w:r>
    </w:p>
    <w:p w:rsidR="00861CFF" w:rsidRPr="004C0334" w:rsidRDefault="00861CFF" w:rsidP="00DA5475">
      <w:pPr>
        <w:pStyle w:val="ARNumbered1"/>
        <w:numPr>
          <w:ilvl w:val="0"/>
          <w:numId w:val="0"/>
        </w:numPr>
        <w:spacing w:after="0"/>
        <w:ind w:left="-2"/>
        <w:jc w:val="left"/>
        <w:rPr>
          <w:sz w:val="24"/>
          <w:szCs w:val="24"/>
          <w:highlight w:val="yellow"/>
          <w:rtl/>
        </w:rPr>
      </w:pPr>
      <w:r w:rsidRPr="004C0334">
        <w:rPr>
          <w:sz w:val="24"/>
          <w:szCs w:val="24"/>
          <w:rtl/>
        </w:rPr>
        <w:t>*يحسب الاحتياطي المنشود كنسبة مئوية من نفقات ميزانية الثنائية لكل اتحاد</w:t>
      </w:r>
      <w:r>
        <w:rPr>
          <w:rFonts w:hint="cs"/>
          <w:sz w:val="24"/>
          <w:szCs w:val="24"/>
          <w:rtl/>
        </w:rPr>
        <w:t>.</w:t>
      </w:r>
    </w:p>
    <w:p w:rsidR="00861CFF" w:rsidRPr="00C16521" w:rsidRDefault="00861CFF" w:rsidP="00DA5475">
      <w:pPr>
        <w:pStyle w:val="ARNumbered1"/>
        <w:numPr>
          <w:ilvl w:val="0"/>
          <w:numId w:val="0"/>
        </w:numPr>
        <w:spacing w:after="0"/>
        <w:ind w:left="720"/>
        <w:jc w:val="center"/>
        <w:rPr>
          <w:highlight w:val="yellow"/>
          <w:rtl/>
        </w:rPr>
      </w:pPr>
    </w:p>
    <w:p w:rsidR="00861CFF" w:rsidRPr="00421B1E" w:rsidRDefault="00861CFF" w:rsidP="00DA5475">
      <w:pPr>
        <w:keepNext/>
        <w:spacing w:line="300" w:lineRule="exact"/>
        <w:jc w:val="center"/>
        <w:rPr>
          <w:rFonts w:ascii="Arabic Typesetting" w:hAnsi="Arabic Typesetting" w:cs="Arabic Typesetting"/>
          <w:b/>
          <w:bCs/>
          <w:sz w:val="34"/>
          <w:szCs w:val="34"/>
          <w:rtl/>
          <w:lang w:val="fr-CH" w:bidi="ar-SA"/>
        </w:rPr>
      </w:pPr>
      <w:r w:rsidRPr="00421B1E">
        <w:rPr>
          <w:rFonts w:ascii="Arabic Typesetting" w:hAnsi="Arabic Typesetting" w:cs="Arabic Typesetting" w:hint="cs"/>
          <w:b/>
          <w:bCs/>
          <w:sz w:val="34"/>
          <w:szCs w:val="34"/>
          <w:rtl/>
          <w:lang w:val="fr-CH" w:bidi="ar-SA"/>
        </w:rPr>
        <w:t xml:space="preserve">الجدول 12 - </w:t>
      </w:r>
      <w:r w:rsidRPr="00421B1E">
        <w:rPr>
          <w:rFonts w:ascii="Arabic Typesetting" w:hAnsi="Arabic Typesetting" w:cs="Arabic Typesetting"/>
          <w:b/>
          <w:bCs/>
          <w:sz w:val="34"/>
          <w:szCs w:val="34"/>
          <w:rtl/>
          <w:lang w:val="fr-CH" w:bidi="ar-SA"/>
        </w:rPr>
        <w:t xml:space="preserve">الإيرادات المقدّرة </w:t>
      </w:r>
      <w:r w:rsidRPr="00421B1E">
        <w:rPr>
          <w:rFonts w:ascii="Arabic Typesetting" w:hAnsi="Arabic Typesetting" w:cs="Arabic Typesetting" w:hint="cs"/>
          <w:b/>
          <w:bCs/>
          <w:sz w:val="34"/>
          <w:szCs w:val="34"/>
          <w:rtl/>
          <w:lang w:val="fr-CH" w:bidi="ar-SA"/>
        </w:rPr>
        <w:t>للثنائية</w:t>
      </w:r>
      <w:r w:rsidRPr="00421B1E">
        <w:rPr>
          <w:rFonts w:ascii="Arabic Typesetting" w:hAnsi="Arabic Typesetting" w:cs="Arabic Typesetting"/>
          <w:b/>
          <w:bCs/>
          <w:sz w:val="34"/>
          <w:szCs w:val="34"/>
          <w:rtl/>
          <w:lang w:val="fr-CH" w:bidi="ar-SA"/>
        </w:rPr>
        <w:t xml:space="preserve"> </w:t>
      </w:r>
      <w:r>
        <w:rPr>
          <w:rFonts w:ascii="Arabic Typesetting" w:hAnsi="Arabic Typesetting" w:cs="Arabic Typesetting" w:hint="cs"/>
          <w:b/>
          <w:bCs/>
          <w:sz w:val="34"/>
          <w:szCs w:val="34"/>
          <w:rtl/>
          <w:lang w:val="fr-CH" w:bidi="ar-SA"/>
        </w:rPr>
        <w:t>2016</w:t>
      </w:r>
      <w:r w:rsidRPr="00421B1E">
        <w:rPr>
          <w:rFonts w:ascii="Arabic Typesetting" w:hAnsi="Arabic Typesetting" w:cs="Arabic Typesetting"/>
          <w:b/>
          <w:bCs/>
          <w:sz w:val="34"/>
          <w:szCs w:val="34"/>
          <w:rtl/>
          <w:lang w:val="fr-CH" w:bidi="ar-SA"/>
        </w:rPr>
        <w:t>/</w:t>
      </w:r>
      <w:r>
        <w:rPr>
          <w:rFonts w:ascii="Arabic Typesetting" w:hAnsi="Arabic Typesetting" w:cs="Arabic Typesetting" w:hint="cs"/>
          <w:b/>
          <w:bCs/>
          <w:sz w:val="34"/>
          <w:szCs w:val="34"/>
          <w:rtl/>
          <w:lang w:val="fr-CH" w:bidi="ar-SA"/>
        </w:rPr>
        <w:t>17</w:t>
      </w:r>
      <w:r w:rsidRPr="00421B1E">
        <w:rPr>
          <w:rFonts w:ascii="Arabic Typesetting" w:hAnsi="Arabic Typesetting" w:cs="Arabic Typesetting"/>
          <w:b/>
          <w:bCs/>
          <w:sz w:val="34"/>
          <w:szCs w:val="34"/>
          <w:rtl/>
          <w:lang w:val="fr-CH" w:bidi="ar-SA"/>
        </w:rPr>
        <w:t xml:space="preserve"> بحسب كل اتحاد</w:t>
      </w:r>
    </w:p>
    <w:p w:rsidR="00861CFF" w:rsidRPr="00094CBA" w:rsidRDefault="00861CFF" w:rsidP="00DA5475">
      <w:pPr>
        <w:spacing w:after="120" w:line="300" w:lineRule="exact"/>
        <w:jc w:val="center"/>
        <w:rPr>
          <w:rFonts w:ascii="Arabic Typesetting" w:hAnsi="Arabic Typesetting" w:cs="Arabic Typesetting"/>
          <w:i/>
          <w:iCs/>
          <w:sz w:val="34"/>
          <w:szCs w:val="34"/>
          <w:rtl/>
          <w:lang w:val="fr-CH" w:bidi="ar-SA"/>
        </w:rPr>
      </w:pPr>
      <w:r w:rsidRPr="00094CBA">
        <w:rPr>
          <w:rFonts w:ascii="Arabic Typesetting" w:hAnsi="Arabic Typesetting" w:cs="Arabic Typesetting" w:hint="cs"/>
          <w:i/>
          <w:iCs/>
          <w:sz w:val="34"/>
          <w:szCs w:val="34"/>
          <w:rtl/>
          <w:lang w:val="fr-CH" w:bidi="ar-SA"/>
        </w:rPr>
        <w:t>(بآلاف الفرنكات السويسرية)</w:t>
      </w:r>
    </w:p>
    <w:p w:rsidR="00861CFF" w:rsidRPr="00C16521" w:rsidRDefault="00861CFF" w:rsidP="00862268">
      <w:pPr>
        <w:spacing w:after="120"/>
        <w:jc w:val="center"/>
        <w:rPr>
          <w:highlight w:val="yellow"/>
          <w:rtl/>
        </w:rPr>
      </w:pPr>
      <w:r w:rsidRPr="004C0334">
        <w:rPr>
          <w:noProof/>
          <w:szCs w:val="20"/>
          <w:rtl/>
          <w:lang w:bidi="ar-SA"/>
        </w:rPr>
        <w:drawing>
          <wp:inline distT="0" distB="0" distL="0" distR="0" wp14:anchorId="02900948" wp14:editId="6AC0CF71">
            <wp:extent cx="5939790" cy="1311432"/>
            <wp:effectExtent l="0" t="0" r="3810" b="317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39790" cy="1311432"/>
                    </a:xfrm>
                    <a:prstGeom prst="rect">
                      <a:avLst/>
                    </a:prstGeom>
                    <a:noFill/>
                    <a:ln>
                      <a:noFill/>
                    </a:ln>
                  </pic:spPr>
                </pic:pic>
              </a:graphicData>
            </a:graphic>
          </wp:inline>
        </w:drawing>
      </w:r>
    </w:p>
    <w:p w:rsidR="00861CFF" w:rsidRPr="00C16521" w:rsidRDefault="00861CFF" w:rsidP="00DA5475">
      <w:pPr>
        <w:pStyle w:val="ARNumbered1"/>
        <w:numPr>
          <w:ilvl w:val="0"/>
          <w:numId w:val="0"/>
        </w:numPr>
        <w:spacing w:after="0"/>
        <w:ind w:left="720"/>
        <w:jc w:val="center"/>
        <w:rPr>
          <w:highlight w:val="yellow"/>
          <w:rtl/>
        </w:rPr>
      </w:pPr>
    </w:p>
    <w:p w:rsidR="00861CFF" w:rsidRPr="00C16521" w:rsidRDefault="00861CFF" w:rsidP="00862268">
      <w:pPr>
        <w:spacing w:after="120"/>
        <w:jc w:val="center"/>
        <w:rPr>
          <w:rFonts w:ascii="Arabic Typesetting" w:hAnsi="Arabic Typesetting" w:cs="Arabic Typesetting"/>
          <w:sz w:val="34"/>
          <w:szCs w:val="34"/>
          <w:highlight w:val="yellow"/>
          <w:rtl/>
          <w:lang w:val="fr-CH"/>
        </w:rPr>
        <w:sectPr w:rsidR="00861CFF" w:rsidRPr="00C16521" w:rsidSect="00861CFF">
          <w:pgSz w:w="11906" w:h="16838" w:code="9"/>
          <w:pgMar w:top="1418" w:right="1418" w:bottom="1418" w:left="1134" w:header="510" w:footer="1021" w:gutter="0"/>
          <w:cols w:space="720"/>
          <w:bidi/>
          <w:rtlGutter/>
          <w:docGrid w:linePitch="272"/>
        </w:sectPr>
      </w:pPr>
    </w:p>
    <w:p w:rsidR="00861CFF" w:rsidRPr="00421B1E" w:rsidRDefault="00861CFF" w:rsidP="00DA5475">
      <w:pPr>
        <w:keepNext/>
        <w:spacing w:line="300" w:lineRule="exact"/>
        <w:jc w:val="center"/>
        <w:rPr>
          <w:rFonts w:ascii="Arabic Typesetting" w:hAnsi="Arabic Typesetting" w:cs="Arabic Typesetting"/>
          <w:b/>
          <w:bCs/>
          <w:sz w:val="34"/>
          <w:szCs w:val="34"/>
          <w:rtl/>
          <w:lang w:val="fr-CH" w:bidi="ar-SA"/>
        </w:rPr>
      </w:pPr>
      <w:r w:rsidRPr="00421B1E">
        <w:rPr>
          <w:rFonts w:ascii="Arabic Typesetting" w:hAnsi="Arabic Typesetting" w:cs="Arabic Typesetting"/>
          <w:b/>
          <w:bCs/>
          <w:sz w:val="34"/>
          <w:szCs w:val="34"/>
          <w:rtl/>
          <w:lang w:val="fr-CH" w:bidi="ar-SA"/>
        </w:rPr>
        <w:lastRenderedPageBreak/>
        <w:t xml:space="preserve">الجدول 13 - ميزانية الثنائية </w:t>
      </w:r>
      <w:r w:rsidRPr="00421B1E">
        <w:rPr>
          <w:rFonts w:ascii="Arabic Typesetting" w:hAnsi="Arabic Typesetting" w:cs="Arabic Typesetting" w:hint="cs"/>
          <w:b/>
          <w:bCs/>
          <w:sz w:val="34"/>
          <w:szCs w:val="34"/>
          <w:rtl/>
          <w:lang w:val="fr-CH" w:bidi="ar-SA"/>
        </w:rPr>
        <w:t>2016</w:t>
      </w:r>
      <w:r w:rsidRPr="00421B1E">
        <w:rPr>
          <w:rFonts w:ascii="Arabic Typesetting" w:hAnsi="Arabic Typesetting" w:cs="Arabic Typesetting"/>
          <w:b/>
          <w:bCs/>
          <w:sz w:val="34"/>
          <w:szCs w:val="34"/>
          <w:rtl/>
          <w:lang w:val="fr-CH" w:bidi="ar-SA"/>
        </w:rPr>
        <w:t>/</w:t>
      </w:r>
      <w:r w:rsidRPr="00421B1E">
        <w:rPr>
          <w:rFonts w:ascii="Arabic Typesetting" w:hAnsi="Arabic Typesetting" w:cs="Arabic Typesetting" w:hint="cs"/>
          <w:b/>
          <w:bCs/>
          <w:sz w:val="34"/>
          <w:szCs w:val="34"/>
          <w:rtl/>
          <w:lang w:val="fr-CH" w:bidi="ar-SA"/>
        </w:rPr>
        <w:t>17</w:t>
      </w:r>
      <w:r w:rsidRPr="00421B1E">
        <w:rPr>
          <w:rFonts w:ascii="Arabic Typesetting" w:hAnsi="Arabic Typesetting" w:cs="Arabic Typesetting"/>
          <w:b/>
          <w:bCs/>
          <w:sz w:val="34"/>
          <w:szCs w:val="34"/>
          <w:rtl/>
          <w:lang w:val="fr-CH" w:bidi="ar-SA"/>
        </w:rPr>
        <w:t xml:space="preserve"> بحسب كل برنامج واتحاد</w:t>
      </w:r>
    </w:p>
    <w:p w:rsidR="00861CFF" w:rsidRPr="00094CBA" w:rsidRDefault="00861CFF" w:rsidP="00DA5475">
      <w:pPr>
        <w:spacing w:after="120" w:line="300" w:lineRule="exact"/>
        <w:jc w:val="center"/>
        <w:rPr>
          <w:rFonts w:ascii="Arabic Typesetting" w:hAnsi="Arabic Typesetting" w:cs="Arabic Typesetting"/>
          <w:i/>
          <w:iCs/>
          <w:sz w:val="34"/>
          <w:szCs w:val="34"/>
          <w:rtl/>
          <w:lang w:val="fr-CH" w:bidi="ar-SA"/>
        </w:rPr>
      </w:pPr>
      <w:r w:rsidRPr="00094CBA">
        <w:rPr>
          <w:rFonts w:ascii="Arabic Typesetting" w:hAnsi="Arabic Typesetting" w:cs="Arabic Typesetting"/>
          <w:i/>
          <w:iCs/>
          <w:sz w:val="34"/>
          <w:szCs w:val="34"/>
          <w:rtl/>
          <w:lang w:val="fr-CH" w:bidi="ar-SA"/>
        </w:rPr>
        <w:t>(بآلاف الفرنكات السويسرية</w:t>
      </w:r>
      <w:r w:rsidRPr="00094CBA">
        <w:rPr>
          <w:rFonts w:ascii="Arabic Typesetting" w:hAnsi="Arabic Typesetting" w:cs="Arabic Typesetting" w:hint="cs"/>
          <w:i/>
          <w:iCs/>
          <w:sz w:val="34"/>
          <w:szCs w:val="34"/>
          <w:rtl/>
          <w:lang w:val="fr-CH" w:bidi="ar-SA"/>
        </w:rPr>
        <w:t>)</w:t>
      </w:r>
    </w:p>
    <w:p w:rsidR="00861CFF" w:rsidRPr="00C16521" w:rsidRDefault="00466E37" w:rsidP="00862268">
      <w:pPr>
        <w:spacing w:after="120"/>
        <w:jc w:val="center"/>
        <w:rPr>
          <w:rFonts w:ascii="Arabic Typesetting" w:hAnsi="Arabic Typesetting" w:cs="Arabic Typesetting"/>
          <w:sz w:val="34"/>
          <w:szCs w:val="34"/>
          <w:highlight w:val="yellow"/>
          <w:rtl/>
          <w:lang w:val="fr-CH"/>
        </w:rPr>
      </w:pPr>
      <w:r w:rsidRPr="00466E37">
        <w:rPr>
          <w:noProof/>
          <w:szCs w:val="20"/>
          <w:rtl/>
          <w:lang w:bidi="ar-SA"/>
        </w:rPr>
        <w:drawing>
          <wp:inline distT="0" distB="0" distL="0" distR="0" wp14:anchorId="1549BCE5" wp14:editId="48E06A98">
            <wp:extent cx="9474926" cy="4563292"/>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495915" cy="4573401"/>
                    </a:xfrm>
                    <a:prstGeom prst="rect">
                      <a:avLst/>
                    </a:prstGeom>
                    <a:noFill/>
                    <a:ln>
                      <a:noFill/>
                    </a:ln>
                  </pic:spPr>
                </pic:pic>
              </a:graphicData>
            </a:graphic>
          </wp:inline>
        </w:drawing>
      </w:r>
    </w:p>
    <w:p w:rsidR="00861CFF" w:rsidRPr="00421B1E" w:rsidRDefault="00861CFF" w:rsidP="00DA5475">
      <w:pPr>
        <w:rPr>
          <w:rFonts w:ascii="Arabic Typesetting" w:hAnsi="Arabic Typesetting" w:cs="Arabic Typesetting"/>
          <w:sz w:val="34"/>
          <w:szCs w:val="34"/>
          <w:rtl/>
          <w:lang w:val="fr-CH"/>
        </w:rPr>
      </w:pPr>
    </w:p>
    <w:p w:rsidR="00861CFF" w:rsidRPr="00C16521" w:rsidRDefault="00861CFF" w:rsidP="00862268">
      <w:pPr>
        <w:spacing w:line="300" w:lineRule="exact"/>
        <w:jc w:val="center"/>
        <w:rPr>
          <w:rFonts w:ascii="Arabic Typesetting" w:hAnsi="Arabic Typesetting" w:cs="Arabic Typesetting"/>
          <w:sz w:val="34"/>
          <w:szCs w:val="34"/>
          <w:highlight w:val="yellow"/>
          <w:rtl/>
          <w:lang w:bidi="ar-SA"/>
        </w:rPr>
        <w:sectPr w:rsidR="00861CFF" w:rsidRPr="00C16521" w:rsidSect="00861CFF">
          <w:pgSz w:w="16838" w:h="11906" w:orient="landscape" w:code="9"/>
          <w:pgMar w:top="1134" w:right="1134" w:bottom="1134" w:left="1134" w:header="510" w:footer="1021" w:gutter="0"/>
          <w:cols w:space="720"/>
          <w:bidi/>
          <w:rtlGutter/>
          <w:docGrid w:linePitch="272"/>
        </w:sectPr>
      </w:pPr>
    </w:p>
    <w:p w:rsidR="00861CFF" w:rsidRPr="001214C2" w:rsidRDefault="00861CFF" w:rsidP="00DA5475">
      <w:pPr>
        <w:pStyle w:val="Heading3"/>
        <w:ind w:left="1132" w:hanging="1134"/>
        <w:rPr>
          <w:rFonts w:ascii="Arabic Typesetting" w:hAnsi="Arabic Typesetting" w:cs="Arabic Typesetting"/>
          <w:b w:val="0"/>
          <w:bCs w:val="0"/>
          <w:sz w:val="38"/>
          <w:szCs w:val="38"/>
          <w:rtl/>
          <w:lang w:val="fr-CH" w:bidi="ar-SA"/>
        </w:rPr>
      </w:pPr>
      <w:bookmarkStart w:id="133" w:name="_Toc364355422"/>
      <w:bookmarkStart w:id="134" w:name="_Toc420595541"/>
      <w:r w:rsidRPr="001214C2">
        <w:rPr>
          <w:rFonts w:ascii="Arabic Typesetting" w:hAnsi="Arabic Typesetting" w:cs="Arabic Typesetting"/>
          <w:sz w:val="38"/>
          <w:szCs w:val="38"/>
          <w:rtl/>
          <w:lang w:val="fr-CH" w:bidi="ar-SA"/>
        </w:rPr>
        <w:lastRenderedPageBreak/>
        <w:t>المرفق الرابع</w:t>
      </w:r>
      <w:r w:rsidRPr="001214C2">
        <w:rPr>
          <w:rFonts w:ascii="Arabic Typesetting" w:hAnsi="Arabic Typesetting" w:cs="Arabic Typesetting"/>
          <w:sz w:val="38"/>
          <w:szCs w:val="38"/>
          <w:lang w:val="fr-CH" w:bidi="ar-SA"/>
        </w:rPr>
        <w:tab/>
      </w:r>
      <w:r w:rsidRPr="001214C2">
        <w:rPr>
          <w:rFonts w:ascii="Arabic Typesetting" w:hAnsi="Arabic Typesetting" w:cs="Arabic Typesetting"/>
          <w:sz w:val="38"/>
          <w:szCs w:val="38"/>
          <w:rtl/>
          <w:lang w:val="fr-CH" w:bidi="ar-SA"/>
        </w:rPr>
        <w:t xml:space="preserve">تطوّر خدمات </w:t>
      </w:r>
      <w:r w:rsidRPr="001214C2">
        <w:rPr>
          <w:rFonts w:ascii="Arabic Typesetting" w:hAnsi="Arabic Typesetting" w:cs="Arabic Typesetting" w:hint="cs"/>
          <w:sz w:val="38"/>
          <w:szCs w:val="38"/>
          <w:rtl/>
          <w:lang w:val="fr-CH" w:bidi="ar-SA"/>
        </w:rPr>
        <w:t>أنظمة</w:t>
      </w:r>
      <w:r w:rsidRPr="001214C2">
        <w:rPr>
          <w:rFonts w:ascii="Arabic Typesetting" w:hAnsi="Arabic Typesetting" w:cs="Arabic Typesetting"/>
          <w:sz w:val="38"/>
          <w:szCs w:val="38"/>
          <w:rtl/>
          <w:lang w:val="fr-CH" w:bidi="ar-SA"/>
        </w:rPr>
        <w:t xml:space="preserve"> معاهدة التعاون بشأن البراءات</w:t>
      </w:r>
      <w:r w:rsidRPr="001214C2">
        <w:rPr>
          <w:rFonts w:ascii="Arabic Typesetting" w:hAnsi="Arabic Typesetting" w:cs="Arabic Typesetting"/>
          <w:sz w:val="38"/>
          <w:szCs w:val="38"/>
          <w:lang w:val="fr-CH" w:bidi="ar-SA"/>
        </w:rPr>
        <w:t xml:space="preserve"> </w:t>
      </w:r>
      <w:r w:rsidRPr="001214C2">
        <w:rPr>
          <w:rFonts w:ascii="Arabic Typesetting" w:hAnsi="Arabic Typesetting" w:cs="Arabic Typesetting" w:hint="cs"/>
          <w:sz w:val="38"/>
          <w:szCs w:val="38"/>
          <w:rtl/>
          <w:lang w:val="fr-CH" w:bidi="ar-SA"/>
        </w:rPr>
        <w:t>و</w:t>
      </w:r>
      <w:r w:rsidRPr="001214C2">
        <w:rPr>
          <w:rFonts w:ascii="Arabic Typesetting" w:hAnsi="Arabic Typesetting" w:cs="Arabic Typesetting"/>
          <w:sz w:val="38"/>
          <w:szCs w:val="38"/>
          <w:rtl/>
          <w:lang w:val="fr-CH" w:bidi="ar-SA"/>
        </w:rPr>
        <w:t xml:space="preserve">مدريد ولاهاي </w:t>
      </w:r>
      <w:r w:rsidRPr="001214C2">
        <w:rPr>
          <w:rFonts w:ascii="Arabic Typesetting" w:hAnsi="Arabic Typesetting" w:cs="Arabic Typesetting" w:hint="cs"/>
          <w:sz w:val="38"/>
          <w:szCs w:val="38"/>
          <w:rtl/>
          <w:lang w:val="fr-CH" w:bidi="ar-SA"/>
        </w:rPr>
        <w:t>والطلب على هذه الخدمات</w:t>
      </w:r>
      <w:r w:rsidRPr="001214C2">
        <w:rPr>
          <w:rFonts w:ascii="Arabic Typesetting" w:hAnsi="Arabic Typesetting" w:cs="Arabic Typesetting"/>
          <w:sz w:val="38"/>
          <w:szCs w:val="38"/>
          <w:rtl/>
          <w:lang w:val="fr-CH" w:bidi="ar-SA"/>
        </w:rPr>
        <w:t xml:space="preserve"> على </w:t>
      </w:r>
      <w:r w:rsidRPr="001214C2">
        <w:rPr>
          <w:rFonts w:ascii="Arabic Typesetting" w:hAnsi="Arabic Typesetting" w:cs="Arabic Typesetting" w:hint="cs"/>
          <w:sz w:val="38"/>
          <w:szCs w:val="38"/>
          <w:rtl/>
          <w:lang w:val="fr-CH" w:bidi="ar-SA"/>
        </w:rPr>
        <w:t>الأجل</w:t>
      </w:r>
      <w:r w:rsidRPr="001214C2">
        <w:rPr>
          <w:rFonts w:ascii="Arabic Typesetting" w:hAnsi="Arabic Typesetting" w:cs="Arabic Typesetting"/>
          <w:sz w:val="38"/>
          <w:szCs w:val="38"/>
          <w:rtl/>
          <w:lang w:val="fr-CH" w:bidi="ar-SA"/>
        </w:rPr>
        <w:t xml:space="preserve"> المتوسط</w:t>
      </w:r>
      <w:bookmarkEnd w:id="133"/>
      <w:bookmarkEnd w:id="134"/>
    </w:p>
    <w:p w:rsidR="00861CFF" w:rsidRPr="001214C2" w:rsidRDefault="00861CFF" w:rsidP="00862268">
      <w:pPr>
        <w:spacing w:after="120" w:line="340" w:lineRule="atLeast"/>
        <w:jc w:val="both"/>
        <w:rPr>
          <w:rFonts w:ascii="Arabic Typesetting" w:hAnsi="Arabic Typesetting" w:cs="Arabic Typesetting"/>
          <w:b/>
          <w:bCs/>
          <w:sz w:val="34"/>
          <w:szCs w:val="34"/>
          <w:rtl/>
          <w:lang w:val="fr-CH"/>
        </w:rPr>
      </w:pPr>
      <w:r w:rsidRPr="001214C2">
        <w:rPr>
          <w:rFonts w:ascii="Arabic Typesetting" w:hAnsi="Arabic Typesetting" w:cs="Arabic Typesetting"/>
          <w:b/>
          <w:bCs/>
          <w:sz w:val="34"/>
          <w:szCs w:val="34"/>
          <w:rtl/>
          <w:lang w:val="fr-CH"/>
        </w:rPr>
        <w:t>معاهدة التعاون بشأن البراءات</w:t>
      </w:r>
    </w:p>
    <w:p w:rsidR="00861CFF" w:rsidRPr="001214C2" w:rsidRDefault="00861CFF" w:rsidP="00861CFF">
      <w:pPr>
        <w:pStyle w:val="NumberedParaAR"/>
        <w:numPr>
          <w:ilvl w:val="0"/>
          <w:numId w:val="47"/>
        </w:numPr>
        <w:spacing w:after="120" w:line="340" w:lineRule="atLeast"/>
        <w:rPr>
          <w:sz w:val="34"/>
          <w:szCs w:val="34"/>
          <w:rtl/>
          <w:lang w:val="fr-CH"/>
        </w:rPr>
      </w:pPr>
      <w:r w:rsidRPr="001214C2">
        <w:rPr>
          <w:sz w:val="34"/>
          <w:szCs w:val="34"/>
          <w:rtl/>
          <w:lang w:val="fr-CH"/>
        </w:rPr>
        <w:t xml:space="preserve">يتأثر مستوى </w:t>
      </w:r>
      <w:r w:rsidRPr="001214C2">
        <w:rPr>
          <w:rFonts w:hint="cs"/>
          <w:sz w:val="34"/>
          <w:szCs w:val="34"/>
          <w:rtl/>
          <w:lang w:val="fr-CH"/>
        </w:rPr>
        <w:t>إيرادات معاهدة التعاون بشأن</w:t>
      </w:r>
      <w:r w:rsidRPr="001214C2">
        <w:rPr>
          <w:sz w:val="34"/>
          <w:szCs w:val="34"/>
          <w:rtl/>
          <w:lang w:val="fr-CH"/>
        </w:rPr>
        <w:t xml:space="preserve"> البراءات بعوامل شتى، منها الطلب على خدمات</w:t>
      </w:r>
      <w:r w:rsidRPr="001214C2">
        <w:rPr>
          <w:rFonts w:hint="cs"/>
          <w:sz w:val="34"/>
          <w:szCs w:val="34"/>
          <w:rtl/>
          <w:lang w:val="fr-CH"/>
        </w:rPr>
        <w:t>ها</w:t>
      </w:r>
      <w:r w:rsidRPr="001214C2">
        <w:rPr>
          <w:sz w:val="34"/>
          <w:szCs w:val="34"/>
          <w:rtl/>
          <w:lang w:val="fr-CH"/>
        </w:rPr>
        <w:t xml:space="preserve"> وتصرّف مودعي الطلبات. ويتأثر الطلب على خدمات </w:t>
      </w:r>
      <w:r w:rsidRPr="001214C2">
        <w:rPr>
          <w:rFonts w:hint="cs"/>
          <w:sz w:val="34"/>
          <w:szCs w:val="34"/>
          <w:rtl/>
          <w:lang w:val="fr-CH"/>
        </w:rPr>
        <w:t>هذه المعاهدة</w:t>
      </w:r>
      <w:r w:rsidRPr="001214C2">
        <w:rPr>
          <w:sz w:val="34"/>
          <w:szCs w:val="34"/>
          <w:rtl/>
          <w:lang w:val="fr-CH"/>
        </w:rPr>
        <w:t xml:space="preserve"> بدوره بعدد من العوامل </w:t>
      </w:r>
      <w:r w:rsidRPr="001214C2">
        <w:rPr>
          <w:rFonts w:hint="cs"/>
          <w:sz w:val="34"/>
          <w:szCs w:val="34"/>
          <w:rtl/>
          <w:lang w:val="fr-CH"/>
        </w:rPr>
        <w:t xml:space="preserve">التي قد تكون </w:t>
      </w:r>
      <w:r w:rsidRPr="001214C2">
        <w:rPr>
          <w:sz w:val="34"/>
          <w:szCs w:val="34"/>
          <w:rtl/>
          <w:lang w:val="fr-CH"/>
        </w:rPr>
        <w:t xml:space="preserve">داخلية </w:t>
      </w:r>
      <w:r w:rsidRPr="001214C2">
        <w:rPr>
          <w:rFonts w:hint="cs"/>
          <w:sz w:val="34"/>
          <w:szCs w:val="34"/>
          <w:rtl/>
          <w:lang w:val="fr-CH"/>
        </w:rPr>
        <w:t>أ</w:t>
      </w:r>
      <w:r w:rsidRPr="001214C2">
        <w:rPr>
          <w:sz w:val="34"/>
          <w:szCs w:val="34"/>
          <w:rtl/>
          <w:lang w:val="fr-CH"/>
        </w:rPr>
        <w:t>و</w:t>
      </w:r>
      <w:r w:rsidRPr="001214C2">
        <w:rPr>
          <w:rFonts w:hint="cs"/>
          <w:sz w:val="34"/>
          <w:szCs w:val="34"/>
          <w:rtl/>
          <w:lang w:val="fr-CH"/>
        </w:rPr>
        <w:t xml:space="preserve"> </w:t>
      </w:r>
      <w:r w:rsidRPr="001214C2">
        <w:rPr>
          <w:sz w:val="34"/>
          <w:szCs w:val="34"/>
          <w:rtl/>
          <w:lang w:val="fr-CH"/>
        </w:rPr>
        <w:t>خارجية. وتشمل العوامل الخارجية أداء الاقتصاد على الصعيد العالمي وفي البلدان التي يبلغ فيها الطلب أعلى المستويات وينمو بسرعة قصوى</w:t>
      </w:r>
      <w:r w:rsidRPr="001214C2">
        <w:rPr>
          <w:rFonts w:hint="cs"/>
          <w:sz w:val="34"/>
          <w:szCs w:val="34"/>
          <w:rtl/>
          <w:lang w:val="fr-CH"/>
        </w:rPr>
        <w:t>؛</w:t>
      </w:r>
      <w:r w:rsidRPr="001214C2">
        <w:rPr>
          <w:sz w:val="34"/>
          <w:szCs w:val="34"/>
          <w:rtl/>
          <w:lang w:val="fr-CH"/>
        </w:rPr>
        <w:t xml:space="preserve"> ومستويات الاستثمار في أنشطة البحث والتطوير</w:t>
      </w:r>
      <w:r w:rsidRPr="001214C2">
        <w:rPr>
          <w:rFonts w:hint="cs"/>
          <w:sz w:val="34"/>
          <w:szCs w:val="34"/>
          <w:rtl/>
          <w:lang w:val="fr-CH"/>
        </w:rPr>
        <w:t>؛</w:t>
      </w:r>
      <w:r w:rsidRPr="001214C2">
        <w:rPr>
          <w:sz w:val="34"/>
          <w:szCs w:val="34"/>
          <w:rtl/>
          <w:lang w:val="fr-CH"/>
        </w:rPr>
        <w:t xml:space="preserve"> ودرجات الثقة في التطورات التكنولوجية</w:t>
      </w:r>
      <w:r w:rsidRPr="001214C2">
        <w:rPr>
          <w:rFonts w:hint="cs"/>
          <w:sz w:val="34"/>
          <w:szCs w:val="34"/>
          <w:rtl/>
          <w:lang w:val="fr-CH"/>
        </w:rPr>
        <w:t>؛</w:t>
      </w:r>
      <w:r w:rsidRPr="001214C2">
        <w:rPr>
          <w:sz w:val="34"/>
          <w:szCs w:val="34"/>
          <w:rtl/>
          <w:lang w:val="fr-CH"/>
        </w:rPr>
        <w:t xml:space="preserve"> وتقلبات أسعار الصرف. وتشمل العوامل الداخلية مستوى رسوم الطلبات الدولية مقارنة بمسارات </w:t>
      </w:r>
      <w:r w:rsidRPr="001214C2">
        <w:rPr>
          <w:rFonts w:hint="cs"/>
          <w:sz w:val="34"/>
          <w:szCs w:val="34"/>
          <w:rtl/>
          <w:lang w:val="fr-CH"/>
        </w:rPr>
        <w:t>ا</w:t>
      </w:r>
      <w:r w:rsidRPr="001214C2">
        <w:rPr>
          <w:sz w:val="34"/>
          <w:szCs w:val="34"/>
          <w:rtl/>
          <w:lang w:val="fr-CH"/>
        </w:rPr>
        <w:t>لإيداع</w:t>
      </w:r>
      <w:r w:rsidRPr="001214C2">
        <w:rPr>
          <w:rFonts w:hint="cs"/>
          <w:sz w:val="34"/>
          <w:szCs w:val="34"/>
          <w:rtl/>
          <w:lang w:val="fr-CH"/>
        </w:rPr>
        <w:t xml:space="preserve"> الأخرى؛</w:t>
      </w:r>
      <w:r w:rsidRPr="001214C2">
        <w:rPr>
          <w:sz w:val="34"/>
          <w:szCs w:val="34"/>
          <w:rtl/>
          <w:lang w:val="fr-CH"/>
        </w:rPr>
        <w:t xml:space="preserve"> ومدى الإقبال على خدمات معاهدة</w:t>
      </w:r>
      <w:r w:rsidRPr="001214C2">
        <w:rPr>
          <w:rFonts w:hint="cs"/>
          <w:sz w:val="34"/>
          <w:szCs w:val="34"/>
          <w:rtl/>
          <w:lang w:val="fr-CH"/>
        </w:rPr>
        <w:t xml:space="preserve"> التعاون بشأن</w:t>
      </w:r>
      <w:r w:rsidRPr="001214C2">
        <w:rPr>
          <w:sz w:val="34"/>
          <w:szCs w:val="34"/>
          <w:rtl/>
          <w:lang w:val="fr-CH"/>
        </w:rPr>
        <w:t xml:space="preserve"> البراءات وقيمتها مقارنة بمسارات الإيداع الأخرى</w:t>
      </w:r>
      <w:r w:rsidRPr="001214C2">
        <w:rPr>
          <w:rFonts w:hint="cs"/>
          <w:sz w:val="34"/>
          <w:szCs w:val="34"/>
          <w:rtl/>
          <w:lang w:val="fr-CH"/>
        </w:rPr>
        <w:t>؛</w:t>
      </w:r>
      <w:r w:rsidRPr="001214C2">
        <w:rPr>
          <w:sz w:val="34"/>
          <w:szCs w:val="34"/>
          <w:rtl/>
          <w:lang w:val="fr-CH"/>
        </w:rPr>
        <w:t xml:space="preserve"> ومصداقية أداء نظام البراءات إجمالا</w:t>
      </w:r>
      <w:r w:rsidRPr="001214C2">
        <w:rPr>
          <w:rFonts w:hint="cs"/>
          <w:sz w:val="34"/>
          <w:szCs w:val="34"/>
          <w:rtl/>
          <w:lang w:val="fr-CH"/>
        </w:rPr>
        <w:t>؛</w:t>
      </w:r>
      <w:r w:rsidRPr="001214C2">
        <w:rPr>
          <w:sz w:val="34"/>
          <w:szCs w:val="34"/>
          <w:rtl/>
          <w:lang w:val="fr-CH"/>
        </w:rPr>
        <w:t xml:space="preserve"> واستراتيجيات</w:t>
      </w:r>
      <w:r w:rsidRPr="001214C2">
        <w:rPr>
          <w:rFonts w:hint="cs"/>
          <w:sz w:val="34"/>
          <w:szCs w:val="34"/>
          <w:rtl/>
          <w:lang w:val="fr-CH"/>
        </w:rPr>
        <w:t xml:space="preserve"> فرادى</w:t>
      </w:r>
      <w:r w:rsidRPr="001214C2">
        <w:rPr>
          <w:sz w:val="34"/>
          <w:szCs w:val="34"/>
          <w:rtl/>
          <w:lang w:val="fr-CH"/>
        </w:rPr>
        <w:t xml:space="preserve"> الشركات في مجال البراءات.</w:t>
      </w:r>
    </w:p>
    <w:p w:rsidR="00861CFF" w:rsidRPr="001214C2" w:rsidRDefault="00861CFF" w:rsidP="00861CFF">
      <w:pPr>
        <w:pStyle w:val="NumberedParaAR"/>
        <w:numPr>
          <w:ilvl w:val="0"/>
          <w:numId w:val="47"/>
        </w:numPr>
        <w:spacing w:after="120" w:line="340" w:lineRule="atLeast"/>
        <w:rPr>
          <w:sz w:val="34"/>
          <w:szCs w:val="34"/>
          <w:rtl/>
          <w:lang w:val="fr-CH"/>
        </w:rPr>
      </w:pPr>
      <w:r w:rsidRPr="001214C2">
        <w:rPr>
          <w:sz w:val="34"/>
          <w:szCs w:val="34"/>
          <w:rtl/>
          <w:lang w:val="fr-CH"/>
        </w:rPr>
        <w:t xml:space="preserve">ويؤثر تصرّف مودعي الطلبات في إيرادات معاهدة </w:t>
      </w:r>
      <w:r w:rsidRPr="001214C2">
        <w:rPr>
          <w:rFonts w:hint="cs"/>
          <w:sz w:val="34"/>
          <w:szCs w:val="34"/>
          <w:rtl/>
          <w:lang w:val="fr-CH"/>
        </w:rPr>
        <w:t xml:space="preserve">التعاون بشأن </w:t>
      </w:r>
      <w:r w:rsidRPr="001214C2">
        <w:rPr>
          <w:sz w:val="34"/>
          <w:szCs w:val="34"/>
          <w:rtl/>
          <w:lang w:val="fr-CH"/>
        </w:rPr>
        <w:t>البراءات على النحو التالي:</w:t>
      </w:r>
    </w:p>
    <w:p w:rsidR="00861CFF" w:rsidRPr="001214C2" w:rsidRDefault="00861CFF" w:rsidP="00862268">
      <w:pPr>
        <w:spacing w:after="120" w:line="340" w:lineRule="atLeast"/>
        <w:ind w:left="565"/>
        <w:rPr>
          <w:rFonts w:ascii="Arabic Typesetting" w:hAnsi="Arabic Typesetting" w:cs="Arabic Typesetting"/>
          <w:sz w:val="34"/>
          <w:szCs w:val="34"/>
          <w:rtl/>
          <w:lang w:val="fr-CH"/>
        </w:rPr>
      </w:pPr>
      <w:r w:rsidRPr="001214C2">
        <w:rPr>
          <w:rFonts w:ascii="Arabic Typesetting" w:hAnsi="Arabic Typesetting" w:cs="Arabic Typesetting"/>
          <w:sz w:val="34"/>
          <w:szCs w:val="34"/>
          <w:rtl/>
          <w:lang w:val="fr-CH"/>
        </w:rPr>
        <w:t>"1"</w:t>
      </w:r>
      <w:r w:rsidRPr="001214C2">
        <w:rPr>
          <w:rFonts w:ascii="Arabic Typesetting" w:hAnsi="Arabic Typesetting" w:cs="Arabic Typesetting"/>
          <w:sz w:val="34"/>
          <w:szCs w:val="34"/>
          <w:rtl/>
          <w:lang w:val="fr-CH"/>
        </w:rPr>
        <w:tab/>
      </w:r>
      <w:r w:rsidRPr="001214C2">
        <w:rPr>
          <w:rFonts w:ascii="Arabic Typesetting" w:hAnsi="Arabic Typesetting" w:cs="Arabic Typesetting"/>
          <w:sz w:val="34"/>
          <w:szCs w:val="34"/>
          <w:u w:val="single"/>
          <w:rtl/>
          <w:lang w:val="fr-CH"/>
        </w:rPr>
        <w:t>رسم الصفحة</w:t>
      </w:r>
      <w:r w:rsidRPr="001214C2">
        <w:rPr>
          <w:rFonts w:ascii="Arabic Typesetting" w:hAnsi="Arabic Typesetting" w:cs="Arabic Typesetting"/>
          <w:sz w:val="34"/>
          <w:szCs w:val="34"/>
          <w:rtl/>
          <w:lang w:val="fr-CH"/>
        </w:rPr>
        <w:t>: يتلقى المكتب الدولي 15 فرنكا سويسريا عن كل صفحة بعد الصفحة الثلاثين في الطلب.</w:t>
      </w:r>
    </w:p>
    <w:p w:rsidR="00861CFF" w:rsidRPr="001214C2" w:rsidRDefault="00861CFF" w:rsidP="00862268">
      <w:pPr>
        <w:spacing w:after="120" w:line="340" w:lineRule="atLeast"/>
        <w:ind w:left="-2" w:firstLine="567"/>
        <w:rPr>
          <w:rFonts w:ascii="Arabic Typesetting" w:hAnsi="Arabic Typesetting" w:cs="Arabic Typesetting"/>
          <w:sz w:val="34"/>
          <w:szCs w:val="34"/>
          <w:rtl/>
          <w:lang w:val="fr-CH"/>
        </w:rPr>
      </w:pPr>
      <w:r w:rsidRPr="001214C2">
        <w:rPr>
          <w:rFonts w:ascii="Arabic Typesetting" w:hAnsi="Arabic Typesetting" w:cs="Arabic Typesetting"/>
          <w:sz w:val="34"/>
          <w:szCs w:val="34"/>
          <w:rtl/>
          <w:lang w:val="fr-CH"/>
        </w:rPr>
        <w:t>"2"</w:t>
      </w:r>
      <w:r w:rsidRPr="001214C2">
        <w:rPr>
          <w:rFonts w:ascii="Arabic Typesetting" w:hAnsi="Arabic Typesetting" w:cs="Arabic Typesetting"/>
          <w:sz w:val="34"/>
          <w:szCs w:val="34"/>
          <w:rtl/>
          <w:lang w:val="fr-CH"/>
        </w:rPr>
        <w:tab/>
      </w:r>
      <w:r w:rsidRPr="001214C2">
        <w:rPr>
          <w:rFonts w:ascii="Arabic Typesetting" w:hAnsi="Arabic Typesetting" w:cs="Arabic Typesetting"/>
          <w:sz w:val="34"/>
          <w:szCs w:val="34"/>
          <w:u w:val="single"/>
          <w:rtl/>
          <w:lang w:val="fr-CH"/>
        </w:rPr>
        <w:t>الفحص التمهيدي</w:t>
      </w:r>
      <w:r w:rsidRPr="001214C2">
        <w:rPr>
          <w:rFonts w:ascii="Arabic Typesetting" w:hAnsi="Arabic Typesetting" w:cs="Arabic Typesetting"/>
          <w:sz w:val="34"/>
          <w:szCs w:val="34"/>
          <w:rtl/>
          <w:lang w:val="fr-CH"/>
        </w:rPr>
        <w:t xml:space="preserve"> الدولي: على مودعي الطلبات المستعينين بالفحص التمهيدي الدولي بناء على الفصل الثاني من المعاهدة تسديد رسم إضافي ("رسم المعالجة").</w:t>
      </w:r>
    </w:p>
    <w:p w:rsidR="00861CFF" w:rsidRPr="001214C2" w:rsidRDefault="00861CFF" w:rsidP="00862268">
      <w:pPr>
        <w:spacing w:after="120" w:line="340" w:lineRule="atLeast"/>
        <w:ind w:left="-2" w:firstLine="567"/>
        <w:rPr>
          <w:rFonts w:ascii="Arabic Typesetting" w:hAnsi="Arabic Typesetting" w:cs="Arabic Typesetting"/>
          <w:sz w:val="34"/>
          <w:szCs w:val="34"/>
          <w:rtl/>
          <w:lang w:val="fr-CH"/>
        </w:rPr>
      </w:pPr>
      <w:r w:rsidRPr="001214C2">
        <w:rPr>
          <w:rFonts w:ascii="Arabic Typesetting" w:hAnsi="Arabic Typesetting" w:cs="Arabic Typesetting"/>
          <w:sz w:val="34"/>
          <w:szCs w:val="34"/>
          <w:rtl/>
          <w:lang w:val="fr-CH"/>
        </w:rPr>
        <w:t>"3"</w:t>
      </w:r>
      <w:r w:rsidRPr="001214C2">
        <w:rPr>
          <w:rFonts w:ascii="Arabic Typesetting" w:hAnsi="Arabic Typesetting" w:cs="Arabic Typesetting"/>
          <w:sz w:val="34"/>
          <w:szCs w:val="34"/>
          <w:rtl/>
          <w:lang w:val="fr-CH"/>
        </w:rPr>
        <w:tab/>
      </w:r>
      <w:r w:rsidRPr="001214C2">
        <w:rPr>
          <w:rFonts w:ascii="Arabic Typesetting" w:hAnsi="Arabic Typesetting" w:cs="Arabic Typesetting"/>
          <w:sz w:val="34"/>
          <w:szCs w:val="34"/>
          <w:u w:val="single"/>
          <w:rtl/>
          <w:lang w:val="fr-CH"/>
        </w:rPr>
        <w:t>الإيداع الإلكتروني</w:t>
      </w:r>
      <w:r w:rsidRPr="001214C2">
        <w:rPr>
          <w:rFonts w:ascii="Arabic Typesetting" w:hAnsi="Arabic Typesetting" w:cs="Arabic Typesetting"/>
          <w:sz w:val="34"/>
          <w:szCs w:val="34"/>
          <w:rtl/>
          <w:lang w:val="fr-CH"/>
        </w:rPr>
        <w:t xml:space="preserve">: إذا اختار المودعون الوسائل الإلكترونية (بدلا من </w:t>
      </w:r>
      <w:r w:rsidRPr="001214C2">
        <w:rPr>
          <w:rFonts w:ascii="Arabic Typesetting" w:hAnsi="Arabic Typesetting" w:cs="Arabic Typesetting" w:hint="cs"/>
          <w:sz w:val="34"/>
          <w:szCs w:val="34"/>
          <w:rtl/>
          <w:lang w:val="fr-CH"/>
        </w:rPr>
        <w:t>الورقية</w:t>
      </w:r>
      <w:r w:rsidRPr="001214C2">
        <w:rPr>
          <w:rFonts w:ascii="Arabic Typesetting" w:hAnsi="Arabic Typesetting" w:cs="Arabic Typesetting"/>
          <w:sz w:val="34"/>
          <w:szCs w:val="34"/>
          <w:rtl/>
          <w:lang w:val="fr-CH"/>
        </w:rPr>
        <w:t>) استفادوا من تخفيضات.</w:t>
      </w:r>
    </w:p>
    <w:p w:rsidR="00861CFF" w:rsidRPr="001214C2" w:rsidRDefault="00861CFF" w:rsidP="00862268">
      <w:pPr>
        <w:spacing w:after="120" w:line="340" w:lineRule="atLeast"/>
        <w:ind w:left="-2" w:firstLine="567"/>
        <w:rPr>
          <w:rFonts w:ascii="Arabic Typesetting" w:hAnsi="Arabic Typesetting" w:cs="Arabic Typesetting"/>
          <w:sz w:val="34"/>
          <w:szCs w:val="34"/>
          <w:rtl/>
          <w:lang w:val="fr-CH"/>
        </w:rPr>
      </w:pPr>
      <w:r w:rsidRPr="001214C2">
        <w:rPr>
          <w:rFonts w:ascii="Arabic Typesetting" w:hAnsi="Arabic Typesetting" w:cs="Arabic Typesetting"/>
          <w:sz w:val="34"/>
          <w:szCs w:val="34"/>
          <w:rtl/>
          <w:lang w:val="fr-CH"/>
        </w:rPr>
        <w:t>"4"</w:t>
      </w:r>
      <w:r w:rsidRPr="001214C2">
        <w:rPr>
          <w:rFonts w:ascii="Arabic Typesetting" w:hAnsi="Arabic Typesetting" w:cs="Arabic Typesetting"/>
          <w:sz w:val="34"/>
          <w:szCs w:val="34"/>
          <w:rtl/>
          <w:lang w:val="fr-CH"/>
        </w:rPr>
        <w:tab/>
      </w:r>
      <w:r w:rsidRPr="001214C2">
        <w:rPr>
          <w:rFonts w:ascii="Arabic Typesetting" w:hAnsi="Arabic Typesetting" w:cs="Arabic Typesetting"/>
          <w:sz w:val="34"/>
          <w:szCs w:val="34"/>
          <w:u w:val="single"/>
          <w:rtl/>
          <w:lang w:val="fr-CH"/>
        </w:rPr>
        <w:t>المكتب الدولي بصفته مكتبا لتسلّم الطلبات</w:t>
      </w:r>
      <w:r w:rsidRPr="001214C2">
        <w:rPr>
          <w:rFonts w:ascii="Arabic Typesetting" w:hAnsi="Arabic Typesetting" w:cs="Arabic Typesetting"/>
          <w:sz w:val="34"/>
          <w:szCs w:val="34"/>
          <w:rtl/>
          <w:lang w:val="fr-CH"/>
        </w:rPr>
        <w:t>: على مودعي الطلبات الذين يختارون إيداع طلبهم لدى المكتب الدولي بصفته مكتبا لتسلم الطلبات أن يدفعوا رسما خاصا ("رسم التحويل").</w:t>
      </w:r>
    </w:p>
    <w:p w:rsidR="00861CFF" w:rsidRPr="001214C2" w:rsidRDefault="00861CFF" w:rsidP="001258BB">
      <w:pPr>
        <w:pStyle w:val="NumberedParaAR"/>
        <w:numPr>
          <w:ilvl w:val="0"/>
          <w:numId w:val="47"/>
        </w:numPr>
        <w:spacing w:after="120" w:line="340" w:lineRule="atLeast"/>
        <w:rPr>
          <w:sz w:val="34"/>
          <w:szCs w:val="34"/>
          <w:rtl/>
          <w:lang w:val="fr-CH"/>
        </w:rPr>
      </w:pPr>
      <w:r w:rsidRPr="001214C2">
        <w:rPr>
          <w:sz w:val="34"/>
          <w:szCs w:val="34"/>
          <w:rtl/>
          <w:lang w:val="fr-CH"/>
        </w:rPr>
        <w:t xml:space="preserve">ويرد في الفقرات التالية شرح مفصّل </w:t>
      </w:r>
      <w:r w:rsidRPr="001214C2">
        <w:rPr>
          <w:rFonts w:hint="cs"/>
          <w:sz w:val="34"/>
          <w:szCs w:val="34"/>
          <w:rtl/>
          <w:lang w:val="fr-CH"/>
        </w:rPr>
        <w:t>للتوقعات</w:t>
      </w:r>
      <w:r w:rsidRPr="001214C2">
        <w:rPr>
          <w:sz w:val="34"/>
          <w:szCs w:val="34"/>
          <w:rtl/>
          <w:lang w:val="fr-CH"/>
        </w:rPr>
        <w:t xml:space="preserve"> الراهنة بخصوص ما يلي: مستوى الطلب على الخدمات</w:t>
      </w:r>
      <w:r w:rsidRPr="001214C2">
        <w:rPr>
          <w:rFonts w:hint="cs"/>
          <w:sz w:val="34"/>
          <w:szCs w:val="34"/>
          <w:rtl/>
          <w:lang w:val="fr-CH"/>
        </w:rPr>
        <w:t>؛</w:t>
      </w:r>
      <w:r w:rsidRPr="001214C2">
        <w:rPr>
          <w:sz w:val="34"/>
          <w:szCs w:val="34"/>
          <w:rtl/>
          <w:lang w:val="fr-CH"/>
        </w:rPr>
        <w:t xml:space="preserve"> والمستوى المرتقب لطلبات الفحص التمهيدي الدولي المقدمة بناء على الفصل الثاني</w:t>
      </w:r>
      <w:r w:rsidRPr="001214C2">
        <w:rPr>
          <w:rFonts w:hint="cs"/>
          <w:sz w:val="34"/>
          <w:szCs w:val="34"/>
          <w:rtl/>
          <w:lang w:val="fr-CH"/>
        </w:rPr>
        <w:t xml:space="preserve"> من المعاهدة؛</w:t>
      </w:r>
      <w:r w:rsidRPr="001214C2">
        <w:rPr>
          <w:sz w:val="34"/>
          <w:szCs w:val="34"/>
          <w:rtl/>
          <w:lang w:val="fr-CH"/>
        </w:rPr>
        <w:t xml:space="preserve"> والمستوى المرتقب للإيداعات الإلكترونية</w:t>
      </w:r>
      <w:r w:rsidRPr="001214C2">
        <w:rPr>
          <w:rFonts w:hint="cs"/>
          <w:sz w:val="34"/>
          <w:szCs w:val="34"/>
          <w:rtl/>
          <w:lang w:val="fr-CH"/>
        </w:rPr>
        <w:t>؛</w:t>
      </w:r>
      <w:r w:rsidRPr="001214C2">
        <w:rPr>
          <w:sz w:val="34"/>
          <w:szCs w:val="34"/>
          <w:rtl/>
          <w:lang w:val="fr-CH"/>
        </w:rPr>
        <w:t xml:space="preserve"> والحالات المرتقبة للانتفاع بخدمات المكتب الدولي </w:t>
      </w:r>
      <w:r w:rsidRPr="001214C2">
        <w:rPr>
          <w:rFonts w:hint="cs"/>
          <w:sz w:val="34"/>
          <w:szCs w:val="34"/>
          <w:rtl/>
          <w:lang w:val="fr-CH"/>
        </w:rPr>
        <w:t>بصفته م</w:t>
      </w:r>
      <w:r w:rsidRPr="001214C2">
        <w:rPr>
          <w:sz w:val="34"/>
          <w:szCs w:val="34"/>
          <w:rtl/>
          <w:lang w:val="fr-CH"/>
        </w:rPr>
        <w:t>كتب</w:t>
      </w:r>
      <w:r w:rsidRPr="001214C2">
        <w:rPr>
          <w:rFonts w:hint="cs"/>
          <w:sz w:val="34"/>
          <w:szCs w:val="34"/>
          <w:rtl/>
          <w:lang w:val="fr-CH"/>
        </w:rPr>
        <w:t>ا</w:t>
      </w:r>
      <w:r w:rsidRPr="001214C2">
        <w:rPr>
          <w:sz w:val="34"/>
          <w:szCs w:val="34"/>
          <w:rtl/>
          <w:lang w:val="fr-CH"/>
        </w:rPr>
        <w:t xml:space="preserve"> لتسل</w:t>
      </w:r>
      <w:r w:rsidRPr="001214C2">
        <w:rPr>
          <w:rFonts w:hint="cs"/>
          <w:sz w:val="34"/>
          <w:szCs w:val="34"/>
          <w:rtl/>
          <w:lang w:val="fr-CH"/>
        </w:rPr>
        <w:t>ّ</w:t>
      </w:r>
      <w:r w:rsidRPr="001214C2">
        <w:rPr>
          <w:sz w:val="34"/>
          <w:szCs w:val="34"/>
          <w:rtl/>
          <w:lang w:val="fr-CH"/>
        </w:rPr>
        <w:t>م الطلبات.</w:t>
      </w:r>
      <w:r w:rsidR="001258BB" w:rsidRPr="001258BB">
        <w:rPr>
          <w:rStyle w:val="FootnoteReference"/>
          <w:rFonts w:cs="Arabic Typesetting"/>
          <w:sz w:val="24"/>
          <w:rtl/>
          <w:lang w:val="fr-CH"/>
        </w:rPr>
        <w:footnoteReference w:id="24"/>
      </w:r>
    </w:p>
    <w:p w:rsidR="00861CFF" w:rsidRPr="001214C2" w:rsidRDefault="00861CFF" w:rsidP="00862268">
      <w:pPr>
        <w:spacing w:after="120" w:line="340" w:lineRule="atLeast"/>
        <w:rPr>
          <w:rFonts w:ascii="Arabic Typesetting" w:hAnsi="Arabic Typesetting" w:cs="Arabic Typesetting"/>
          <w:i/>
          <w:iCs/>
          <w:sz w:val="34"/>
          <w:szCs w:val="34"/>
          <w:rtl/>
          <w:lang w:val="fr-CH"/>
        </w:rPr>
      </w:pPr>
      <w:r w:rsidRPr="001214C2">
        <w:rPr>
          <w:rFonts w:ascii="Arabic Typesetting" w:hAnsi="Arabic Typesetting" w:cs="Arabic Typesetting" w:hint="cs"/>
          <w:i/>
          <w:iCs/>
          <w:sz w:val="34"/>
          <w:szCs w:val="34"/>
          <w:rtl/>
          <w:lang w:val="fr-CH"/>
        </w:rPr>
        <w:t>توقعات</w:t>
      </w:r>
      <w:r w:rsidRPr="001214C2">
        <w:rPr>
          <w:rFonts w:ascii="Arabic Typesetting" w:hAnsi="Arabic Typesetting" w:cs="Arabic Typesetting"/>
          <w:i/>
          <w:iCs/>
          <w:sz w:val="34"/>
          <w:szCs w:val="34"/>
          <w:rtl/>
          <w:lang w:val="fr-CH"/>
        </w:rPr>
        <w:t xml:space="preserve"> الإيداع بناء على معاهدة</w:t>
      </w:r>
      <w:r w:rsidRPr="001214C2">
        <w:rPr>
          <w:rFonts w:ascii="Arabic Typesetting" w:hAnsi="Arabic Typesetting" w:cs="Arabic Typesetting" w:hint="cs"/>
          <w:i/>
          <w:iCs/>
          <w:sz w:val="34"/>
          <w:szCs w:val="34"/>
          <w:rtl/>
          <w:lang w:val="fr-CH"/>
        </w:rPr>
        <w:t xml:space="preserve"> التعاون بشأن</w:t>
      </w:r>
      <w:r w:rsidRPr="001214C2">
        <w:rPr>
          <w:rFonts w:ascii="Arabic Typesetting" w:hAnsi="Arabic Typesetting" w:cs="Arabic Typesetting"/>
          <w:i/>
          <w:iCs/>
          <w:sz w:val="34"/>
          <w:szCs w:val="34"/>
          <w:rtl/>
          <w:lang w:val="fr-CH"/>
        </w:rPr>
        <w:t xml:space="preserve"> البراءات (الطلب على الخدمات)</w:t>
      </w:r>
    </w:p>
    <w:p w:rsidR="00861CFF" w:rsidRDefault="00861CFF" w:rsidP="00861CFF">
      <w:pPr>
        <w:pStyle w:val="NumberedParaAR"/>
        <w:numPr>
          <w:ilvl w:val="0"/>
          <w:numId w:val="47"/>
        </w:numPr>
        <w:spacing w:after="120" w:line="340" w:lineRule="atLeast"/>
        <w:rPr>
          <w:sz w:val="34"/>
          <w:szCs w:val="34"/>
          <w:lang w:val="fr-CH"/>
        </w:rPr>
      </w:pPr>
      <w:r w:rsidRPr="001214C2">
        <w:rPr>
          <w:rFonts w:hint="cs"/>
          <w:sz w:val="34"/>
          <w:szCs w:val="34"/>
          <w:rtl/>
          <w:lang w:val="fr-CH"/>
        </w:rPr>
        <w:t xml:space="preserve">بعد أن انخفض الإيداع بناء على معاهدة التعاون بشأن البراءات انخفاضا شديدا في سنة 2009 بنسبة قاربت 5 </w:t>
      </w:r>
      <w:r>
        <w:rPr>
          <w:rFonts w:hint="cs"/>
          <w:sz w:val="34"/>
          <w:szCs w:val="34"/>
          <w:rtl/>
          <w:lang w:val="fr-CH"/>
        </w:rPr>
        <w:t xml:space="preserve">بالمائة </w:t>
      </w:r>
      <w:r w:rsidRPr="001214C2">
        <w:rPr>
          <w:rFonts w:hint="cs"/>
          <w:sz w:val="34"/>
          <w:szCs w:val="34"/>
          <w:rtl/>
          <w:lang w:val="fr-CH"/>
        </w:rPr>
        <w:t>من عام لآخر، سجل ارتفاعا</w:t>
      </w:r>
      <w:r>
        <w:rPr>
          <w:rFonts w:hint="cs"/>
          <w:sz w:val="34"/>
          <w:szCs w:val="34"/>
          <w:rtl/>
          <w:lang w:val="fr-CH"/>
        </w:rPr>
        <w:t xml:space="preserve"> كبيرا</w:t>
      </w:r>
      <w:r w:rsidRPr="001214C2">
        <w:rPr>
          <w:rFonts w:hint="cs"/>
          <w:sz w:val="34"/>
          <w:szCs w:val="34"/>
          <w:rtl/>
          <w:lang w:val="fr-CH"/>
        </w:rPr>
        <w:t xml:space="preserve"> </w:t>
      </w:r>
      <w:r>
        <w:rPr>
          <w:rFonts w:hint="cs"/>
          <w:sz w:val="34"/>
          <w:szCs w:val="34"/>
          <w:rtl/>
          <w:lang w:val="fr-CH"/>
        </w:rPr>
        <w:t>في السنوات الأخيرة</w:t>
      </w:r>
      <w:r w:rsidRPr="001214C2">
        <w:rPr>
          <w:rFonts w:hint="cs"/>
          <w:sz w:val="34"/>
          <w:szCs w:val="34"/>
          <w:rtl/>
          <w:lang w:val="fr-CH"/>
        </w:rPr>
        <w:t>. و</w:t>
      </w:r>
      <w:r w:rsidRPr="001214C2">
        <w:rPr>
          <w:sz w:val="34"/>
          <w:szCs w:val="34"/>
          <w:rtl/>
          <w:lang w:val="fr-CH"/>
        </w:rPr>
        <w:t>يوضح ال</w:t>
      </w:r>
      <w:r>
        <w:rPr>
          <w:sz w:val="34"/>
          <w:szCs w:val="34"/>
          <w:rtl/>
          <w:lang w:val="fr-CH"/>
        </w:rPr>
        <w:t>شكل</w:t>
      </w:r>
      <w:r w:rsidRPr="001214C2">
        <w:rPr>
          <w:sz w:val="34"/>
          <w:szCs w:val="34"/>
          <w:rtl/>
          <w:lang w:val="fr-CH"/>
        </w:rPr>
        <w:t xml:space="preserve"> 1 عدد </w:t>
      </w:r>
      <w:r w:rsidRPr="001214C2">
        <w:rPr>
          <w:rFonts w:hint="cs"/>
          <w:sz w:val="34"/>
          <w:szCs w:val="34"/>
          <w:rtl/>
          <w:lang w:val="fr-CH"/>
        </w:rPr>
        <w:t xml:space="preserve">الطلبات المتوقع إيداعها بناء على معاهدة التعاون بشأن البراءات </w:t>
      </w:r>
      <w:r w:rsidRPr="001214C2">
        <w:rPr>
          <w:sz w:val="34"/>
          <w:szCs w:val="34"/>
          <w:rtl/>
          <w:lang w:val="fr-CH"/>
        </w:rPr>
        <w:t>في الفترة من</w:t>
      </w:r>
      <w:r w:rsidRPr="001214C2">
        <w:rPr>
          <w:rFonts w:hint="cs"/>
          <w:sz w:val="34"/>
          <w:szCs w:val="34"/>
          <w:rtl/>
          <w:lang w:val="fr-CH"/>
        </w:rPr>
        <w:t xml:space="preserve"> سنة</w:t>
      </w:r>
      <w:r w:rsidRPr="001214C2">
        <w:rPr>
          <w:sz w:val="34"/>
          <w:szCs w:val="34"/>
          <w:rtl/>
          <w:lang w:val="fr-CH"/>
        </w:rPr>
        <w:t xml:space="preserve"> </w:t>
      </w:r>
      <w:r>
        <w:rPr>
          <w:rFonts w:hint="cs"/>
          <w:sz w:val="34"/>
          <w:szCs w:val="34"/>
          <w:rtl/>
          <w:lang w:val="fr-CH"/>
        </w:rPr>
        <w:t>2014</w:t>
      </w:r>
      <w:r w:rsidRPr="001214C2">
        <w:rPr>
          <w:sz w:val="34"/>
          <w:szCs w:val="34"/>
          <w:rtl/>
          <w:lang w:val="fr-CH"/>
        </w:rPr>
        <w:t xml:space="preserve"> إلى</w:t>
      </w:r>
      <w:r w:rsidRPr="001214C2">
        <w:rPr>
          <w:rFonts w:hint="cs"/>
          <w:sz w:val="34"/>
          <w:szCs w:val="34"/>
          <w:rtl/>
          <w:lang w:val="fr-CH"/>
        </w:rPr>
        <w:t xml:space="preserve"> سنة</w:t>
      </w:r>
      <w:r w:rsidRPr="001214C2">
        <w:rPr>
          <w:sz w:val="34"/>
          <w:szCs w:val="34"/>
          <w:rtl/>
          <w:lang w:val="fr-CH"/>
        </w:rPr>
        <w:t xml:space="preserve"> </w:t>
      </w:r>
      <w:r>
        <w:rPr>
          <w:rFonts w:hint="cs"/>
          <w:sz w:val="34"/>
          <w:szCs w:val="34"/>
          <w:rtl/>
          <w:lang w:val="fr-CH"/>
        </w:rPr>
        <w:t>2017</w:t>
      </w:r>
      <w:r w:rsidRPr="001214C2">
        <w:rPr>
          <w:rFonts w:hint="cs"/>
          <w:sz w:val="34"/>
          <w:szCs w:val="34"/>
          <w:rtl/>
          <w:lang w:val="fr-CH"/>
        </w:rPr>
        <w:t xml:space="preserve"> (بالاستناد إلى البيانات المتاحة في نهاية يناير </w:t>
      </w:r>
      <w:r>
        <w:rPr>
          <w:rFonts w:hint="cs"/>
          <w:sz w:val="34"/>
          <w:szCs w:val="34"/>
          <w:rtl/>
          <w:lang w:val="fr-CH"/>
        </w:rPr>
        <w:t>2015</w:t>
      </w:r>
      <w:r w:rsidRPr="001214C2">
        <w:rPr>
          <w:rFonts w:hint="cs"/>
          <w:sz w:val="34"/>
          <w:szCs w:val="34"/>
          <w:rtl/>
          <w:lang w:val="fr-CH"/>
        </w:rPr>
        <w:t>).</w:t>
      </w:r>
    </w:p>
    <w:p w:rsidR="00861CFF" w:rsidRPr="001214C2" w:rsidRDefault="00861CFF" w:rsidP="00DA5475">
      <w:pPr>
        <w:pStyle w:val="NumberedParaAR"/>
        <w:keepNext/>
        <w:numPr>
          <w:ilvl w:val="0"/>
          <w:numId w:val="0"/>
        </w:numPr>
        <w:spacing w:after="120" w:line="340" w:lineRule="atLeast"/>
        <w:jc w:val="center"/>
        <w:rPr>
          <w:sz w:val="34"/>
          <w:szCs w:val="34"/>
          <w:lang w:val="fr-CH"/>
        </w:rPr>
      </w:pPr>
      <w:r>
        <w:rPr>
          <w:rFonts w:hint="cs"/>
          <w:sz w:val="34"/>
          <w:szCs w:val="34"/>
          <w:rtl/>
          <w:lang w:val="fr-CH"/>
        </w:rPr>
        <w:lastRenderedPageBreak/>
        <w:t>الشكل 1. طلبات معاهدة البراءات من 2012 إلى 2017</w:t>
      </w:r>
    </w:p>
    <w:p w:rsidR="00861CFF" w:rsidRPr="00C16521" w:rsidRDefault="00861CFF" w:rsidP="00862268">
      <w:pPr>
        <w:tabs>
          <w:tab w:val="left" w:pos="3211"/>
        </w:tabs>
        <w:jc w:val="center"/>
        <w:rPr>
          <w:highlight w:val="yellow"/>
          <w:rtl/>
        </w:rPr>
      </w:pPr>
      <w:r>
        <w:rPr>
          <w:noProof/>
          <w:lang w:bidi="ar-SA"/>
        </w:rPr>
        <w:drawing>
          <wp:inline distT="0" distB="0" distL="0" distR="0" wp14:anchorId="3EF1A3BD" wp14:editId="5723527C">
            <wp:extent cx="5168347" cy="2925344"/>
            <wp:effectExtent l="0" t="0" r="0" b="889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174329" cy="2928730"/>
                    </a:xfrm>
                    <a:prstGeom prst="rect">
                      <a:avLst/>
                    </a:prstGeom>
                    <a:noFill/>
                  </pic:spPr>
                </pic:pic>
              </a:graphicData>
            </a:graphic>
          </wp:inline>
        </w:drawing>
      </w:r>
    </w:p>
    <w:p w:rsidR="00861CFF" w:rsidRPr="00C16521" w:rsidRDefault="00861CFF" w:rsidP="00862268">
      <w:pPr>
        <w:spacing w:after="120"/>
        <w:jc w:val="center"/>
        <w:rPr>
          <w:rFonts w:ascii="Arabic Typesetting" w:hAnsi="Arabic Typesetting" w:cs="Arabic Typesetting"/>
          <w:sz w:val="36"/>
          <w:szCs w:val="36"/>
          <w:highlight w:val="yellow"/>
          <w:rtl/>
          <w:lang w:val="fr-CH"/>
        </w:rPr>
      </w:pPr>
      <w:r w:rsidRPr="008C1E37">
        <w:rPr>
          <w:noProof/>
          <w:szCs w:val="20"/>
          <w:rtl/>
          <w:lang w:bidi="ar-SA"/>
        </w:rPr>
        <w:drawing>
          <wp:inline distT="0" distB="0" distL="0" distR="0" wp14:anchorId="01203B10" wp14:editId="4C868A63">
            <wp:extent cx="4857115" cy="723900"/>
            <wp:effectExtent l="0" t="0" r="635"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857115" cy="723900"/>
                    </a:xfrm>
                    <a:prstGeom prst="rect">
                      <a:avLst/>
                    </a:prstGeom>
                    <a:noFill/>
                    <a:ln>
                      <a:noFill/>
                    </a:ln>
                  </pic:spPr>
                </pic:pic>
              </a:graphicData>
            </a:graphic>
          </wp:inline>
        </w:drawing>
      </w:r>
    </w:p>
    <w:p w:rsidR="00861CFF" w:rsidRPr="004F14DE" w:rsidRDefault="00861CFF" w:rsidP="00861CFF">
      <w:pPr>
        <w:pStyle w:val="NumberedParaAR"/>
        <w:numPr>
          <w:ilvl w:val="0"/>
          <w:numId w:val="47"/>
        </w:numPr>
        <w:spacing w:after="0" w:line="340" w:lineRule="exact"/>
        <w:rPr>
          <w:sz w:val="34"/>
          <w:szCs w:val="34"/>
          <w:lang w:val="fr-CH"/>
        </w:rPr>
      </w:pPr>
      <w:r w:rsidRPr="004F14DE">
        <w:rPr>
          <w:rFonts w:hint="cs"/>
          <w:sz w:val="34"/>
          <w:szCs w:val="34"/>
          <w:rtl/>
          <w:lang w:val="fr-CH"/>
        </w:rPr>
        <w:t>ويوضح ال</w:t>
      </w:r>
      <w:r>
        <w:rPr>
          <w:rFonts w:hint="cs"/>
          <w:sz w:val="34"/>
          <w:szCs w:val="34"/>
          <w:rtl/>
          <w:lang w:val="fr-CH"/>
        </w:rPr>
        <w:t>شكل</w:t>
      </w:r>
      <w:r w:rsidRPr="004F14DE">
        <w:rPr>
          <w:rFonts w:hint="cs"/>
          <w:sz w:val="34"/>
          <w:szCs w:val="34"/>
          <w:rtl/>
          <w:lang w:val="fr-CH"/>
        </w:rPr>
        <w:t xml:space="preserve"> 2 أدناه أعداد الطلبات المودعة المتوقعة بحسب بلدان المنشأ</w:t>
      </w:r>
    </w:p>
    <w:p w:rsidR="00861CFF" w:rsidRPr="008C1E37" w:rsidRDefault="00861CFF" w:rsidP="00DA5475">
      <w:pPr>
        <w:pStyle w:val="NumberedParaAR"/>
        <w:keepNext/>
        <w:numPr>
          <w:ilvl w:val="0"/>
          <w:numId w:val="0"/>
        </w:numPr>
        <w:spacing w:after="120" w:line="340" w:lineRule="atLeast"/>
        <w:jc w:val="center"/>
        <w:rPr>
          <w:sz w:val="34"/>
          <w:szCs w:val="34"/>
          <w:rtl/>
          <w:lang w:val="fr-CH"/>
        </w:rPr>
      </w:pPr>
      <w:r w:rsidRPr="008C1E37">
        <w:rPr>
          <w:sz w:val="34"/>
          <w:szCs w:val="34"/>
          <w:rtl/>
          <w:lang w:val="fr-CH"/>
        </w:rPr>
        <w:t xml:space="preserve">الشكل 2 – الإيداعات بناء على معاهدة التعاون بشأن البراءات من بلدان مختارة من سنة </w:t>
      </w:r>
      <w:r w:rsidRPr="008C1E37">
        <w:rPr>
          <w:rFonts w:hint="cs"/>
          <w:sz w:val="34"/>
          <w:szCs w:val="34"/>
          <w:rtl/>
          <w:lang w:val="fr-CH"/>
        </w:rPr>
        <w:t>2014</w:t>
      </w:r>
      <w:r w:rsidRPr="008C1E37">
        <w:rPr>
          <w:sz w:val="34"/>
          <w:szCs w:val="34"/>
          <w:rtl/>
          <w:lang w:val="fr-CH"/>
        </w:rPr>
        <w:t xml:space="preserve"> إلى سنة </w:t>
      </w:r>
      <w:r w:rsidRPr="008C1E37">
        <w:rPr>
          <w:rFonts w:hint="cs"/>
          <w:sz w:val="34"/>
          <w:szCs w:val="34"/>
          <w:rtl/>
          <w:lang w:val="fr-CH"/>
        </w:rPr>
        <w:t>2017</w:t>
      </w:r>
    </w:p>
    <w:p w:rsidR="00861CFF" w:rsidRPr="00C16521" w:rsidRDefault="00861CFF" w:rsidP="00862268">
      <w:pPr>
        <w:spacing w:after="120"/>
        <w:jc w:val="center"/>
        <w:rPr>
          <w:rFonts w:ascii="Arabic Typesetting" w:hAnsi="Arabic Typesetting" w:cs="Arabic Typesetting"/>
          <w:sz w:val="36"/>
          <w:szCs w:val="36"/>
          <w:highlight w:val="yellow"/>
          <w:rtl/>
          <w:lang w:val="fr-CH"/>
        </w:rPr>
      </w:pPr>
      <w:r w:rsidRPr="00C477E8">
        <w:rPr>
          <w:noProof/>
          <w:szCs w:val="20"/>
          <w:rtl/>
          <w:lang w:bidi="ar-SA"/>
        </w:rPr>
        <w:drawing>
          <wp:inline distT="0" distB="0" distL="0" distR="0" wp14:anchorId="6077CCEF" wp14:editId="6EFDD160">
            <wp:extent cx="3123565" cy="3584575"/>
            <wp:effectExtent l="0" t="0" r="635"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123565" cy="3584575"/>
                    </a:xfrm>
                    <a:prstGeom prst="rect">
                      <a:avLst/>
                    </a:prstGeom>
                    <a:noFill/>
                    <a:ln>
                      <a:noFill/>
                    </a:ln>
                  </pic:spPr>
                </pic:pic>
              </a:graphicData>
            </a:graphic>
          </wp:inline>
        </w:drawing>
      </w:r>
    </w:p>
    <w:p w:rsidR="00861CFF" w:rsidRDefault="00861CFF" w:rsidP="00861CFF">
      <w:pPr>
        <w:pStyle w:val="NumberedParaAR"/>
        <w:numPr>
          <w:ilvl w:val="0"/>
          <w:numId w:val="47"/>
        </w:numPr>
        <w:spacing w:after="120" w:line="340" w:lineRule="exact"/>
        <w:rPr>
          <w:sz w:val="34"/>
          <w:szCs w:val="34"/>
          <w:lang w:val="fr-CH"/>
        </w:rPr>
      </w:pPr>
      <w:r w:rsidRPr="004F14DE">
        <w:rPr>
          <w:rFonts w:hint="cs"/>
          <w:sz w:val="34"/>
          <w:szCs w:val="34"/>
          <w:rtl/>
          <w:lang w:val="fr-CH"/>
        </w:rPr>
        <w:t>ومن المرجح أن يقع عدد الطلبات في طائفة من بعض الاحتمالات. ويبين ال</w:t>
      </w:r>
      <w:r>
        <w:rPr>
          <w:rFonts w:hint="cs"/>
          <w:sz w:val="34"/>
          <w:szCs w:val="34"/>
          <w:rtl/>
          <w:lang w:val="fr-CH"/>
        </w:rPr>
        <w:t>شكل</w:t>
      </w:r>
      <w:r w:rsidRPr="004F14DE">
        <w:rPr>
          <w:rFonts w:hint="cs"/>
          <w:sz w:val="34"/>
          <w:szCs w:val="34"/>
          <w:rtl/>
          <w:lang w:val="fr-CH"/>
        </w:rPr>
        <w:t xml:space="preserve"> البياني والجدول التاليان التوزيع الاحتمالي للإيداعات.</w:t>
      </w:r>
    </w:p>
    <w:p w:rsidR="00861CFF" w:rsidRDefault="00861CFF" w:rsidP="00DA5475">
      <w:pPr>
        <w:pStyle w:val="NumberedParaAR"/>
        <w:keepNext/>
        <w:numPr>
          <w:ilvl w:val="0"/>
          <w:numId w:val="0"/>
        </w:numPr>
        <w:spacing w:after="120" w:line="340" w:lineRule="atLeast"/>
        <w:jc w:val="center"/>
        <w:rPr>
          <w:sz w:val="34"/>
          <w:szCs w:val="34"/>
          <w:rtl/>
          <w:lang w:val="fr-CH"/>
        </w:rPr>
      </w:pPr>
      <w:r>
        <w:rPr>
          <w:rFonts w:hint="cs"/>
          <w:sz w:val="34"/>
          <w:szCs w:val="34"/>
          <w:rtl/>
          <w:lang w:val="fr-CH"/>
        </w:rPr>
        <w:lastRenderedPageBreak/>
        <w:t>التوزيع الاحتمالي للإيداعات المتوقعة</w:t>
      </w:r>
    </w:p>
    <w:p w:rsidR="00861CFF" w:rsidRPr="004F14DE" w:rsidRDefault="00861CFF" w:rsidP="00DA5475">
      <w:pPr>
        <w:pStyle w:val="NumberedParaAR"/>
        <w:keepNext/>
        <w:numPr>
          <w:ilvl w:val="0"/>
          <w:numId w:val="0"/>
        </w:numPr>
        <w:spacing w:after="120" w:line="340" w:lineRule="atLeast"/>
        <w:jc w:val="center"/>
        <w:rPr>
          <w:sz w:val="34"/>
          <w:szCs w:val="34"/>
          <w:lang w:val="fr-CH"/>
        </w:rPr>
      </w:pPr>
      <w:r>
        <w:rPr>
          <w:noProof/>
          <w:sz w:val="34"/>
          <w:szCs w:val="34"/>
        </w:rPr>
        <w:drawing>
          <wp:inline distT="0" distB="0" distL="0" distR="0" wp14:anchorId="1A5646F0" wp14:editId="7AEC30C9">
            <wp:extent cx="5499100" cy="3078480"/>
            <wp:effectExtent l="0" t="0" r="6350" b="762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499100" cy="3078480"/>
                    </a:xfrm>
                    <a:prstGeom prst="rect">
                      <a:avLst/>
                    </a:prstGeom>
                    <a:noFill/>
                  </pic:spPr>
                </pic:pic>
              </a:graphicData>
            </a:graphic>
          </wp:inline>
        </w:drawing>
      </w:r>
    </w:p>
    <w:p w:rsidR="00861CFF" w:rsidRPr="00C16521" w:rsidRDefault="00861CFF" w:rsidP="00862268">
      <w:pPr>
        <w:keepNext/>
        <w:jc w:val="center"/>
        <w:rPr>
          <w:rFonts w:ascii="Arabic Typesetting" w:hAnsi="Arabic Typesetting" w:cs="Arabic Typesetting"/>
          <w:sz w:val="30"/>
          <w:szCs w:val="30"/>
          <w:highlight w:val="yellow"/>
          <w:rtl/>
          <w:lang w:val="fr-CH"/>
        </w:rPr>
      </w:pPr>
    </w:p>
    <w:p w:rsidR="00861CFF" w:rsidRPr="00C477E8" w:rsidRDefault="00861CFF" w:rsidP="00DA5475">
      <w:pPr>
        <w:pStyle w:val="NumberedParaAR"/>
        <w:keepNext/>
        <w:numPr>
          <w:ilvl w:val="0"/>
          <w:numId w:val="0"/>
        </w:numPr>
        <w:spacing w:after="120" w:line="340" w:lineRule="atLeast"/>
        <w:jc w:val="center"/>
        <w:rPr>
          <w:sz w:val="34"/>
          <w:szCs w:val="34"/>
          <w:rtl/>
          <w:lang w:val="fr-CH"/>
        </w:rPr>
      </w:pPr>
      <w:r>
        <w:rPr>
          <w:sz w:val="34"/>
          <w:szCs w:val="34"/>
          <w:rtl/>
          <w:lang w:val="fr-CH"/>
        </w:rPr>
        <w:t>سيناريو</w:t>
      </w:r>
      <w:r w:rsidRPr="00C477E8">
        <w:rPr>
          <w:sz w:val="34"/>
          <w:szCs w:val="34"/>
          <w:rtl/>
          <w:lang w:val="fr-CH"/>
        </w:rPr>
        <w:t>هات طلبات معاهدة التعاون بشأن البراءات</w:t>
      </w:r>
    </w:p>
    <w:p w:rsidR="00861CFF" w:rsidRPr="00C16521" w:rsidRDefault="00861CFF" w:rsidP="00862268">
      <w:pPr>
        <w:keepNext/>
        <w:spacing w:after="120"/>
        <w:jc w:val="center"/>
        <w:rPr>
          <w:rFonts w:ascii="Arabic Typesetting" w:hAnsi="Arabic Typesetting" w:cs="Arabic Typesetting"/>
          <w:sz w:val="30"/>
          <w:szCs w:val="30"/>
          <w:highlight w:val="yellow"/>
          <w:lang w:val="fr-CH"/>
        </w:rPr>
      </w:pPr>
      <w:r w:rsidRPr="00C477E8">
        <w:rPr>
          <w:noProof/>
          <w:szCs w:val="20"/>
          <w:rtl/>
          <w:lang w:bidi="ar-SA"/>
        </w:rPr>
        <w:drawing>
          <wp:inline distT="0" distB="0" distL="0" distR="0" wp14:anchorId="521899C9" wp14:editId="14D09D26">
            <wp:extent cx="3160395" cy="3255010"/>
            <wp:effectExtent l="0" t="0" r="1905" b="254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160395" cy="3255010"/>
                    </a:xfrm>
                    <a:prstGeom prst="rect">
                      <a:avLst/>
                    </a:prstGeom>
                    <a:noFill/>
                    <a:ln>
                      <a:noFill/>
                    </a:ln>
                  </pic:spPr>
                </pic:pic>
              </a:graphicData>
            </a:graphic>
          </wp:inline>
        </w:drawing>
      </w:r>
    </w:p>
    <w:p w:rsidR="00861CFF" w:rsidRPr="00C16521" w:rsidRDefault="00861CFF" w:rsidP="00862268">
      <w:pPr>
        <w:pStyle w:val="NormalParaAR"/>
        <w:spacing w:after="120" w:line="240" w:lineRule="auto"/>
        <w:jc w:val="center"/>
        <w:rPr>
          <w:highlight w:val="yellow"/>
          <w:rtl/>
          <w:lang w:val="fr-CH" w:bidi="ar-EG"/>
        </w:rPr>
      </w:pPr>
    </w:p>
    <w:p w:rsidR="00861CFF" w:rsidRPr="004F14DE" w:rsidRDefault="00861CFF" w:rsidP="00862268">
      <w:pPr>
        <w:keepNext/>
        <w:spacing w:after="120" w:line="340" w:lineRule="exact"/>
        <w:jc w:val="both"/>
        <w:rPr>
          <w:rFonts w:ascii="Arabic Typesetting" w:hAnsi="Arabic Typesetting" w:cs="Arabic Typesetting"/>
          <w:i/>
          <w:iCs/>
          <w:sz w:val="34"/>
          <w:szCs w:val="34"/>
          <w:rtl/>
          <w:lang w:val="fr-CH"/>
        </w:rPr>
      </w:pPr>
      <w:r w:rsidRPr="004F14DE">
        <w:rPr>
          <w:rFonts w:ascii="Arabic Typesetting" w:hAnsi="Arabic Typesetting" w:cs="Arabic Typesetting"/>
          <w:i/>
          <w:iCs/>
          <w:sz w:val="34"/>
          <w:szCs w:val="34"/>
          <w:rtl/>
          <w:lang w:val="fr-CH"/>
        </w:rPr>
        <w:t xml:space="preserve">استخدام </w:t>
      </w:r>
      <w:r w:rsidRPr="004F14DE">
        <w:rPr>
          <w:rFonts w:ascii="Arabic Typesetting" w:hAnsi="Arabic Typesetting" w:cs="Arabic Typesetting" w:hint="cs"/>
          <w:i/>
          <w:iCs/>
          <w:sz w:val="34"/>
          <w:szCs w:val="34"/>
          <w:rtl/>
          <w:lang w:val="fr-CH"/>
        </w:rPr>
        <w:t>أساليب</w:t>
      </w:r>
      <w:r w:rsidRPr="004F14DE">
        <w:rPr>
          <w:rFonts w:ascii="Arabic Typesetting" w:hAnsi="Arabic Typesetting" w:cs="Arabic Typesetting"/>
          <w:i/>
          <w:iCs/>
          <w:sz w:val="34"/>
          <w:szCs w:val="34"/>
          <w:rtl/>
          <w:lang w:val="fr-CH"/>
        </w:rPr>
        <w:t xml:space="preserve"> الإيداع الإلكتروني</w:t>
      </w:r>
    </w:p>
    <w:p w:rsidR="00861CFF" w:rsidRPr="004F14DE" w:rsidRDefault="00861CFF" w:rsidP="00861CFF">
      <w:pPr>
        <w:pStyle w:val="NumberedParaAR"/>
        <w:numPr>
          <w:ilvl w:val="0"/>
          <w:numId w:val="47"/>
        </w:numPr>
        <w:spacing w:after="120" w:line="340" w:lineRule="exact"/>
        <w:rPr>
          <w:sz w:val="34"/>
          <w:szCs w:val="34"/>
          <w:lang w:val="fr-CH"/>
        </w:rPr>
      </w:pPr>
      <w:r w:rsidRPr="004F14DE">
        <w:rPr>
          <w:sz w:val="34"/>
          <w:szCs w:val="34"/>
          <w:rtl/>
          <w:lang w:val="fr-CH"/>
        </w:rPr>
        <w:t>يبيّن ال</w:t>
      </w:r>
      <w:r>
        <w:rPr>
          <w:sz w:val="34"/>
          <w:szCs w:val="34"/>
          <w:rtl/>
          <w:lang w:val="fr-CH"/>
        </w:rPr>
        <w:t>شكل</w:t>
      </w:r>
      <w:r w:rsidRPr="004F14DE">
        <w:rPr>
          <w:sz w:val="34"/>
          <w:szCs w:val="34"/>
          <w:rtl/>
          <w:lang w:val="fr-CH"/>
        </w:rPr>
        <w:t xml:space="preserve"> 4 </w:t>
      </w:r>
      <w:r w:rsidRPr="004F14DE">
        <w:rPr>
          <w:rFonts w:hint="cs"/>
          <w:sz w:val="34"/>
          <w:szCs w:val="34"/>
          <w:rtl/>
          <w:lang w:val="fr-CH"/>
        </w:rPr>
        <w:t xml:space="preserve">أدناه </w:t>
      </w:r>
      <w:r w:rsidRPr="004F14DE">
        <w:rPr>
          <w:sz w:val="34"/>
          <w:szCs w:val="34"/>
          <w:rtl/>
          <w:lang w:val="fr-CH"/>
        </w:rPr>
        <w:t xml:space="preserve">تقديرات استخدام </w:t>
      </w:r>
      <w:r w:rsidRPr="004F14DE">
        <w:rPr>
          <w:rFonts w:hint="cs"/>
          <w:sz w:val="34"/>
          <w:szCs w:val="34"/>
          <w:rtl/>
          <w:lang w:val="fr-CH"/>
        </w:rPr>
        <w:t>أساليب</w:t>
      </w:r>
      <w:r w:rsidRPr="004F14DE">
        <w:rPr>
          <w:sz w:val="34"/>
          <w:szCs w:val="34"/>
          <w:rtl/>
          <w:lang w:val="fr-CH"/>
        </w:rPr>
        <w:t xml:space="preserve"> الإيداع الإلكتروني (من خلال برنامج الطلب الإلكتروني (</w:t>
      </w:r>
      <w:r w:rsidRPr="004F14DE">
        <w:rPr>
          <w:sz w:val="34"/>
          <w:szCs w:val="34"/>
          <w:lang w:val="fr-CH"/>
        </w:rPr>
        <w:t>EASY</w:t>
      </w:r>
      <w:r w:rsidRPr="004F14DE">
        <w:rPr>
          <w:sz w:val="34"/>
          <w:szCs w:val="34"/>
          <w:rtl/>
          <w:lang w:val="fr-CH"/>
        </w:rPr>
        <w:t xml:space="preserve">) أو بنسق </w:t>
      </w:r>
      <w:r w:rsidRPr="004F14DE">
        <w:rPr>
          <w:sz w:val="34"/>
          <w:szCs w:val="34"/>
          <w:lang w:val="fr-CH"/>
        </w:rPr>
        <w:t>PDF</w:t>
      </w:r>
      <w:r w:rsidRPr="004F14DE">
        <w:rPr>
          <w:sz w:val="34"/>
          <w:szCs w:val="34"/>
          <w:rtl/>
          <w:lang w:val="fr-CH"/>
        </w:rPr>
        <w:t xml:space="preserve"> أو نسق </w:t>
      </w:r>
      <w:r w:rsidRPr="004F14DE">
        <w:rPr>
          <w:sz w:val="34"/>
          <w:szCs w:val="34"/>
          <w:lang w:val="fr-CH"/>
        </w:rPr>
        <w:t>XML</w:t>
      </w:r>
      <w:r w:rsidRPr="004F14DE">
        <w:rPr>
          <w:sz w:val="34"/>
          <w:szCs w:val="34"/>
          <w:rtl/>
          <w:lang w:val="fr-CH"/>
        </w:rPr>
        <w:t xml:space="preserve">) كنسبة مئوية من مجموع </w:t>
      </w:r>
      <w:r w:rsidRPr="004F14DE">
        <w:rPr>
          <w:rFonts w:hint="cs"/>
          <w:sz w:val="34"/>
          <w:szCs w:val="34"/>
          <w:rtl/>
          <w:lang w:val="fr-CH"/>
        </w:rPr>
        <w:t>الطلبات المودعة</w:t>
      </w:r>
      <w:r w:rsidRPr="004F14DE">
        <w:rPr>
          <w:sz w:val="34"/>
          <w:szCs w:val="34"/>
          <w:rtl/>
          <w:lang w:val="fr-CH"/>
        </w:rPr>
        <w:t>. وكما يتضح من ال</w:t>
      </w:r>
      <w:r>
        <w:rPr>
          <w:sz w:val="34"/>
          <w:szCs w:val="34"/>
          <w:rtl/>
          <w:lang w:val="fr-CH"/>
        </w:rPr>
        <w:t>شكل</w:t>
      </w:r>
      <w:r w:rsidRPr="004F14DE">
        <w:rPr>
          <w:sz w:val="34"/>
          <w:szCs w:val="34"/>
          <w:rtl/>
          <w:lang w:val="fr-CH"/>
        </w:rPr>
        <w:t xml:space="preserve"> </w:t>
      </w:r>
      <w:r w:rsidRPr="004F14DE">
        <w:rPr>
          <w:rFonts w:hint="cs"/>
          <w:sz w:val="34"/>
          <w:szCs w:val="34"/>
          <w:rtl/>
          <w:lang w:val="fr-CH"/>
        </w:rPr>
        <w:t>3</w:t>
      </w:r>
      <w:r w:rsidRPr="004F14DE">
        <w:rPr>
          <w:sz w:val="34"/>
          <w:szCs w:val="34"/>
          <w:rtl/>
          <w:lang w:val="fr-CH"/>
        </w:rPr>
        <w:t xml:space="preserve">، فقد </w:t>
      </w:r>
      <w:r w:rsidRPr="004F14DE">
        <w:rPr>
          <w:rFonts w:hint="cs"/>
          <w:sz w:val="34"/>
          <w:szCs w:val="34"/>
          <w:rtl/>
          <w:lang w:val="fr-CH"/>
        </w:rPr>
        <w:t>لا يزال يزيد</w:t>
      </w:r>
      <w:r w:rsidRPr="004F14DE">
        <w:rPr>
          <w:sz w:val="34"/>
          <w:szCs w:val="34"/>
          <w:rtl/>
          <w:lang w:val="fr-CH"/>
        </w:rPr>
        <w:t xml:space="preserve"> استخدام</w:t>
      </w:r>
      <w:r w:rsidRPr="004F14DE">
        <w:rPr>
          <w:rFonts w:hint="cs"/>
          <w:sz w:val="34"/>
          <w:szCs w:val="34"/>
          <w:rtl/>
          <w:lang w:val="fr-CH"/>
        </w:rPr>
        <w:t xml:space="preserve"> أساليب</w:t>
      </w:r>
      <w:r w:rsidRPr="004F14DE">
        <w:rPr>
          <w:sz w:val="34"/>
          <w:szCs w:val="34"/>
          <w:rtl/>
          <w:lang w:val="fr-CH"/>
        </w:rPr>
        <w:t xml:space="preserve"> الإيداع الإلكتروني </w:t>
      </w:r>
      <w:r w:rsidRPr="004F14DE">
        <w:rPr>
          <w:rFonts w:hint="cs"/>
          <w:sz w:val="34"/>
          <w:szCs w:val="34"/>
          <w:rtl/>
          <w:lang w:val="fr-CH"/>
        </w:rPr>
        <w:t>زيادة مطردة. وفي سنة</w:t>
      </w:r>
      <w:r w:rsidRPr="004F14DE">
        <w:rPr>
          <w:sz w:val="34"/>
          <w:szCs w:val="34"/>
          <w:rtl/>
          <w:lang w:val="fr-CH"/>
        </w:rPr>
        <w:t xml:space="preserve"> </w:t>
      </w:r>
      <w:r w:rsidRPr="004F14DE">
        <w:rPr>
          <w:rFonts w:hint="cs"/>
          <w:sz w:val="34"/>
          <w:szCs w:val="34"/>
          <w:rtl/>
          <w:lang w:val="fr-CH"/>
        </w:rPr>
        <w:t>2012،</w:t>
      </w:r>
      <w:r w:rsidRPr="004F14DE">
        <w:rPr>
          <w:sz w:val="34"/>
          <w:szCs w:val="34"/>
          <w:rtl/>
          <w:lang w:val="fr-CH"/>
        </w:rPr>
        <w:t xml:space="preserve"> وناهز</w:t>
      </w:r>
      <w:r w:rsidRPr="004F14DE">
        <w:rPr>
          <w:rFonts w:hint="cs"/>
          <w:sz w:val="34"/>
          <w:szCs w:val="34"/>
          <w:rtl/>
          <w:lang w:val="fr-CH"/>
        </w:rPr>
        <w:t xml:space="preserve"> الإيداع الإلكتروني نسبة 90 </w:t>
      </w:r>
      <w:r>
        <w:rPr>
          <w:rFonts w:hint="cs"/>
          <w:sz w:val="34"/>
          <w:szCs w:val="34"/>
          <w:rtl/>
          <w:lang w:val="fr-CH"/>
        </w:rPr>
        <w:t xml:space="preserve">بالمائة </w:t>
      </w:r>
      <w:r w:rsidRPr="004F14DE">
        <w:rPr>
          <w:sz w:val="34"/>
          <w:szCs w:val="34"/>
          <w:rtl/>
          <w:lang w:val="fr-CH"/>
        </w:rPr>
        <w:t xml:space="preserve">من مجموع </w:t>
      </w:r>
      <w:r w:rsidRPr="004F14DE">
        <w:rPr>
          <w:rFonts w:hint="cs"/>
          <w:sz w:val="34"/>
          <w:szCs w:val="34"/>
          <w:rtl/>
          <w:lang w:val="fr-CH"/>
        </w:rPr>
        <w:t>الإيداعات</w:t>
      </w:r>
      <w:r w:rsidRPr="004F14DE">
        <w:rPr>
          <w:sz w:val="34"/>
          <w:szCs w:val="34"/>
          <w:rtl/>
          <w:lang w:val="fr-CH"/>
        </w:rPr>
        <w:t>.</w:t>
      </w:r>
    </w:p>
    <w:p w:rsidR="00861CFF" w:rsidRPr="004E6AC4" w:rsidRDefault="00861CFF" w:rsidP="00463E5E">
      <w:pPr>
        <w:pStyle w:val="NumberedParaAR"/>
        <w:keepNext/>
        <w:numPr>
          <w:ilvl w:val="0"/>
          <w:numId w:val="0"/>
        </w:numPr>
        <w:spacing w:after="0" w:line="340" w:lineRule="atLeast"/>
        <w:jc w:val="center"/>
        <w:rPr>
          <w:sz w:val="34"/>
          <w:szCs w:val="34"/>
          <w:rtl/>
          <w:lang w:val="fr-CH"/>
        </w:rPr>
      </w:pPr>
      <w:r w:rsidRPr="004E6AC4">
        <w:rPr>
          <w:sz w:val="34"/>
          <w:szCs w:val="34"/>
          <w:rtl/>
          <w:lang w:val="fr-CH"/>
        </w:rPr>
        <w:lastRenderedPageBreak/>
        <w:t xml:space="preserve">الشكل </w:t>
      </w:r>
      <w:r w:rsidRPr="004E6AC4">
        <w:rPr>
          <w:rFonts w:hint="cs"/>
          <w:sz w:val="34"/>
          <w:szCs w:val="34"/>
          <w:rtl/>
          <w:lang w:val="fr-CH"/>
        </w:rPr>
        <w:t>3</w:t>
      </w:r>
      <w:r w:rsidRPr="004E6AC4">
        <w:rPr>
          <w:sz w:val="34"/>
          <w:szCs w:val="34"/>
          <w:rtl/>
          <w:lang w:val="fr-CH"/>
        </w:rPr>
        <w:t xml:space="preserve"> – استخدام أساليب الإيداع الإلكتروني (</w:t>
      </w:r>
      <w:r w:rsidRPr="004E6AC4">
        <w:rPr>
          <w:sz w:val="34"/>
          <w:szCs w:val="34"/>
          <w:lang w:val="fr-CH"/>
        </w:rPr>
        <w:t>EASY</w:t>
      </w:r>
      <w:r w:rsidRPr="004E6AC4">
        <w:rPr>
          <w:sz w:val="34"/>
          <w:szCs w:val="34"/>
          <w:rtl/>
          <w:lang w:val="fr-CH"/>
        </w:rPr>
        <w:t xml:space="preserve"> أو</w:t>
      </w:r>
      <w:r w:rsidRPr="004E6AC4">
        <w:rPr>
          <w:sz w:val="34"/>
          <w:szCs w:val="34"/>
          <w:lang w:val="fr-CH"/>
        </w:rPr>
        <w:t>PDF</w:t>
      </w:r>
      <w:r w:rsidRPr="004E6AC4">
        <w:rPr>
          <w:sz w:val="34"/>
          <w:szCs w:val="34"/>
          <w:rtl/>
          <w:lang w:val="fr-CH"/>
        </w:rPr>
        <w:t xml:space="preserve"> أو</w:t>
      </w:r>
      <w:r w:rsidRPr="004E6AC4">
        <w:rPr>
          <w:sz w:val="34"/>
          <w:szCs w:val="34"/>
          <w:lang w:val="fr-CH"/>
        </w:rPr>
        <w:t>XML</w:t>
      </w:r>
      <w:r w:rsidRPr="004E6AC4">
        <w:rPr>
          <w:sz w:val="34"/>
          <w:szCs w:val="34"/>
          <w:rtl/>
          <w:lang w:val="fr-CH"/>
        </w:rPr>
        <w:t>)</w:t>
      </w:r>
      <w:r w:rsidR="00463E5E">
        <w:rPr>
          <w:rFonts w:hint="cs"/>
          <w:sz w:val="34"/>
          <w:szCs w:val="34"/>
          <w:rtl/>
          <w:lang w:val="fr-CH"/>
        </w:rPr>
        <w:t xml:space="preserve"> </w:t>
      </w:r>
      <w:r w:rsidRPr="004E6AC4">
        <w:rPr>
          <w:sz w:val="34"/>
          <w:szCs w:val="34"/>
          <w:rtl/>
          <w:lang w:val="fr-CH"/>
        </w:rPr>
        <w:t xml:space="preserve">كنسبة مئوية من مجموع الإيداعات من سنة </w:t>
      </w:r>
      <w:r w:rsidRPr="004E6AC4">
        <w:rPr>
          <w:rFonts w:hint="cs"/>
          <w:sz w:val="34"/>
          <w:szCs w:val="34"/>
          <w:rtl/>
          <w:lang w:val="fr-CH"/>
        </w:rPr>
        <w:t>2014</w:t>
      </w:r>
      <w:r w:rsidRPr="004E6AC4">
        <w:rPr>
          <w:sz w:val="34"/>
          <w:szCs w:val="34"/>
          <w:rtl/>
          <w:lang w:val="fr-CH"/>
        </w:rPr>
        <w:t xml:space="preserve"> إلى سنة </w:t>
      </w:r>
      <w:r w:rsidRPr="004E6AC4">
        <w:rPr>
          <w:rFonts w:hint="cs"/>
          <w:sz w:val="34"/>
          <w:szCs w:val="34"/>
          <w:rtl/>
          <w:lang w:val="fr-CH"/>
        </w:rPr>
        <w:t>2017</w:t>
      </w:r>
    </w:p>
    <w:p w:rsidR="00861CFF" w:rsidRPr="00C16521" w:rsidRDefault="00861CFF" w:rsidP="00862268">
      <w:pPr>
        <w:pStyle w:val="NormalParaAR"/>
        <w:spacing w:after="120" w:line="240" w:lineRule="auto"/>
        <w:jc w:val="center"/>
        <w:rPr>
          <w:highlight w:val="yellow"/>
          <w:rtl/>
        </w:rPr>
      </w:pPr>
      <w:r>
        <w:rPr>
          <w:noProof/>
        </w:rPr>
        <w:drawing>
          <wp:inline distT="0" distB="0" distL="0" distR="0" wp14:anchorId="22296837" wp14:editId="298FBC4E">
            <wp:extent cx="3967437" cy="2309101"/>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984640" cy="2319113"/>
                    </a:xfrm>
                    <a:prstGeom prst="rect">
                      <a:avLst/>
                    </a:prstGeom>
                    <a:noFill/>
                  </pic:spPr>
                </pic:pic>
              </a:graphicData>
            </a:graphic>
          </wp:inline>
        </w:drawing>
      </w:r>
    </w:p>
    <w:p w:rsidR="00861CFF" w:rsidRPr="00C16521" w:rsidRDefault="00861CFF" w:rsidP="00862268">
      <w:pPr>
        <w:pStyle w:val="NormalParaAR"/>
        <w:spacing w:after="120" w:line="240" w:lineRule="auto"/>
        <w:jc w:val="center"/>
        <w:rPr>
          <w:highlight w:val="yellow"/>
          <w:rtl/>
          <w:lang w:val="fr-CH"/>
        </w:rPr>
      </w:pPr>
      <w:r w:rsidRPr="007F269C">
        <w:rPr>
          <w:noProof/>
          <w:rtl/>
        </w:rPr>
        <w:drawing>
          <wp:inline distT="0" distB="0" distL="0" distR="0" wp14:anchorId="0A37CA44" wp14:editId="19574296">
            <wp:extent cx="4886325" cy="723900"/>
            <wp:effectExtent l="0" t="0" r="952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86325" cy="723900"/>
                    </a:xfrm>
                    <a:prstGeom prst="rect">
                      <a:avLst/>
                    </a:prstGeom>
                    <a:noFill/>
                    <a:ln>
                      <a:noFill/>
                    </a:ln>
                  </pic:spPr>
                </pic:pic>
              </a:graphicData>
            </a:graphic>
          </wp:inline>
        </w:drawing>
      </w:r>
    </w:p>
    <w:p w:rsidR="00861CFF" w:rsidRPr="00DE38F2" w:rsidRDefault="00861CFF" w:rsidP="00862268">
      <w:pPr>
        <w:keepNext/>
        <w:spacing w:afterLines="120" w:after="288" w:line="340" w:lineRule="exact"/>
        <w:jc w:val="both"/>
        <w:rPr>
          <w:rFonts w:ascii="Arabic Typesetting" w:hAnsi="Arabic Typesetting" w:cs="Arabic Typesetting"/>
          <w:i/>
          <w:iCs/>
          <w:sz w:val="34"/>
          <w:szCs w:val="34"/>
          <w:rtl/>
          <w:lang w:val="fr-CH"/>
        </w:rPr>
      </w:pPr>
      <w:r w:rsidRPr="00DE38F2">
        <w:rPr>
          <w:rFonts w:ascii="Arabic Typesetting" w:hAnsi="Arabic Typesetting" w:cs="Arabic Typesetting"/>
          <w:i/>
          <w:iCs/>
          <w:sz w:val="34"/>
          <w:szCs w:val="34"/>
          <w:rtl/>
          <w:lang w:val="fr-CH"/>
        </w:rPr>
        <w:t>مستوى الإيرادات المرتقبة من معاهدة</w:t>
      </w:r>
      <w:r w:rsidRPr="00DE38F2">
        <w:rPr>
          <w:rFonts w:ascii="Arabic Typesetting" w:hAnsi="Arabic Typesetting" w:cs="Arabic Typesetting" w:hint="cs"/>
          <w:i/>
          <w:iCs/>
          <w:sz w:val="34"/>
          <w:szCs w:val="34"/>
          <w:rtl/>
          <w:lang w:val="fr-CH"/>
        </w:rPr>
        <w:t xml:space="preserve"> التعاون بشأن</w:t>
      </w:r>
      <w:r w:rsidRPr="00DE38F2">
        <w:rPr>
          <w:rFonts w:ascii="Arabic Typesetting" w:hAnsi="Arabic Typesetting" w:cs="Arabic Typesetting"/>
          <w:i/>
          <w:iCs/>
          <w:sz w:val="34"/>
          <w:szCs w:val="34"/>
          <w:rtl/>
          <w:lang w:val="fr-CH"/>
        </w:rPr>
        <w:t xml:space="preserve"> البراءات</w:t>
      </w:r>
    </w:p>
    <w:p w:rsidR="00861CFF" w:rsidRPr="00042CDD" w:rsidRDefault="00861CFF" w:rsidP="00463E5E">
      <w:pPr>
        <w:pStyle w:val="NumberedParaAR"/>
        <w:numPr>
          <w:ilvl w:val="0"/>
          <w:numId w:val="47"/>
        </w:numPr>
        <w:spacing w:after="120" w:line="340" w:lineRule="exact"/>
        <w:rPr>
          <w:sz w:val="34"/>
          <w:szCs w:val="34"/>
          <w:rtl/>
          <w:lang w:val="fr-CH"/>
        </w:rPr>
      </w:pPr>
      <w:r w:rsidRPr="00042CDD">
        <w:rPr>
          <w:sz w:val="34"/>
          <w:szCs w:val="34"/>
          <w:rtl/>
          <w:lang w:val="fr-CH"/>
        </w:rPr>
        <w:t>يبيّن ال</w:t>
      </w:r>
      <w:r>
        <w:rPr>
          <w:sz w:val="34"/>
          <w:szCs w:val="34"/>
          <w:rtl/>
          <w:lang w:val="fr-CH"/>
        </w:rPr>
        <w:t>شكل</w:t>
      </w:r>
      <w:r w:rsidRPr="00042CDD">
        <w:rPr>
          <w:rFonts w:hint="cs"/>
          <w:sz w:val="34"/>
          <w:szCs w:val="34"/>
          <w:rtl/>
          <w:lang w:val="fr-CH"/>
        </w:rPr>
        <w:t>ان</w:t>
      </w:r>
      <w:r w:rsidRPr="00042CDD">
        <w:rPr>
          <w:sz w:val="34"/>
          <w:szCs w:val="34"/>
          <w:rtl/>
          <w:lang w:val="fr-CH"/>
        </w:rPr>
        <w:t xml:space="preserve"> </w:t>
      </w:r>
      <w:r w:rsidRPr="00042CDD">
        <w:rPr>
          <w:rFonts w:hint="cs"/>
          <w:sz w:val="34"/>
          <w:szCs w:val="34"/>
          <w:rtl/>
          <w:lang w:val="fr-CH"/>
        </w:rPr>
        <w:t>4</w:t>
      </w:r>
      <w:r w:rsidRPr="00042CDD">
        <w:rPr>
          <w:sz w:val="34"/>
          <w:szCs w:val="34"/>
          <w:rtl/>
          <w:lang w:val="fr-CH"/>
        </w:rPr>
        <w:t xml:space="preserve"> </w:t>
      </w:r>
      <w:r w:rsidRPr="00042CDD">
        <w:rPr>
          <w:rFonts w:hint="cs"/>
          <w:sz w:val="34"/>
          <w:szCs w:val="34"/>
          <w:rtl/>
          <w:lang w:val="fr-CH"/>
        </w:rPr>
        <w:t xml:space="preserve">و5 </w:t>
      </w:r>
      <w:r w:rsidRPr="00042CDD">
        <w:rPr>
          <w:sz w:val="34"/>
          <w:szCs w:val="34"/>
          <w:rtl/>
          <w:lang w:val="fr-CH"/>
        </w:rPr>
        <w:t xml:space="preserve">الإيرادات </w:t>
      </w:r>
      <w:r w:rsidRPr="00042CDD">
        <w:rPr>
          <w:rFonts w:hint="cs"/>
          <w:sz w:val="34"/>
          <w:szCs w:val="34"/>
          <w:rtl/>
          <w:lang w:val="fr-CH"/>
        </w:rPr>
        <w:t>المتوقعة</w:t>
      </w:r>
      <w:r w:rsidRPr="00042CDD">
        <w:rPr>
          <w:sz w:val="34"/>
          <w:szCs w:val="34"/>
          <w:rtl/>
          <w:lang w:val="fr-CH"/>
        </w:rPr>
        <w:t xml:space="preserve"> </w:t>
      </w:r>
      <w:r w:rsidRPr="00042CDD">
        <w:rPr>
          <w:rFonts w:hint="cs"/>
          <w:sz w:val="34"/>
          <w:szCs w:val="34"/>
          <w:rtl/>
          <w:lang w:val="fr-CH"/>
        </w:rPr>
        <w:t xml:space="preserve">من </w:t>
      </w:r>
      <w:r w:rsidRPr="00042CDD">
        <w:rPr>
          <w:sz w:val="34"/>
          <w:szCs w:val="34"/>
          <w:rtl/>
          <w:lang w:val="fr-CH"/>
        </w:rPr>
        <w:t>معاهدة</w:t>
      </w:r>
      <w:r w:rsidRPr="00042CDD">
        <w:rPr>
          <w:rFonts w:hint="cs"/>
          <w:sz w:val="34"/>
          <w:szCs w:val="34"/>
          <w:rtl/>
          <w:lang w:val="fr-CH"/>
        </w:rPr>
        <w:t xml:space="preserve"> التعاون بشأن</w:t>
      </w:r>
      <w:r w:rsidRPr="00042CDD">
        <w:rPr>
          <w:sz w:val="34"/>
          <w:szCs w:val="34"/>
          <w:rtl/>
          <w:lang w:val="fr-CH"/>
        </w:rPr>
        <w:t xml:space="preserve"> البراءات</w:t>
      </w:r>
      <w:r w:rsidRPr="00042CDD">
        <w:rPr>
          <w:rFonts w:hint="cs"/>
          <w:sz w:val="34"/>
          <w:szCs w:val="34"/>
          <w:rtl/>
          <w:lang w:val="fr-CH"/>
        </w:rPr>
        <w:t xml:space="preserve"> في الفترة</w:t>
      </w:r>
      <w:r w:rsidRPr="00042CDD">
        <w:rPr>
          <w:sz w:val="34"/>
          <w:szCs w:val="34"/>
          <w:rtl/>
          <w:lang w:val="fr-CH"/>
        </w:rPr>
        <w:t xml:space="preserve"> </w:t>
      </w:r>
      <w:r w:rsidRPr="00042CDD">
        <w:rPr>
          <w:rFonts w:hint="cs"/>
          <w:sz w:val="34"/>
          <w:szCs w:val="34"/>
          <w:rtl/>
          <w:lang w:val="fr-CH"/>
        </w:rPr>
        <w:t>من سنة 2014 إلى سنة 2017،</w:t>
      </w:r>
      <w:r>
        <w:rPr>
          <w:sz w:val="34"/>
          <w:szCs w:val="34"/>
          <w:rtl/>
          <w:lang w:val="fr-CH"/>
        </w:rPr>
        <w:t xml:space="preserve"> </w:t>
      </w:r>
      <w:r w:rsidRPr="00042CDD">
        <w:rPr>
          <w:sz w:val="34"/>
          <w:szCs w:val="34"/>
          <w:rtl/>
          <w:lang w:val="fr-CH"/>
        </w:rPr>
        <w:t>بحسب نوع الإيرادات. ويستند هذا</w:t>
      </w:r>
      <w:r w:rsidRPr="00042CDD">
        <w:rPr>
          <w:rFonts w:hint="cs"/>
          <w:sz w:val="34"/>
          <w:szCs w:val="34"/>
          <w:rtl/>
          <w:lang w:val="fr-CH"/>
        </w:rPr>
        <w:t xml:space="preserve">ن </w:t>
      </w:r>
      <w:r w:rsidRPr="00042CDD">
        <w:rPr>
          <w:sz w:val="34"/>
          <w:szCs w:val="34"/>
          <w:rtl/>
          <w:lang w:val="fr-CH"/>
        </w:rPr>
        <w:t>ال</w:t>
      </w:r>
      <w:r>
        <w:rPr>
          <w:sz w:val="34"/>
          <w:szCs w:val="34"/>
          <w:rtl/>
          <w:lang w:val="fr-CH"/>
        </w:rPr>
        <w:t>شكل</w:t>
      </w:r>
      <w:r w:rsidRPr="00042CDD">
        <w:rPr>
          <w:rFonts w:hint="cs"/>
          <w:sz w:val="34"/>
          <w:szCs w:val="34"/>
          <w:rtl/>
          <w:lang w:val="fr-CH"/>
        </w:rPr>
        <w:t>ان</w:t>
      </w:r>
      <w:r w:rsidRPr="00042CDD">
        <w:rPr>
          <w:sz w:val="34"/>
          <w:szCs w:val="34"/>
          <w:rtl/>
          <w:lang w:val="fr-CH"/>
        </w:rPr>
        <w:t xml:space="preserve"> إلى مستوى الطلبات المرتقب (ال</w:t>
      </w:r>
      <w:r>
        <w:rPr>
          <w:sz w:val="34"/>
          <w:szCs w:val="34"/>
          <w:rtl/>
          <w:lang w:val="fr-CH"/>
        </w:rPr>
        <w:t>شكل</w:t>
      </w:r>
      <w:r w:rsidRPr="00042CDD">
        <w:rPr>
          <w:sz w:val="34"/>
          <w:szCs w:val="34"/>
          <w:rtl/>
          <w:lang w:val="fr-CH"/>
        </w:rPr>
        <w:t xml:space="preserve"> 1)</w:t>
      </w:r>
      <w:r w:rsidRPr="00042CDD">
        <w:rPr>
          <w:rFonts w:hint="cs"/>
          <w:sz w:val="34"/>
          <w:szCs w:val="34"/>
          <w:rtl/>
          <w:lang w:val="fr-CH"/>
        </w:rPr>
        <w:t xml:space="preserve">، </w:t>
      </w:r>
      <w:r w:rsidRPr="00042CDD">
        <w:rPr>
          <w:sz w:val="34"/>
          <w:szCs w:val="34"/>
          <w:rtl/>
          <w:lang w:val="fr-CH"/>
        </w:rPr>
        <w:t>وحساب تقديري للمستوى المرتقب لرسوم الصفحات</w:t>
      </w:r>
      <w:r w:rsidRPr="00042CDD">
        <w:rPr>
          <w:rFonts w:hint="cs"/>
          <w:sz w:val="34"/>
          <w:szCs w:val="34"/>
          <w:rtl/>
          <w:lang w:val="fr-CH"/>
        </w:rPr>
        <w:t>،</w:t>
      </w:r>
      <w:r w:rsidRPr="00042CDD">
        <w:rPr>
          <w:sz w:val="34"/>
          <w:szCs w:val="34"/>
          <w:rtl/>
          <w:lang w:val="fr-CH"/>
        </w:rPr>
        <w:t xml:space="preserve"> والمستوى المرتقب لطلبات الفحص التمهيدي الدولي بناء على الفصل الثاني</w:t>
      </w:r>
      <w:r w:rsidRPr="00042CDD">
        <w:rPr>
          <w:rFonts w:hint="cs"/>
          <w:sz w:val="34"/>
          <w:szCs w:val="34"/>
          <w:rtl/>
          <w:lang w:val="fr-CH"/>
        </w:rPr>
        <w:t>،</w:t>
      </w:r>
      <w:r w:rsidRPr="00042CDD">
        <w:rPr>
          <w:sz w:val="34"/>
          <w:szCs w:val="34"/>
          <w:rtl/>
          <w:lang w:val="fr-CH"/>
        </w:rPr>
        <w:t xml:space="preserve"> والمستوى المرتقب للإيداعات الإلكترونية (ال</w:t>
      </w:r>
      <w:r>
        <w:rPr>
          <w:sz w:val="34"/>
          <w:szCs w:val="34"/>
          <w:rtl/>
          <w:lang w:val="fr-CH"/>
        </w:rPr>
        <w:t>شكل</w:t>
      </w:r>
      <w:r w:rsidRPr="00042CDD">
        <w:rPr>
          <w:sz w:val="34"/>
          <w:szCs w:val="34"/>
          <w:rtl/>
          <w:lang w:val="fr-CH"/>
        </w:rPr>
        <w:t xml:space="preserve"> </w:t>
      </w:r>
      <w:r w:rsidRPr="00042CDD">
        <w:rPr>
          <w:rFonts w:hint="cs"/>
          <w:sz w:val="34"/>
          <w:szCs w:val="34"/>
          <w:rtl/>
          <w:lang w:val="fr-CH"/>
        </w:rPr>
        <w:t>3</w:t>
      </w:r>
      <w:r w:rsidRPr="00042CDD">
        <w:rPr>
          <w:sz w:val="34"/>
          <w:szCs w:val="34"/>
          <w:rtl/>
          <w:lang w:val="fr-CH"/>
        </w:rPr>
        <w:t>)</w:t>
      </w:r>
      <w:r w:rsidRPr="00042CDD">
        <w:rPr>
          <w:rFonts w:hint="cs"/>
          <w:sz w:val="34"/>
          <w:szCs w:val="34"/>
          <w:rtl/>
          <w:lang w:val="fr-CH"/>
        </w:rPr>
        <w:t>،</w:t>
      </w:r>
      <w:r w:rsidRPr="00042CDD">
        <w:rPr>
          <w:sz w:val="34"/>
          <w:szCs w:val="34"/>
          <w:rtl/>
          <w:lang w:val="fr-CH"/>
        </w:rPr>
        <w:t xml:space="preserve"> والمستوى المرتقب للإيداعات لدى المكتب الدولي</w:t>
      </w:r>
      <w:r w:rsidRPr="00042CDD">
        <w:rPr>
          <w:rFonts w:hint="cs"/>
          <w:sz w:val="34"/>
          <w:szCs w:val="34"/>
          <w:rtl/>
          <w:lang w:val="fr-CH"/>
        </w:rPr>
        <w:t xml:space="preserve"> </w:t>
      </w:r>
      <w:r w:rsidRPr="00042CDD">
        <w:rPr>
          <w:sz w:val="34"/>
          <w:szCs w:val="34"/>
          <w:rtl/>
          <w:lang w:val="fr-CH"/>
        </w:rPr>
        <w:t>بصفته مكتبا لتسلم الطلبات.</w:t>
      </w:r>
    </w:p>
    <w:p w:rsidR="00861CFF" w:rsidRPr="00042CDD" w:rsidRDefault="00861CFF" w:rsidP="00463E5E">
      <w:pPr>
        <w:pStyle w:val="NumberedParaAR"/>
        <w:numPr>
          <w:ilvl w:val="0"/>
          <w:numId w:val="47"/>
        </w:numPr>
        <w:spacing w:after="120" w:line="340" w:lineRule="exact"/>
        <w:rPr>
          <w:sz w:val="34"/>
          <w:szCs w:val="34"/>
          <w:lang w:val="fr-CH"/>
        </w:rPr>
      </w:pPr>
      <w:r w:rsidRPr="00042CDD">
        <w:rPr>
          <w:rFonts w:hint="cs"/>
          <w:sz w:val="34"/>
          <w:szCs w:val="34"/>
          <w:rtl/>
          <w:lang w:val="fr-CH"/>
        </w:rPr>
        <w:t>ويبين ال</w:t>
      </w:r>
      <w:r>
        <w:rPr>
          <w:rFonts w:hint="cs"/>
          <w:sz w:val="34"/>
          <w:szCs w:val="34"/>
          <w:rtl/>
          <w:lang w:val="fr-CH"/>
        </w:rPr>
        <w:t>شكل</w:t>
      </w:r>
      <w:r w:rsidRPr="00042CDD">
        <w:rPr>
          <w:rFonts w:hint="cs"/>
          <w:sz w:val="34"/>
          <w:szCs w:val="34"/>
          <w:rtl/>
          <w:lang w:val="fr-CH"/>
        </w:rPr>
        <w:t xml:space="preserve"> </w:t>
      </w:r>
      <w:r>
        <w:rPr>
          <w:rFonts w:hint="cs"/>
          <w:sz w:val="34"/>
          <w:szCs w:val="34"/>
          <w:rtl/>
          <w:lang w:val="fr-CH"/>
        </w:rPr>
        <w:t>4</w:t>
      </w:r>
      <w:r w:rsidRPr="00042CDD">
        <w:rPr>
          <w:rFonts w:hint="cs"/>
          <w:sz w:val="34"/>
          <w:szCs w:val="34"/>
          <w:rtl/>
          <w:lang w:val="fr-CH"/>
        </w:rPr>
        <w:t xml:space="preserve"> الإيرادات المفترضة المتوقعة لمعاهدة التعاون بشأن البراءات بالاستناد إلى الافتراضين التاليين: (1) أن تسدد جميع الرسوم في عام الإيداع نفسه، (2) وأن تحول جميع الرسوم إلى فرنكات سويسرية طبقا لأسعار الصرف الرسمية في الويبو. وتبين الإيرادات المفترضة لمعاهدة التعاون بشأن البراءات الدخل الذي يمكن أن تولده الإيداعات، بغض النظر عن وقت تسديد الأموال وطريقة تحويلها إلى فرنكات سويسرية. ولما كان أغلب المودعين يسدد الرسوم المفروضة عليه في نهاية المطاف، فإن الإرادات المفترضة المتوقعة تعكس الدخل المرتقب على الأجل الطويل. ويراعي حساب هذه الإيرادات جميع العناصر الرئيسية في هيكل الرسوم بناء على معاهدة التعاون بشأن البراءات وهي: السحب، وتخفيض الرسوم على الإيداع الإلكتروني، وتخفيض الرسوم على البلدان ذات الدخل المنخفض.</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4E6AC4">
        <w:rPr>
          <w:sz w:val="34"/>
          <w:szCs w:val="34"/>
          <w:rtl/>
          <w:lang w:val="fr-CH"/>
        </w:rPr>
        <w:lastRenderedPageBreak/>
        <w:t xml:space="preserve">الشكل </w:t>
      </w:r>
      <w:r w:rsidRPr="004E6AC4">
        <w:rPr>
          <w:rFonts w:hint="cs"/>
          <w:sz w:val="34"/>
          <w:szCs w:val="34"/>
          <w:rtl/>
          <w:lang w:val="fr-CH"/>
        </w:rPr>
        <w:t>4</w:t>
      </w:r>
      <w:r w:rsidRPr="004E6AC4">
        <w:rPr>
          <w:sz w:val="34"/>
          <w:szCs w:val="34"/>
          <w:rtl/>
          <w:lang w:val="fr-CH"/>
        </w:rPr>
        <w:t xml:space="preserve"> – الإيرادات المفترضة المتوقعة لمعاهدة التعاون بشأن البراءات حتى سنة </w:t>
      </w:r>
      <w:r w:rsidRPr="004E6AC4">
        <w:rPr>
          <w:rFonts w:hint="cs"/>
          <w:sz w:val="34"/>
          <w:szCs w:val="34"/>
          <w:rtl/>
          <w:lang w:val="fr-CH"/>
        </w:rPr>
        <w:t>2017</w:t>
      </w:r>
    </w:p>
    <w:p w:rsidR="00861CFF" w:rsidRPr="00C16521" w:rsidRDefault="00861CFF" w:rsidP="00463E5E">
      <w:pPr>
        <w:pStyle w:val="NormalParaAR"/>
        <w:spacing w:after="120" w:line="240" w:lineRule="auto"/>
        <w:jc w:val="center"/>
        <w:rPr>
          <w:highlight w:val="yellow"/>
          <w:rtl/>
          <w:lang w:val="fr-CH"/>
        </w:rPr>
      </w:pPr>
      <w:r>
        <w:rPr>
          <w:noProof/>
        </w:rPr>
        <w:drawing>
          <wp:inline distT="0" distB="0" distL="0" distR="0" wp14:anchorId="43A22A97" wp14:editId="3F48C23D">
            <wp:extent cx="4492487" cy="2545448"/>
            <wp:effectExtent l="0" t="0" r="3810" b="76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513467" cy="2557335"/>
                    </a:xfrm>
                    <a:prstGeom prst="rect">
                      <a:avLst/>
                    </a:prstGeom>
                    <a:noFill/>
                  </pic:spPr>
                </pic:pic>
              </a:graphicData>
            </a:graphic>
          </wp:inline>
        </w:drawing>
      </w:r>
    </w:p>
    <w:p w:rsidR="00861CFF" w:rsidRPr="00C16521" w:rsidRDefault="00861CFF" w:rsidP="00862268">
      <w:pPr>
        <w:pStyle w:val="NormalParaAR"/>
        <w:spacing w:after="120" w:line="240" w:lineRule="auto"/>
        <w:jc w:val="center"/>
        <w:rPr>
          <w:highlight w:val="yellow"/>
          <w:rtl/>
          <w:lang w:val="fr-CH"/>
        </w:rPr>
      </w:pPr>
      <w:r w:rsidRPr="007F269C">
        <w:rPr>
          <w:noProof/>
          <w:rtl/>
        </w:rPr>
        <w:drawing>
          <wp:inline distT="0" distB="0" distL="0" distR="0" wp14:anchorId="655080C4" wp14:editId="5C68BA8A">
            <wp:extent cx="4908550" cy="1579880"/>
            <wp:effectExtent l="0" t="0" r="6350" b="127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908550" cy="1579880"/>
                    </a:xfrm>
                    <a:prstGeom prst="rect">
                      <a:avLst/>
                    </a:prstGeom>
                    <a:noFill/>
                    <a:ln>
                      <a:noFill/>
                    </a:ln>
                  </pic:spPr>
                </pic:pic>
              </a:graphicData>
            </a:graphic>
          </wp:inline>
        </w:drawing>
      </w:r>
    </w:p>
    <w:p w:rsidR="00861CFF" w:rsidRPr="00042CDD" w:rsidRDefault="00861CFF" w:rsidP="00862268">
      <w:pPr>
        <w:keepNext/>
        <w:spacing w:after="120" w:line="340" w:lineRule="exact"/>
        <w:jc w:val="both"/>
        <w:rPr>
          <w:rFonts w:ascii="Arabic Typesetting" w:hAnsi="Arabic Typesetting" w:cs="Arabic Typesetting"/>
          <w:i/>
          <w:iCs/>
          <w:sz w:val="34"/>
          <w:szCs w:val="34"/>
          <w:rtl/>
          <w:lang w:val="fr-CH"/>
        </w:rPr>
      </w:pPr>
      <w:r w:rsidRPr="00042CDD">
        <w:rPr>
          <w:rFonts w:ascii="Arabic Typesetting" w:hAnsi="Arabic Typesetting" w:cs="Arabic Typesetting" w:hint="cs"/>
          <w:i/>
          <w:iCs/>
          <w:sz w:val="34"/>
          <w:szCs w:val="34"/>
          <w:rtl/>
          <w:lang w:val="fr-CH"/>
        </w:rPr>
        <w:t>وقع التأخر في سداد الرسوم على إيرادات معاهدة التعاون بشأن البراءات</w:t>
      </w:r>
    </w:p>
    <w:p w:rsidR="00861CFF" w:rsidRPr="00042CDD" w:rsidRDefault="00861CFF" w:rsidP="00861CFF">
      <w:pPr>
        <w:pStyle w:val="NumberedParaAR"/>
        <w:numPr>
          <w:ilvl w:val="0"/>
          <w:numId w:val="47"/>
        </w:numPr>
        <w:spacing w:after="120" w:line="340" w:lineRule="exact"/>
        <w:rPr>
          <w:sz w:val="34"/>
          <w:szCs w:val="34"/>
          <w:lang w:val="fr-CH"/>
        </w:rPr>
      </w:pPr>
      <w:r w:rsidRPr="00042CDD">
        <w:rPr>
          <w:rFonts w:hint="cs"/>
          <w:sz w:val="34"/>
          <w:szCs w:val="34"/>
          <w:rtl/>
          <w:lang w:val="fr-CH"/>
        </w:rPr>
        <w:t xml:space="preserve">تحسب الإيرادات المفترضة المتوقعة على افتراض أن تسدد الرسوم في العام نفسه الذي يودع فيه الطلب. ومع ذلك تسدد الرسوم إلى الويبو بتأخير يتراوح بين شهر واحد وستة أشهر. ويسدد بعض المودعين </w:t>
      </w:r>
      <w:r w:rsidRPr="00042CDD">
        <w:rPr>
          <w:sz w:val="34"/>
          <w:szCs w:val="34"/>
          <w:rtl/>
          <w:lang w:val="fr-CH"/>
        </w:rPr>
        <w:t>–</w:t>
      </w:r>
      <w:r w:rsidRPr="00042CDD">
        <w:rPr>
          <w:rFonts w:hint="cs"/>
          <w:sz w:val="34"/>
          <w:szCs w:val="34"/>
          <w:rtl/>
          <w:lang w:val="fr-CH"/>
        </w:rPr>
        <w:t xml:space="preserve"> ولا سيما الذين يودعون طلباتهم في بداية العام </w:t>
      </w:r>
      <w:r w:rsidRPr="00042CDD">
        <w:rPr>
          <w:sz w:val="34"/>
          <w:szCs w:val="34"/>
          <w:rtl/>
          <w:lang w:val="fr-CH"/>
        </w:rPr>
        <w:t>–</w:t>
      </w:r>
      <w:r w:rsidRPr="00042CDD">
        <w:rPr>
          <w:rFonts w:hint="cs"/>
          <w:sz w:val="34"/>
          <w:szCs w:val="34"/>
          <w:rtl/>
          <w:lang w:val="fr-CH"/>
        </w:rPr>
        <w:t xml:space="preserve">الرسوم في عام إيداع الطلب نفسه (وعادة ما تبلغ نسبتهم حوالي 85 </w:t>
      </w:r>
      <w:r>
        <w:rPr>
          <w:rFonts w:hint="cs"/>
          <w:sz w:val="34"/>
          <w:szCs w:val="34"/>
          <w:rtl/>
          <w:lang w:val="fr-CH"/>
        </w:rPr>
        <w:t xml:space="preserve">بالمائة </w:t>
      </w:r>
      <w:r w:rsidRPr="00042CDD">
        <w:rPr>
          <w:rFonts w:hint="cs"/>
          <w:sz w:val="34"/>
          <w:szCs w:val="34"/>
          <w:rtl/>
          <w:lang w:val="fr-CH"/>
        </w:rPr>
        <w:t xml:space="preserve">)، في حين يسدد مودعون آخرون الرسوم في العام التالي (وعادة ما تبلغ نسبتهم حوالي 15 </w:t>
      </w:r>
      <w:r>
        <w:rPr>
          <w:rFonts w:hint="cs"/>
          <w:sz w:val="34"/>
          <w:szCs w:val="34"/>
          <w:rtl/>
          <w:lang w:val="fr-CH"/>
        </w:rPr>
        <w:t xml:space="preserve">بالمائة </w:t>
      </w:r>
      <w:r w:rsidRPr="00042CDD">
        <w:rPr>
          <w:rFonts w:hint="cs"/>
          <w:sz w:val="34"/>
          <w:szCs w:val="34"/>
          <w:rtl/>
          <w:lang w:val="fr-CH"/>
        </w:rPr>
        <w:t>). وبالتالي فإن الإيرادات الفعلية لمعاهدة التعاون بشأن البراءات في أي عام تتكون من جزء من الرسوم المسددة على الطلبات المودعة في العام السابق إضافة إلى جزء من الرسوم المسددة على الطلبات المودعة في العام نفسه. لذا فإن الأموال الواردة في أي عام لا تساوي الأموال الآتية من إيداع الطلبات في العام نفسه. ولا تغير الفروق السنوية بين الإيرادات المفترضة والإيرادات الحقيقية من الإيرادات الإجمالية على الأجل الطويل. ومن الأرجح أن يعوض أي عجز في الإيرادات نتيجة لتأخر سداد الرسوم في العام التالي. وإذا تأخر سداد جزء كبير من الرسوم من أي عام إلى العام التالي، تنخفض الإيرادات الفعلية لهذا العام، لكنها ترتفع في العام التالي. وعلى النقيض إذا تأخر سداد جزء صغير من الرسوم من أي عام إلى العام التالي، ترتفع الإيرادات الفعلية لهذا العام، لكنها تنخفض في العام التالي. ويوضح ال</w:t>
      </w:r>
      <w:r>
        <w:rPr>
          <w:rFonts w:hint="cs"/>
          <w:sz w:val="34"/>
          <w:szCs w:val="34"/>
          <w:rtl/>
          <w:lang w:val="fr-CH"/>
        </w:rPr>
        <w:t>شكل</w:t>
      </w:r>
      <w:r w:rsidRPr="00042CDD">
        <w:rPr>
          <w:rFonts w:hint="cs"/>
          <w:sz w:val="34"/>
          <w:szCs w:val="34"/>
          <w:rtl/>
          <w:lang w:val="fr-CH"/>
        </w:rPr>
        <w:t xml:space="preserve"> </w:t>
      </w:r>
      <w:r>
        <w:rPr>
          <w:rFonts w:hint="cs"/>
          <w:sz w:val="34"/>
          <w:szCs w:val="34"/>
          <w:rtl/>
          <w:lang w:val="fr-CH"/>
        </w:rPr>
        <w:t>5</w:t>
      </w:r>
      <w:r w:rsidRPr="00042CDD">
        <w:rPr>
          <w:rFonts w:hint="cs"/>
          <w:sz w:val="34"/>
          <w:szCs w:val="34"/>
          <w:rtl/>
          <w:lang w:val="fr-CH"/>
        </w:rPr>
        <w:t xml:space="preserve"> أدناه الإيرادات المعدلة لمعاهدة التعاون بشأن البراءات حتى سنة </w:t>
      </w:r>
      <w:r>
        <w:rPr>
          <w:rFonts w:hint="cs"/>
          <w:sz w:val="34"/>
          <w:szCs w:val="34"/>
          <w:rtl/>
          <w:lang w:val="fr-CH"/>
        </w:rPr>
        <w:t>2017</w:t>
      </w:r>
      <w:r w:rsidRPr="00042CDD">
        <w:rPr>
          <w:rFonts w:hint="cs"/>
          <w:sz w:val="34"/>
          <w:szCs w:val="34"/>
          <w:rtl/>
          <w:lang w:val="fr-CH"/>
        </w:rPr>
        <w:t xml:space="preserve"> أخذا في الحسبان التأخر في سداد الرسوم.</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4E6AC4">
        <w:rPr>
          <w:sz w:val="34"/>
          <w:szCs w:val="34"/>
          <w:rtl/>
          <w:lang w:val="fr-CH"/>
        </w:rPr>
        <w:lastRenderedPageBreak/>
        <w:t xml:space="preserve">الشكل </w:t>
      </w:r>
      <w:r w:rsidRPr="004E6AC4">
        <w:rPr>
          <w:rFonts w:hint="cs"/>
          <w:sz w:val="34"/>
          <w:szCs w:val="34"/>
          <w:rtl/>
          <w:lang w:val="fr-CH"/>
        </w:rPr>
        <w:t>5</w:t>
      </w:r>
      <w:r w:rsidRPr="004E6AC4">
        <w:rPr>
          <w:sz w:val="34"/>
          <w:szCs w:val="34"/>
          <w:rtl/>
          <w:lang w:val="fr-CH"/>
        </w:rPr>
        <w:t xml:space="preserve"> – الإيرادات المعدلة لمعاهدة التعاون بشأن البراءات المتوقعة حتى سنة </w:t>
      </w:r>
      <w:r w:rsidRPr="004E6AC4">
        <w:rPr>
          <w:rFonts w:hint="cs"/>
          <w:sz w:val="34"/>
          <w:szCs w:val="34"/>
          <w:rtl/>
          <w:lang w:val="fr-CH"/>
        </w:rPr>
        <w:t>2017</w:t>
      </w:r>
    </w:p>
    <w:p w:rsidR="00861CFF" w:rsidRPr="00C16521" w:rsidRDefault="00861CFF" w:rsidP="00862268">
      <w:pPr>
        <w:pStyle w:val="NormalParaAR"/>
        <w:spacing w:after="120" w:line="240" w:lineRule="auto"/>
        <w:jc w:val="center"/>
        <w:rPr>
          <w:highlight w:val="yellow"/>
          <w:rtl/>
          <w:lang w:val="fr-CH"/>
        </w:rPr>
      </w:pPr>
      <w:r>
        <w:rPr>
          <w:noProof/>
        </w:rPr>
        <w:drawing>
          <wp:inline distT="0" distB="0" distL="0" distR="0" wp14:anchorId="38C92A15" wp14:editId="18603B54">
            <wp:extent cx="4824155" cy="2733372"/>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838053" cy="2741246"/>
                    </a:xfrm>
                    <a:prstGeom prst="rect">
                      <a:avLst/>
                    </a:prstGeom>
                    <a:noFill/>
                  </pic:spPr>
                </pic:pic>
              </a:graphicData>
            </a:graphic>
          </wp:inline>
        </w:drawing>
      </w:r>
    </w:p>
    <w:p w:rsidR="00861CFF" w:rsidRPr="00C16521" w:rsidRDefault="00861CFF" w:rsidP="00862268">
      <w:pPr>
        <w:pStyle w:val="NormalParaAR"/>
        <w:spacing w:after="120" w:line="240" w:lineRule="auto"/>
        <w:jc w:val="center"/>
        <w:rPr>
          <w:highlight w:val="yellow"/>
          <w:lang w:val="fr-CH"/>
        </w:rPr>
      </w:pPr>
      <w:r w:rsidRPr="004E6AC4">
        <w:rPr>
          <w:noProof/>
          <w:rtl/>
        </w:rPr>
        <w:drawing>
          <wp:inline distT="0" distB="0" distL="0" distR="0" wp14:anchorId="3ED0B4DF" wp14:editId="67B7A10E">
            <wp:extent cx="4829175" cy="1245943"/>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827953" cy="1245628"/>
                    </a:xfrm>
                    <a:prstGeom prst="rect">
                      <a:avLst/>
                    </a:prstGeom>
                    <a:noFill/>
                    <a:ln>
                      <a:noFill/>
                    </a:ln>
                  </pic:spPr>
                </pic:pic>
              </a:graphicData>
            </a:graphic>
          </wp:inline>
        </w:drawing>
      </w:r>
    </w:p>
    <w:p w:rsidR="00861CFF" w:rsidRPr="00042CDD" w:rsidRDefault="00861CFF" w:rsidP="00862268">
      <w:pPr>
        <w:keepNext/>
        <w:spacing w:after="120" w:line="340" w:lineRule="exact"/>
        <w:jc w:val="both"/>
        <w:rPr>
          <w:rFonts w:ascii="Arabic Typesetting" w:hAnsi="Arabic Typesetting" w:cs="Arabic Typesetting"/>
          <w:i/>
          <w:iCs/>
          <w:sz w:val="34"/>
          <w:szCs w:val="34"/>
          <w:lang w:val="fr-CH"/>
        </w:rPr>
      </w:pPr>
      <w:r w:rsidRPr="00042CDD">
        <w:rPr>
          <w:rFonts w:ascii="Arabic Typesetting" w:hAnsi="Arabic Typesetting" w:cs="Arabic Typesetting" w:hint="cs"/>
          <w:i/>
          <w:iCs/>
          <w:sz w:val="34"/>
          <w:szCs w:val="34"/>
          <w:rtl/>
          <w:lang w:val="fr-CH"/>
        </w:rPr>
        <w:t>التسويات بحسب أسعار صرف العملات</w:t>
      </w:r>
    </w:p>
    <w:p w:rsidR="00861CFF" w:rsidRPr="00042CDD" w:rsidRDefault="00861CFF" w:rsidP="00861CFF">
      <w:pPr>
        <w:pStyle w:val="NumberedParaAR"/>
        <w:numPr>
          <w:ilvl w:val="0"/>
          <w:numId w:val="47"/>
        </w:numPr>
        <w:spacing w:after="120" w:line="340" w:lineRule="exact"/>
        <w:rPr>
          <w:sz w:val="34"/>
          <w:szCs w:val="34"/>
          <w:lang w:val="fr-CH"/>
        </w:rPr>
      </w:pPr>
      <w:r w:rsidRPr="00042CDD">
        <w:rPr>
          <w:rFonts w:hint="cs"/>
          <w:sz w:val="34"/>
          <w:szCs w:val="34"/>
          <w:rtl/>
          <w:lang w:val="fr-CH"/>
        </w:rPr>
        <w:t>تسدد رسوم معاهدة التعاون بشأن البراءات بعملات مختلفة. فبالنسبة للرسوم المسددة بعملات "قابلة للتحويل دون قيد أو شرط"، يساوي المبلغ المسدد "المبلغ المعادل" الذي يحدده المكتب الدولي؛ أما بالنسبة للعملات "غير القابلة للتحويل دون قيد أو شرط"، فتحولها مكاتب تسلم الطلبات إلى مبالغ معادلة بالفرنك السويسري أو اليورو أو الدولار الأمريكي (القاعدة 15 من معاهدة التعاون بشأن البراءات). وتحدد الويبو المبالغ المعادلة وفقا للقواعد المنصوص عليها في توجيهي جمعية معاهدة التعاون بشأن البراءات التاليين: (1)</w:t>
      </w:r>
      <w:r w:rsidRPr="00042CDD">
        <w:rPr>
          <w:rFonts w:hint="eastAsia"/>
          <w:sz w:val="34"/>
          <w:szCs w:val="34"/>
          <w:rtl/>
          <w:lang w:val="fr-CH"/>
        </w:rPr>
        <w:t> </w:t>
      </w:r>
      <w:r w:rsidRPr="00042CDD">
        <w:rPr>
          <w:rFonts w:hint="cs"/>
          <w:sz w:val="34"/>
          <w:szCs w:val="34"/>
          <w:rtl/>
          <w:lang w:val="fr-CH"/>
        </w:rPr>
        <w:t xml:space="preserve">تؤخذ أسعار الصرف في الاثنين الأول من شهر أكتوبر على أنها أسعار الصرف الجديدة لدى الويبو من أجل تحديد المبالغ المعادلة للسنة التالية؛ (2) وإذا تغيرت أسعار الصرف لأكثر من أربع جمعات متتالية بنسبة 5 </w:t>
      </w:r>
      <w:r>
        <w:rPr>
          <w:rFonts w:hint="cs"/>
          <w:sz w:val="34"/>
          <w:szCs w:val="34"/>
          <w:rtl/>
          <w:lang w:val="fr-CH"/>
        </w:rPr>
        <w:t xml:space="preserve">بالمائة </w:t>
      </w:r>
      <w:r w:rsidRPr="00042CDD">
        <w:rPr>
          <w:rFonts w:hint="cs"/>
          <w:sz w:val="34"/>
          <w:szCs w:val="34"/>
          <w:rtl/>
          <w:lang w:val="fr-CH"/>
        </w:rPr>
        <w:t xml:space="preserve">، ينبغي أن يستهل المدير العام للويبو مشاورات مع المكاتب لتحديد مبالغ معادلة جديدة تطبق بعد شهرين من نشرها. </w:t>
      </w:r>
    </w:p>
    <w:p w:rsidR="00861CFF" w:rsidRPr="00042CDD" w:rsidRDefault="00861CFF" w:rsidP="00861CFF">
      <w:pPr>
        <w:pStyle w:val="NumberedParaAR"/>
        <w:numPr>
          <w:ilvl w:val="0"/>
          <w:numId w:val="47"/>
        </w:numPr>
        <w:spacing w:after="120" w:line="340" w:lineRule="exact"/>
        <w:rPr>
          <w:sz w:val="34"/>
          <w:szCs w:val="34"/>
          <w:lang w:val="fr-CH"/>
        </w:rPr>
      </w:pPr>
      <w:r w:rsidRPr="00042CDD">
        <w:rPr>
          <w:rFonts w:hint="cs"/>
          <w:sz w:val="34"/>
          <w:szCs w:val="34"/>
          <w:rtl/>
          <w:lang w:val="fr-CH"/>
        </w:rPr>
        <w:t>ويسدد المودعون رسم الإيداع الدولي وفقا للمبلغ المعادل في تاريخ الإيداع، ومع ذلك ونظرا للتأخر في تطبيق المبلغ المعادل، من المرجح أن تختلف أسعار الصرف في الأسواق عن أسعار الصرف في الويبو في وقت السداد، ما يؤدي إلى تحقيق مكسب أو خسارة في إيرادات نظام معاهدة التعاون بشأن البراءات. ويوضح ال</w:t>
      </w:r>
      <w:r>
        <w:rPr>
          <w:rFonts w:hint="cs"/>
          <w:sz w:val="34"/>
          <w:szCs w:val="34"/>
          <w:rtl/>
          <w:lang w:val="fr-CH"/>
        </w:rPr>
        <w:t>شكل</w:t>
      </w:r>
      <w:r w:rsidRPr="00042CDD">
        <w:rPr>
          <w:rFonts w:hint="cs"/>
          <w:sz w:val="34"/>
          <w:szCs w:val="34"/>
          <w:rtl/>
          <w:lang w:val="fr-CH"/>
        </w:rPr>
        <w:t xml:space="preserve"> البياني التالي الفارق بين أسعار الصرف في الويبو لتحديد "المبلغ المعادل" وأسعار الصرف التشغيلية في الأمم المتحدة للعملات الثلاث وهي الدولار الأمريكي واليورو والين الياباني.</w:t>
      </w:r>
    </w:p>
    <w:p w:rsidR="00861CFF" w:rsidRPr="00C16521" w:rsidRDefault="00861CFF" w:rsidP="00862268">
      <w:pPr>
        <w:pStyle w:val="NormalParaAR"/>
        <w:spacing w:after="120" w:line="240" w:lineRule="auto"/>
        <w:jc w:val="center"/>
        <w:rPr>
          <w:highlight w:val="yellow"/>
          <w:lang w:val="fr-CH"/>
        </w:rPr>
      </w:pPr>
      <w:r>
        <w:rPr>
          <w:noProof/>
        </w:rPr>
        <w:drawing>
          <wp:inline distT="0" distB="0" distL="0" distR="0" wp14:anchorId="0AAA9252" wp14:editId="4CBC0D69">
            <wp:extent cx="5857875" cy="1535521"/>
            <wp:effectExtent l="0" t="0" r="0" b="762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905206" cy="1547928"/>
                    </a:xfrm>
                    <a:prstGeom prst="rect">
                      <a:avLst/>
                    </a:prstGeom>
                    <a:noFill/>
                  </pic:spPr>
                </pic:pic>
              </a:graphicData>
            </a:graphic>
          </wp:inline>
        </w:drawing>
      </w:r>
    </w:p>
    <w:p w:rsidR="00861CFF" w:rsidRPr="00042CDD" w:rsidRDefault="00861CFF" w:rsidP="00861CFF">
      <w:pPr>
        <w:pStyle w:val="NumberedParaAR"/>
        <w:numPr>
          <w:ilvl w:val="0"/>
          <w:numId w:val="47"/>
        </w:numPr>
        <w:spacing w:after="120" w:line="340" w:lineRule="exact"/>
        <w:rPr>
          <w:sz w:val="34"/>
          <w:szCs w:val="34"/>
          <w:lang w:val="fr-CH"/>
        </w:rPr>
      </w:pPr>
      <w:r w:rsidRPr="00042CDD">
        <w:rPr>
          <w:rFonts w:hint="cs"/>
          <w:sz w:val="34"/>
          <w:szCs w:val="34"/>
          <w:rtl/>
          <w:lang w:val="fr-CH"/>
        </w:rPr>
        <w:lastRenderedPageBreak/>
        <w:t>ويشكل الفارق بين المبلغ المعادل في تاريخ الإيداع والمبلغ المحول إلى الفرنك السويسري في تاريخ السداد بموجب أسعار الصرف في الأمم المتحدة مكسبا أو خسارة في عائدات نظام معاهدة التعاون بشأن البراءات. ويوضح ال</w:t>
      </w:r>
      <w:r>
        <w:rPr>
          <w:rFonts w:hint="cs"/>
          <w:sz w:val="34"/>
          <w:szCs w:val="34"/>
          <w:rtl/>
          <w:lang w:val="fr-CH"/>
        </w:rPr>
        <w:t>شكل</w:t>
      </w:r>
      <w:r w:rsidRPr="00042CDD">
        <w:rPr>
          <w:rFonts w:hint="cs"/>
          <w:sz w:val="34"/>
          <w:szCs w:val="34"/>
          <w:rtl/>
          <w:lang w:val="fr-CH"/>
        </w:rPr>
        <w:t xml:space="preserve"> البياني التالي المكسب/الخسارة الشهرية في إيرادات معاهدة التعاون بشأن البراءات.</w:t>
      </w:r>
    </w:p>
    <w:p w:rsidR="00861CFF" w:rsidRPr="00C16521" w:rsidRDefault="00861CFF" w:rsidP="00862268">
      <w:pPr>
        <w:pStyle w:val="NormalParaAR"/>
        <w:spacing w:after="120" w:line="240" w:lineRule="auto"/>
        <w:jc w:val="center"/>
        <w:rPr>
          <w:highlight w:val="yellow"/>
          <w:lang w:val="fr-CH"/>
        </w:rPr>
      </w:pPr>
      <w:r>
        <w:rPr>
          <w:noProof/>
        </w:rPr>
        <w:drawing>
          <wp:inline distT="0" distB="0" distL="0" distR="0" wp14:anchorId="655B42C5" wp14:editId="791D604C">
            <wp:extent cx="6581775" cy="2224880"/>
            <wp:effectExtent l="0" t="0" r="0" b="444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589179" cy="2227383"/>
                    </a:xfrm>
                    <a:prstGeom prst="rect">
                      <a:avLst/>
                    </a:prstGeom>
                    <a:noFill/>
                  </pic:spPr>
                </pic:pic>
              </a:graphicData>
            </a:graphic>
          </wp:inline>
        </w:drawing>
      </w:r>
    </w:p>
    <w:p w:rsidR="00861CFF" w:rsidRPr="00042CDD" w:rsidRDefault="00861CFF" w:rsidP="00861CFF">
      <w:pPr>
        <w:pStyle w:val="NumberedParaAR"/>
        <w:numPr>
          <w:ilvl w:val="0"/>
          <w:numId w:val="47"/>
        </w:numPr>
        <w:spacing w:after="120" w:line="340" w:lineRule="exact"/>
        <w:rPr>
          <w:sz w:val="34"/>
          <w:szCs w:val="34"/>
          <w:lang w:val="fr-CH"/>
        </w:rPr>
      </w:pPr>
      <w:r>
        <w:rPr>
          <w:rFonts w:hint="cs"/>
          <w:sz w:val="34"/>
          <w:szCs w:val="34"/>
          <w:rtl/>
          <w:lang w:val="fr-CH"/>
        </w:rPr>
        <w:t>وخلافا لتوقعات الأسواق، أعلن المصرف الوطني السويسري في 15 يناير 2015 أنه سيوقف العمل بسقف سعر صرف اليورو، مما أدى إلى زيادة حادة في الفرنك السويسري. ومن المرتقب أن تخسر معاهدة البراءات نتيجة لذلك مبلغا إضافيا من إيراداتها يبلغ 3.1 مليون فرنك سويسري.</w:t>
      </w:r>
    </w:p>
    <w:p w:rsidR="00861CFF" w:rsidRPr="000C7350" w:rsidRDefault="00861CFF" w:rsidP="00861CFF">
      <w:pPr>
        <w:pStyle w:val="NumberedParaAR"/>
        <w:numPr>
          <w:ilvl w:val="0"/>
          <w:numId w:val="47"/>
        </w:numPr>
        <w:spacing w:line="340" w:lineRule="exact"/>
        <w:rPr>
          <w:sz w:val="34"/>
          <w:szCs w:val="34"/>
          <w:lang w:val="fr-CH"/>
        </w:rPr>
      </w:pPr>
      <w:r w:rsidRPr="000C7350">
        <w:rPr>
          <w:rFonts w:hint="cs"/>
          <w:sz w:val="34"/>
          <w:szCs w:val="34"/>
          <w:rtl/>
          <w:lang w:val="fr-CH"/>
        </w:rPr>
        <w:t>ويرد جدول رسوم معاهدة التعاون بشأن البراءات الحالي في الجدول</w:t>
      </w:r>
      <w:r>
        <w:rPr>
          <w:rFonts w:hint="cs"/>
          <w:sz w:val="34"/>
          <w:szCs w:val="34"/>
          <w:rtl/>
          <w:lang w:val="fr-CH"/>
        </w:rPr>
        <w:t xml:space="preserve">ين </w:t>
      </w:r>
      <w:r w:rsidRPr="000C7350">
        <w:rPr>
          <w:rFonts w:hint="cs"/>
          <w:sz w:val="34"/>
          <w:szCs w:val="34"/>
          <w:rtl/>
          <w:lang w:val="fr-CH"/>
        </w:rPr>
        <w:t>أدناه</w:t>
      </w:r>
      <w:r>
        <w:rPr>
          <w:rFonts w:hint="cs"/>
          <w:sz w:val="34"/>
          <w:szCs w:val="34"/>
          <w:rtl/>
          <w:lang w:val="fr-CH"/>
        </w:rPr>
        <w:t>.</w:t>
      </w:r>
    </w:p>
    <w:tbl>
      <w:tblPr>
        <w:bidiVisual/>
        <w:tblW w:w="0" w:type="auto"/>
        <w:tblLayout w:type="fixed"/>
        <w:tblLook w:val="04A0" w:firstRow="1" w:lastRow="0" w:firstColumn="1" w:lastColumn="0" w:noHBand="0" w:noVBand="1"/>
      </w:tblPr>
      <w:tblGrid>
        <w:gridCol w:w="4782"/>
        <w:gridCol w:w="4788"/>
      </w:tblGrid>
      <w:tr w:rsidR="00861CFF" w:rsidRPr="00C16521" w:rsidTr="00862268">
        <w:tc>
          <w:tcPr>
            <w:tcW w:w="4782" w:type="dxa"/>
            <w:shd w:val="clear" w:color="auto" w:fill="auto"/>
          </w:tcPr>
          <w:p w:rsidR="00861CFF" w:rsidRPr="00CA66EF" w:rsidRDefault="00861CFF" w:rsidP="00862268">
            <w:pPr>
              <w:pStyle w:val="NormalParaAR"/>
              <w:spacing w:after="120" w:line="180" w:lineRule="exact"/>
              <w:jc w:val="center"/>
              <w:rPr>
                <w:sz w:val="28"/>
                <w:szCs w:val="28"/>
                <w:rtl/>
                <w:lang w:val="fr-CH"/>
              </w:rPr>
            </w:pPr>
            <w:r w:rsidRPr="00CA66EF">
              <w:rPr>
                <w:sz w:val="28"/>
                <w:szCs w:val="28"/>
                <w:rtl/>
                <w:lang w:val="fr-CH"/>
              </w:rPr>
              <w:t>جدول رسوم المعاهدة</w:t>
            </w:r>
          </w:p>
          <w:p w:rsidR="00861CFF" w:rsidRPr="00CA66EF" w:rsidRDefault="00861CFF" w:rsidP="00862268">
            <w:pPr>
              <w:pStyle w:val="NormalParaAR"/>
              <w:spacing w:after="120" w:line="180" w:lineRule="exact"/>
              <w:jc w:val="center"/>
              <w:rPr>
                <w:sz w:val="28"/>
                <w:szCs w:val="28"/>
                <w:rtl/>
                <w:lang w:val="fr-CH"/>
              </w:rPr>
            </w:pPr>
            <w:r w:rsidRPr="00CA66EF">
              <w:rPr>
                <w:sz w:val="28"/>
                <w:szCs w:val="28"/>
                <w:rtl/>
                <w:lang w:val="fr-CH"/>
              </w:rPr>
              <w:t>(في 1 يناير 2004)</w:t>
            </w:r>
          </w:p>
          <w:p w:rsidR="00861CFF" w:rsidRPr="00CA66EF" w:rsidRDefault="00861CFF" w:rsidP="00862268">
            <w:pPr>
              <w:pStyle w:val="NormalParaAR"/>
              <w:spacing w:after="120" w:line="240" w:lineRule="auto"/>
              <w:jc w:val="center"/>
              <w:rPr>
                <w:sz w:val="28"/>
                <w:szCs w:val="28"/>
                <w:lang w:val="fr-CH"/>
              </w:rPr>
            </w:pPr>
            <w:r w:rsidRPr="00CA66EF">
              <w:rPr>
                <w:i/>
                <w:iCs/>
                <w:sz w:val="28"/>
                <w:szCs w:val="28"/>
                <w:rtl/>
                <w:lang w:val="fr-CH"/>
              </w:rPr>
              <w:t>(بالفرنكات السويسرية)</w:t>
            </w:r>
          </w:p>
        </w:tc>
        <w:tc>
          <w:tcPr>
            <w:tcW w:w="4788" w:type="dxa"/>
            <w:shd w:val="clear" w:color="auto" w:fill="auto"/>
          </w:tcPr>
          <w:p w:rsidR="00861CFF" w:rsidRPr="00CA66EF" w:rsidRDefault="00861CFF" w:rsidP="00862268">
            <w:pPr>
              <w:pStyle w:val="NormalParaAR"/>
              <w:spacing w:after="120" w:line="180" w:lineRule="exact"/>
              <w:jc w:val="center"/>
              <w:rPr>
                <w:sz w:val="28"/>
                <w:szCs w:val="28"/>
                <w:rtl/>
                <w:lang w:val="fr-CH"/>
              </w:rPr>
            </w:pPr>
            <w:r w:rsidRPr="00CA66EF">
              <w:rPr>
                <w:sz w:val="28"/>
                <w:szCs w:val="28"/>
                <w:rtl/>
                <w:lang w:val="fr-CH"/>
              </w:rPr>
              <w:t>جدول رسوم المعاهدة المنقح</w:t>
            </w:r>
          </w:p>
          <w:p w:rsidR="00861CFF" w:rsidRPr="00CA66EF" w:rsidRDefault="00861CFF" w:rsidP="00862268">
            <w:pPr>
              <w:pStyle w:val="NormalParaAR"/>
              <w:spacing w:after="120" w:line="180" w:lineRule="exact"/>
              <w:jc w:val="center"/>
              <w:rPr>
                <w:sz w:val="28"/>
                <w:szCs w:val="28"/>
                <w:rtl/>
                <w:lang w:val="fr-CH"/>
              </w:rPr>
            </w:pPr>
            <w:r w:rsidRPr="00CA66EF">
              <w:rPr>
                <w:sz w:val="28"/>
                <w:szCs w:val="28"/>
                <w:rtl/>
                <w:lang w:val="fr-CH"/>
              </w:rPr>
              <w:t>(في 1 يناير 2008)</w:t>
            </w:r>
          </w:p>
          <w:p w:rsidR="00861CFF" w:rsidRPr="00CA66EF" w:rsidRDefault="00861CFF" w:rsidP="00862268">
            <w:pPr>
              <w:pStyle w:val="NormalParaAR"/>
              <w:spacing w:after="120" w:line="240" w:lineRule="auto"/>
              <w:jc w:val="center"/>
              <w:rPr>
                <w:i/>
                <w:iCs/>
                <w:sz w:val="28"/>
                <w:szCs w:val="28"/>
                <w:lang w:val="fr-CH"/>
              </w:rPr>
            </w:pPr>
            <w:r w:rsidRPr="00CA66EF">
              <w:rPr>
                <w:i/>
                <w:iCs/>
                <w:sz w:val="28"/>
                <w:szCs w:val="28"/>
                <w:rtl/>
                <w:lang w:val="fr-CH"/>
              </w:rPr>
              <w:t>(بالفرنكات السويسرية)</w:t>
            </w:r>
          </w:p>
        </w:tc>
      </w:tr>
      <w:tr w:rsidR="00861CFF" w:rsidRPr="00C16521" w:rsidTr="00862268">
        <w:tc>
          <w:tcPr>
            <w:tcW w:w="4782" w:type="dxa"/>
            <w:shd w:val="clear" w:color="auto" w:fill="auto"/>
          </w:tcPr>
          <w:p w:rsidR="00861CFF" w:rsidRPr="00CA66EF" w:rsidRDefault="00861CFF" w:rsidP="00862268">
            <w:pPr>
              <w:pStyle w:val="NormalParaAR"/>
              <w:spacing w:after="120" w:line="240" w:lineRule="auto"/>
              <w:jc w:val="center"/>
              <w:rPr>
                <w:sz w:val="28"/>
                <w:szCs w:val="28"/>
                <w:highlight w:val="yellow"/>
                <w:rtl/>
                <w:lang w:val="fr-CH"/>
              </w:rPr>
            </w:pPr>
            <w:r w:rsidRPr="00CA66EF">
              <w:rPr>
                <w:noProof/>
                <w:sz w:val="28"/>
                <w:szCs w:val="28"/>
              </w:rPr>
              <w:drawing>
                <wp:inline distT="0" distB="0" distL="0" distR="0" wp14:anchorId="7704308D" wp14:editId="76C79578">
                  <wp:extent cx="2974975" cy="124206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974975" cy="1242060"/>
                          </a:xfrm>
                          <a:prstGeom prst="rect">
                            <a:avLst/>
                          </a:prstGeom>
                          <a:noFill/>
                          <a:ln>
                            <a:noFill/>
                          </a:ln>
                        </pic:spPr>
                      </pic:pic>
                    </a:graphicData>
                  </a:graphic>
                </wp:inline>
              </w:drawing>
            </w:r>
          </w:p>
        </w:tc>
        <w:tc>
          <w:tcPr>
            <w:tcW w:w="4788" w:type="dxa"/>
            <w:shd w:val="clear" w:color="auto" w:fill="auto"/>
          </w:tcPr>
          <w:p w:rsidR="00861CFF" w:rsidRPr="00CA66EF" w:rsidRDefault="00861CFF" w:rsidP="00862268">
            <w:pPr>
              <w:pStyle w:val="NormalParaAR"/>
              <w:spacing w:after="120" w:line="240" w:lineRule="auto"/>
              <w:jc w:val="center"/>
              <w:rPr>
                <w:sz w:val="28"/>
                <w:szCs w:val="28"/>
                <w:highlight w:val="yellow"/>
                <w:rtl/>
                <w:lang w:val="fr-CH"/>
              </w:rPr>
            </w:pPr>
            <w:r w:rsidRPr="00CA66EF">
              <w:rPr>
                <w:noProof/>
                <w:sz w:val="28"/>
                <w:szCs w:val="28"/>
              </w:rPr>
              <w:drawing>
                <wp:inline distT="0" distB="0" distL="0" distR="0" wp14:anchorId="61BE0D5C" wp14:editId="53136A7F">
                  <wp:extent cx="2961640" cy="12420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961640" cy="1242060"/>
                          </a:xfrm>
                          <a:prstGeom prst="rect">
                            <a:avLst/>
                          </a:prstGeom>
                          <a:noFill/>
                          <a:ln>
                            <a:noFill/>
                          </a:ln>
                        </pic:spPr>
                      </pic:pic>
                    </a:graphicData>
                  </a:graphic>
                </wp:inline>
              </w:drawing>
            </w:r>
          </w:p>
        </w:tc>
      </w:tr>
    </w:tbl>
    <w:p w:rsidR="00861CFF" w:rsidRPr="00C16521" w:rsidRDefault="00861CFF" w:rsidP="00862268">
      <w:pPr>
        <w:pStyle w:val="NormalParaAR"/>
        <w:jc w:val="center"/>
        <w:rPr>
          <w:highlight w:val="yellow"/>
          <w:rtl/>
          <w:lang w:val="fr-CH"/>
        </w:rPr>
      </w:pPr>
    </w:p>
    <w:p w:rsidR="00861CFF" w:rsidRPr="007B28E1" w:rsidRDefault="00861CFF" w:rsidP="00862268">
      <w:pPr>
        <w:pStyle w:val="NormalParaAR"/>
        <w:keepNext/>
        <w:spacing w:after="0"/>
        <w:rPr>
          <w:b/>
          <w:bCs/>
          <w:rtl/>
          <w:lang w:val="fr-CH"/>
        </w:rPr>
      </w:pPr>
      <w:r w:rsidRPr="007B28E1">
        <w:rPr>
          <w:b/>
          <w:bCs/>
          <w:rtl/>
          <w:lang w:val="fr-CH"/>
        </w:rPr>
        <w:t>مدريد</w:t>
      </w:r>
    </w:p>
    <w:p w:rsidR="00861CFF" w:rsidRPr="007B28E1" w:rsidRDefault="00861CFF" w:rsidP="00862268">
      <w:pPr>
        <w:pStyle w:val="NormalParaAR"/>
        <w:keepNext/>
        <w:spacing w:after="120" w:line="340" w:lineRule="exact"/>
        <w:rPr>
          <w:i/>
          <w:iCs/>
          <w:sz w:val="34"/>
          <w:szCs w:val="34"/>
          <w:rtl/>
          <w:lang w:val="fr-CH"/>
        </w:rPr>
      </w:pPr>
      <w:r w:rsidRPr="007B28E1">
        <w:rPr>
          <w:i/>
          <w:iCs/>
          <w:sz w:val="34"/>
          <w:szCs w:val="34"/>
          <w:rtl/>
          <w:lang w:val="fr-CH"/>
        </w:rPr>
        <w:t xml:space="preserve">مدريد - </w:t>
      </w:r>
      <w:r w:rsidRPr="007B28E1">
        <w:rPr>
          <w:rFonts w:hint="cs"/>
          <w:i/>
          <w:iCs/>
          <w:sz w:val="34"/>
          <w:szCs w:val="34"/>
          <w:rtl/>
          <w:lang w:val="fr-CH"/>
        </w:rPr>
        <w:t>توقعات</w:t>
      </w:r>
      <w:r w:rsidRPr="007B28E1">
        <w:rPr>
          <w:i/>
          <w:iCs/>
          <w:sz w:val="34"/>
          <w:szCs w:val="34"/>
          <w:rtl/>
          <w:lang w:val="fr-CH"/>
        </w:rPr>
        <w:t xml:space="preserve"> الطلب على التسجيل الدولي</w:t>
      </w:r>
    </w:p>
    <w:p w:rsidR="00861CFF" w:rsidRPr="007B28E1" w:rsidRDefault="00861CFF" w:rsidP="00861CFF">
      <w:pPr>
        <w:pStyle w:val="NumberedParaAR"/>
        <w:numPr>
          <w:ilvl w:val="0"/>
          <w:numId w:val="47"/>
        </w:numPr>
        <w:spacing w:after="120" w:line="340" w:lineRule="exact"/>
        <w:rPr>
          <w:sz w:val="34"/>
          <w:szCs w:val="34"/>
          <w:rtl/>
          <w:lang w:val="fr-CH"/>
        </w:rPr>
      </w:pPr>
      <w:r w:rsidRPr="007B28E1">
        <w:rPr>
          <w:rFonts w:hint="cs"/>
          <w:sz w:val="34"/>
          <w:szCs w:val="34"/>
          <w:rtl/>
          <w:lang w:val="fr-CH"/>
        </w:rPr>
        <w:t>يبين ال</w:t>
      </w:r>
      <w:r>
        <w:rPr>
          <w:rFonts w:hint="cs"/>
          <w:sz w:val="34"/>
          <w:szCs w:val="34"/>
          <w:rtl/>
          <w:lang w:val="fr-CH"/>
        </w:rPr>
        <w:t>شكل</w:t>
      </w:r>
      <w:r w:rsidRPr="007B28E1">
        <w:rPr>
          <w:rFonts w:hint="cs"/>
          <w:sz w:val="34"/>
          <w:szCs w:val="34"/>
          <w:rtl/>
          <w:lang w:val="fr-CH"/>
        </w:rPr>
        <w:t xml:space="preserve"> 6 توقعات </w:t>
      </w:r>
      <w:r>
        <w:rPr>
          <w:rFonts w:hint="cs"/>
          <w:sz w:val="34"/>
          <w:szCs w:val="34"/>
          <w:rtl/>
          <w:lang w:val="fr-CH"/>
        </w:rPr>
        <w:t>ا</w:t>
      </w:r>
      <w:r w:rsidRPr="007B28E1">
        <w:rPr>
          <w:rFonts w:hint="cs"/>
          <w:sz w:val="34"/>
          <w:szCs w:val="34"/>
          <w:rtl/>
          <w:lang w:val="fr-CH"/>
        </w:rPr>
        <w:t xml:space="preserve">لفترة من 2015 إلى 2017. وتستند التوقعات الخاصة بنظام مدريد إلى نماذج متعددة تشمل نماذج الانحدار الذاتي ونماذج القياسات الاقتصادية ونماذج التحويل. وتطبق نماذج الانحدار الذاتي على التسجيلات والطلبات على حد سواء. وتحول النتائج الخاصة بالطلبات بعد ذلك إلى توقعات للتسجيل باستخدام متوسط التأخر في معالجة الطلبات. أما نماذج القياسات الاقتصادية فتستند إلى بيانات الناتج المحلي الإجمالي الحالية والمتوقعة الصادرة عن صندوق النقد الدولي. وتُجمع نتائج النماذج المختلفة للتحقق من عدم اليقين الناجم عن خصوصيات النموذج الصحيح. </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4E6AC4">
        <w:rPr>
          <w:sz w:val="34"/>
          <w:szCs w:val="34"/>
          <w:rtl/>
          <w:lang w:val="fr-CH"/>
        </w:rPr>
        <w:lastRenderedPageBreak/>
        <w:t xml:space="preserve">الشكل </w:t>
      </w:r>
      <w:r w:rsidRPr="004E6AC4">
        <w:rPr>
          <w:rFonts w:hint="cs"/>
          <w:sz w:val="34"/>
          <w:szCs w:val="34"/>
          <w:rtl/>
          <w:lang w:val="fr-CH"/>
        </w:rPr>
        <w:t>6</w:t>
      </w:r>
      <w:r w:rsidRPr="004E6AC4">
        <w:rPr>
          <w:sz w:val="34"/>
          <w:szCs w:val="34"/>
          <w:rtl/>
          <w:lang w:val="fr-CH"/>
        </w:rPr>
        <w:t xml:space="preserve"> – الطلب على التسجيل الدولي في نظام مدريد</w:t>
      </w:r>
    </w:p>
    <w:p w:rsidR="00861CFF" w:rsidRPr="00C16521" w:rsidRDefault="00861CFF" w:rsidP="00862268">
      <w:pPr>
        <w:pStyle w:val="NormalParaAR"/>
        <w:spacing w:after="120" w:line="240" w:lineRule="auto"/>
        <w:jc w:val="center"/>
        <w:rPr>
          <w:highlight w:val="yellow"/>
          <w:rtl/>
        </w:rPr>
      </w:pPr>
      <w:r>
        <w:rPr>
          <w:noProof/>
        </w:rPr>
        <w:drawing>
          <wp:inline distT="0" distB="0" distL="0" distR="0" wp14:anchorId="2AE96F71" wp14:editId="58650BB4">
            <wp:extent cx="5499100" cy="3115310"/>
            <wp:effectExtent l="0" t="0" r="6350" b="889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499100" cy="3115310"/>
                    </a:xfrm>
                    <a:prstGeom prst="rect">
                      <a:avLst/>
                    </a:prstGeom>
                    <a:noFill/>
                  </pic:spPr>
                </pic:pic>
              </a:graphicData>
            </a:graphic>
          </wp:inline>
        </w:drawing>
      </w:r>
    </w:p>
    <w:p w:rsidR="00861CFF" w:rsidRPr="00C16521" w:rsidRDefault="00861CFF" w:rsidP="00862268">
      <w:pPr>
        <w:pStyle w:val="NormalParaAR"/>
        <w:spacing w:after="120" w:line="240" w:lineRule="auto"/>
        <w:jc w:val="center"/>
        <w:rPr>
          <w:highlight w:val="yellow"/>
          <w:rtl/>
          <w:lang w:val="fr-CH"/>
        </w:rPr>
      </w:pPr>
      <w:r w:rsidRPr="004E6AC4">
        <w:rPr>
          <w:noProof/>
          <w:rtl/>
        </w:rPr>
        <w:drawing>
          <wp:inline distT="0" distB="0" distL="0" distR="0" wp14:anchorId="377EE76F" wp14:editId="1A816E82">
            <wp:extent cx="4552950" cy="7239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552950" cy="723900"/>
                    </a:xfrm>
                    <a:prstGeom prst="rect">
                      <a:avLst/>
                    </a:prstGeom>
                    <a:noFill/>
                    <a:ln>
                      <a:noFill/>
                    </a:ln>
                  </pic:spPr>
                </pic:pic>
              </a:graphicData>
            </a:graphic>
          </wp:inline>
        </w:drawing>
      </w:r>
    </w:p>
    <w:p w:rsidR="00861CFF" w:rsidRPr="00C16521" w:rsidRDefault="00861CFF" w:rsidP="00DA5475">
      <w:pPr>
        <w:pStyle w:val="NumberedParaAR"/>
        <w:numPr>
          <w:ilvl w:val="0"/>
          <w:numId w:val="0"/>
        </w:numPr>
        <w:spacing w:after="120" w:line="340" w:lineRule="exact"/>
        <w:rPr>
          <w:sz w:val="34"/>
          <w:szCs w:val="34"/>
          <w:highlight w:val="yellow"/>
          <w:lang w:val="fr-CH"/>
        </w:rPr>
      </w:pPr>
    </w:p>
    <w:p w:rsidR="00861CFF" w:rsidRPr="00C16521" w:rsidRDefault="00861CFF" w:rsidP="00862268">
      <w:pPr>
        <w:rPr>
          <w:vanish/>
          <w:highlight w:val="yellow"/>
        </w:rPr>
      </w:pPr>
    </w:p>
    <w:p w:rsidR="00861CFF" w:rsidRDefault="00861CFF" w:rsidP="00861CFF">
      <w:pPr>
        <w:pStyle w:val="NumberedParaAR"/>
        <w:numPr>
          <w:ilvl w:val="0"/>
          <w:numId w:val="47"/>
        </w:numPr>
        <w:spacing w:after="120" w:line="340" w:lineRule="exact"/>
        <w:rPr>
          <w:sz w:val="34"/>
          <w:szCs w:val="34"/>
          <w:lang w:val="fr-CH"/>
        </w:rPr>
      </w:pPr>
      <w:r w:rsidRPr="007B28E1">
        <w:rPr>
          <w:rFonts w:hint="cs"/>
          <w:sz w:val="34"/>
          <w:szCs w:val="34"/>
          <w:rtl/>
          <w:lang w:val="fr-CH"/>
        </w:rPr>
        <w:t>وأضيفت الأرقام الواردة أعلاه إلى نتائج نماذج الانحدار الذاتي. ومن المرجح أن يقع عدد التسجيلات في طائفة من بعض الاحتمالات. ويبين ال</w:t>
      </w:r>
      <w:r>
        <w:rPr>
          <w:rFonts w:hint="cs"/>
          <w:sz w:val="34"/>
          <w:szCs w:val="34"/>
          <w:rtl/>
          <w:lang w:val="fr-CH"/>
        </w:rPr>
        <w:t>شكل</w:t>
      </w:r>
      <w:r w:rsidRPr="007B28E1">
        <w:rPr>
          <w:rFonts w:hint="cs"/>
          <w:sz w:val="34"/>
          <w:szCs w:val="34"/>
          <w:rtl/>
          <w:lang w:val="fr-CH"/>
        </w:rPr>
        <w:t xml:space="preserve"> البياني والجدول التاليان التوزيع الاحتمالي لعدد </w:t>
      </w:r>
      <w:r>
        <w:rPr>
          <w:rFonts w:hint="cs"/>
          <w:sz w:val="34"/>
          <w:szCs w:val="34"/>
          <w:rtl/>
          <w:lang w:val="fr-CH"/>
        </w:rPr>
        <w:t>الطلبات</w:t>
      </w:r>
      <w:r w:rsidRPr="007B28E1">
        <w:rPr>
          <w:rFonts w:hint="cs"/>
          <w:sz w:val="34"/>
          <w:szCs w:val="34"/>
          <w:rtl/>
          <w:lang w:val="fr-CH"/>
        </w:rPr>
        <w:t>.</w:t>
      </w:r>
    </w:p>
    <w:p w:rsidR="00861CFF" w:rsidRPr="007B28E1" w:rsidRDefault="00861CFF" w:rsidP="00DA5475">
      <w:pPr>
        <w:pStyle w:val="NumberedParaAR"/>
        <w:keepNext/>
        <w:numPr>
          <w:ilvl w:val="0"/>
          <w:numId w:val="0"/>
        </w:numPr>
        <w:spacing w:after="120" w:line="340" w:lineRule="atLeast"/>
        <w:jc w:val="center"/>
        <w:rPr>
          <w:sz w:val="34"/>
          <w:szCs w:val="34"/>
          <w:lang w:val="fr-CH"/>
        </w:rPr>
      </w:pPr>
      <w:r>
        <w:rPr>
          <w:rFonts w:hint="cs"/>
          <w:sz w:val="34"/>
          <w:szCs w:val="34"/>
          <w:rtl/>
          <w:lang w:val="fr-CH"/>
        </w:rPr>
        <w:t>التوزيع الاحتمالي للطلبات</w:t>
      </w:r>
    </w:p>
    <w:p w:rsidR="00861CFF" w:rsidRPr="004E6AC4" w:rsidRDefault="00861CFF" w:rsidP="00862268">
      <w:pPr>
        <w:pStyle w:val="NormalParaAR"/>
        <w:spacing w:after="120" w:line="240" w:lineRule="auto"/>
        <w:jc w:val="center"/>
        <w:rPr>
          <w:highlight w:val="yellow"/>
          <w:rtl/>
          <w:lang w:val="fr-CH"/>
        </w:rPr>
      </w:pPr>
      <w:r>
        <w:rPr>
          <w:noProof/>
        </w:rPr>
        <w:drawing>
          <wp:inline distT="0" distB="0" distL="0" distR="0" wp14:anchorId="72793B41" wp14:editId="2FE31823">
            <wp:extent cx="5523230" cy="3127375"/>
            <wp:effectExtent l="0" t="0" r="127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523230" cy="3127375"/>
                    </a:xfrm>
                    <a:prstGeom prst="rect">
                      <a:avLst/>
                    </a:prstGeom>
                    <a:noFill/>
                  </pic:spPr>
                </pic:pic>
              </a:graphicData>
            </a:graphic>
          </wp:inline>
        </w:drawing>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Pr>
          <w:sz w:val="34"/>
          <w:szCs w:val="34"/>
          <w:rtl/>
          <w:lang w:val="fr-CH"/>
        </w:rPr>
        <w:lastRenderedPageBreak/>
        <w:t>سيناريو</w:t>
      </w:r>
      <w:r w:rsidRPr="004E6AC4">
        <w:rPr>
          <w:sz w:val="34"/>
          <w:szCs w:val="34"/>
          <w:rtl/>
          <w:lang w:val="fr-CH"/>
        </w:rPr>
        <w:t xml:space="preserve">هات </w:t>
      </w:r>
      <w:r w:rsidRPr="004E6AC4">
        <w:rPr>
          <w:rFonts w:hint="cs"/>
          <w:sz w:val="34"/>
          <w:szCs w:val="34"/>
          <w:rtl/>
          <w:lang w:val="fr-CH"/>
        </w:rPr>
        <w:t>الطلبات</w:t>
      </w:r>
      <w:r w:rsidRPr="004E6AC4">
        <w:rPr>
          <w:sz w:val="34"/>
          <w:szCs w:val="34"/>
          <w:rtl/>
          <w:lang w:val="fr-CH"/>
        </w:rPr>
        <w:t xml:space="preserve"> بناء على نظام مدريد</w:t>
      </w:r>
    </w:p>
    <w:p w:rsidR="00861CFF" w:rsidRPr="00C16521" w:rsidRDefault="00861CFF" w:rsidP="00862268">
      <w:pPr>
        <w:pStyle w:val="NormalParaAR"/>
        <w:spacing w:after="120" w:line="240" w:lineRule="auto"/>
        <w:jc w:val="center"/>
        <w:rPr>
          <w:highlight w:val="yellow"/>
          <w:rtl/>
          <w:lang w:val="fr-CH"/>
        </w:rPr>
      </w:pPr>
      <w:r w:rsidRPr="00D57818">
        <w:rPr>
          <w:noProof/>
          <w:rtl/>
        </w:rPr>
        <w:drawing>
          <wp:inline distT="0" distB="0" distL="0" distR="0" wp14:anchorId="3621C35E" wp14:editId="4850C005">
            <wp:extent cx="3114675" cy="3114675"/>
            <wp:effectExtent l="0" t="0" r="9525"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inline>
        </w:drawing>
      </w:r>
    </w:p>
    <w:p w:rsidR="00861CFF" w:rsidRPr="00990690" w:rsidRDefault="00861CFF" w:rsidP="00862268">
      <w:pPr>
        <w:pStyle w:val="NormalParaAR"/>
        <w:keepNext/>
        <w:spacing w:after="120" w:line="340" w:lineRule="exact"/>
        <w:rPr>
          <w:i/>
          <w:iCs/>
          <w:sz w:val="34"/>
          <w:szCs w:val="34"/>
          <w:rtl/>
          <w:lang w:val="fr-CH"/>
        </w:rPr>
      </w:pPr>
      <w:r w:rsidRPr="00990690">
        <w:rPr>
          <w:i/>
          <w:iCs/>
          <w:sz w:val="34"/>
          <w:szCs w:val="34"/>
          <w:rtl/>
          <w:lang w:val="fr-CH"/>
        </w:rPr>
        <w:t xml:space="preserve">مدريد – </w:t>
      </w:r>
      <w:r w:rsidRPr="00990690">
        <w:rPr>
          <w:rFonts w:hint="cs"/>
          <w:i/>
          <w:iCs/>
          <w:sz w:val="34"/>
          <w:szCs w:val="34"/>
          <w:rtl/>
          <w:lang w:val="fr-CH"/>
        </w:rPr>
        <w:t>توقعات</w:t>
      </w:r>
      <w:r w:rsidRPr="00990690">
        <w:rPr>
          <w:i/>
          <w:iCs/>
          <w:sz w:val="34"/>
          <w:szCs w:val="34"/>
          <w:rtl/>
          <w:lang w:val="fr-CH"/>
        </w:rPr>
        <w:t xml:space="preserve"> الطلب على التجديدات</w:t>
      </w:r>
    </w:p>
    <w:p w:rsidR="00861CFF" w:rsidRDefault="00861CFF" w:rsidP="00861CFF">
      <w:pPr>
        <w:pStyle w:val="NumberedParaAR"/>
        <w:numPr>
          <w:ilvl w:val="0"/>
          <w:numId w:val="47"/>
        </w:numPr>
        <w:spacing w:after="120" w:line="340" w:lineRule="exact"/>
        <w:rPr>
          <w:sz w:val="34"/>
          <w:szCs w:val="34"/>
          <w:lang w:val="fr-CH"/>
        </w:rPr>
      </w:pPr>
      <w:r w:rsidRPr="00990690">
        <w:rPr>
          <w:sz w:val="34"/>
          <w:szCs w:val="34"/>
          <w:rtl/>
          <w:lang w:val="fr-CH"/>
        </w:rPr>
        <w:t>يبيّن ال</w:t>
      </w:r>
      <w:r>
        <w:rPr>
          <w:sz w:val="34"/>
          <w:szCs w:val="34"/>
          <w:rtl/>
          <w:lang w:val="fr-CH"/>
        </w:rPr>
        <w:t>شكل</w:t>
      </w:r>
      <w:r w:rsidRPr="00990690">
        <w:rPr>
          <w:sz w:val="34"/>
          <w:szCs w:val="34"/>
          <w:rtl/>
          <w:lang w:val="fr-CH"/>
        </w:rPr>
        <w:t xml:space="preserve"> </w:t>
      </w:r>
      <w:r w:rsidRPr="00990690">
        <w:rPr>
          <w:rFonts w:hint="cs"/>
          <w:sz w:val="34"/>
          <w:szCs w:val="34"/>
          <w:rtl/>
          <w:lang w:val="fr-CH"/>
        </w:rPr>
        <w:t>7</w:t>
      </w:r>
      <w:r w:rsidRPr="00990690">
        <w:rPr>
          <w:sz w:val="34"/>
          <w:szCs w:val="34"/>
          <w:rtl/>
          <w:lang w:val="fr-CH"/>
        </w:rPr>
        <w:t xml:space="preserve"> </w:t>
      </w:r>
      <w:r w:rsidRPr="00990690">
        <w:rPr>
          <w:rFonts w:hint="cs"/>
          <w:sz w:val="34"/>
          <w:szCs w:val="34"/>
          <w:rtl/>
          <w:lang w:val="fr-CH"/>
        </w:rPr>
        <w:t xml:space="preserve">التوقعات للفترة </w:t>
      </w:r>
      <w:r w:rsidRPr="00990690">
        <w:rPr>
          <w:sz w:val="34"/>
          <w:szCs w:val="34"/>
          <w:rtl/>
          <w:lang w:val="fr-CH"/>
        </w:rPr>
        <w:t xml:space="preserve">من </w:t>
      </w:r>
      <w:r w:rsidRPr="00990690">
        <w:rPr>
          <w:rFonts w:hint="cs"/>
          <w:sz w:val="34"/>
          <w:szCs w:val="34"/>
          <w:rtl/>
          <w:lang w:val="fr-CH"/>
        </w:rPr>
        <w:t>سنة 2015</w:t>
      </w:r>
      <w:r w:rsidRPr="00990690">
        <w:rPr>
          <w:sz w:val="34"/>
          <w:szCs w:val="34"/>
          <w:rtl/>
          <w:lang w:val="fr-CH"/>
        </w:rPr>
        <w:t xml:space="preserve"> إلى </w:t>
      </w:r>
      <w:r w:rsidRPr="00990690">
        <w:rPr>
          <w:rFonts w:hint="cs"/>
          <w:sz w:val="34"/>
          <w:szCs w:val="34"/>
          <w:rtl/>
          <w:lang w:val="fr-CH"/>
        </w:rPr>
        <w:t>سنة 2017</w:t>
      </w:r>
      <w:r w:rsidRPr="00990690">
        <w:rPr>
          <w:sz w:val="34"/>
          <w:szCs w:val="34"/>
          <w:rtl/>
          <w:lang w:val="fr-CH"/>
        </w:rPr>
        <w:t>.</w:t>
      </w:r>
      <w:r w:rsidRPr="00990690">
        <w:rPr>
          <w:rFonts w:hint="cs"/>
          <w:sz w:val="34"/>
          <w:szCs w:val="34"/>
          <w:rtl/>
          <w:lang w:val="fr-CH"/>
        </w:rPr>
        <w:t xml:space="preserve"> وعلى النسق ذاته يُستند في توقع التجديدات إلى نماذج </w:t>
      </w:r>
      <w:proofErr w:type="spellStart"/>
      <w:r w:rsidRPr="00990690">
        <w:rPr>
          <w:rFonts w:hint="cs"/>
          <w:sz w:val="34"/>
          <w:szCs w:val="34"/>
          <w:rtl/>
          <w:lang w:val="fr-CH"/>
        </w:rPr>
        <w:t>انحدارية</w:t>
      </w:r>
      <w:proofErr w:type="spellEnd"/>
      <w:r w:rsidRPr="00990690">
        <w:rPr>
          <w:rFonts w:hint="cs"/>
          <w:sz w:val="34"/>
          <w:szCs w:val="34"/>
          <w:rtl/>
          <w:lang w:val="fr-CH"/>
        </w:rPr>
        <w:t xml:space="preserve"> وإلى نموذج التحويل. واستخدمنا أيضا إلى جانب نماذج الانحدار الذاتي الخاصة بسلسلة وقت التجديد نموذجا </w:t>
      </w:r>
      <w:proofErr w:type="spellStart"/>
      <w:r w:rsidRPr="00990690">
        <w:rPr>
          <w:rFonts w:hint="cs"/>
          <w:sz w:val="34"/>
          <w:szCs w:val="34"/>
          <w:rtl/>
          <w:lang w:val="fr-CH"/>
        </w:rPr>
        <w:t>انحداريا</w:t>
      </w:r>
      <w:proofErr w:type="spellEnd"/>
      <w:r w:rsidRPr="00990690">
        <w:rPr>
          <w:rFonts w:hint="cs"/>
          <w:sz w:val="34"/>
          <w:szCs w:val="34"/>
          <w:rtl/>
          <w:lang w:val="fr-CH"/>
        </w:rPr>
        <w:t xml:space="preserve"> بشأن التجديدات والتسجيلات على حد سواء. ويفترض النموذج </w:t>
      </w:r>
      <w:proofErr w:type="spellStart"/>
      <w:r w:rsidRPr="00990690">
        <w:rPr>
          <w:rFonts w:hint="cs"/>
          <w:sz w:val="34"/>
          <w:szCs w:val="34"/>
          <w:rtl/>
          <w:lang w:val="fr-CH"/>
        </w:rPr>
        <w:t>الانحداري</w:t>
      </w:r>
      <w:proofErr w:type="spellEnd"/>
      <w:r w:rsidRPr="00990690">
        <w:rPr>
          <w:rFonts w:hint="cs"/>
          <w:sz w:val="34"/>
          <w:szCs w:val="34"/>
          <w:rtl/>
          <w:lang w:val="fr-CH"/>
        </w:rPr>
        <w:t xml:space="preserve"> المستخدم أن أول تجديد يتوقف على تسجيلات تأخرت لمدة عشر سنوات، في حين أن التجديدات اللاحقة تتوقف على تجديدات سابقة تأخرت لمدة عشر سنوات. وينظر نموذج التحويل في المخزون المحتمل للتسجيلات التي ستجدد، ويطبق نسبة مئوية تحسب للسنوات الماضية، ومن ثم تجمع نتائج النماذج المختلفة. </w:t>
      </w:r>
    </w:p>
    <w:p w:rsidR="00861CFF" w:rsidRPr="00990690" w:rsidRDefault="00861CFF" w:rsidP="00DA5475">
      <w:pPr>
        <w:pStyle w:val="NumberedParaAR"/>
        <w:keepNext/>
        <w:numPr>
          <w:ilvl w:val="0"/>
          <w:numId w:val="0"/>
        </w:numPr>
        <w:spacing w:after="120" w:line="340" w:lineRule="atLeast"/>
        <w:jc w:val="center"/>
        <w:rPr>
          <w:sz w:val="34"/>
          <w:szCs w:val="34"/>
          <w:rtl/>
          <w:lang w:val="fr-CH"/>
        </w:rPr>
      </w:pPr>
      <w:r>
        <w:rPr>
          <w:rFonts w:hint="cs"/>
          <w:sz w:val="34"/>
          <w:szCs w:val="34"/>
          <w:rtl/>
          <w:lang w:val="fr-CH"/>
        </w:rPr>
        <w:t>الشكل 7. توقعات التجديدات بناء على نظام مدريد</w:t>
      </w:r>
    </w:p>
    <w:p w:rsidR="00861CFF" w:rsidRPr="00C16521" w:rsidRDefault="00861CFF" w:rsidP="00862268">
      <w:pPr>
        <w:pStyle w:val="NormalParaAR"/>
        <w:spacing w:after="120" w:line="240" w:lineRule="auto"/>
        <w:jc w:val="center"/>
        <w:rPr>
          <w:highlight w:val="yellow"/>
          <w:rtl/>
        </w:rPr>
      </w:pPr>
      <w:r>
        <w:rPr>
          <w:noProof/>
        </w:rPr>
        <w:drawing>
          <wp:inline distT="0" distB="0" distL="0" distR="0" wp14:anchorId="5CE3559C" wp14:editId="18581AB0">
            <wp:extent cx="5499100" cy="3115310"/>
            <wp:effectExtent l="0" t="0" r="6350" b="889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499100" cy="3115310"/>
                    </a:xfrm>
                    <a:prstGeom prst="rect">
                      <a:avLst/>
                    </a:prstGeom>
                    <a:noFill/>
                  </pic:spPr>
                </pic:pic>
              </a:graphicData>
            </a:graphic>
          </wp:inline>
        </w:drawing>
      </w:r>
    </w:p>
    <w:p w:rsidR="00861CFF" w:rsidRDefault="00861CFF" w:rsidP="00862268">
      <w:pPr>
        <w:pStyle w:val="NormalParaAR"/>
        <w:spacing w:after="120" w:line="240" w:lineRule="auto"/>
        <w:jc w:val="center"/>
        <w:rPr>
          <w:highlight w:val="yellow"/>
          <w:rtl/>
          <w:lang w:val="fr-CH"/>
        </w:rPr>
      </w:pPr>
      <w:r w:rsidRPr="00D57818">
        <w:rPr>
          <w:noProof/>
          <w:rtl/>
        </w:rPr>
        <w:lastRenderedPageBreak/>
        <w:drawing>
          <wp:inline distT="0" distB="0" distL="0" distR="0" wp14:anchorId="0704A3B0" wp14:editId="580850EE">
            <wp:extent cx="4667250" cy="7239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667250" cy="723900"/>
                    </a:xfrm>
                    <a:prstGeom prst="rect">
                      <a:avLst/>
                    </a:prstGeom>
                    <a:noFill/>
                    <a:ln>
                      <a:noFill/>
                    </a:ln>
                  </pic:spPr>
                </pic:pic>
              </a:graphicData>
            </a:graphic>
          </wp:inline>
        </w:drawing>
      </w:r>
    </w:p>
    <w:p w:rsidR="00861CFF" w:rsidRPr="00D57818" w:rsidRDefault="00861CFF" w:rsidP="00DA5475">
      <w:pPr>
        <w:pStyle w:val="NumberedParaAR"/>
        <w:keepNext/>
        <w:numPr>
          <w:ilvl w:val="0"/>
          <w:numId w:val="0"/>
        </w:numPr>
        <w:spacing w:after="120" w:line="340" w:lineRule="atLeast"/>
        <w:jc w:val="center"/>
        <w:rPr>
          <w:sz w:val="34"/>
          <w:szCs w:val="34"/>
          <w:rtl/>
          <w:lang w:val="fr-CH"/>
        </w:rPr>
      </w:pPr>
      <w:r w:rsidRPr="00D57818">
        <w:rPr>
          <w:rFonts w:hint="cs"/>
          <w:sz w:val="34"/>
          <w:szCs w:val="34"/>
          <w:rtl/>
          <w:lang w:val="fr-CH"/>
        </w:rPr>
        <w:t>التوزيع الاحتمالي للتجديدات</w:t>
      </w:r>
    </w:p>
    <w:p w:rsidR="00861CFF" w:rsidRPr="00C16521" w:rsidRDefault="00861CFF" w:rsidP="00862268">
      <w:pPr>
        <w:pStyle w:val="NormalParaAR"/>
        <w:spacing w:after="120" w:line="240" w:lineRule="auto"/>
        <w:jc w:val="center"/>
        <w:rPr>
          <w:highlight w:val="yellow"/>
          <w:rtl/>
          <w:lang w:val="fr-CH"/>
        </w:rPr>
      </w:pPr>
      <w:r>
        <w:rPr>
          <w:noProof/>
        </w:rPr>
        <w:drawing>
          <wp:inline distT="0" distB="0" distL="0" distR="0" wp14:anchorId="5215AAED" wp14:editId="244B3897">
            <wp:extent cx="5529580" cy="312737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529580" cy="3127375"/>
                    </a:xfrm>
                    <a:prstGeom prst="rect">
                      <a:avLst/>
                    </a:prstGeom>
                    <a:noFill/>
                  </pic:spPr>
                </pic:pic>
              </a:graphicData>
            </a:graphic>
          </wp:inline>
        </w:drawing>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Pr>
          <w:sz w:val="34"/>
          <w:szCs w:val="34"/>
          <w:rtl/>
          <w:lang w:val="fr-CH"/>
        </w:rPr>
        <w:t>سيناريو</w:t>
      </w:r>
      <w:r w:rsidRPr="004E6AC4">
        <w:rPr>
          <w:sz w:val="34"/>
          <w:szCs w:val="34"/>
          <w:rtl/>
          <w:lang w:val="fr-CH"/>
        </w:rPr>
        <w:t xml:space="preserve">هات التجديدات </w:t>
      </w:r>
      <w:r w:rsidRPr="004E6AC4">
        <w:rPr>
          <w:rFonts w:hint="cs"/>
          <w:sz w:val="34"/>
          <w:szCs w:val="34"/>
          <w:rtl/>
          <w:lang w:val="fr-CH"/>
        </w:rPr>
        <w:t>بناء على</w:t>
      </w:r>
      <w:r w:rsidRPr="004E6AC4">
        <w:rPr>
          <w:sz w:val="34"/>
          <w:szCs w:val="34"/>
          <w:rtl/>
          <w:lang w:val="fr-CH"/>
        </w:rPr>
        <w:t xml:space="preserve"> نظام مدريد</w:t>
      </w:r>
    </w:p>
    <w:p w:rsidR="00861CFF" w:rsidRPr="00C16521" w:rsidRDefault="00861CFF" w:rsidP="00862268">
      <w:pPr>
        <w:pStyle w:val="NormalParaAR"/>
        <w:spacing w:after="120" w:line="240" w:lineRule="auto"/>
        <w:jc w:val="center"/>
        <w:rPr>
          <w:highlight w:val="yellow"/>
          <w:rtl/>
          <w:lang w:val="fr-CH"/>
        </w:rPr>
      </w:pPr>
      <w:r w:rsidRPr="00EA78F0">
        <w:rPr>
          <w:noProof/>
          <w:rtl/>
        </w:rPr>
        <w:drawing>
          <wp:inline distT="0" distB="0" distL="0" distR="0" wp14:anchorId="74C6C14F" wp14:editId="07F2E658">
            <wp:extent cx="3095625" cy="3114675"/>
            <wp:effectExtent l="0" t="0" r="9525"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095625" cy="3114675"/>
                    </a:xfrm>
                    <a:prstGeom prst="rect">
                      <a:avLst/>
                    </a:prstGeom>
                    <a:noFill/>
                    <a:ln>
                      <a:noFill/>
                    </a:ln>
                  </pic:spPr>
                </pic:pic>
              </a:graphicData>
            </a:graphic>
          </wp:inline>
        </w:drawing>
      </w:r>
    </w:p>
    <w:p w:rsidR="00861CFF" w:rsidRPr="00990690" w:rsidRDefault="00861CFF" w:rsidP="00862268">
      <w:pPr>
        <w:pStyle w:val="NormalParaAR"/>
        <w:keepNext/>
        <w:spacing w:after="120" w:line="340" w:lineRule="exact"/>
        <w:rPr>
          <w:i/>
          <w:iCs/>
          <w:sz w:val="34"/>
          <w:szCs w:val="34"/>
          <w:rtl/>
          <w:lang w:val="fr-CH"/>
        </w:rPr>
      </w:pPr>
      <w:r w:rsidRPr="00990690">
        <w:rPr>
          <w:i/>
          <w:iCs/>
          <w:sz w:val="34"/>
          <w:szCs w:val="34"/>
          <w:rtl/>
          <w:lang w:val="fr-CH"/>
        </w:rPr>
        <w:t>المستوى المرتقب لإيرادات رسوم</w:t>
      </w:r>
      <w:r w:rsidRPr="00990690">
        <w:rPr>
          <w:rFonts w:hint="cs"/>
          <w:i/>
          <w:iCs/>
          <w:sz w:val="34"/>
          <w:szCs w:val="34"/>
          <w:rtl/>
          <w:lang w:val="fr-CH"/>
        </w:rPr>
        <w:t xml:space="preserve"> نظام</w:t>
      </w:r>
      <w:r w:rsidRPr="00990690">
        <w:rPr>
          <w:i/>
          <w:iCs/>
          <w:sz w:val="34"/>
          <w:szCs w:val="34"/>
          <w:rtl/>
          <w:lang w:val="fr-CH"/>
        </w:rPr>
        <w:t xml:space="preserve"> مدريد</w:t>
      </w:r>
    </w:p>
    <w:p w:rsidR="00861CFF" w:rsidRPr="00990690" w:rsidRDefault="00861CFF" w:rsidP="00861CFF">
      <w:pPr>
        <w:pStyle w:val="NumberedParaAR"/>
        <w:numPr>
          <w:ilvl w:val="0"/>
          <w:numId w:val="47"/>
        </w:numPr>
        <w:spacing w:after="120" w:line="340" w:lineRule="exact"/>
        <w:rPr>
          <w:sz w:val="34"/>
          <w:szCs w:val="34"/>
          <w:rtl/>
          <w:lang w:val="fr-CH"/>
        </w:rPr>
      </w:pPr>
      <w:r w:rsidRPr="00990690">
        <w:rPr>
          <w:rFonts w:hint="cs"/>
          <w:sz w:val="34"/>
          <w:szCs w:val="34"/>
          <w:rtl/>
          <w:lang w:val="fr-CH"/>
        </w:rPr>
        <w:t>تأتي</w:t>
      </w:r>
      <w:r w:rsidRPr="00990690">
        <w:rPr>
          <w:sz w:val="34"/>
          <w:szCs w:val="34"/>
          <w:rtl/>
          <w:lang w:val="fr-CH"/>
        </w:rPr>
        <w:t xml:space="preserve"> إيرادات رسوم </w:t>
      </w:r>
      <w:r w:rsidRPr="00990690">
        <w:rPr>
          <w:rFonts w:hint="cs"/>
          <w:sz w:val="34"/>
          <w:szCs w:val="34"/>
          <w:rtl/>
          <w:lang w:val="fr-CH"/>
        </w:rPr>
        <w:t xml:space="preserve">نظام </w:t>
      </w:r>
      <w:r w:rsidRPr="00990690">
        <w:rPr>
          <w:sz w:val="34"/>
          <w:szCs w:val="34"/>
          <w:rtl/>
          <w:lang w:val="fr-CH"/>
        </w:rPr>
        <w:t xml:space="preserve">مدريد من ثلاث فئات من الخدمات التي تقدمها الويبو بناء على </w:t>
      </w:r>
      <w:r w:rsidRPr="00990690">
        <w:rPr>
          <w:rFonts w:hint="cs"/>
          <w:sz w:val="34"/>
          <w:szCs w:val="34"/>
          <w:rtl/>
          <w:lang w:val="fr-CH"/>
        </w:rPr>
        <w:t>هذا ال</w:t>
      </w:r>
      <w:r w:rsidRPr="00990690">
        <w:rPr>
          <w:sz w:val="34"/>
          <w:szCs w:val="34"/>
          <w:rtl/>
          <w:lang w:val="fr-CH"/>
        </w:rPr>
        <w:t>نظام، وهي</w:t>
      </w:r>
      <w:r w:rsidRPr="00990690">
        <w:rPr>
          <w:rFonts w:hint="cs"/>
          <w:sz w:val="34"/>
          <w:szCs w:val="34"/>
          <w:rtl/>
          <w:lang w:val="fr-CH"/>
        </w:rPr>
        <w:t>: </w:t>
      </w:r>
      <w:r w:rsidRPr="00990690">
        <w:rPr>
          <w:sz w:val="34"/>
          <w:szCs w:val="34"/>
          <w:rtl/>
          <w:lang w:val="fr-CH"/>
        </w:rPr>
        <w:t>(أ)</w:t>
      </w:r>
      <w:r w:rsidRPr="00990690">
        <w:rPr>
          <w:rFonts w:hint="cs"/>
          <w:sz w:val="34"/>
          <w:szCs w:val="34"/>
          <w:rtl/>
          <w:lang w:val="fr-CH"/>
        </w:rPr>
        <w:t> </w:t>
      </w:r>
      <w:r w:rsidRPr="00990690">
        <w:rPr>
          <w:sz w:val="34"/>
          <w:szCs w:val="34"/>
          <w:rtl/>
          <w:lang w:val="fr-CH"/>
        </w:rPr>
        <w:t>تدوين التسجيلات الدولية</w:t>
      </w:r>
      <w:r w:rsidRPr="00990690">
        <w:rPr>
          <w:rFonts w:hint="cs"/>
          <w:sz w:val="34"/>
          <w:szCs w:val="34"/>
          <w:rtl/>
          <w:lang w:val="fr-CH"/>
        </w:rPr>
        <w:t>؛</w:t>
      </w:r>
      <w:r w:rsidRPr="00990690">
        <w:rPr>
          <w:sz w:val="34"/>
          <w:szCs w:val="34"/>
          <w:rtl/>
          <w:lang w:val="fr-CH"/>
        </w:rPr>
        <w:t xml:space="preserve"> (ب) وتدوين التجديدات</w:t>
      </w:r>
      <w:r w:rsidRPr="00990690">
        <w:rPr>
          <w:rFonts w:hint="cs"/>
          <w:sz w:val="34"/>
          <w:szCs w:val="34"/>
          <w:rtl/>
          <w:lang w:val="fr-CH"/>
        </w:rPr>
        <w:t>؛</w:t>
      </w:r>
      <w:r w:rsidRPr="00990690">
        <w:rPr>
          <w:sz w:val="34"/>
          <w:szCs w:val="34"/>
          <w:rtl/>
          <w:lang w:val="fr-CH"/>
        </w:rPr>
        <w:t xml:space="preserve"> (ج) </w:t>
      </w:r>
      <w:r w:rsidRPr="00990690">
        <w:rPr>
          <w:rFonts w:hint="cs"/>
          <w:sz w:val="34"/>
          <w:szCs w:val="34"/>
          <w:rtl/>
          <w:lang w:val="fr-CH"/>
        </w:rPr>
        <w:t>و</w:t>
      </w:r>
      <w:r w:rsidRPr="00990690">
        <w:rPr>
          <w:sz w:val="34"/>
          <w:szCs w:val="34"/>
          <w:rtl/>
          <w:lang w:val="fr-CH"/>
        </w:rPr>
        <w:t xml:space="preserve">تدوين التعيينات اللاحقة </w:t>
      </w:r>
      <w:r w:rsidRPr="00990690">
        <w:rPr>
          <w:rFonts w:hint="cs"/>
          <w:sz w:val="34"/>
          <w:szCs w:val="34"/>
          <w:rtl/>
          <w:lang w:val="fr-CH"/>
        </w:rPr>
        <w:t xml:space="preserve">(د) وخدمات أخرى تشمل </w:t>
      </w:r>
      <w:r w:rsidRPr="00990690">
        <w:rPr>
          <w:sz w:val="34"/>
          <w:szCs w:val="34"/>
          <w:rtl/>
          <w:lang w:val="fr-CH"/>
        </w:rPr>
        <w:t xml:space="preserve">التعديلات </w:t>
      </w:r>
      <w:r w:rsidRPr="00990690">
        <w:rPr>
          <w:rFonts w:hint="cs"/>
          <w:sz w:val="34"/>
          <w:szCs w:val="34"/>
          <w:rtl/>
          <w:lang w:val="fr-CH"/>
        </w:rPr>
        <w:t xml:space="preserve">المختلفة </w:t>
      </w:r>
      <w:r w:rsidRPr="00990690">
        <w:rPr>
          <w:sz w:val="34"/>
          <w:szCs w:val="34"/>
          <w:rtl/>
          <w:lang w:val="fr-CH"/>
        </w:rPr>
        <w:t xml:space="preserve">وإصدار المستخرجات. </w:t>
      </w:r>
    </w:p>
    <w:p w:rsidR="00861CFF" w:rsidRPr="00990690" w:rsidRDefault="00861CFF" w:rsidP="00861CFF">
      <w:pPr>
        <w:pStyle w:val="NumberedParaAR"/>
        <w:numPr>
          <w:ilvl w:val="0"/>
          <w:numId w:val="47"/>
        </w:numPr>
        <w:spacing w:after="120" w:line="340" w:lineRule="exact"/>
        <w:rPr>
          <w:sz w:val="34"/>
          <w:szCs w:val="34"/>
          <w:rtl/>
          <w:lang w:val="fr-CH"/>
        </w:rPr>
      </w:pPr>
      <w:r w:rsidRPr="00990690">
        <w:rPr>
          <w:sz w:val="34"/>
          <w:szCs w:val="34"/>
          <w:rtl/>
          <w:lang w:val="fr-CH"/>
        </w:rPr>
        <w:lastRenderedPageBreak/>
        <w:t>ويبيّن ال</w:t>
      </w:r>
      <w:r>
        <w:rPr>
          <w:sz w:val="34"/>
          <w:szCs w:val="34"/>
          <w:rtl/>
          <w:lang w:val="fr-CH"/>
        </w:rPr>
        <w:t>شكل</w:t>
      </w:r>
      <w:r w:rsidRPr="00990690">
        <w:rPr>
          <w:sz w:val="34"/>
          <w:szCs w:val="34"/>
          <w:rtl/>
          <w:lang w:val="fr-CH"/>
        </w:rPr>
        <w:t xml:space="preserve"> </w:t>
      </w:r>
      <w:r w:rsidRPr="00990690">
        <w:rPr>
          <w:rFonts w:hint="cs"/>
          <w:sz w:val="34"/>
          <w:szCs w:val="34"/>
          <w:rtl/>
          <w:lang w:val="fr-CH"/>
        </w:rPr>
        <w:t>8</w:t>
      </w:r>
      <w:r w:rsidRPr="00990690">
        <w:rPr>
          <w:sz w:val="34"/>
          <w:szCs w:val="34"/>
          <w:rtl/>
          <w:lang w:val="fr-CH"/>
        </w:rPr>
        <w:t xml:space="preserve"> أدناه العدد الفعلي لإيرادات رسوم </w:t>
      </w:r>
      <w:r w:rsidRPr="00990690">
        <w:rPr>
          <w:rFonts w:hint="cs"/>
          <w:sz w:val="34"/>
          <w:szCs w:val="34"/>
          <w:rtl/>
          <w:lang w:val="fr-CH"/>
        </w:rPr>
        <w:t xml:space="preserve">نظام </w:t>
      </w:r>
      <w:r w:rsidRPr="00990690">
        <w:rPr>
          <w:sz w:val="34"/>
          <w:szCs w:val="34"/>
          <w:rtl/>
          <w:lang w:val="fr-CH"/>
        </w:rPr>
        <w:t>مدريد في الفترة من</w:t>
      </w:r>
      <w:r w:rsidRPr="00990690">
        <w:rPr>
          <w:rFonts w:hint="cs"/>
          <w:sz w:val="34"/>
          <w:szCs w:val="34"/>
          <w:rtl/>
          <w:lang w:val="fr-CH"/>
        </w:rPr>
        <w:t xml:space="preserve"> سنة</w:t>
      </w:r>
      <w:r w:rsidRPr="00990690">
        <w:rPr>
          <w:sz w:val="34"/>
          <w:szCs w:val="34"/>
          <w:rtl/>
          <w:lang w:val="fr-CH"/>
        </w:rPr>
        <w:t xml:space="preserve"> </w:t>
      </w:r>
      <w:r w:rsidRPr="00990690">
        <w:rPr>
          <w:rFonts w:hint="cs"/>
          <w:sz w:val="34"/>
          <w:szCs w:val="34"/>
          <w:rtl/>
          <w:lang w:val="fr-CH"/>
        </w:rPr>
        <w:t>2015</w:t>
      </w:r>
      <w:r w:rsidRPr="00990690">
        <w:rPr>
          <w:sz w:val="34"/>
          <w:szCs w:val="34"/>
          <w:rtl/>
          <w:lang w:val="fr-CH"/>
        </w:rPr>
        <w:t xml:space="preserve"> إلى</w:t>
      </w:r>
      <w:r w:rsidRPr="00990690">
        <w:rPr>
          <w:rFonts w:hint="cs"/>
          <w:sz w:val="34"/>
          <w:szCs w:val="34"/>
          <w:rtl/>
          <w:lang w:val="fr-CH"/>
        </w:rPr>
        <w:t xml:space="preserve"> سنة</w:t>
      </w:r>
      <w:r w:rsidRPr="00990690">
        <w:rPr>
          <w:sz w:val="34"/>
          <w:szCs w:val="34"/>
          <w:rtl/>
          <w:lang w:val="fr-CH"/>
        </w:rPr>
        <w:t xml:space="preserve"> </w:t>
      </w:r>
      <w:r w:rsidRPr="00990690">
        <w:rPr>
          <w:rFonts w:hint="cs"/>
          <w:sz w:val="34"/>
          <w:szCs w:val="34"/>
          <w:rtl/>
          <w:lang w:val="fr-CH"/>
        </w:rPr>
        <w:t xml:space="preserve">2017 </w:t>
      </w:r>
      <w:r w:rsidRPr="00990690">
        <w:rPr>
          <w:sz w:val="34"/>
          <w:szCs w:val="34"/>
          <w:rtl/>
          <w:lang w:val="fr-CH"/>
        </w:rPr>
        <w:t>المسندة إلى كل واحدة من فئات الخدمات المذكورة أعلاه. وتستند تقديرات الإيرادات إلى عدد التسجيلات والتجديدات الدولية المرتقب تدوينها في الفترة من</w:t>
      </w:r>
      <w:r w:rsidRPr="00990690">
        <w:rPr>
          <w:rFonts w:hint="cs"/>
          <w:sz w:val="34"/>
          <w:szCs w:val="34"/>
          <w:rtl/>
          <w:lang w:val="fr-CH"/>
        </w:rPr>
        <w:t xml:space="preserve"> سنة</w:t>
      </w:r>
      <w:r w:rsidRPr="00990690">
        <w:rPr>
          <w:sz w:val="34"/>
          <w:szCs w:val="34"/>
          <w:rtl/>
          <w:lang w:val="fr-CH"/>
        </w:rPr>
        <w:t xml:space="preserve"> </w:t>
      </w:r>
      <w:r w:rsidRPr="00990690">
        <w:rPr>
          <w:rFonts w:hint="cs"/>
          <w:sz w:val="34"/>
          <w:szCs w:val="34"/>
          <w:rtl/>
          <w:lang w:val="fr-CH"/>
        </w:rPr>
        <w:t>2015</w:t>
      </w:r>
      <w:r w:rsidRPr="00990690">
        <w:rPr>
          <w:sz w:val="34"/>
          <w:szCs w:val="34"/>
          <w:rtl/>
          <w:lang w:val="fr-CH"/>
        </w:rPr>
        <w:t xml:space="preserve"> إلى</w:t>
      </w:r>
      <w:r w:rsidRPr="00990690">
        <w:rPr>
          <w:rFonts w:hint="cs"/>
          <w:sz w:val="34"/>
          <w:szCs w:val="34"/>
          <w:rtl/>
          <w:lang w:val="fr-CH"/>
        </w:rPr>
        <w:t xml:space="preserve"> سنة</w:t>
      </w:r>
      <w:r w:rsidRPr="00990690">
        <w:rPr>
          <w:sz w:val="34"/>
          <w:szCs w:val="34"/>
          <w:rtl/>
          <w:lang w:val="fr-CH"/>
        </w:rPr>
        <w:t xml:space="preserve"> </w:t>
      </w:r>
      <w:r w:rsidRPr="00990690">
        <w:rPr>
          <w:rFonts w:hint="cs"/>
          <w:sz w:val="34"/>
          <w:szCs w:val="34"/>
          <w:rtl/>
          <w:lang w:val="fr-CH"/>
        </w:rPr>
        <w:t>2017</w:t>
      </w:r>
      <w:r w:rsidRPr="00990690">
        <w:rPr>
          <w:sz w:val="34"/>
          <w:szCs w:val="34"/>
          <w:rtl/>
          <w:lang w:val="fr-CH"/>
        </w:rPr>
        <w:t>.</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4E6AC4">
        <w:rPr>
          <w:sz w:val="34"/>
          <w:szCs w:val="34"/>
          <w:rtl/>
          <w:lang w:val="fr-CH"/>
        </w:rPr>
        <w:t xml:space="preserve">الشكل </w:t>
      </w:r>
      <w:r w:rsidRPr="004E6AC4">
        <w:rPr>
          <w:rFonts w:hint="cs"/>
          <w:sz w:val="34"/>
          <w:szCs w:val="34"/>
          <w:rtl/>
          <w:lang w:val="fr-CH"/>
        </w:rPr>
        <w:t>8</w:t>
      </w:r>
      <w:r w:rsidRPr="004E6AC4">
        <w:rPr>
          <w:sz w:val="34"/>
          <w:szCs w:val="34"/>
          <w:rtl/>
          <w:lang w:val="fr-CH"/>
        </w:rPr>
        <w:t xml:space="preserve"> – المستوى المرتقب لإيرادات رسوم نظام مدريد بحسب المصدر</w:t>
      </w:r>
    </w:p>
    <w:p w:rsidR="00861CFF" w:rsidRPr="00C16521" w:rsidRDefault="00861CFF" w:rsidP="00862268">
      <w:pPr>
        <w:pStyle w:val="NormalParaAR"/>
        <w:spacing w:after="120" w:line="240" w:lineRule="auto"/>
        <w:jc w:val="center"/>
        <w:rPr>
          <w:highlight w:val="yellow"/>
          <w:rtl/>
          <w:lang w:val="fr-CH"/>
        </w:rPr>
      </w:pPr>
      <w:r>
        <w:rPr>
          <w:noProof/>
        </w:rPr>
        <w:drawing>
          <wp:inline distT="0" distB="0" distL="0" distR="0" wp14:anchorId="0C7B6E00" wp14:editId="7637BA08">
            <wp:extent cx="5499100" cy="3115310"/>
            <wp:effectExtent l="0" t="0" r="6350" b="889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499100" cy="3115310"/>
                    </a:xfrm>
                    <a:prstGeom prst="rect">
                      <a:avLst/>
                    </a:prstGeom>
                    <a:noFill/>
                  </pic:spPr>
                </pic:pic>
              </a:graphicData>
            </a:graphic>
          </wp:inline>
        </w:drawing>
      </w:r>
    </w:p>
    <w:p w:rsidR="00861CFF" w:rsidRDefault="00861CFF" w:rsidP="00862268">
      <w:pPr>
        <w:pStyle w:val="NormalParaAR"/>
        <w:spacing w:after="120" w:line="240" w:lineRule="auto"/>
        <w:jc w:val="center"/>
        <w:rPr>
          <w:highlight w:val="yellow"/>
          <w:rtl/>
        </w:rPr>
      </w:pPr>
      <w:r w:rsidRPr="00EA78F0">
        <w:rPr>
          <w:noProof/>
          <w:rtl/>
        </w:rPr>
        <w:drawing>
          <wp:inline distT="0" distB="0" distL="0" distR="0" wp14:anchorId="52E8C269" wp14:editId="46771993">
            <wp:extent cx="5029200" cy="12954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029200" cy="1295400"/>
                    </a:xfrm>
                    <a:prstGeom prst="rect">
                      <a:avLst/>
                    </a:prstGeom>
                    <a:noFill/>
                    <a:ln>
                      <a:noFill/>
                    </a:ln>
                  </pic:spPr>
                </pic:pic>
              </a:graphicData>
            </a:graphic>
          </wp:inline>
        </w:drawing>
      </w:r>
    </w:p>
    <w:p w:rsidR="00861CFF" w:rsidRPr="00985970" w:rsidRDefault="00861CFF" w:rsidP="00DA5475">
      <w:pPr>
        <w:pStyle w:val="NormalParaAR"/>
        <w:spacing w:after="120" w:line="240" w:lineRule="auto"/>
        <w:ind w:left="707"/>
        <w:rPr>
          <w:sz w:val="24"/>
          <w:szCs w:val="24"/>
          <w:rtl/>
        </w:rPr>
      </w:pPr>
      <w:r w:rsidRPr="00985970">
        <w:rPr>
          <w:rFonts w:hint="cs"/>
          <w:sz w:val="24"/>
          <w:szCs w:val="24"/>
          <w:rtl/>
        </w:rPr>
        <w:t>*</w:t>
      </w:r>
      <w:r>
        <w:rPr>
          <w:rFonts w:hint="cs"/>
          <w:sz w:val="24"/>
          <w:szCs w:val="24"/>
          <w:rtl/>
        </w:rPr>
        <w:t xml:space="preserve"> </w:t>
      </w:r>
      <w:r w:rsidRPr="00985970">
        <w:rPr>
          <w:rFonts w:hint="cs"/>
          <w:sz w:val="24"/>
          <w:szCs w:val="24"/>
          <w:rtl/>
        </w:rPr>
        <w:t xml:space="preserve">أرقام </w:t>
      </w:r>
      <w:r>
        <w:rPr>
          <w:rFonts w:hint="cs"/>
          <w:sz w:val="24"/>
          <w:szCs w:val="24"/>
          <w:rtl/>
        </w:rPr>
        <w:t>متوقعة.</w:t>
      </w:r>
    </w:p>
    <w:p w:rsidR="00861CFF" w:rsidRPr="00EA78F0" w:rsidRDefault="00861CFF" w:rsidP="00DA5475">
      <w:pPr>
        <w:pStyle w:val="NumberedParaAR"/>
        <w:keepNext/>
        <w:numPr>
          <w:ilvl w:val="0"/>
          <w:numId w:val="0"/>
        </w:numPr>
        <w:spacing w:after="120" w:line="340" w:lineRule="atLeast"/>
        <w:jc w:val="center"/>
        <w:rPr>
          <w:sz w:val="34"/>
          <w:szCs w:val="34"/>
          <w:rtl/>
          <w:lang w:val="fr-CH"/>
        </w:rPr>
      </w:pPr>
      <w:r w:rsidRPr="00EA78F0">
        <w:rPr>
          <w:rFonts w:hint="cs"/>
          <w:sz w:val="34"/>
          <w:szCs w:val="34"/>
          <w:rtl/>
          <w:lang w:val="fr-CH"/>
        </w:rPr>
        <w:lastRenderedPageBreak/>
        <w:t>التوزيع الاحتمالي للإيرادات</w:t>
      </w:r>
    </w:p>
    <w:p w:rsidR="00861CFF" w:rsidRPr="00C16521" w:rsidRDefault="00861CFF" w:rsidP="00862268">
      <w:pPr>
        <w:pStyle w:val="NormalParaAR"/>
        <w:spacing w:after="120" w:line="240" w:lineRule="auto"/>
        <w:jc w:val="center"/>
        <w:rPr>
          <w:highlight w:val="yellow"/>
          <w:rtl/>
          <w:lang w:val="fr-CH"/>
        </w:rPr>
      </w:pPr>
      <w:r>
        <w:rPr>
          <w:noProof/>
        </w:rPr>
        <w:drawing>
          <wp:inline distT="0" distB="0" distL="0" distR="0" wp14:anchorId="621CF7AA" wp14:editId="0C5617BE">
            <wp:extent cx="5529580" cy="31089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529580" cy="3108960"/>
                    </a:xfrm>
                    <a:prstGeom prst="rect">
                      <a:avLst/>
                    </a:prstGeom>
                    <a:noFill/>
                  </pic:spPr>
                </pic:pic>
              </a:graphicData>
            </a:graphic>
          </wp:inline>
        </w:drawing>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Pr>
          <w:sz w:val="34"/>
          <w:szCs w:val="34"/>
          <w:rtl/>
          <w:lang w:val="fr-CH"/>
        </w:rPr>
        <w:t>سيناريو</w:t>
      </w:r>
      <w:r w:rsidRPr="004E6AC4">
        <w:rPr>
          <w:sz w:val="34"/>
          <w:szCs w:val="34"/>
          <w:rtl/>
          <w:lang w:val="fr-CH"/>
        </w:rPr>
        <w:t>هات إيرادات نظام مدريد</w:t>
      </w:r>
    </w:p>
    <w:p w:rsidR="00861CFF" w:rsidRPr="00C16521" w:rsidRDefault="00861CFF" w:rsidP="00862268">
      <w:pPr>
        <w:pStyle w:val="NormalParaAR"/>
        <w:spacing w:after="120" w:line="240" w:lineRule="auto"/>
        <w:jc w:val="center"/>
        <w:rPr>
          <w:highlight w:val="yellow"/>
          <w:rtl/>
          <w:lang w:val="fr-CH"/>
        </w:rPr>
      </w:pPr>
      <w:r w:rsidRPr="00EA78F0">
        <w:rPr>
          <w:noProof/>
          <w:rtl/>
        </w:rPr>
        <w:drawing>
          <wp:inline distT="0" distB="0" distL="0" distR="0" wp14:anchorId="5DD9857A" wp14:editId="7CE26EA9">
            <wp:extent cx="3219450" cy="3114675"/>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219450" cy="3114675"/>
                    </a:xfrm>
                    <a:prstGeom prst="rect">
                      <a:avLst/>
                    </a:prstGeom>
                    <a:noFill/>
                    <a:ln>
                      <a:noFill/>
                    </a:ln>
                  </pic:spPr>
                </pic:pic>
              </a:graphicData>
            </a:graphic>
          </wp:inline>
        </w:drawing>
      </w:r>
    </w:p>
    <w:p w:rsidR="00861CFF" w:rsidRPr="00990690" w:rsidRDefault="00861CFF" w:rsidP="00861CFF">
      <w:pPr>
        <w:pStyle w:val="NumberedParaAR"/>
        <w:numPr>
          <w:ilvl w:val="0"/>
          <w:numId w:val="47"/>
        </w:numPr>
        <w:spacing w:after="120" w:line="340" w:lineRule="exact"/>
        <w:rPr>
          <w:sz w:val="34"/>
          <w:szCs w:val="34"/>
          <w:rtl/>
          <w:lang w:val="fr-CH"/>
        </w:rPr>
      </w:pPr>
      <w:r w:rsidRPr="00990690">
        <w:rPr>
          <w:rFonts w:hint="cs"/>
          <w:sz w:val="34"/>
          <w:szCs w:val="34"/>
          <w:rtl/>
          <w:lang w:val="fr-CH"/>
        </w:rPr>
        <w:t>ويتضمن</w:t>
      </w:r>
      <w:r w:rsidRPr="00990690">
        <w:rPr>
          <w:sz w:val="34"/>
          <w:szCs w:val="34"/>
          <w:rtl/>
          <w:lang w:val="fr-CH"/>
        </w:rPr>
        <w:t xml:space="preserve"> الجدول </w:t>
      </w:r>
      <w:r w:rsidRPr="00990690">
        <w:rPr>
          <w:rFonts w:hint="cs"/>
          <w:sz w:val="34"/>
          <w:szCs w:val="34"/>
          <w:rtl/>
          <w:lang w:val="fr-CH"/>
        </w:rPr>
        <w:t xml:space="preserve">الوارد </w:t>
      </w:r>
      <w:r w:rsidRPr="00990690">
        <w:rPr>
          <w:sz w:val="34"/>
          <w:szCs w:val="34"/>
          <w:rtl/>
          <w:lang w:val="fr-CH"/>
        </w:rPr>
        <w:t xml:space="preserve">أدناه معلومات عن الأرقام الفعلية </w:t>
      </w:r>
      <w:r w:rsidRPr="00990690">
        <w:rPr>
          <w:rFonts w:hint="cs"/>
          <w:sz w:val="34"/>
          <w:szCs w:val="34"/>
          <w:rtl/>
          <w:lang w:val="fr-CH"/>
        </w:rPr>
        <w:t>المرتقبة</w:t>
      </w:r>
      <w:r w:rsidRPr="00990690">
        <w:rPr>
          <w:sz w:val="34"/>
          <w:szCs w:val="34"/>
          <w:rtl/>
          <w:lang w:val="fr-CH"/>
        </w:rPr>
        <w:t xml:space="preserve"> للتسجيلات والتجديدات </w:t>
      </w:r>
      <w:r w:rsidRPr="00990690">
        <w:rPr>
          <w:rFonts w:hint="cs"/>
          <w:sz w:val="34"/>
          <w:szCs w:val="34"/>
          <w:rtl/>
          <w:lang w:val="fr-CH"/>
        </w:rPr>
        <w:t>في ا</w:t>
      </w:r>
      <w:r w:rsidRPr="00990690">
        <w:rPr>
          <w:sz w:val="34"/>
          <w:szCs w:val="34"/>
          <w:rtl/>
          <w:lang w:val="fr-CH"/>
        </w:rPr>
        <w:t xml:space="preserve">لفترة من </w:t>
      </w:r>
      <w:r w:rsidRPr="00990690">
        <w:rPr>
          <w:rFonts w:hint="cs"/>
          <w:sz w:val="34"/>
          <w:szCs w:val="34"/>
          <w:rtl/>
          <w:lang w:val="fr-CH"/>
        </w:rPr>
        <w:t>سنة 2012</w:t>
      </w:r>
      <w:r w:rsidRPr="00990690">
        <w:rPr>
          <w:sz w:val="34"/>
          <w:szCs w:val="34"/>
          <w:rtl/>
          <w:lang w:val="fr-CH"/>
        </w:rPr>
        <w:t xml:space="preserve"> إلى</w:t>
      </w:r>
      <w:r w:rsidRPr="00990690">
        <w:rPr>
          <w:rFonts w:hint="cs"/>
          <w:sz w:val="34"/>
          <w:szCs w:val="34"/>
          <w:rtl/>
          <w:lang w:val="fr-CH"/>
        </w:rPr>
        <w:t xml:space="preserve"> سنة</w:t>
      </w:r>
      <w:r w:rsidRPr="00990690">
        <w:rPr>
          <w:sz w:val="34"/>
          <w:szCs w:val="34"/>
          <w:rtl/>
          <w:lang w:val="fr-CH"/>
        </w:rPr>
        <w:t xml:space="preserve"> </w:t>
      </w:r>
      <w:r w:rsidRPr="00990690">
        <w:rPr>
          <w:rFonts w:hint="cs"/>
          <w:sz w:val="34"/>
          <w:szCs w:val="34"/>
          <w:rtl/>
          <w:lang w:val="fr-CH"/>
        </w:rPr>
        <w:t>2017،</w:t>
      </w:r>
      <w:r w:rsidRPr="00990690">
        <w:rPr>
          <w:sz w:val="34"/>
          <w:szCs w:val="34"/>
          <w:rtl/>
          <w:lang w:val="fr-CH"/>
        </w:rPr>
        <w:t xml:space="preserve"> وعن التطور الفعلي </w:t>
      </w:r>
      <w:r w:rsidRPr="00990690">
        <w:rPr>
          <w:rFonts w:hint="cs"/>
          <w:sz w:val="34"/>
          <w:szCs w:val="34"/>
          <w:rtl/>
          <w:lang w:val="fr-CH"/>
        </w:rPr>
        <w:t>والمرتقب</w:t>
      </w:r>
      <w:r w:rsidRPr="00990690">
        <w:rPr>
          <w:sz w:val="34"/>
          <w:szCs w:val="34"/>
          <w:rtl/>
          <w:lang w:val="fr-CH"/>
        </w:rPr>
        <w:t xml:space="preserve"> </w:t>
      </w:r>
      <w:r w:rsidRPr="00990690">
        <w:rPr>
          <w:rFonts w:hint="cs"/>
          <w:sz w:val="34"/>
          <w:szCs w:val="34"/>
          <w:rtl/>
          <w:lang w:val="fr-CH"/>
        </w:rPr>
        <w:t>للرسم المتوسط</w:t>
      </w:r>
      <w:r w:rsidRPr="00990690">
        <w:rPr>
          <w:sz w:val="34"/>
          <w:szCs w:val="34"/>
          <w:rtl/>
          <w:lang w:val="fr-CH"/>
        </w:rPr>
        <w:t xml:space="preserve"> في </w:t>
      </w:r>
      <w:r w:rsidRPr="00990690">
        <w:rPr>
          <w:rFonts w:hint="cs"/>
          <w:sz w:val="34"/>
          <w:szCs w:val="34"/>
          <w:rtl/>
          <w:lang w:val="fr-CH"/>
        </w:rPr>
        <w:t>هذه</w:t>
      </w:r>
      <w:r w:rsidRPr="00990690">
        <w:rPr>
          <w:sz w:val="34"/>
          <w:szCs w:val="34"/>
          <w:rtl/>
          <w:lang w:val="fr-CH"/>
        </w:rPr>
        <w:t xml:space="preserve"> الفترة. ويحسب </w:t>
      </w:r>
      <w:r w:rsidRPr="00990690">
        <w:rPr>
          <w:rFonts w:hint="cs"/>
          <w:sz w:val="34"/>
          <w:szCs w:val="34"/>
          <w:rtl/>
          <w:lang w:val="fr-CH"/>
        </w:rPr>
        <w:t>الرسم المتوسط</w:t>
      </w:r>
      <w:r w:rsidRPr="00990690">
        <w:rPr>
          <w:sz w:val="34"/>
          <w:szCs w:val="34"/>
          <w:rtl/>
          <w:lang w:val="fr-CH"/>
        </w:rPr>
        <w:t xml:space="preserve"> على أساس مجموع إيرادات رسوم </w:t>
      </w:r>
      <w:r w:rsidRPr="00990690">
        <w:rPr>
          <w:rFonts w:hint="cs"/>
          <w:sz w:val="34"/>
          <w:szCs w:val="34"/>
          <w:rtl/>
          <w:lang w:val="fr-CH"/>
        </w:rPr>
        <w:t xml:space="preserve">نظام </w:t>
      </w:r>
      <w:r w:rsidRPr="00990690">
        <w:rPr>
          <w:sz w:val="34"/>
          <w:szCs w:val="34"/>
          <w:rtl/>
          <w:lang w:val="fr-CH"/>
        </w:rPr>
        <w:t>مدريد مقسو</w:t>
      </w:r>
      <w:r w:rsidRPr="00990690">
        <w:rPr>
          <w:rFonts w:hint="cs"/>
          <w:sz w:val="34"/>
          <w:szCs w:val="34"/>
          <w:rtl/>
          <w:lang w:val="fr-CH"/>
        </w:rPr>
        <w:t>ما</w:t>
      </w:r>
      <w:r w:rsidRPr="00990690">
        <w:rPr>
          <w:sz w:val="34"/>
          <w:szCs w:val="34"/>
          <w:rtl/>
          <w:lang w:val="fr-CH"/>
        </w:rPr>
        <w:t xml:space="preserve"> على العدد الإجمالي للتسجيلات والتجديدات في </w:t>
      </w:r>
      <w:r w:rsidRPr="00990690">
        <w:rPr>
          <w:rFonts w:hint="cs"/>
          <w:sz w:val="34"/>
          <w:szCs w:val="34"/>
          <w:rtl/>
          <w:lang w:val="fr-CH"/>
        </w:rPr>
        <w:t>العام</w:t>
      </w:r>
      <w:r w:rsidRPr="00990690">
        <w:rPr>
          <w:sz w:val="34"/>
          <w:szCs w:val="34"/>
          <w:rtl/>
          <w:lang w:val="fr-CH"/>
        </w:rPr>
        <w:t xml:space="preserve"> الواحد.</w:t>
      </w:r>
    </w:p>
    <w:p w:rsidR="00861CFF" w:rsidRDefault="00861CFF" w:rsidP="00985543">
      <w:pPr>
        <w:pStyle w:val="NumberedParaAR"/>
        <w:keepNext/>
        <w:numPr>
          <w:ilvl w:val="0"/>
          <w:numId w:val="0"/>
        </w:numPr>
        <w:spacing w:after="120" w:line="340" w:lineRule="atLeast"/>
        <w:jc w:val="center"/>
        <w:rPr>
          <w:sz w:val="34"/>
          <w:szCs w:val="34"/>
          <w:rtl/>
          <w:lang w:val="fr-CH"/>
        </w:rPr>
      </w:pPr>
      <w:r w:rsidRPr="004E6AC4">
        <w:rPr>
          <w:sz w:val="34"/>
          <w:szCs w:val="34"/>
          <w:rtl/>
          <w:lang w:val="fr-CH"/>
        </w:rPr>
        <w:lastRenderedPageBreak/>
        <w:t xml:space="preserve">الجدول </w:t>
      </w:r>
      <w:r w:rsidR="00985543">
        <w:rPr>
          <w:rFonts w:hint="cs"/>
          <w:sz w:val="34"/>
          <w:szCs w:val="34"/>
          <w:rtl/>
          <w:lang w:val="fr-CH"/>
        </w:rPr>
        <w:t>16</w:t>
      </w:r>
      <w:r w:rsidRPr="004E6AC4">
        <w:rPr>
          <w:sz w:val="34"/>
          <w:szCs w:val="34"/>
          <w:rtl/>
          <w:lang w:val="fr-CH"/>
        </w:rPr>
        <w:t xml:space="preserve"> – مجموع إيرادات رسوم نظام مدريد ومتوسط الرسم</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7B0C6E">
        <w:rPr>
          <w:noProof/>
          <w:rtl/>
        </w:rPr>
        <w:drawing>
          <wp:inline distT="0" distB="0" distL="0" distR="0" wp14:anchorId="15BC4554" wp14:editId="72BC6B9F">
            <wp:extent cx="5939790" cy="1091183"/>
            <wp:effectExtent l="0" t="0" r="381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939790" cy="1091183"/>
                    </a:xfrm>
                    <a:prstGeom prst="rect">
                      <a:avLst/>
                    </a:prstGeom>
                    <a:noFill/>
                    <a:ln>
                      <a:noFill/>
                    </a:ln>
                  </pic:spPr>
                </pic:pic>
              </a:graphicData>
            </a:graphic>
          </wp:inline>
        </w:drawing>
      </w:r>
    </w:p>
    <w:p w:rsidR="00861CFF" w:rsidRPr="00990690" w:rsidRDefault="00861CFF" w:rsidP="00861CFF">
      <w:pPr>
        <w:pStyle w:val="NumberedParaAR"/>
        <w:numPr>
          <w:ilvl w:val="0"/>
          <w:numId w:val="47"/>
        </w:numPr>
        <w:spacing w:after="120" w:line="340" w:lineRule="exact"/>
        <w:rPr>
          <w:sz w:val="34"/>
          <w:szCs w:val="34"/>
          <w:lang w:val="fr-CH"/>
        </w:rPr>
      </w:pPr>
      <w:r w:rsidRPr="00990690">
        <w:rPr>
          <w:rFonts w:hint="cs"/>
          <w:sz w:val="34"/>
          <w:szCs w:val="34"/>
          <w:rtl/>
          <w:lang w:val="fr-CH"/>
        </w:rPr>
        <w:t>واعت</w:t>
      </w:r>
      <w:r>
        <w:rPr>
          <w:rFonts w:hint="cs"/>
          <w:sz w:val="34"/>
          <w:szCs w:val="34"/>
          <w:rtl/>
          <w:lang w:val="fr-CH"/>
        </w:rPr>
        <w:t>ُ</w:t>
      </w:r>
      <w:r w:rsidRPr="00990690">
        <w:rPr>
          <w:rFonts w:hint="cs"/>
          <w:sz w:val="34"/>
          <w:szCs w:val="34"/>
          <w:rtl/>
          <w:lang w:val="fr-CH"/>
        </w:rPr>
        <w:t>مد</w:t>
      </w:r>
      <w:r>
        <w:rPr>
          <w:rFonts w:hint="cs"/>
          <w:sz w:val="34"/>
          <w:szCs w:val="34"/>
          <w:rtl/>
          <w:lang w:val="fr-CH"/>
        </w:rPr>
        <w:t xml:space="preserve"> لأول مرة </w:t>
      </w:r>
      <w:r w:rsidRPr="00990690">
        <w:rPr>
          <w:rFonts w:hint="cs"/>
          <w:sz w:val="34"/>
          <w:szCs w:val="34"/>
          <w:rtl/>
          <w:lang w:val="fr-CH"/>
        </w:rPr>
        <w:t>نموذج توقعات</w:t>
      </w:r>
      <w:r>
        <w:rPr>
          <w:rFonts w:hint="cs"/>
          <w:sz w:val="34"/>
          <w:szCs w:val="34"/>
          <w:rtl/>
          <w:lang w:val="fr-CH"/>
        </w:rPr>
        <w:t xml:space="preserve"> جديد،</w:t>
      </w:r>
      <w:r w:rsidRPr="00990690">
        <w:rPr>
          <w:rFonts w:hint="cs"/>
          <w:sz w:val="34"/>
          <w:szCs w:val="34"/>
          <w:rtl/>
          <w:lang w:val="fr-CH"/>
        </w:rPr>
        <w:t xml:space="preserve"> يشبه النموذج المستخدم لتوقع أنشطة معاهدة التعاون بشأن البراءات، </w:t>
      </w:r>
      <w:r>
        <w:rPr>
          <w:rFonts w:hint="cs"/>
          <w:sz w:val="34"/>
          <w:szCs w:val="34"/>
          <w:rtl/>
          <w:lang w:val="fr-CH"/>
        </w:rPr>
        <w:t>في الثنائية 2014/15 لتوقع أنشطة التسجيل بناء على نظامي مدريد ولاهاي. ولا يراعي النموذج الأكثر تعقيدا</w:t>
      </w:r>
      <w:r w:rsidRPr="00990690">
        <w:rPr>
          <w:rFonts w:hint="cs"/>
          <w:sz w:val="34"/>
          <w:szCs w:val="34"/>
          <w:rtl/>
          <w:lang w:val="fr-CH"/>
        </w:rPr>
        <w:t xml:space="preserve"> أنشطة نظام مدريد السابقة فحسب، بل أيضا أنشطة الطلبات والتسجيلات الخاصة بالعلامات التجارية في المكاتب الأخرى، وكذلك بيانات التوقعات الاقتصادية من صندوق النقد الدولي. ونظرا </w:t>
      </w:r>
      <w:r>
        <w:rPr>
          <w:rFonts w:hint="cs"/>
          <w:sz w:val="34"/>
          <w:szCs w:val="34"/>
          <w:rtl/>
          <w:lang w:val="fr-CH"/>
        </w:rPr>
        <w:t xml:space="preserve">لاستمرا حالة </w:t>
      </w:r>
      <w:r w:rsidRPr="00990690">
        <w:rPr>
          <w:rFonts w:hint="cs"/>
          <w:sz w:val="34"/>
          <w:szCs w:val="34"/>
          <w:rtl/>
          <w:lang w:val="fr-CH"/>
        </w:rPr>
        <w:t xml:space="preserve">عدم اليقين </w:t>
      </w:r>
      <w:r>
        <w:rPr>
          <w:rFonts w:hint="cs"/>
          <w:sz w:val="34"/>
          <w:szCs w:val="34"/>
          <w:rtl/>
          <w:lang w:val="fr-CH"/>
        </w:rPr>
        <w:t xml:space="preserve">في </w:t>
      </w:r>
      <w:r w:rsidRPr="00990690">
        <w:rPr>
          <w:rFonts w:hint="cs"/>
          <w:sz w:val="34"/>
          <w:szCs w:val="34"/>
          <w:rtl/>
          <w:lang w:val="fr-CH"/>
        </w:rPr>
        <w:t xml:space="preserve">الاقتصادي العالمي، وإلى حين اكتساب المزيد من الخبرة في استخدام نموذج التوقع الجديد، </w:t>
      </w:r>
      <w:r>
        <w:rPr>
          <w:rFonts w:hint="cs"/>
          <w:sz w:val="34"/>
          <w:szCs w:val="34"/>
          <w:rtl/>
          <w:lang w:val="fr-CH"/>
        </w:rPr>
        <w:t>توخى ال</w:t>
      </w:r>
      <w:r w:rsidRPr="00990690">
        <w:rPr>
          <w:rFonts w:hint="cs"/>
          <w:sz w:val="34"/>
          <w:szCs w:val="34"/>
          <w:rtl/>
          <w:lang w:val="fr-CH"/>
        </w:rPr>
        <w:t xml:space="preserve">قطاع </w:t>
      </w:r>
      <w:r>
        <w:rPr>
          <w:rFonts w:hint="cs"/>
          <w:sz w:val="34"/>
          <w:szCs w:val="34"/>
          <w:rtl/>
          <w:lang w:val="fr-CH"/>
        </w:rPr>
        <w:t>المعني</w:t>
      </w:r>
      <w:r w:rsidRPr="00990690">
        <w:rPr>
          <w:rFonts w:hint="cs"/>
          <w:sz w:val="34"/>
          <w:szCs w:val="34"/>
          <w:rtl/>
          <w:lang w:val="fr-CH"/>
        </w:rPr>
        <w:t xml:space="preserve"> </w:t>
      </w:r>
      <w:r>
        <w:rPr>
          <w:rFonts w:hint="cs"/>
          <w:sz w:val="34"/>
          <w:szCs w:val="34"/>
          <w:rtl/>
          <w:lang w:val="fr-CH"/>
        </w:rPr>
        <w:t xml:space="preserve">حذرا أكبر في توقع مستوى أقل </w:t>
      </w:r>
      <w:r w:rsidRPr="00990690">
        <w:rPr>
          <w:rFonts w:hint="cs"/>
          <w:sz w:val="34"/>
          <w:szCs w:val="34"/>
          <w:rtl/>
          <w:lang w:val="fr-CH"/>
        </w:rPr>
        <w:t xml:space="preserve">بقليل </w:t>
      </w:r>
      <w:r>
        <w:rPr>
          <w:rFonts w:hint="cs"/>
          <w:sz w:val="34"/>
          <w:szCs w:val="34"/>
          <w:rtl/>
          <w:lang w:val="fr-CH"/>
        </w:rPr>
        <w:t>بالنسبة لنظام مدريد</w:t>
      </w:r>
      <w:r w:rsidRPr="00990690">
        <w:rPr>
          <w:rFonts w:hint="cs"/>
          <w:sz w:val="34"/>
          <w:szCs w:val="34"/>
          <w:rtl/>
          <w:lang w:val="fr-CH"/>
        </w:rPr>
        <w:t xml:space="preserve">. </w:t>
      </w:r>
      <w:r>
        <w:rPr>
          <w:rFonts w:hint="cs"/>
          <w:sz w:val="34"/>
          <w:szCs w:val="34"/>
          <w:rtl/>
          <w:lang w:val="fr-CH"/>
        </w:rPr>
        <w:t xml:space="preserve">وترد التوقعات الأدنى في </w:t>
      </w:r>
      <w:r w:rsidRPr="00990690">
        <w:rPr>
          <w:rFonts w:hint="cs"/>
          <w:sz w:val="34"/>
          <w:szCs w:val="34"/>
          <w:rtl/>
          <w:lang w:val="fr-CH"/>
        </w:rPr>
        <w:t>الجدول أدناه و</w:t>
      </w:r>
      <w:r>
        <w:rPr>
          <w:rFonts w:hint="cs"/>
          <w:sz w:val="34"/>
          <w:szCs w:val="34"/>
          <w:rtl/>
          <w:lang w:val="fr-CH"/>
        </w:rPr>
        <w:t xml:space="preserve">تعتبر </w:t>
      </w:r>
      <w:r w:rsidRPr="00990690">
        <w:rPr>
          <w:rFonts w:hint="cs"/>
          <w:sz w:val="34"/>
          <w:szCs w:val="34"/>
          <w:rtl/>
          <w:lang w:val="fr-CH"/>
        </w:rPr>
        <w:t>أساس</w:t>
      </w:r>
      <w:r>
        <w:rPr>
          <w:rFonts w:hint="cs"/>
          <w:sz w:val="34"/>
          <w:szCs w:val="34"/>
          <w:rtl/>
          <w:lang w:val="fr-CH"/>
        </w:rPr>
        <w:t>ا لوثيقة البرنامج والميزانية</w:t>
      </w:r>
      <w:r w:rsidRPr="00990690">
        <w:rPr>
          <w:rFonts w:hint="cs"/>
          <w:sz w:val="34"/>
          <w:szCs w:val="34"/>
          <w:rtl/>
          <w:lang w:val="fr-CH"/>
        </w:rPr>
        <w:t xml:space="preserve"> للثنائية </w:t>
      </w:r>
      <w:r>
        <w:rPr>
          <w:rFonts w:hint="cs"/>
          <w:sz w:val="34"/>
          <w:szCs w:val="34"/>
          <w:rtl/>
          <w:lang w:val="fr-CH"/>
        </w:rPr>
        <w:t>2016</w:t>
      </w:r>
      <w:r w:rsidRPr="00990690">
        <w:rPr>
          <w:rFonts w:hint="cs"/>
          <w:sz w:val="34"/>
          <w:szCs w:val="34"/>
          <w:rtl/>
          <w:lang w:val="fr-CH"/>
        </w:rPr>
        <w:t>/</w:t>
      </w:r>
      <w:r>
        <w:rPr>
          <w:rFonts w:hint="cs"/>
          <w:sz w:val="34"/>
          <w:szCs w:val="34"/>
          <w:rtl/>
          <w:lang w:val="fr-CH"/>
        </w:rPr>
        <w:t>17</w:t>
      </w:r>
      <w:r w:rsidRPr="00990690">
        <w:rPr>
          <w:rFonts w:hint="cs"/>
          <w:sz w:val="34"/>
          <w:szCs w:val="34"/>
          <w:rtl/>
          <w:lang w:val="fr-CH"/>
        </w:rPr>
        <w:t>.</w:t>
      </w:r>
    </w:p>
    <w:p w:rsidR="00861CFF" w:rsidRPr="00F21683" w:rsidRDefault="00861CFF" w:rsidP="00985543">
      <w:pPr>
        <w:pStyle w:val="NumberedParaAR"/>
        <w:keepNext/>
        <w:numPr>
          <w:ilvl w:val="0"/>
          <w:numId w:val="0"/>
        </w:numPr>
        <w:spacing w:after="120" w:line="340" w:lineRule="atLeast"/>
        <w:jc w:val="center"/>
        <w:rPr>
          <w:sz w:val="34"/>
          <w:szCs w:val="34"/>
          <w:rtl/>
          <w:lang w:val="fr-CH"/>
        </w:rPr>
      </w:pPr>
      <w:r w:rsidRPr="00F21683">
        <w:rPr>
          <w:rFonts w:hint="cs"/>
          <w:sz w:val="34"/>
          <w:szCs w:val="34"/>
          <w:rtl/>
          <w:lang w:val="fr-CH"/>
        </w:rPr>
        <w:t xml:space="preserve">الجدول </w:t>
      </w:r>
      <w:r w:rsidR="00985543">
        <w:rPr>
          <w:rFonts w:hint="cs"/>
          <w:sz w:val="34"/>
          <w:szCs w:val="34"/>
          <w:rtl/>
          <w:lang w:val="fr-CH"/>
        </w:rPr>
        <w:t>17</w:t>
      </w:r>
      <w:r w:rsidRPr="00F21683">
        <w:rPr>
          <w:sz w:val="34"/>
          <w:szCs w:val="34"/>
          <w:rtl/>
          <w:lang w:val="fr-CH"/>
        </w:rPr>
        <w:t xml:space="preserve"> – مجموع إيرادات رسوم</w:t>
      </w:r>
      <w:r w:rsidRPr="00F21683">
        <w:rPr>
          <w:rFonts w:hint="cs"/>
          <w:sz w:val="34"/>
          <w:szCs w:val="34"/>
          <w:rtl/>
          <w:lang w:val="fr-CH"/>
        </w:rPr>
        <w:t xml:space="preserve"> نظام</w:t>
      </w:r>
      <w:r w:rsidRPr="00F21683">
        <w:rPr>
          <w:sz w:val="34"/>
          <w:szCs w:val="34"/>
          <w:rtl/>
          <w:lang w:val="fr-CH"/>
        </w:rPr>
        <w:t xml:space="preserve"> مدريد </w:t>
      </w:r>
      <w:r w:rsidRPr="00F21683">
        <w:rPr>
          <w:rFonts w:hint="cs"/>
          <w:sz w:val="34"/>
          <w:szCs w:val="34"/>
          <w:rtl/>
          <w:lang w:val="fr-CH"/>
        </w:rPr>
        <w:t>ومتوسط الرسم (على أساس ميزانية 2016/17)</w:t>
      </w:r>
    </w:p>
    <w:p w:rsidR="00861CFF" w:rsidRPr="007E713D" w:rsidRDefault="00861CFF" w:rsidP="00DA5475">
      <w:pPr>
        <w:keepNext/>
        <w:spacing w:after="120"/>
        <w:jc w:val="center"/>
        <w:rPr>
          <w:rFonts w:ascii="Arabic Typesetting" w:hAnsi="Arabic Typesetting" w:cs="Arabic Typesetting"/>
          <w:sz w:val="18"/>
          <w:szCs w:val="18"/>
          <w:rtl/>
          <w:lang w:val="fr-CH"/>
        </w:rPr>
      </w:pPr>
      <w:r w:rsidRPr="007E713D">
        <w:rPr>
          <w:noProof/>
          <w:szCs w:val="20"/>
          <w:rtl/>
          <w:lang w:bidi="ar-SA"/>
        </w:rPr>
        <w:drawing>
          <wp:inline distT="0" distB="0" distL="0" distR="0" wp14:anchorId="4179B73C" wp14:editId="75775807">
            <wp:extent cx="5939790" cy="1091183"/>
            <wp:effectExtent l="0" t="0" r="381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939790" cy="1091183"/>
                    </a:xfrm>
                    <a:prstGeom prst="rect">
                      <a:avLst/>
                    </a:prstGeom>
                    <a:noFill/>
                    <a:ln>
                      <a:noFill/>
                    </a:ln>
                  </pic:spPr>
                </pic:pic>
              </a:graphicData>
            </a:graphic>
          </wp:inline>
        </w:drawing>
      </w:r>
    </w:p>
    <w:p w:rsidR="00861CFF" w:rsidRPr="003D615E" w:rsidRDefault="00861CFF" w:rsidP="00862268">
      <w:pPr>
        <w:pStyle w:val="NormalParaAR"/>
        <w:keepNext/>
        <w:spacing w:after="0"/>
        <w:rPr>
          <w:b/>
          <w:bCs/>
          <w:rtl/>
          <w:lang w:val="fr-CH"/>
        </w:rPr>
      </w:pPr>
      <w:r w:rsidRPr="003D615E">
        <w:rPr>
          <w:b/>
          <w:bCs/>
          <w:rtl/>
          <w:lang w:val="fr-CH"/>
        </w:rPr>
        <w:t>لاهاي</w:t>
      </w:r>
    </w:p>
    <w:p w:rsidR="00861CFF" w:rsidRPr="003D615E" w:rsidRDefault="00861CFF" w:rsidP="00862268">
      <w:pPr>
        <w:pStyle w:val="NormalParaAR"/>
        <w:keepNext/>
        <w:spacing w:after="120" w:line="340" w:lineRule="exact"/>
        <w:rPr>
          <w:i/>
          <w:iCs/>
          <w:sz w:val="34"/>
          <w:szCs w:val="34"/>
          <w:rtl/>
          <w:lang w:val="fr-CH"/>
        </w:rPr>
      </w:pPr>
      <w:r w:rsidRPr="003D615E">
        <w:rPr>
          <w:i/>
          <w:iCs/>
          <w:sz w:val="34"/>
          <w:szCs w:val="34"/>
          <w:rtl/>
          <w:lang w:val="fr-CH"/>
        </w:rPr>
        <w:t xml:space="preserve">لاهاي - </w:t>
      </w:r>
      <w:r w:rsidRPr="003D615E">
        <w:rPr>
          <w:rFonts w:hint="cs"/>
          <w:i/>
          <w:iCs/>
          <w:sz w:val="34"/>
          <w:szCs w:val="34"/>
          <w:rtl/>
          <w:lang w:val="fr-CH"/>
        </w:rPr>
        <w:t>توقعات</w:t>
      </w:r>
      <w:r w:rsidRPr="003D615E">
        <w:rPr>
          <w:i/>
          <w:iCs/>
          <w:sz w:val="34"/>
          <w:szCs w:val="34"/>
          <w:rtl/>
          <w:lang w:val="fr-CH"/>
        </w:rPr>
        <w:t xml:space="preserve"> الطلب على التسجيل الدولي</w:t>
      </w:r>
    </w:p>
    <w:p w:rsidR="00861CFF" w:rsidRPr="003D615E" w:rsidRDefault="00861CFF" w:rsidP="00861CFF">
      <w:pPr>
        <w:pStyle w:val="NumberedParaAR"/>
        <w:numPr>
          <w:ilvl w:val="0"/>
          <w:numId w:val="47"/>
        </w:numPr>
        <w:spacing w:after="120" w:line="340" w:lineRule="exact"/>
        <w:rPr>
          <w:sz w:val="34"/>
          <w:szCs w:val="34"/>
          <w:rtl/>
          <w:lang w:val="fr-CH"/>
        </w:rPr>
      </w:pPr>
      <w:r w:rsidRPr="003D615E">
        <w:rPr>
          <w:sz w:val="34"/>
          <w:szCs w:val="34"/>
          <w:rtl/>
          <w:lang w:val="fr-CH"/>
        </w:rPr>
        <w:t>يبيّن ال</w:t>
      </w:r>
      <w:r>
        <w:rPr>
          <w:sz w:val="34"/>
          <w:szCs w:val="34"/>
          <w:rtl/>
          <w:lang w:val="fr-CH"/>
        </w:rPr>
        <w:t>شكل</w:t>
      </w:r>
      <w:r w:rsidRPr="003D615E">
        <w:rPr>
          <w:sz w:val="34"/>
          <w:szCs w:val="34"/>
          <w:rtl/>
          <w:lang w:val="fr-CH"/>
        </w:rPr>
        <w:t xml:space="preserve"> </w:t>
      </w:r>
      <w:r>
        <w:rPr>
          <w:rFonts w:hint="cs"/>
          <w:sz w:val="34"/>
          <w:szCs w:val="34"/>
          <w:rtl/>
          <w:lang w:val="fr-CH"/>
        </w:rPr>
        <w:t>9</w:t>
      </w:r>
      <w:r w:rsidRPr="003D615E">
        <w:rPr>
          <w:sz w:val="34"/>
          <w:szCs w:val="34"/>
          <w:rtl/>
          <w:lang w:val="fr-CH"/>
        </w:rPr>
        <w:t xml:space="preserve"> </w:t>
      </w:r>
      <w:r>
        <w:rPr>
          <w:rFonts w:hint="cs"/>
          <w:sz w:val="34"/>
          <w:szCs w:val="34"/>
          <w:rtl/>
          <w:lang w:val="fr-CH"/>
        </w:rPr>
        <w:t>توقعات الفترة</w:t>
      </w:r>
      <w:r w:rsidRPr="003D615E">
        <w:rPr>
          <w:sz w:val="34"/>
          <w:szCs w:val="34"/>
          <w:rtl/>
          <w:lang w:val="fr-CH"/>
        </w:rPr>
        <w:t xml:space="preserve"> من</w:t>
      </w:r>
      <w:r w:rsidRPr="003D615E">
        <w:rPr>
          <w:rFonts w:hint="cs"/>
          <w:sz w:val="34"/>
          <w:szCs w:val="34"/>
          <w:rtl/>
          <w:lang w:val="fr-CH"/>
        </w:rPr>
        <w:t xml:space="preserve"> سنة</w:t>
      </w:r>
      <w:r w:rsidRPr="003D615E">
        <w:rPr>
          <w:sz w:val="34"/>
          <w:szCs w:val="34"/>
          <w:rtl/>
          <w:lang w:val="fr-CH"/>
        </w:rPr>
        <w:t xml:space="preserve"> </w:t>
      </w:r>
      <w:r>
        <w:rPr>
          <w:rFonts w:hint="cs"/>
          <w:sz w:val="34"/>
          <w:szCs w:val="34"/>
          <w:rtl/>
          <w:lang w:val="fr-CH"/>
        </w:rPr>
        <w:t>2015</w:t>
      </w:r>
      <w:r w:rsidRPr="003D615E">
        <w:rPr>
          <w:sz w:val="34"/>
          <w:szCs w:val="34"/>
          <w:rtl/>
          <w:lang w:val="fr-CH"/>
        </w:rPr>
        <w:t xml:space="preserve"> إلى</w:t>
      </w:r>
      <w:r w:rsidRPr="003D615E">
        <w:rPr>
          <w:rFonts w:hint="cs"/>
          <w:sz w:val="34"/>
          <w:szCs w:val="34"/>
          <w:rtl/>
          <w:lang w:val="fr-CH"/>
        </w:rPr>
        <w:t xml:space="preserve"> سنة</w:t>
      </w:r>
      <w:r w:rsidRPr="003D615E">
        <w:rPr>
          <w:sz w:val="34"/>
          <w:szCs w:val="34"/>
          <w:rtl/>
          <w:lang w:val="fr-CH"/>
        </w:rPr>
        <w:t xml:space="preserve"> </w:t>
      </w:r>
      <w:r>
        <w:rPr>
          <w:rFonts w:hint="cs"/>
          <w:sz w:val="34"/>
          <w:szCs w:val="34"/>
          <w:rtl/>
          <w:lang w:val="fr-CH"/>
        </w:rPr>
        <w:t xml:space="preserve">2017. </w:t>
      </w:r>
      <w:r w:rsidRPr="003D615E">
        <w:rPr>
          <w:rFonts w:hint="cs"/>
          <w:sz w:val="34"/>
          <w:szCs w:val="34"/>
          <w:rtl/>
          <w:lang w:val="fr-CH"/>
        </w:rPr>
        <w:t xml:space="preserve">وسيكون لانضمام الصين واليابان وجمهورية كوريا والاتحاد الروسي والولايات المتحدة الأمريكية المنتظر إلى نظام مدريد وقع هائل اعتبارا من سنة </w:t>
      </w:r>
      <w:r>
        <w:rPr>
          <w:rFonts w:hint="cs"/>
          <w:sz w:val="34"/>
          <w:szCs w:val="34"/>
          <w:rtl/>
          <w:lang w:val="fr-CH"/>
        </w:rPr>
        <w:t>2015</w:t>
      </w:r>
      <w:r w:rsidRPr="003D615E">
        <w:rPr>
          <w:rFonts w:hint="cs"/>
          <w:sz w:val="34"/>
          <w:szCs w:val="34"/>
          <w:rtl/>
          <w:lang w:val="fr-CH"/>
        </w:rPr>
        <w:t>، ما سيؤدي إلى تحقيق قفزة محتملة في الإيداعات والإيرادات. وتستند توقعات تسجيلات نظام لاهاي إلى نماذج متعددة، تشمل نماذج الانحدار الذاتي والنماذج الاقتصادية ونماذج التحويل. وتطبق نماذج الانحدار الذاتي على التسجيلات، أما النماذج الاقتصادية فتستند إلى البيانات الفعلية عن الناتج المحلي الإجمالي وتوقعات الناتج المحلي الإجمالي الصادرة عن صندوق النقد الدولي. ومن ثم تجمع نتائج النماذج المختلفة للتحقق من عدم اليقين الناجم عن خصوصيات النموذج الصحيح.</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4E6AC4">
        <w:rPr>
          <w:sz w:val="34"/>
          <w:szCs w:val="34"/>
          <w:rtl/>
          <w:lang w:val="fr-CH"/>
        </w:rPr>
        <w:lastRenderedPageBreak/>
        <w:t xml:space="preserve">الشكل </w:t>
      </w:r>
      <w:r w:rsidRPr="004E6AC4">
        <w:rPr>
          <w:rFonts w:hint="cs"/>
          <w:sz w:val="34"/>
          <w:szCs w:val="34"/>
          <w:rtl/>
          <w:lang w:val="fr-CH"/>
        </w:rPr>
        <w:t>9</w:t>
      </w:r>
      <w:r w:rsidRPr="004E6AC4">
        <w:rPr>
          <w:sz w:val="34"/>
          <w:szCs w:val="34"/>
          <w:rtl/>
          <w:lang w:val="fr-CH"/>
        </w:rPr>
        <w:t xml:space="preserve"> - </w:t>
      </w:r>
      <w:r w:rsidRPr="004E6AC4">
        <w:rPr>
          <w:rFonts w:hint="cs"/>
          <w:sz w:val="34"/>
          <w:szCs w:val="34"/>
          <w:rtl/>
          <w:lang w:val="fr-CH"/>
        </w:rPr>
        <w:t>الطلبات</w:t>
      </w:r>
      <w:r w:rsidRPr="004E6AC4">
        <w:rPr>
          <w:sz w:val="34"/>
          <w:szCs w:val="34"/>
          <w:rtl/>
          <w:lang w:val="fr-CH"/>
        </w:rPr>
        <w:t xml:space="preserve"> والتجديدات بناء على نظام لاهاي</w:t>
      </w:r>
    </w:p>
    <w:p w:rsidR="00861CFF" w:rsidRPr="00C16521" w:rsidRDefault="00861CFF" w:rsidP="00862268">
      <w:pPr>
        <w:pStyle w:val="NormalParaAR"/>
        <w:spacing w:after="120" w:line="240" w:lineRule="auto"/>
        <w:jc w:val="center"/>
        <w:rPr>
          <w:highlight w:val="yellow"/>
          <w:rtl/>
          <w:lang w:val="fr-CH"/>
        </w:rPr>
      </w:pPr>
      <w:r>
        <w:rPr>
          <w:noProof/>
        </w:rPr>
        <w:drawing>
          <wp:inline distT="0" distB="0" distL="0" distR="0" wp14:anchorId="7E78FF92" wp14:editId="02F18DFC">
            <wp:extent cx="5499100" cy="3194685"/>
            <wp:effectExtent l="0" t="0" r="6350"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499100" cy="3194685"/>
                    </a:xfrm>
                    <a:prstGeom prst="rect">
                      <a:avLst/>
                    </a:prstGeom>
                    <a:noFill/>
                  </pic:spPr>
                </pic:pic>
              </a:graphicData>
            </a:graphic>
          </wp:inline>
        </w:drawing>
      </w:r>
    </w:p>
    <w:p w:rsidR="00861CFF" w:rsidRPr="00C16521" w:rsidRDefault="00861CFF" w:rsidP="00862268">
      <w:pPr>
        <w:pStyle w:val="NormalParaAR"/>
        <w:spacing w:after="120" w:line="240" w:lineRule="auto"/>
        <w:jc w:val="center"/>
        <w:rPr>
          <w:highlight w:val="yellow"/>
          <w:rtl/>
          <w:lang w:val="fr-CH"/>
        </w:rPr>
      </w:pPr>
      <w:r w:rsidRPr="00EA78F0">
        <w:rPr>
          <w:noProof/>
          <w:rtl/>
        </w:rPr>
        <w:drawing>
          <wp:inline distT="0" distB="0" distL="0" distR="0" wp14:anchorId="07E0BF76" wp14:editId="541DCD36">
            <wp:extent cx="4724400" cy="7239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724400" cy="723900"/>
                    </a:xfrm>
                    <a:prstGeom prst="rect">
                      <a:avLst/>
                    </a:prstGeom>
                    <a:noFill/>
                    <a:ln>
                      <a:noFill/>
                    </a:ln>
                  </pic:spPr>
                </pic:pic>
              </a:graphicData>
            </a:graphic>
          </wp:inline>
        </w:drawing>
      </w:r>
    </w:p>
    <w:p w:rsidR="00861CFF" w:rsidRDefault="00861CFF" w:rsidP="00861CFF">
      <w:pPr>
        <w:pStyle w:val="NumberedParaAR"/>
        <w:numPr>
          <w:ilvl w:val="0"/>
          <w:numId w:val="47"/>
        </w:numPr>
        <w:spacing w:after="120" w:line="340" w:lineRule="exact"/>
        <w:rPr>
          <w:sz w:val="34"/>
          <w:szCs w:val="34"/>
          <w:lang w:val="fr-CH"/>
        </w:rPr>
      </w:pPr>
      <w:r w:rsidRPr="003D615E">
        <w:rPr>
          <w:rFonts w:hint="cs"/>
          <w:sz w:val="34"/>
          <w:szCs w:val="34"/>
          <w:rtl/>
          <w:lang w:val="fr-CH"/>
        </w:rPr>
        <w:t>وفي ضوء الانضمام المنتظر لعدة دول أعضاء جدد اعتبارا من سنة 2014، استُخدم نموذج تحويل لتقييم وقع أحداث الانضمام على التسجيلات. ويستخدم هذا النموذج بيانات عن "الإيداع المتبادل" بناء على مسار باريس بين أعضاء نظام لاهاي الحاليين والدول الأعضاء الجدد. وتقدر معدلات التحويل خاصة لحساب الإيداعات الإضافية من الأعضاء الحاليين نتيجة لانضمام أعضاء جدد. وفضلا عن ذلك تستخدم "معدلات التحويل" المتوسطة لأعضاء نظام لاهاي الحاليين لتوقع احتمالات الإيداع من الأعضاء الجدد. وجدير بالذكر أن "معدلات التحويل" الحقيقية تخص كل بلد. وثمة من يجادل بأن استخدام معدلات التحويل المتوسطة للأعضاء الجدد هي أفضل طريقة ممكنة لتقريب القيم، لكنها تزيد من عدم اليقين فيما يخص القيم المتوقعة. ويستند التقدير الحالي إلى الافتراضات التالية بشأن وقت الانضمام.</w:t>
      </w:r>
    </w:p>
    <w:tbl>
      <w:tblPr>
        <w:bidiVisual/>
        <w:tblW w:w="0" w:type="auto"/>
        <w:jc w:val="center"/>
        <w:tblInd w:w="24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84"/>
        <w:gridCol w:w="1041"/>
      </w:tblGrid>
      <w:tr w:rsidR="00861CFF" w:rsidRPr="008F463F" w:rsidTr="00DA5475">
        <w:trPr>
          <w:trHeight w:hRule="exact" w:val="397"/>
          <w:jc w:val="center"/>
        </w:trPr>
        <w:tc>
          <w:tcPr>
            <w:tcW w:w="1884" w:type="dxa"/>
            <w:shd w:val="clear" w:color="auto" w:fill="auto"/>
          </w:tcPr>
          <w:p w:rsidR="00861CFF" w:rsidRPr="008F463F" w:rsidRDefault="00861CFF" w:rsidP="00463E5E">
            <w:pPr>
              <w:spacing w:line="340" w:lineRule="exact"/>
              <w:rPr>
                <w:rFonts w:ascii="Arabic Typesetting" w:hAnsi="Arabic Typesetting" w:cs="Arabic Typesetting"/>
                <w:sz w:val="24"/>
                <w:highlight w:val="yellow"/>
                <w:rtl/>
                <w:lang w:val="fr-CH"/>
              </w:rPr>
            </w:pPr>
            <w:r w:rsidRPr="008F463F">
              <w:rPr>
                <w:rFonts w:ascii="Arabic Typesetting" w:hAnsi="Arabic Typesetting" w:cs="Arabic Typesetting"/>
                <w:sz w:val="24"/>
                <w:rtl/>
                <w:lang w:val="fr-CH"/>
              </w:rPr>
              <w:t>الدول الأعضاء الجدد</w:t>
            </w:r>
          </w:p>
        </w:tc>
        <w:tc>
          <w:tcPr>
            <w:tcW w:w="1041" w:type="dxa"/>
            <w:shd w:val="clear" w:color="auto" w:fill="auto"/>
          </w:tcPr>
          <w:p w:rsidR="00861CFF" w:rsidRPr="008F463F" w:rsidRDefault="00861CFF" w:rsidP="00463E5E">
            <w:pPr>
              <w:spacing w:line="340" w:lineRule="exact"/>
              <w:rPr>
                <w:rFonts w:ascii="Arabic Typesetting" w:hAnsi="Arabic Typesetting" w:cs="Arabic Typesetting"/>
                <w:sz w:val="24"/>
                <w:highlight w:val="yellow"/>
                <w:rtl/>
                <w:lang w:val="fr-CH"/>
              </w:rPr>
            </w:pPr>
          </w:p>
        </w:tc>
      </w:tr>
      <w:tr w:rsidR="00861CFF" w:rsidRPr="008F463F" w:rsidTr="00DA5475">
        <w:trPr>
          <w:trHeight w:hRule="exact" w:val="397"/>
          <w:jc w:val="center"/>
        </w:trPr>
        <w:tc>
          <w:tcPr>
            <w:tcW w:w="1884"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sz w:val="24"/>
                <w:rtl/>
                <w:lang w:val="fr-CH"/>
              </w:rPr>
              <w:t>جمهورية كوريا</w:t>
            </w:r>
          </w:p>
        </w:tc>
        <w:tc>
          <w:tcPr>
            <w:tcW w:w="1041"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hint="cs"/>
                <w:sz w:val="24"/>
                <w:rtl/>
                <w:lang w:val="fr-CH"/>
              </w:rPr>
              <w:t>يوليو 2014</w:t>
            </w:r>
          </w:p>
        </w:tc>
      </w:tr>
      <w:tr w:rsidR="00861CFF" w:rsidRPr="008F463F" w:rsidTr="00DA5475">
        <w:trPr>
          <w:trHeight w:hRule="exact" w:val="397"/>
          <w:jc w:val="center"/>
        </w:trPr>
        <w:tc>
          <w:tcPr>
            <w:tcW w:w="1884"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sz w:val="24"/>
                <w:rtl/>
                <w:lang w:val="fr-CH"/>
              </w:rPr>
              <w:t>اليابان</w:t>
            </w:r>
          </w:p>
        </w:tc>
        <w:tc>
          <w:tcPr>
            <w:tcW w:w="1041"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hint="cs"/>
                <w:sz w:val="24"/>
                <w:rtl/>
                <w:lang w:val="fr-CH"/>
              </w:rPr>
              <w:t>مايو 2015</w:t>
            </w:r>
          </w:p>
        </w:tc>
      </w:tr>
      <w:tr w:rsidR="00861CFF" w:rsidRPr="008F463F" w:rsidTr="00DA5475">
        <w:trPr>
          <w:trHeight w:hRule="exact" w:val="397"/>
          <w:jc w:val="center"/>
        </w:trPr>
        <w:tc>
          <w:tcPr>
            <w:tcW w:w="1884"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sz w:val="24"/>
                <w:rtl/>
                <w:lang w:val="fr-CH"/>
              </w:rPr>
              <w:t>الولايات المتحدة الأمريكية</w:t>
            </w:r>
          </w:p>
        </w:tc>
        <w:tc>
          <w:tcPr>
            <w:tcW w:w="1041"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hint="cs"/>
                <w:sz w:val="24"/>
                <w:rtl/>
                <w:lang w:val="fr-CH"/>
              </w:rPr>
              <w:t>مايو 2015</w:t>
            </w:r>
          </w:p>
        </w:tc>
      </w:tr>
      <w:tr w:rsidR="00861CFF" w:rsidRPr="008F463F" w:rsidTr="00DA5475">
        <w:trPr>
          <w:trHeight w:hRule="exact" w:val="397"/>
          <w:jc w:val="center"/>
        </w:trPr>
        <w:tc>
          <w:tcPr>
            <w:tcW w:w="1884"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sz w:val="24"/>
                <w:rtl/>
                <w:lang w:val="fr-CH"/>
              </w:rPr>
              <w:t>الصين</w:t>
            </w:r>
          </w:p>
        </w:tc>
        <w:tc>
          <w:tcPr>
            <w:tcW w:w="1041" w:type="dxa"/>
            <w:shd w:val="clear" w:color="auto" w:fill="auto"/>
          </w:tcPr>
          <w:p w:rsidR="00861CFF" w:rsidRPr="008F463F" w:rsidRDefault="00861CFF" w:rsidP="00463E5E">
            <w:pPr>
              <w:spacing w:line="340" w:lineRule="exact"/>
              <w:rPr>
                <w:rFonts w:ascii="Arabic Typesetting" w:hAnsi="Arabic Typesetting" w:cs="Arabic Typesetting"/>
                <w:sz w:val="24"/>
                <w:rtl/>
                <w:lang w:val="fr-CH"/>
              </w:rPr>
            </w:pPr>
            <w:r w:rsidRPr="008F463F">
              <w:rPr>
                <w:rFonts w:ascii="Arabic Typesetting" w:hAnsi="Arabic Typesetting" w:cs="Arabic Typesetting" w:hint="cs"/>
                <w:sz w:val="24"/>
                <w:rtl/>
                <w:lang w:val="fr-CH"/>
              </w:rPr>
              <w:t>2018</w:t>
            </w:r>
          </w:p>
        </w:tc>
      </w:tr>
    </w:tbl>
    <w:p w:rsidR="00861CFF" w:rsidRPr="008F463F" w:rsidRDefault="00861CFF">
      <w:pPr>
        <w:bidi w:val="0"/>
        <w:rPr>
          <w:rFonts w:ascii="Arabic Typesetting" w:hAnsi="Arabic Typesetting" w:cs="Arabic Typesetting"/>
          <w:sz w:val="34"/>
          <w:szCs w:val="34"/>
          <w:rtl/>
          <w:lang w:val="fr-CH"/>
        </w:rPr>
      </w:pPr>
      <w:r w:rsidRPr="008F463F">
        <w:rPr>
          <w:rFonts w:ascii="Arabic Typesetting" w:hAnsi="Arabic Typesetting" w:cs="Arabic Typesetting"/>
          <w:sz w:val="34"/>
          <w:szCs w:val="34"/>
          <w:rtl/>
          <w:lang w:val="fr-CH"/>
        </w:rPr>
        <w:br w:type="page"/>
      </w:r>
    </w:p>
    <w:p w:rsidR="00861CFF" w:rsidRPr="00C16521" w:rsidRDefault="00861CFF" w:rsidP="00862268">
      <w:pPr>
        <w:spacing w:after="120" w:line="340" w:lineRule="exact"/>
        <w:jc w:val="center"/>
        <w:rPr>
          <w:rFonts w:ascii="Arabic Typesetting" w:hAnsi="Arabic Typesetting" w:cs="Arabic Typesetting"/>
          <w:sz w:val="34"/>
          <w:szCs w:val="34"/>
          <w:highlight w:val="yellow"/>
          <w:lang w:val="fr-CH"/>
        </w:rPr>
      </w:pPr>
    </w:p>
    <w:p w:rsidR="00861CFF" w:rsidRPr="00C16521" w:rsidRDefault="00861CFF" w:rsidP="00DA5475">
      <w:pPr>
        <w:spacing w:after="120"/>
        <w:jc w:val="both"/>
        <w:rPr>
          <w:rFonts w:ascii="Arabic Typesetting" w:hAnsi="Arabic Typesetting" w:cs="Arabic Typesetting"/>
          <w:sz w:val="34"/>
          <w:szCs w:val="34"/>
          <w:highlight w:val="yellow"/>
          <w:lang w:val="fr-CH"/>
        </w:rPr>
      </w:pPr>
      <w:r w:rsidRPr="00EA78F0">
        <w:rPr>
          <w:noProof/>
          <w:szCs w:val="20"/>
          <w:rtl/>
          <w:lang w:bidi="ar-SA"/>
        </w:rPr>
        <w:drawing>
          <wp:inline distT="0" distB="0" distL="0" distR="0" wp14:anchorId="16567C0F" wp14:editId="0EE201C7">
            <wp:extent cx="5939790" cy="689440"/>
            <wp:effectExtent l="0" t="0" r="381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939790" cy="689440"/>
                    </a:xfrm>
                    <a:prstGeom prst="rect">
                      <a:avLst/>
                    </a:prstGeom>
                    <a:noFill/>
                    <a:ln>
                      <a:noFill/>
                    </a:ln>
                  </pic:spPr>
                </pic:pic>
              </a:graphicData>
            </a:graphic>
          </wp:inline>
        </w:drawing>
      </w:r>
    </w:p>
    <w:p w:rsidR="00861CFF" w:rsidRDefault="00861CFF" w:rsidP="00861CFF">
      <w:pPr>
        <w:pStyle w:val="NumberedParaAR"/>
        <w:numPr>
          <w:ilvl w:val="0"/>
          <w:numId w:val="47"/>
        </w:numPr>
        <w:spacing w:after="120" w:line="340" w:lineRule="exact"/>
        <w:rPr>
          <w:sz w:val="34"/>
          <w:szCs w:val="34"/>
          <w:lang w:val="fr-CH"/>
        </w:rPr>
      </w:pPr>
      <w:r w:rsidRPr="003D615E">
        <w:rPr>
          <w:rFonts w:hint="cs"/>
          <w:sz w:val="34"/>
          <w:szCs w:val="34"/>
          <w:rtl/>
          <w:lang w:val="fr-CH"/>
        </w:rPr>
        <w:t xml:space="preserve">وأضيفت الأرقام الواردة أعلاه إلى نتائج نماذج الانحدار الذاتي. ومن المرجح أن يقع عدد </w:t>
      </w:r>
      <w:r>
        <w:rPr>
          <w:rFonts w:hint="cs"/>
          <w:sz w:val="34"/>
          <w:szCs w:val="34"/>
          <w:rtl/>
          <w:lang w:val="fr-CH"/>
        </w:rPr>
        <w:t>الطلبات</w:t>
      </w:r>
      <w:r w:rsidRPr="003D615E">
        <w:rPr>
          <w:rFonts w:hint="cs"/>
          <w:sz w:val="34"/>
          <w:szCs w:val="34"/>
          <w:rtl/>
          <w:lang w:val="fr-CH"/>
        </w:rPr>
        <w:t xml:space="preserve"> في طائفة من بعض الاحتمالات. ويبين ال</w:t>
      </w:r>
      <w:r>
        <w:rPr>
          <w:rFonts w:hint="cs"/>
          <w:sz w:val="34"/>
          <w:szCs w:val="34"/>
          <w:rtl/>
          <w:lang w:val="fr-CH"/>
        </w:rPr>
        <w:t>شكل</w:t>
      </w:r>
      <w:r w:rsidRPr="003D615E">
        <w:rPr>
          <w:rFonts w:hint="cs"/>
          <w:sz w:val="34"/>
          <w:szCs w:val="34"/>
          <w:rtl/>
          <w:lang w:val="fr-CH"/>
        </w:rPr>
        <w:t xml:space="preserve"> البياني والجدول التاليان التوزيع الاحتمالي لل</w:t>
      </w:r>
      <w:r>
        <w:rPr>
          <w:rFonts w:hint="cs"/>
          <w:sz w:val="34"/>
          <w:szCs w:val="34"/>
          <w:rtl/>
          <w:lang w:val="fr-CH"/>
        </w:rPr>
        <w:t>سيناريو</w:t>
      </w:r>
      <w:r w:rsidRPr="003D615E">
        <w:rPr>
          <w:rFonts w:hint="cs"/>
          <w:sz w:val="34"/>
          <w:szCs w:val="34"/>
          <w:rtl/>
          <w:lang w:val="fr-CH"/>
        </w:rPr>
        <w:t>هات</w:t>
      </w:r>
      <w:r>
        <w:rPr>
          <w:rFonts w:hint="cs"/>
          <w:sz w:val="34"/>
          <w:szCs w:val="34"/>
          <w:rtl/>
          <w:lang w:val="fr-CH"/>
        </w:rPr>
        <w:t>.</w:t>
      </w:r>
    </w:p>
    <w:p w:rsidR="00861CFF" w:rsidRPr="003D615E" w:rsidRDefault="00861CFF" w:rsidP="00DA5475">
      <w:pPr>
        <w:pStyle w:val="NumberedParaAR"/>
        <w:keepNext/>
        <w:numPr>
          <w:ilvl w:val="0"/>
          <w:numId w:val="0"/>
        </w:numPr>
        <w:spacing w:after="120" w:line="340" w:lineRule="atLeast"/>
        <w:jc w:val="center"/>
        <w:rPr>
          <w:sz w:val="34"/>
          <w:szCs w:val="34"/>
          <w:lang w:val="fr-CH"/>
        </w:rPr>
      </w:pPr>
      <w:r>
        <w:rPr>
          <w:rFonts w:hint="cs"/>
          <w:sz w:val="34"/>
          <w:szCs w:val="34"/>
          <w:rtl/>
          <w:lang w:val="fr-CH"/>
        </w:rPr>
        <w:t>التوزيع الاحتمالي للطلبات</w:t>
      </w:r>
    </w:p>
    <w:p w:rsidR="00861CFF" w:rsidRPr="00C16521" w:rsidRDefault="00861CFF" w:rsidP="00862268">
      <w:pPr>
        <w:pStyle w:val="NormalParaAR"/>
        <w:spacing w:after="120" w:line="240" w:lineRule="auto"/>
        <w:jc w:val="center"/>
        <w:rPr>
          <w:highlight w:val="yellow"/>
          <w:rtl/>
          <w:lang w:val="fr-CH"/>
        </w:rPr>
      </w:pPr>
      <w:r>
        <w:rPr>
          <w:noProof/>
        </w:rPr>
        <w:drawing>
          <wp:inline distT="0" distB="0" distL="0" distR="0" wp14:anchorId="0F6AD6DC" wp14:editId="10C165CE">
            <wp:extent cx="5499100" cy="3200400"/>
            <wp:effectExtent l="0" t="0" r="635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499100" cy="3200400"/>
                    </a:xfrm>
                    <a:prstGeom prst="rect">
                      <a:avLst/>
                    </a:prstGeom>
                    <a:noFill/>
                  </pic:spPr>
                </pic:pic>
              </a:graphicData>
            </a:graphic>
          </wp:inline>
        </w:drawing>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Pr>
          <w:sz w:val="34"/>
          <w:szCs w:val="34"/>
          <w:rtl/>
          <w:lang w:val="fr-CH"/>
        </w:rPr>
        <w:t>سيناريو</w:t>
      </w:r>
      <w:r w:rsidRPr="004E6AC4">
        <w:rPr>
          <w:sz w:val="34"/>
          <w:szCs w:val="34"/>
          <w:rtl/>
          <w:lang w:val="fr-CH"/>
        </w:rPr>
        <w:t xml:space="preserve">هات </w:t>
      </w:r>
      <w:r w:rsidRPr="004E6AC4">
        <w:rPr>
          <w:rFonts w:hint="cs"/>
          <w:sz w:val="34"/>
          <w:szCs w:val="34"/>
          <w:rtl/>
          <w:lang w:val="fr-CH"/>
        </w:rPr>
        <w:t>الطلبات</w:t>
      </w:r>
      <w:r w:rsidRPr="004E6AC4">
        <w:rPr>
          <w:sz w:val="34"/>
          <w:szCs w:val="34"/>
          <w:rtl/>
          <w:lang w:val="fr-CH"/>
        </w:rPr>
        <w:t xml:space="preserve"> بناء على نظام لاهاي</w:t>
      </w:r>
    </w:p>
    <w:p w:rsidR="00861CFF" w:rsidRPr="00C16521" w:rsidRDefault="00861CFF" w:rsidP="00862268">
      <w:pPr>
        <w:pStyle w:val="NormalParaAR"/>
        <w:spacing w:after="120" w:line="240" w:lineRule="auto"/>
        <w:jc w:val="center"/>
        <w:rPr>
          <w:highlight w:val="yellow"/>
          <w:rtl/>
          <w:lang w:val="fr-CH"/>
        </w:rPr>
      </w:pPr>
      <w:r w:rsidRPr="00EA78F0">
        <w:rPr>
          <w:noProof/>
          <w:rtl/>
        </w:rPr>
        <w:drawing>
          <wp:inline distT="0" distB="0" distL="0" distR="0" wp14:anchorId="666B45EF" wp14:editId="3C66C135">
            <wp:extent cx="3286125" cy="26955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286125" cy="2695575"/>
                    </a:xfrm>
                    <a:prstGeom prst="rect">
                      <a:avLst/>
                    </a:prstGeom>
                    <a:noFill/>
                    <a:ln>
                      <a:noFill/>
                    </a:ln>
                  </pic:spPr>
                </pic:pic>
              </a:graphicData>
            </a:graphic>
          </wp:inline>
        </w:drawing>
      </w:r>
    </w:p>
    <w:p w:rsidR="00861CFF" w:rsidRPr="003D615E" w:rsidRDefault="00861CFF" w:rsidP="00862268">
      <w:pPr>
        <w:pStyle w:val="NormalParaAR"/>
        <w:keepNext/>
        <w:spacing w:after="120" w:line="340" w:lineRule="exact"/>
        <w:rPr>
          <w:i/>
          <w:iCs/>
          <w:sz w:val="34"/>
          <w:szCs w:val="34"/>
          <w:rtl/>
          <w:lang w:val="fr-CH"/>
        </w:rPr>
      </w:pPr>
      <w:r w:rsidRPr="003D615E">
        <w:rPr>
          <w:i/>
          <w:iCs/>
          <w:sz w:val="34"/>
          <w:szCs w:val="34"/>
          <w:rtl/>
          <w:lang w:val="fr-CH"/>
        </w:rPr>
        <w:lastRenderedPageBreak/>
        <w:t xml:space="preserve">لاهاي - </w:t>
      </w:r>
      <w:r w:rsidRPr="003D615E">
        <w:rPr>
          <w:rFonts w:hint="cs"/>
          <w:i/>
          <w:iCs/>
          <w:sz w:val="34"/>
          <w:szCs w:val="34"/>
          <w:rtl/>
          <w:lang w:val="fr-CH"/>
        </w:rPr>
        <w:t>توقعات</w:t>
      </w:r>
      <w:r w:rsidRPr="003D615E">
        <w:rPr>
          <w:i/>
          <w:iCs/>
          <w:sz w:val="34"/>
          <w:szCs w:val="34"/>
          <w:rtl/>
          <w:lang w:val="fr-CH"/>
        </w:rPr>
        <w:t xml:space="preserve"> الطلب على التجديد</w:t>
      </w:r>
      <w:r w:rsidRPr="003D615E">
        <w:rPr>
          <w:rFonts w:hint="cs"/>
          <w:i/>
          <w:iCs/>
          <w:sz w:val="34"/>
          <w:szCs w:val="34"/>
          <w:rtl/>
          <w:lang w:val="fr-CH"/>
        </w:rPr>
        <w:t>ات</w:t>
      </w:r>
    </w:p>
    <w:p w:rsidR="00861CFF" w:rsidRDefault="00861CFF" w:rsidP="00861CFF">
      <w:pPr>
        <w:pStyle w:val="NumberedParaAR"/>
        <w:numPr>
          <w:ilvl w:val="0"/>
          <w:numId w:val="47"/>
        </w:numPr>
        <w:spacing w:after="120" w:line="340" w:lineRule="exact"/>
        <w:rPr>
          <w:sz w:val="34"/>
          <w:szCs w:val="34"/>
          <w:lang w:val="fr-CH"/>
        </w:rPr>
      </w:pPr>
      <w:r w:rsidRPr="003D615E">
        <w:rPr>
          <w:rFonts w:hint="cs"/>
          <w:sz w:val="34"/>
          <w:szCs w:val="34"/>
          <w:rtl/>
          <w:lang w:val="fr-CH"/>
        </w:rPr>
        <w:t xml:space="preserve">تستخدم نماذج </w:t>
      </w:r>
      <w:proofErr w:type="spellStart"/>
      <w:r w:rsidRPr="003D615E">
        <w:rPr>
          <w:rFonts w:hint="cs"/>
          <w:sz w:val="34"/>
          <w:szCs w:val="34"/>
          <w:rtl/>
          <w:lang w:val="fr-CH"/>
        </w:rPr>
        <w:t>انحدارية</w:t>
      </w:r>
      <w:proofErr w:type="spellEnd"/>
      <w:r w:rsidRPr="003D615E">
        <w:rPr>
          <w:rFonts w:hint="cs"/>
          <w:sz w:val="34"/>
          <w:szCs w:val="34"/>
          <w:rtl/>
          <w:lang w:val="fr-CH"/>
        </w:rPr>
        <w:t xml:space="preserve"> مختلفة لتوقع تجديدات التسجيلات. وفضلا عن نماذج الانحدار الذاتي تُستخدم العلاقة بين التجديدات والتسجيلات المتأخرة لمدة خمس سنوات، وكذلك التجديدات المتأخرة لمدة خمس سنوات، نظرا لأن التسجيلات والتجديدات التي أجريت منذ خمس سنوات ينبغي أن تساهم في مجموع التجديدات في السنة الحالية. </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4E6AC4">
        <w:rPr>
          <w:sz w:val="34"/>
          <w:szCs w:val="34"/>
          <w:rtl/>
          <w:lang w:val="fr-CH"/>
        </w:rPr>
        <w:t xml:space="preserve">الشكل </w:t>
      </w:r>
      <w:r w:rsidRPr="004E6AC4">
        <w:rPr>
          <w:rFonts w:hint="cs"/>
          <w:sz w:val="34"/>
          <w:szCs w:val="34"/>
          <w:rtl/>
          <w:lang w:val="fr-CH"/>
        </w:rPr>
        <w:t>10</w:t>
      </w:r>
      <w:r w:rsidRPr="004E6AC4">
        <w:rPr>
          <w:sz w:val="34"/>
          <w:szCs w:val="34"/>
          <w:rtl/>
          <w:lang w:val="fr-CH"/>
        </w:rPr>
        <w:t xml:space="preserve"> - </w:t>
      </w:r>
      <w:r w:rsidRPr="004E6AC4">
        <w:rPr>
          <w:rFonts w:hint="cs"/>
          <w:sz w:val="34"/>
          <w:szCs w:val="34"/>
          <w:rtl/>
          <w:lang w:val="fr-CH"/>
        </w:rPr>
        <w:t xml:space="preserve">توقعات التجديدات </w:t>
      </w:r>
      <w:r w:rsidRPr="004E6AC4">
        <w:rPr>
          <w:sz w:val="34"/>
          <w:szCs w:val="34"/>
          <w:rtl/>
          <w:lang w:val="fr-CH"/>
        </w:rPr>
        <w:t>بناء على نظام لاهاي</w:t>
      </w:r>
    </w:p>
    <w:p w:rsidR="00861CFF" w:rsidRPr="00C16521" w:rsidRDefault="00861CFF" w:rsidP="00862268">
      <w:pPr>
        <w:pStyle w:val="NormalParaAR"/>
        <w:spacing w:after="120" w:line="240" w:lineRule="auto"/>
        <w:jc w:val="center"/>
        <w:rPr>
          <w:highlight w:val="yellow"/>
          <w:rtl/>
        </w:rPr>
      </w:pPr>
      <w:r>
        <w:rPr>
          <w:noProof/>
        </w:rPr>
        <w:drawing>
          <wp:inline distT="0" distB="0" distL="0" distR="0" wp14:anchorId="4D0EF0DC" wp14:editId="513B0342">
            <wp:extent cx="5505450" cy="3194685"/>
            <wp:effectExtent l="0" t="0" r="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505450" cy="3194685"/>
                    </a:xfrm>
                    <a:prstGeom prst="rect">
                      <a:avLst/>
                    </a:prstGeom>
                    <a:noFill/>
                  </pic:spPr>
                </pic:pic>
              </a:graphicData>
            </a:graphic>
          </wp:inline>
        </w:drawing>
      </w:r>
    </w:p>
    <w:p w:rsidR="00861CFF" w:rsidRPr="00C16521" w:rsidRDefault="00861CFF" w:rsidP="00862268">
      <w:pPr>
        <w:pStyle w:val="NormalParaAR"/>
        <w:spacing w:after="120" w:line="240" w:lineRule="auto"/>
        <w:jc w:val="center"/>
        <w:rPr>
          <w:highlight w:val="yellow"/>
          <w:rtl/>
          <w:lang w:val="fr-CH"/>
        </w:rPr>
      </w:pPr>
      <w:r w:rsidRPr="009653A3">
        <w:rPr>
          <w:noProof/>
          <w:rtl/>
        </w:rPr>
        <w:drawing>
          <wp:inline distT="0" distB="0" distL="0" distR="0" wp14:anchorId="5FF8E4EC" wp14:editId="6A732BCA">
            <wp:extent cx="4457700" cy="7239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457700" cy="723900"/>
                    </a:xfrm>
                    <a:prstGeom prst="rect">
                      <a:avLst/>
                    </a:prstGeom>
                    <a:noFill/>
                    <a:ln>
                      <a:noFill/>
                    </a:ln>
                  </pic:spPr>
                </pic:pic>
              </a:graphicData>
            </a:graphic>
          </wp:inline>
        </w:drawing>
      </w:r>
    </w:p>
    <w:p w:rsidR="00861CFF" w:rsidRPr="009653A3" w:rsidRDefault="00861CFF" w:rsidP="00DA5475">
      <w:pPr>
        <w:pStyle w:val="NumberedParaAR"/>
        <w:keepNext/>
        <w:numPr>
          <w:ilvl w:val="0"/>
          <w:numId w:val="0"/>
        </w:numPr>
        <w:spacing w:after="120" w:line="340" w:lineRule="atLeast"/>
        <w:jc w:val="center"/>
        <w:rPr>
          <w:sz w:val="34"/>
          <w:szCs w:val="34"/>
          <w:rtl/>
          <w:lang w:val="fr-CH"/>
        </w:rPr>
      </w:pPr>
      <w:r w:rsidRPr="009653A3">
        <w:rPr>
          <w:rFonts w:hint="cs"/>
          <w:sz w:val="34"/>
          <w:szCs w:val="34"/>
          <w:rtl/>
          <w:lang w:val="fr-CH"/>
        </w:rPr>
        <w:lastRenderedPageBreak/>
        <w:t>التوزيع الاحتمالي للتجديدات</w:t>
      </w:r>
    </w:p>
    <w:p w:rsidR="00861CFF" w:rsidRPr="00C16521" w:rsidRDefault="00861CFF" w:rsidP="00DA5475">
      <w:pPr>
        <w:pStyle w:val="NormalParaAR"/>
        <w:spacing w:after="120" w:line="240" w:lineRule="auto"/>
        <w:jc w:val="center"/>
        <w:rPr>
          <w:highlight w:val="yellow"/>
          <w:rtl/>
          <w:lang w:val="fr-CH"/>
        </w:rPr>
      </w:pPr>
      <w:r>
        <w:rPr>
          <w:noProof/>
        </w:rPr>
        <w:drawing>
          <wp:inline distT="0" distB="0" distL="0" distR="0" wp14:anchorId="5F63E076" wp14:editId="15A70748">
            <wp:extent cx="5523230" cy="3200400"/>
            <wp:effectExtent l="0" t="0" r="127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523230" cy="3200400"/>
                    </a:xfrm>
                    <a:prstGeom prst="rect">
                      <a:avLst/>
                    </a:prstGeom>
                    <a:noFill/>
                  </pic:spPr>
                </pic:pic>
              </a:graphicData>
            </a:graphic>
          </wp:inline>
        </w:drawing>
      </w:r>
    </w:p>
    <w:p w:rsidR="00861CFF" w:rsidRPr="009653A3" w:rsidRDefault="00861CFF" w:rsidP="00DA5475">
      <w:pPr>
        <w:pStyle w:val="NumberedParaAR"/>
        <w:keepNext/>
        <w:numPr>
          <w:ilvl w:val="0"/>
          <w:numId w:val="0"/>
        </w:numPr>
        <w:spacing w:after="120" w:line="340" w:lineRule="atLeast"/>
        <w:jc w:val="center"/>
        <w:rPr>
          <w:sz w:val="34"/>
          <w:szCs w:val="34"/>
          <w:rtl/>
          <w:lang w:val="fr-CH"/>
        </w:rPr>
      </w:pPr>
      <w:r>
        <w:rPr>
          <w:sz w:val="34"/>
          <w:szCs w:val="34"/>
          <w:rtl/>
          <w:lang w:val="fr-CH"/>
        </w:rPr>
        <w:t>سيناريو</w:t>
      </w:r>
      <w:r w:rsidRPr="009653A3">
        <w:rPr>
          <w:sz w:val="34"/>
          <w:szCs w:val="34"/>
          <w:rtl/>
          <w:lang w:val="fr-CH"/>
        </w:rPr>
        <w:t>هات التجديدات بناء على نظام لاهاي</w:t>
      </w:r>
    </w:p>
    <w:p w:rsidR="00861CFF" w:rsidRPr="00C16521" w:rsidRDefault="00861CFF" w:rsidP="00862268">
      <w:pPr>
        <w:pStyle w:val="NormalParaAR"/>
        <w:spacing w:after="120" w:line="240" w:lineRule="auto"/>
        <w:jc w:val="center"/>
        <w:rPr>
          <w:highlight w:val="yellow"/>
          <w:rtl/>
        </w:rPr>
      </w:pPr>
      <w:r w:rsidRPr="009653A3">
        <w:rPr>
          <w:noProof/>
          <w:rtl/>
        </w:rPr>
        <w:drawing>
          <wp:inline distT="0" distB="0" distL="0" distR="0" wp14:anchorId="43CF04A9" wp14:editId="77F2A760">
            <wp:extent cx="3124200" cy="2695575"/>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124200" cy="2695575"/>
                    </a:xfrm>
                    <a:prstGeom prst="rect">
                      <a:avLst/>
                    </a:prstGeom>
                    <a:noFill/>
                    <a:ln>
                      <a:noFill/>
                    </a:ln>
                  </pic:spPr>
                </pic:pic>
              </a:graphicData>
            </a:graphic>
          </wp:inline>
        </w:drawing>
      </w:r>
    </w:p>
    <w:p w:rsidR="00861CFF" w:rsidRPr="00C16521" w:rsidRDefault="00861CFF" w:rsidP="00862268">
      <w:pPr>
        <w:pStyle w:val="NormalParaAR"/>
        <w:spacing w:after="120" w:line="240" w:lineRule="auto"/>
        <w:rPr>
          <w:highlight w:val="yellow"/>
          <w:rtl/>
          <w:lang w:val="fr-CH"/>
        </w:rPr>
      </w:pPr>
    </w:p>
    <w:p w:rsidR="00861CFF" w:rsidRPr="003D615E" w:rsidRDefault="00861CFF" w:rsidP="00862268">
      <w:pPr>
        <w:pStyle w:val="NormalParaAR"/>
        <w:keepNext/>
        <w:spacing w:after="120" w:line="340" w:lineRule="exact"/>
        <w:rPr>
          <w:i/>
          <w:iCs/>
          <w:sz w:val="34"/>
          <w:szCs w:val="34"/>
          <w:rtl/>
          <w:lang w:val="fr-CH"/>
        </w:rPr>
      </w:pPr>
      <w:r w:rsidRPr="003D615E">
        <w:rPr>
          <w:i/>
          <w:iCs/>
          <w:sz w:val="34"/>
          <w:szCs w:val="34"/>
          <w:rtl/>
          <w:lang w:val="fr-CH"/>
        </w:rPr>
        <w:t>المستوى المرتقب لإيرادات</w:t>
      </w:r>
      <w:r w:rsidRPr="003D615E">
        <w:rPr>
          <w:rFonts w:hint="cs"/>
          <w:i/>
          <w:iCs/>
          <w:sz w:val="34"/>
          <w:szCs w:val="34"/>
          <w:rtl/>
          <w:lang w:val="fr-CH"/>
        </w:rPr>
        <w:t xml:space="preserve"> نظام</w:t>
      </w:r>
      <w:r w:rsidRPr="003D615E">
        <w:rPr>
          <w:i/>
          <w:iCs/>
          <w:sz w:val="34"/>
          <w:szCs w:val="34"/>
          <w:rtl/>
          <w:lang w:val="fr-CH"/>
        </w:rPr>
        <w:t xml:space="preserve"> لاهاي</w:t>
      </w:r>
    </w:p>
    <w:p w:rsidR="00861CFF" w:rsidRPr="003D615E" w:rsidRDefault="00861CFF" w:rsidP="00861CFF">
      <w:pPr>
        <w:pStyle w:val="NumberedParaAR"/>
        <w:numPr>
          <w:ilvl w:val="0"/>
          <w:numId w:val="47"/>
        </w:numPr>
        <w:spacing w:after="120" w:line="340" w:lineRule="exact"/>
        <w:rPr>
          <w:sz w:val="34"/>
          <w:szCs w:val="34"/>
          <w:rtl/>
          <w:lang w:val="fr-CH"/>
        </w:rPr>
      </w:pPr>
      <w:r w:rsidRPr="003D615E">
        <w:rPr>
          <w:rFonts w:hint="cs"/>
          <w:sz w:val="34"/>
          <w:szCs w:val="34"/>
          <w:rtl/>
          <w:lang w:val="fr-CH"/>
        </w:rPr>
        <w:t xml:space="preserve">تحسب إيرادات نظام لاهاي استنادا إلى جدول الرسوم الحالي. والعناصر الرئيسية لهذا الجدول هي الرسم الأساسي ورسوم التجديد. ويغطي هذان الجزآن زهاء 90 </w:t>
      </w:r>
      <w:r>
        <w:rPr>
          <w:rFonts w:hint="cs"/>
          <w:sz w:val="34"/>
          <w:szCs w:val="34"/>
          <w:rtl/>
          <w:lang w:val="fr-CH"/>
        </w:rPr>
        <w:t xml:space="preserve">بالمائة </w:t>
      </w:r>
      <w:r w:rsidRPr="003D615E">
        <w:rPr>
          <w:rFonts w:hint="cs"/>
          <w:sz w:val="34"/>
          <w:szCs w:val="34"/>
          <w:rtl/>
          <w:lang w:val="fr-CH"/>
        </w:rPr>
        <w:t xml:space="preserve">من الإيرادات. وتجمع سائر الرسوم تحت بند </w:t>
      </w:r>
      <w:r w:rsidRPr="003D615E">
        <w:rPr>
          <w:rFonts w:hint="eastAsia"/>
          <w:sz w:val="34"/>
          <w:szCs w:val="34"/>
          <w:rtl/>
          <w:lang w:val="fr-CH"/>
        </w:rPr>
        <w:t>”</w:t>
      </w:r>
      <w:r w:rsidRPr="003D615E">
        <w:rPr>
          <w:rFonts w:hint="cs"/>
          <w:sz w:val="34"/>
          <w:szCs w:val="34"/>
          <w:rtl/>
          <w:lang w:val="fr-CH"/>
        </w:rPr>
        <w:t>خلافه".</w:t>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sidRPr="004E6AC4">
        <w:rPr>
          <w:sz w:val="34"/>
          <w:szCs w:val="34"/>
          <w:rtl/>
          <w:lang w:val="fr-CH"/>
        </w:rPr>
        <w:lastRenderedPageBreak/>
        <w:t xml:space="preserve">الشكل </w:t>
      </w:r>
      <w:r w:rsidRPr="004E6AC4">
        <w:rPr>
          <w:rFonts w:hint="cs"/>
          <w:sz w:val="34"/>
          <w:szCs w:val="34"/>
          <w:rtl/>
          <w:lang w:val="fr-CH"/>
        </w:rPr>
        <w:t>11</w:t>
      </w:r>
      <w:r w:rsidRPr="004E6AC4">
        <w:rPr>
          <w:sz w:val="34"/>
          <w:szCs w:val="34"/>
          <w:rtl/>
          <w:lang w:val="fr-CH"/>
        </w:rPr>
        <w:t xml:space="preserve"> – المستوى المرتقب لإيرادات رسوم نظام لاهاي بحسب المصدر</w:t>
      </w:r>
    </w:p>
    <w:p w:rsidR="00861CFF" w:rsidRPr="00C16521" w:rsidRDefault="00861CFF" w:rsidP="00862268">
      <w:pPr>
        <w:pStyle w:val="NormalParaAR"/>
        <w:spacing w:after="120" w:line="240" w:lineRule="auto"/>
        <w:jc w:val="center"/>
        <w:rPr>
          <w:highlight w:val="yellow"/>
          <w:rtl/>
        </w:rPr>
      </w:pPr>
      <w:r>
        <w:rPr>
          <w:noProof/>
        </w:rPr>
        <w:drawing>
          <wp:inline distT="0" distB="0" distL="0" distR="0" wp14:anchorId="330C01DD" wp14:editId="6EB05C04">
            <wp:extent cx="5505450" cy="3194685"/>
            <wp:effectExtent l="0" t="0" r="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505450" cy="3194685"/>
                    </a:xfrm>
                    <a:prstGeom prst="rect">
                      <a:avLst/>
                    </a:prstGeom>
                    <a:noFill/>
                  </pic:spPr>
                </pic:pic>
              </a:graphicData>
            </a:graphic>
          </wp:inline>
        </w:drawing>
      </w:r>
    </w:p>
    <w:p w:rsidR="00861CFF" w:rsidRDefault="00861CFF" w:rsidP="00862268">
      <w:pPr>
        <w:pStyle w:val="NormalParaAR"/>
        <w:spacing w:after="120" w:line="240" w:lineRule="auto"/>
        <w:jc w:val="center"/>
        <w:rPr>
          <w:highlight w:val="yellow"/>
          <w:rtl/>
          <w:lang w:val="fr-CH"/>
        </w:rPr>
      </w:pPr>
      <w:r w:rsidRPr="009653A3">
        <w:rPr>
          <w:noProof/>
          <w:rtl/>
        </w:rPr>
        <w:drawing>
          <wp:inline distT="0" distB="0" distL="0" distR="0" wp14:anchorId="7EC6F265" wp14:editId="314E10F1">
            <wp:extent cx="4724400" cy="115252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724400" cy="1152525"/>
                    </a:xfrm>
                    <a:prstGeom prst="rect">
                      <a:avLst/>
                    </a:prstGeom>
                    <a:noFill/>
                    <a:ln>
                      <a:noFill/>
                    </a:ln>
                  </pic:spPr>
                </pic:pic>
              </a:graphicData>
            </a:graphic>
          </wp:inline>
        </w:drawing>
      </w:r>
    </w:p>
    <w:p w:rsidR="00861CFF" w:rsidRPr="00985970" w:rsidRDefault="00861CFF" w:rsidP="00DA5475">
      <w:pPr>
        <w:pStyle w:val="NormalParaAR"/>
        <w:spacing w:after="120" w:line="240" w:lineRule="auto"/>
        <w:ind w:left="990"/>
        <w:rPr>
          <w:sz w:val="24"/>
          <w:szCs w:val="24"/>
          <w:rtl/>
        </w:rPr>
      </w:pPr>
      <w:r w:rsidRPr="00985970">
        <w:rPr>
          <w:rFonts w:hint="cs"/>
          <w:sz w:val="24"/>
          <w:szCs w:val="24"/>
          <w:rtl/>
        </w:rPr>
        <w:t>*</w:t>
      </w:r>
      <w:r>
        <w:rPr>
          <w:rFonts w:hint="cs"/>
          <w:sz w:val="24"/>
          <w:szCs w:val="24"/>
          <w:rtl/>
        </w:rPr>
        <w:t xml:space="preserve"> </w:t>
      </w:r>
      <w:r w:rsidRPr="00985970">
        <w:rPr>
          <w:rFonts w:hint="cs"/>
          <w:sz w:val="24"/>
          <w:szCs w:val="24"/>
          <w:rtl/>
        </w:rPr>
        <w:t xml:space="preserve">أرقام </w:t>
      </w:r>
      <w:r>
        <w:rPr>
          <w:rFonts w:hint="cs"/>
          <w:sz w:val="24"/>
          <w:szCs w:val="24"/>
          <w:rtl/>
        </w:rPr>
        <w:t>متوقعة.</w:t>
      </w:r>
    </w:p>
    <w:p w:rsidR="00861CFF" w:rsidRPr="009653A3" w:rsidRDefault="00861CFF" w:rsidP="00DA5475">
      <w:pPr>
        <w:pStyle w:val="NumberedParaAR"/>
        <w:keepNext/>
        <w:numPr>
          <w:ilvl w:val="0"/>
          <w:numId w:val="0"/>
        </w:numPr>
        <w:spacing w:after="120" w:line="340" w:lineRule="atLeast"/>
        <w:jc w:val="center"/>
        <w:rPr>
          <w:sz w:val="34"/>
          <w:szCs w:val="34"/>
          <w:rtl/>
          <w:lang w:val="fr-CH"/>
        </w:rPr>
      </w:pPr>
      <w:r w:rsidRPr="009653A3">
        <w:rPr>
          <w:rFonts w:hint="cs"/>
          <w:sz w:val="34"/>
          <w:szCs w:val="34"/>
          <w:rtl/>
          <w:lang w:val="fr-CH"/>
        </w:rPr>
        <w:t>التوزيع الاحتمالي للإيرادات</w:t>
      </w:r>
    </w:p>
    <w:p w:rsidR="00861CFF" w:rsidRPr="00C16521" w:rsidRDefault="00861CFF" w:rsidP="00862268">
      <w:pPr>
        <w:pStyle w:val="NormalParaAR"/>
        <w:spacing w:after="120" w:line="240" w:lineRule="auto"/>
        <w:jc w:val="center"/>
        <w:rPr>
          <w:highlight w:val="yellow"/>
          <w:rtl/>
          <w:lang w:val="fr-CH"/>
        </w:rPr>
      </w:pPr>
      <w:r>
        <w:rPr>
          <w:noProof/>
        </w:rPr>
        <w:drawing>
          <wp:inline distT="0" distB="0" distL="0" distR="0" wp14:anchorId="1AECB7F5" wp14:editId="0659F3A5">
            <wp:extent cx="5547995" cy="32004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547995" cy="3200400"/>
                    </a:xfrm>
                    <a:prstGeom prst="rect">
                      <a:avLst/>
                    </a:prstGeom>
                    <a:noFill/>
                  </pic:spPr>
                </pic:pic>
              </a:graphicData>
            </a:graphic>
          </wp:inline>
        </w:drawing>
      </w:r>
    </w:p>
    <w:p w:rsidR="00861CFF" w:rsidRPr="004E6AC4" w:rsidRDefault="00861CFF" w:rsidP="00DA5475">
      <w:pPr>
        <w:pStyle w:val="NumberedParaAR"/>
        <w:keepNext/>
        <w:numPr>
          <w:ilvl w:val="0"/>
          <w:numId w:val="0"/>
        </w:numPr>
        <w:spacing w:after="120" w:line="340" w:lineRule="atLeast"/>
        <w:jc w:val="center"/>
        <w:rPr>
          <w:sz w:val="34"/>
          <w:szCs w:val="34"/>
          <w:rtl/>
          <w:lang w:val="fr-CH"/>
        </w:rPr>
      </w:pPr>
      <w:r>
        <w:rPr>
          <w:rFonts w:hint="cs"/>
          <w:sz w:val="34"/>
          <w:szCs w:val="34"/>
          <w:rtl/>
          <w:lang w:val="fr-CH"/>
        </w:rPr>
        <w:lastRenderedPageBreak/>
        <w:t>سيناريو</w:t>
      </w:r>
      <w:r w:rsidRPr="004E6AC4">
        <w:rPr>
          <w:rFonts w:hint="cs"/>
          <w:sz w:val="34"/>
          <w:szCs w:val="34"/>
          <w:rtl/>
          <w:lang w:val="fr-CH"/>
        </w:rPr>
        <w:t>هات إيرادات نظام لاهاي</w:t>
      </w:r>
    </w:p>
    <w:p w:rsidR="00861CFF" w:rsidRPr="00C16521" w:rsidRDefault="00861CFF" w:rsidP="00862268">
      <w:pPr>
        <w:pStyle w:val="NormalParaAR"/>
        <w:spacing w:after="120" w:line="240" w:lineRule="auto"/>
        <w:jc w:val="center"/>
        <w:rPr>
          <w:highlight w:val="yellow"/>
          <w:rtl/>
          <w:lang w:val="fr-CH"/>
        </w:rPr>
      </w:pPr>
      <w:r w:rsidRPr="009653A3">
        <w:rPr>
          <w:noProof/>
          <w:rtl/>
        </w:rPr>
        <w:drawing>
          <wp:inline distT="0" distB="0" distL="0" distR="0" wp14:anchorId="43E4B8EA" wp14:editId="3896B6C9">
            <wp:extent cx="3095625" cy="269557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095625" cy="2695575"/>
                    </a:xfrm>
                    <a:prstGeom prst="rect">
                      <a:avLst/>
                    </a:prstGeom>
                    <a:noFill/>
                    <a:ln>
                      <a:noFill/>
                    </a:ln>
                  </pic:spPr>
                </pic:pic>
              </a:graphicData>
            </a:graphic>
          </wp:inline>
        </w:drawing>
      </w:r>
    </w:p>
    <w:p w:rsidR="00861CFF" w:rsidRPr="003D615E" w:rsidRDefault="00861CFF" w:rsidP="00861CFF">
      <w:pPr>
        <w:pStyle w:val="NumberedParaAR"/>
        <w:numPr>
          <w:ilvl w:val="0"/>
          <w:numId w:val="47"/>
        </w:numPr>
        <w:spacing w:after="120" w:line="340" w:lineRule="exact"/>
        <w:rPr>
          <w:sz w:val="34"/>
          <w:szCs w:val="34"/>
          <w:rtl/>
          <w:lang w:val="fr-CH"/>
        </w:rPr>
      </w:pPr>
      <w:r w:rsidRPr="003D615E">
        <w:rPr>
          <w:sz w:val="34"/>
          <w:szCs w:val="34"/>
          <w:rtl/>
          <w:lang w:val="fr-CH"/>
        </w:rPr>
        <w:t xml:space="preserve">وتستند </w:t>
      </w:r>
      <w:r w:rsidRPr="003D615E">
        <w:rPr>
          <w:rFonts w:hint="cs"/>
          <w:sz w:val="34"/>
          <w:szCs w:val="34"/>
          <w:rtl/>
          <w:lang w:val="fr-CH"/>
        </w:rPr>
        <w:t xml:space="preserve">تقديرات </w:t>
      </w:r>
      <w:r w:rsidRPr="003D615E">
        <w:rPr>
          <w:sz w:val="34"/>
          <w:szCs w:val="34"/>
          <w:rtl/>
          <w:lang w:val="fr-CH"/>
        </w:rPr>
        <w:t xml:space="preserve">الإيرادات للفترة من </w:t>
      </w:r>
      <w:r w:rsidRPr="003D615E">
        <w:rPr>
          <w:rFonts w:hint="cs"/>
          <w:sz w:val="34"/>
          <w:szCs w:val="34"/>
          <w:rtl/>
          <w:lang w:val="fr-CH"/>
        </w:rPr>
        <w:t>سنة 2015</w:t>
      </w:r>
      <w:r w:rsidRPr="003D615E">
        <w:rPr>
          <w:sz w:val="34"/>
          <w:szCs w:val="34"/>
          <w:rtl/>
          <w:lang w:val="fr-CH"/>
        </w:rPr>
        <w:t xml:space="preserve"> إلى</w:t>
      </w:r>
      <w:r w:rsidRPr="003D615E">
        <w:rPr>
          <w:rFonts w:hint="cs"/>
          <w:sz w:val="34"/>
          <w:szCs w:val="34"/>
          <w:rtl/>
          <w:lang w:val="fr-CH"/>
        </w:rPr>
        <w:t xml:space="preserve"> سنة</w:t>
      </w:r>
      <w:r w:rsidRPr="003D615E">
        <w:rPr>
          <w:sz w:val="34"/>
          <w:szCs w:val="34"/>
          <w:rtl/>
          <w:lang w:val="fr-CH"/>
        </w:rPr>
        <w:t xml:space="preserve"> </w:t>
      </w:r>
      <w:r w:rsidRPr="003D615E">
        <w:rPr>
          <w:rFonts w:hint="cs"/>
          <w:sz w:val="34"/>
          <w:szCs w:val="34"/>
          <w:rtl/>
          <w:lang w:val="fr-CH"/>
        </w:rPr>
        <w:t>2017</w:t>
      </w:r>
      <w:r w:rsidRPr="003D615E">
        <w:rPr>
          <w:sz w:val="34"/>
          <w:szCs w:val="34"/>
          <w:rtl/>
          <w:lang w:val="fr-CH"/>
        </w:rPr>
        <w:t xml:space="preserve"> </w:t>
      </w:r>
      <w:r w:rsidRPr="003D615E">
        <w:rPr>
          <w:rFonts w:hint="cs"/>
          <w:sz w:val="34"/>
          <w:szCs w:val="34"/>
          <w:rtl/>
          <w:lang w:val="fr-CH"/>
        </w:rPr>
        <w:t xml:space="preserve">في الجدول الوارد أدناه </w:t>
      </w:r>
      <w:r w:rsidRPr="003D615E">
        <w:rPr>
          <w:sz w:val="34"/>
          <w:szCs w:val="34"/>
          <w:rtl/>
          <w:lang w:val="fr-CH"/>
        </w:rPr>
        <w:t>إلى العدد المرتقب للتسجيلات والتجديدات الدولية</w:t>
      </w:r>
      <w:r w:rsidRPr="003D615E">
        <w:rPr>
          <w:rFonts w:hint="cs"/>
          <w:sz w:val="34"/>
          <w:szCs w:val="34"/>
          <w:rtl/>
          <w:lang w:val="fr-CH"/>
        </w:rPr>
        <w:t>.</w:t>
      </w:r>
      <w:r w:rsidRPr="003D615E">
        <w:rPr>
          <w:sz w:val="34"/>
          <w:szCs w:val="34"/>
          <w:rtl/>
          <w:lang w:val="fr-CH"/>
        </w:rPr>
        <w:t xml:space="preserve"> </w:t>
      </w:r>
      <w:r w:rsidRPr="003D615E">
        <w:rPr>
          <w:rFonts w:hint="cs"/>
          <w:sz w:val="34"/>
          <w:szCs w:val="34"/>
          <w:rtl/>
          <w:lang w:val="fr-CH"/>
        </w:rPr>
        <w:t>وتجدر الإشارة</w:t>
      </w:r>
      <w:r w:rsidRPr="003D615E">
        <w:rPr>
          <w:sz w:val="34"/>
          <w:szCs w:val="34"/>
          <w:rtl/>
          <w:lang w:val="fr-CH"/>
        </w:rPr>
        <w:t xml:space="preserve"> إلى أن تقديرات الإيرادات المبيّنة </w:t>
      </w:r>
      <w:r w:rsidRPr="003D615E">
        <w:rPr>
          <w:rFonts w:hint="cs"/>
          <w:sz w:val="34"/>
          <w:szCs w:val="34"/>
          <w:rtl/>
          <w:lang w:val="fr-CH"/>
        </w:rPr>
        <w:t>أدناه</w:t>
      </w:r>
      <w:r w:rsidRPr="003D615E">
        <w:rPr>
          <w:sz w:val="34"/>
          <w:szCs w:val="34"/>
          <w:rtl/>
          <w:lang w:val="fr-CH"/>
        </w:rPr>
        <w:t xml:space="preserve"> تستند إلى </w:t>
      </w:r>
      <w:r w:rsidRPr="003D615E">
        <w:rPr>
          <w:rFonts w:hint="cs"/>
          <w:sz w:val="34"/>
          <w:szCs w:val="34"/>
          <w:rtl/>
          <w:lang w:val="fr-CH"/>
        </w:rPr>
        <w:t>افتراض</w:t>
      </w:r>
      <w:r w:rsidRPr="003D615E">
        <w:rPr>
          <w:sz w:val="34"/>
          <w:szCs w:val="34"/>
          <w:rtl/>
          <w:lang w:val="fr-CH"/>
        </w:rPr>
        <w:t xml:space="preserve"> أن جدول الرسوم المدفوعة إلى المكتب الدولي بناء على نظام </w:t>
      </w:r>
      <w:r w:rsidRPr="003D615E">
        <w:rPr>
          <w:rFonts w:hint="cs"/>
          <w:sz w:val="34"/>
          <w:szCs w:val="34"/>
          <w:rtl/>
          <w:lang w:val="fr-CH"/>
        </w:rPr>
        <w:t>لاهاي</w:t>
      </w:r>
      <w:r w:rsidRPr="003D615E">
        <w:rPr>
          <w:sz w:val="34"/>
          <w:szCs w:val="34"/>
          <w:rtl/>
          <w:lang w:val="fr-CH"/>
        </w:rPr>
        <w:t xml:space="preserve"> لن يتغيّر خلال </w:t>
      </w:r>
      <w:r w:rsidRPr="003D615E">
        <w:rPr>
          <w:rFonts w:hint="cs"/>
          <w:sz w:val="34"/>
          <w:szCs w:val="34"/>
          <w:rtl/>
          <w:lang w:val="fr-CH"/>
        </w:rPr>
        <w:t>الأعوام</w:t>
      </w:r>
      <w:r w:rsidRPr="003D615E">
        <w:rPr>
          <w:sz w:val="34"/>
          <w:szCs w:val="34"/>
          <w:rtl/>
          <w:lang w:val="fr-CH"/>
        </w:rPr>
        <w:t xml:space="preserve"> المقبلة</w:t>
      </w:r>
      <w:r w:rsidRPr="003D615E">
        <w:rPr>
          <w:rFonts w:hint="cs"/>
          <w:sz w:val="34"/>
          <w:szCs w:val="34"/>
          <w:rtl/>
          <w:lang w:val="fr-CH"/>
        </w:rPr>
        <w:t>.</w:t>
      </w:r>
    </w:p>
    <w:p w:rsidR="00861CFF" w:rsidRDefault="00861CFF" w:rsidP="00985543">
      <w:pPr>
        <w:pStyle w:val="NumberedParaAR"/>
        <w:keepNext/>
        <w:numPr>
          <w:ilvl w:val="0"/>
          <w:numId w:val="0"/>
        </w:numPr>
        <w:spacing w:after="120" w:line="340" w:lineRule="atLeast"/>
        <w:jc w:val="center"/>
        <w:rPr>
          <w:sz w:val="34"/>
          <w:szCs w:val="34"/>
          <w:rtl/>
          <w:lang w:val="fr-CH"/>
        </w:rPr>
      </w:pPr>
      <w:r w:rsidRPr="004E6AC4">
        <w:rPr>
          <w:sz w:val="34"/>
          <w:szCs w:val="34"/>
          <w:rtl/>
          <w:lang w:val="fr-CH"/>
        </w:rPr>
        <w:t xml:space="preserve">الجدول </w:t>
      </w:r>
      <w:r w:rsidR="00985543">
        <w:rPr>
          <w:rFonts w:hint="cs"/>
          <w:sz w:val="34"/>
          <w:szCs w:val="34"/>
          <w:rtl/>
          <w:lang w:val="fr-CH"/>
        </w:rPr>
        <w:t>18</w:t>
      </w:r>
      <w:r w:rsidRPr="004E6AC4">
        <w:rPr>
          <w:sz w:val="34"/>
          <w:szCs w:val="34"/>
          <w:rtl/>
          <w:lang w:val="fr-CH"/>
        </w:rPr>
        <w:t xml:space="preserve"> – مجموع إيرادات رسوم</w:t>
      </w:r>
      <w:r w:rsidRPr="004E6AC4">
        <w:rPr>
          <w:rFonts w:hint="cs"/>
          <w:sz w:val="34"/>
          <w:szCs w:val="34"/>
          <w:rtl/>
          <w:lang w:val="fr-CH"/>
        </w:rPr>
        <w:t xml:space="preserve"> نظام</w:t>
      </w:r>
      <w:r w:rsidRPr="004E6AC4">
        <w:rPr>
          <w:sz w:val="34"/>
          <w:szCs w:val="34"/>
          <w:rtl/>
          <w:lang w:val="fr-CH"/>
        </w:rPr>
        <w:t xml:space="preserve"> لاهاي </w:t>
      </w:r>
      <w:r w:rsidRPr="004E6AC4">
        <w:rPr>
          <w:rFonts w:hint="cs"/>
          <w:sz w:val="34"/>
          <w:szCs w:val="34"/>
          <w:rtl/>
          <w:lang w:val="fr-CH"/>
        </w:rPr>
        <w:t>ومتوسط الرسم</w:t>
      </w:r>
    </w:p>
    <w:p w:rsidR="00861CFF" w:rsidRDefault="00861CFF" w:rsidP="00DA5475">
      <w:pPr>
        <w:pStyle w:val="NumberedParaAR"/>
        <w:keepNext/>
        <w:numPr>
          <w:ilvl w:val="0"/>
          <w:numId w:val="0"/>
        </w:numPr>
        <w:spacing w:after="120" w:line="340" w:lineRule="atLeast"/>
        <w:jc w:val="center"/>
        <w:rPr>
          <w:sz w:val="34"/>
          <w:szCs w:val="34"/>
          <w:rtl/>
          <w:lang w:val="fr-CH"/>
        </w:rPr>
      </w:pPr>
      <w:r w:rsidRPr="00655186">
        <w:rPr>
          <w:noProof/>
          <w:rtl/>
        </w:rPr>
        <w:drawing>
          <wp:inline distT="0" distB="0" distL="0" distR="0" wp14:anchorId="08EF0554" wp14:editId="54AC25DB">
            <wp:extent cx="5939790" cy="1076861"/>
            <wp:effectExtent l="0" t="0" r="381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939790" cy="1076861"/>
                    </a:xfrm>
                    <a:prstGeom prst="rect">
                      <a:avLst/>
                    </a:prstGeom>
                    <a:noFill/>
                    <a:ln>
                      <a:noFill/>
                    </a:ln>
                  </pic:spPr>
                </pic:pic>
              </a:graphicData>
            </a:graphic>
          </wp:inline>
        </w:drawing>
      </w:r>
    </w:p>
    <w:p w:rsidR="000700C6" w:rsidRDefault="000700C6" w:rsidP="000700C6">
      <w:pPr>
        <w:pStyle w:val="NumberedParaAR"/>
        <w:numPr>
          <w:ilvl w:val="0"/>
          <w:numId w:val="0"/>
        </w:numPr>
        <w:spacing w:after="120" w:line="340" w:lineRule="atLeast"/>
        <w:rPr>
          <w:sz w:val="34"/>
          <w:szCs w:val="34"/>
          <w:rtl/>
          <w:lang w:val="fr-CH"/>
        </w:rPr>
      </w:pPr>
    </w:p>
    <w:p w:rsidR="000700C6" w:rsidRDefault="000700C6" w:rsidP="000700C6">
      <w:pPr>
        <w:pStyle w:val="NumberedParaAR"/>
        <w:numPr>
          <w:ilvl w:val="0"/>
          <w:numId w:val="0"/>
        </w:numPr>
        <w:spacing w:after="120" w:line="340" w:lineRule="atLeast"/>
        <w:rPr>
          <w:sz w:val="34"/>
          <w:szCs w:val="34"/>
          <w:rtl/>
          <w:lang w:val="fr-CH"/>
        </w:rPr>
        <w:sectPr w:rsidR="000700C6" w:rsidSect="00861CFF">
          <w:type w:val="continuous"/>
          <w:pgSz w:w="11906" w:h="16838" w:code="9"/>
          <w:pgMar w:top="1418" w:right="1418" w:bottom="1418" w:left="1134" w:header="510" w:footer="1021" w:gutter="0"/>
          <w:cols w:space="720"/>
          <w:bidi/>
          <w:rtlGutter/>
        </w:sectPr>
      </w:pPr>
    </w:p>
    <w:p w:rsidR="00861CFF" w:rsidRPr="00EC09E1" w:rsidRDefault="00861CFF" w:rsidP="00DA5475">
      <w:pPr>
        <w:pStyle w:val="Heading3"/>
        <w:rPr>
          <w:rFonts w:ascii="Arabic Typesetting" w:hAnsi="Arabic Typesetting" w:cs="Arabic Typesetting"/>
          <w:sz w:val="38"/>
          <w:szCs w:val="38"/>
          <w:rtl/>
          <w:lang w:val="fr-CH" w:bidi="ar-SA"/>
        </w:rPr>
      </w:pPr>
      <w:bookmarkStart w:id="135" w:name="_Toc420595542"/>
      <w:r w:rsidRPr="00EC09E1">
        <w:rPr>
          <w:rFonts w:ascii="Arabic Typesetting" w:hAnsi="Arabic Typesetting" w:cs="Arabic Typesetting"/>
          <w:sz w:val="38"/>
          <w:szCs w:val="38"/>
          <w:rtl/>
          <w:lang w:val="fr-CH" w:bidi="ar-SA"/>
        </w:rPr>
        <w:lastRenderedPageBreak/>
        <w:t>المرفق الخامس</w:t>
      </w:r>
      <w:r w:rsidRPr="00EC09E1">
        <w:rPr>
          <w:rFonts w:ascii="Arabic Typesetting" w:hAnsi="Arabic Typesetting" w:cs="Arabic Typesetting"/>
          <w:sz w:val="38"/>
          <w:szCs w:val="38"/>
          <w:rtl/>
          <w:lang w:val="fr-CH" w:bidi="ar-SA"/>
        </w:rPr>
        <w:tab/>
        <w:t>مؤشرات عمليات معاهدة التعاون بشأن البراءات</w:t>
      </w:r>
      <w:bookmarkEnd w:id="135"/>
    </w:p>
    <w:p w:rsidR="00861CFF" w:rsidRPr="009509ED" w:rsidRDefault="00861CFF" w:rsidP="00DA5475">
      <w:pPr>
        <w:spacing w:after="120" w:line="340" w:lineRule="exact"/>
        <w:rPr>
          <w:rFonts w:ascii="Arabic Typesetting" w:hAnsi="Arabic Typesetting" w:cs="Arabic Typesetting"/>
          <w:sz w:val="38"/>
          <w:szCs w:val="38"/>
          <w:rtl/>
          <w:lang w:val="en-GB"/>
        </w:rPr>
      </w:pPr>
      <w:r w:rsidRPr="009509ED">
        <w:rPr>
          <w:rFonts w:ascii="Arabic Typesetting" w:hAnsi="Arabic Typesetting" w:cs="Arabic Typesetting"/>
          <w:sz w:val="38"/>
          <w:szCs w:val="38"/>
          <w:rtl/>
          <w:lang w:val="en-GB"/>
        </w:rPr>
        <w:t xml:space="preserve">مؤشرات الأداء للنتيجة المرتقبة </w:t>
      </w:r>
    </w:p>
    <w:p w:rsidR="00861CFF" w:rsidRPr="009509ED" w:rsidRDefault="00861CFF" w:rsidP="00DA5475">
      <w:pPr>
        <w:spacing w:after="120" w:line="340" w:lineRule="exact"/>
        <w:rPr>
          <w:rFonts w:ascii="Arabic Typesetting" w:hAnsi="Arabic Typesetting" w:cs="Arabic Typesetting"/>
          <w:sz w:val="38"/>
          <w:szCs w:val="38"/>
          <w:rtl/>
          <w:lang w:val="en-GB"/>
        </w:rPr>
      </w:pPr>
      <w:r w:rsidRPr="009509ED">
        <w:rPr>
          <w:rFonts w:ascii="Arabic Typesetting" w:hAnsi="Arabic Typesetting" w:cs="Arabic Typesetting"/>
          <w:sz w:val="38"/>
          <w:szCs w:val="38"/>
          <w:rtl/>
          <w:lang w:val="en-GB"/>
        </w:rPr>
        <w:t>"إنتاجية وجودة خدمات محسّنة في عمليات معاهدة التعاون بشأن البراءات"</w:t>
      </w:r>
    </w:p>
    <w:p w:rsidR="00861CFF" w:rsidRPr="009509ED" w:rsidRDefault="00861CFF" w:rsidP="00DA5475">
      <w:pPr>
        <w:keepNext/>
        <w:tabs>
          <w:tab w:val="left" w:pos="2916"/>
        </w:tabs>
        <w:spacing w:after="120" w:line="340" w:lineRule="exact"/>
        <w:rPr>
          <w:rFonts w:ascii="Arabic Typesetting" w:hAnsi="Arabic Typesetting" w:cs="Arabic Typesetting"/>
          <w:b/>
          <w:bCs/>
          <w:sz w:val="36"/>
          <w:szCs w:val="36"/>
          <w:rtl/>
          <w:lang w:val="en-GB"/>
        </w:rPr>
      </w:pPr>
      <w:r w:rsidRPr="009509ED">
        <w:rPr>
          <w:rFonts w:ascii="Arabic Typesetting" w:hAnsi="Arabic Typesetting" w:cs="Arabic Typesetting"/>
          <w:b/>
          <w:bCs/>
          <w:sz w:val="36"/>
          <w:szCs w:val="36"/>
          <w:rtl/>
          <w:lang w:val="en-GB"/>
        </w:rPr>
        <w:t>معلومات عامة</w:t>
      </w:r>
    </w:p>
    <w:p w:rsidR="00861CFF" w:rsidRPr="007636BE" w:rsidRDefault="00861CFF" w:rsidP="00861CFF">
      <w:pPr>
        <w:pStyle w:val="NumberedParaAR"/>
        <w:numPr>
          <w:ilvl w:val="0"/>
          <w:numId w:val="56"/>
        </w:numPr>
        <w:spacing w:after="120" w:line="340" w:lineRule="exact"/>
        <w:rPr>
          <w:sz w:val="34"/>
          <w:szCs w:val="34"/>
          <w:lang w:val="en-GB"/>
        </w:rPr>
      </w:pPr>
      <w:r w:rsidRPr="007636BE">
        <w:rPr>
          <w:sz w:val="34"/>
          <w:szCs w:val="34"/>
          <w:rtl/>
          <w:lang w:val="en-GB"/>
        </w:rPr>
        <w:t>من المهم معرفة تطورات الأمور التالية، كمعلومات أساسية عن مؤشرات أداء النتيجة المرتقبة "تحسين الإنتاجية وجودة الخدمات في عمليات معاهدة التعاون بشأن البراءات":</w:t>
      </w:r>
    </w:p>
    <w:p w:rsidR="00861CFF" w:rsidRPr="00EC09E1" w:rsidRDefault="00861CFF" w:rsidP="00861CFF">
      <w:pPr>
        <w:numPr>
          <w:ilvl w:val="0"/>
          <w:numId w:val="51"/>
        </w:numPr>
        <w:spacing w:after="120" w:line="340" w:lineRule="exact"/>
        <w:ind w:left="714" w:hanging="357"/>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أعباء عمل معاهدة التعاون بشأن البراءات؛</w:t>
      </w:r>
    </w:p>
    <w:p w:rsidR="00861CFF" w:rsidRPr="00EC09E1" w:rsidRDefault="00861CFF" w:rsidP="00861CFF">
      <w:pPr>
        <w:numPr>
          <w:ilvl w:val="0"/>
          <w:numId w:val="51"/>
        </w:numPr>
        <w:spacing w:after="120" w:line="340" w:lineRule="exact"/>
        <w:ind w:left="714" w:hanging="357"/>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التوزيع اللغوي لهذه الأعباء؛</w:t>
      </w:r>
    </w:p>
    <w:p w:rsidR="00861CFF" w:rsidRPr="00EC09E1" w:rsidRDefault="00861CFF" w:rsidP="00861CFF">
      <w:pPr>
        <w:numPr>
          <w:ilvl w:val="0"/>
          <w:numId w:val="51"/>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عدد الموظفين المكلفين بتناول هذه الأعباء؛</w:t>
      </w:r>
    </w:p>
    <w:p w:rsidR="00861CFF" w:rsidRPr="00EC09E1" w:rsidRDefault="00861CFF" w:rsidP="00861CFF">
      <w:pPr>
        <w:numPr>
          <w:ilvl w:val="0"/>
          <w:numId w:val="51"/>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 xml:space="preserve">مستوى </w:t>
      </w:r>
      <w:proofErr w:type="spellStart"/>
      <w:r w:rsidRPr="00EC09E1">
        <w:rPr>
          <w:rFonts w:ascii="Arabic Typesetting" w:hAnsi="Arabic Typesetting" w:cs="Arabic Typesetting"/>
          <w:sz w:val="34"/>
          <w:szCs w:val="34"/>
          <w:rtl/>
          <w:lang w:val="en-GB"/>
        </w:rPr>
        <w:t>الأتمتة</w:t>
      </w:r>
      <w:proofErr w:type="spellEnd"/>
      <w:r w:rsidRPr="00EC09E1">
        <w:rPr>
          <w:rFonts w:ascii="Arabic Typesetting" w:hAnsi="Arabic Typesetting" w:cs="Arabic Typesetting"/>
          <w:sz w:val="34"/>
          <w:szCs w:val="34"/>
          <w:rtl/>
          <w:lang w:val="en-GB"/>
        </w:rPr>
        <w:t>.</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أعباء العمل</w:t>
      </w:r>
    </w:p>
    <w:p w:rsidR="00861CFF" w:rsidRPr="00146BA7" w:rsidRDefault="00861CFF" w:rsidP="00861CFF">
      <w:pPr>
        <w:pStyle w:val="NumberedParaAR"/>
        <w:numPr>
          <w:ilvl w:val="0"/>
          <w:numId w:val="56"/>
        </w:numPr>
        <w:spacing w:after="120" w:line="340" w:lineRule="exact"/>
        <w:rPr>
          <w:rtl/>
          <w:lang w:val="en-GB"/>
        </w:rPr>
      </w:pPr>
      <w:r w:rsidRPr="00146BA7">
        <w:rPr>
          <w:rtl/>
          <w:lang w:val="en-GB"/>
        </w:rPr>
        <w:t>تُتابع أعباء العمل بالاستناد إلى عدد النسخ الأصلية التي يتسلمها المكتب الدولي في كل عام.</w:t>
      </w:r>
      <w:r w:rsidRPr="001258BB">
        <w:rPr>
          <w:rStyle w:val="FootnoteReference"/>
          <w:rFonts w:cs="Arabic Typesetting"/>
          <w:rtl/>
          <w:lang w:val="en-GB"/>
        </w:rPr>
        <w:footnoteReference w:id="25"/>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تطور إيداع النسخ الأصلية بحسب طريقة الإيداع</w:t>
      </w:r>
    </w:p>
    <w:p w:rsidR="00861CFF" w:rsidRPr="00EC09E1" w:rsidRDefault="00861CFF" w:rsidP="00DA5475">
      <w:pPr>
        <w:spacing w:after="120"/>
        <w:rPr>
          <w:rFonts w:ascii="Arabic Typesetting" w:hAnsi="Arabic Typesetting" w:cs="Arabic Typesetting"/>
          <w:sz w:val="34"/>
          <w:szCs w:val="34"/>
          <w:rtl/>
          <w:lang w:val="en-GB"/>
        </w:rPr>
      </w:pPr>
      <w:r>
        <w:rPr>
          <w:rFonts w:ascii="Arabic Typesetting" w:hAnsi="Arabic Typesetting" w:cs="Arabic Typesetting"/>
          <w:noProof/>
          <w:sz w:val="34"/>
          <w:szCs w:val="34"/>
          <w:lang w:bidi="ar-SA"/>
        </w:rPr>
        <w:drawing>
          <wp:inline distT="0" distB="0" distL="0" distR="0" wp14:anchorId="6B352131" wp14:editId="70473E72">
            <wp:extent cx="6351658" cy="2727621"/>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356195" cy="2729569"/>
                    </a:xfrm>
                    <a:prstGeom prst="rect">
                      <a:avLst/>
                    </a:prstGeom>
                    <a:noFill/>
                  </pic:spPr>
                </pic:pic>
              </a:graphicData>
            </a:graphic>
          </wp:inline>
        </w:drawing>
      </w:r>
    </w:p>
    <w:p w:rsidR="00861CFF" w:rsidRPr="00EC09E1" w:rsidRDefault="00861CFF" w:rsidP="00861CFF">
      <w:pPr>
        <w:numPr>
          <w:ilvl w:val="0"/>
          <w:numId w:val="52"/>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تسلم المكتب الدولي زهاء 700 217 نسخة أصلة في عام 2014، أي بزيادة بلغت نسبتها 7 في المائة مقارنة بعام 2013</w:t>
      </w:r>
    </w:p>
    <w:p w:rsidR="00861CFF" w:rsidRPr="00EC09E1" w:rsidRDefault="00861CFF" w:rsidP="00861CFF">
      <w:pPr>
        <w:numPr>
          <w:ilvl w:val="0"/>
          <w:numId w:val="52"/>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لم تفتأ حصة أساليب الإيداع الإلكتروني بالكامل تزداد في عام 2014، وهي تمثل الآن نسبة 91 في المائة من مجموع الإيداعات.</w:t>
      </w:r>
    </w:p>
    <w:p w:rsidR="00861CFF" w:rsidRPr="008A1AAB" w:rsidRDefault="00861CFF" w:rsidP="00DA5475">
      <w:pPr>
        <w:keepNext/>
        <w:spacing w:after="120" w:line="340" w:lineRule="exact"/>
        <w:rPr>
          <w:rFonts w:ascii="Arabic Typesetting" w:hAnsi="Arabic Typesetting" w:cs="Arabic Typesetting"/>
          <w:i/>
          <w:iCs/>
          <w:sz w:val="34"/>
          <w:szCs w:val="34"/>
          <w:rtl/>
          <w:lang w:val="en-GB"/>
        </w:rPr>
      </w:pPr>
      <w:r w:rsidRPr="008A1AAB">
        <w:rPr>
          <w:rFonts w:ascii="Arabic Typesetting" w:hAnsi="Arabic Typesetting" w:cs="Arabic Typesetting"/>
          <w:i/>
          <w:iCs/>
          <w:sz w:val="34"/>
          <w:szCs w:val="34"/>
          <w:rtl/>
          <w:lang w:val="en-GB"/>
        </w:rPr>
        <w:t>التوزيع اللغوي</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من التطورات الأساسية التي تؤدي إلى إدخال تغييرات على المكتب الدولي، هي تزايد التنوع اللغوي للطلبات المودعة، الناجم على وجه الخصوص عن زيادة الانتفاع بنظام معاهدة التعاون بشأن البراءات في بلدان شرق آسيا.</w:t>
      </w:r>
    </w:p>
    <w:p w:rsidR="00861CFF" w:rsidRPr="00EC09E1" w:rsidRDefault="00861CFF" w:rsidP="00DA5475">
      <w:pPr>
        <w:tabs>
          <w:tab w:val="left" w:pos="2834"/>
          <w:tab w:val="center" w:pos="4677"/>
        </w:tabs>
        <w:spacing w:after="120" w:line="340" w:lineRule="exact"/>
        <w:jc w:val="center"/>
        <w:rPr>
          <w:rFonts w:ascii="Arabic Typesetting" w:hAnsi="Arabic Typesetting" w:cs="Arabic Typesetting"/>
          <w:sz w:val="34"/>
          <w:szCs w:val="34"/>
          <w:rtl/>
          <w:lang w:val="en-GB"/>
        </w:rPr>
      </w:pPr>
      <w:r w:rsidRPr="00EC09E1">
        <w:rPr>
          <w:rFonts w:ascii="Arabic Typesetting" w:hAnsi="Arabic Typesetting" w:cs="Arabic Typesetting"/>
          <w:b/>
          <w:bCs/>
          <w:sz w:val="34"/>
          <w:szCs w:val="34"/>
          <w:rtl/>
          <w:lang w:val="en-GB"/>
        </w:rPr>
        <w:lastRenderedPageBreak/>
        <w:t>لغات الإيداع</w:t>
      </w:r>
      <w:r w:rsidRPr="00EC09E1">
        <w:rPr>
          <w:rFonts w:ascii="Arabic Typesetting" w:hAnsi="Arabic Typesetting" w:cs="Arabic Typesetting"/>
          <w:sz w:val="34"/>
          <w:szCs w:val="34"/>
          <w:rtl/>
          <w:lang w:val="en-GB"/>
        </w:rPr>
        <w:t xml:space="preserve"> </w:t>
      </w:r>
      <w:r w:rsidRPr="00EC09E1">
        <w:rPr>
          <w:rFonts w:ascii="Arabic Typesetting" w:hAnsi="Arabic Typesetting" w:cs="Arabic Typesetting"/>
          <w:i/>
          <w:iCs/>
          <w:sz w:val="34"/>
          <w:szCs w:val="34"/>
          <w:rtl/>
          <w:lang w:val="en-GB"/>
        </w:rPr>
        <w:t>(جميع اللغات)</w:t>
      </w:r>
    </w:p>
    <w:p w:rsidR="00861CFF" w:rsidRPr="00EC09E1" w:rsidRDefault="00861CFF" w:rsidP="00DA5475">
      <w:pPr>
        <w:spacing w:after="120"/>
        <w:rPr>
          <w:rFonts w:ascii="Arabic Typesetting" w:hAnsi="Arabic Typesetting" w:cs="Arabic Typesetting"/>
          <w:sz w:val="34"/>
          <w:szCs w:val="34"/>
          <w:lang w:val="en-GB"/>
        </w:rPr>
      </w:pPr>
      <w:r>
        <w:rPr>
          <w:rFonts w:ascii="Arabic Typesetting" w:hAnsi="Arabic Typesetting" w:cs="Arabic Typesetting"/>
          <w:noProof/>
          <w:sz w:val="34"/>
          <w:szCs w:val="34"/>
          <w:lang w:bidi="ar-SA"/>
        </w:rPr>
        <w:drawing>
          <wp:inline distT="0" distB="0" distL="0" distR="0" wp14:anchorId="78339FF6" wp14:editId="6F8C86A4">
            <wp:extent cx="5626345" cy="2968922"/>
            <wp:effectExtent l="0" t="0" r="0" b="317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644498" cy="2978501"/>
                    </a:xfrm>
                    <a:prstGeom prst="rect">
                      <a:avLst/>
                    </a:prstGeom>
                    <a:noFill/>
                  </pic:spPr>
                </pic:pic>
              </a:graphicData>
            </a:graphic>
          </wp:inline>
        </w:drawing>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وكما يلاحظ فإن اللغة الإنكليزية تظل أكثر لغة مستخدمة بكثير في الإيداع عن غيرها من اللغات، بنسبة 51.6 في المائة من الإيداعات في عام 2014، ومع ذلك فإن حصص اللغات الآسيوية زادت على مدى العقد المنصرم. وقد زادت الحصة المجمعة للطلبات المودعة بناء على معاهدة التعاون بشأن البراءات باللغات اليابانية والصينية والكورية من نسبة 29,5 في المائة في عام 2009 إلى نسبة 34,5 في المائة في عام 2012. وظلت هذه الحصة ثابتة من عام 2012 إلى عام 2014. وبالتركيز على اللغات الأخرى غير اللغة الإنكليزية نخرج بالشكل التالي:</w:t>
      </w:r>
    </w:p>
    <w:p w:rsidR="00861CFF" w:rsidRPr="00EC09E1" w:rsidRDefault="00861CFF" w:rsidP="00DA5475">
      <w:pPr>
        <w:keepNext/>
        <w:spacing w:after="120" w:line="340" w:lineRule="exact"/>
        <w:jc w:val="center"/>
        <w:rPr>
          <w:rFonts w:ascii="Arabic Typesetting" w:hAnsi="Arabic Typesetting" w:cs="Arabic Typesetting"/>
          <w:sz w:val="34"/>
          <w:szCs w:val="34"/>
          <w:rtl/>
          <w:lang w:val="en-GB"/>
        </w:rPr>
      </w:pPr>
      <w:r w:rsidRPr="00EC09E1">
        <w:rPr>
          <w:rFonts w:ascii="Arabic Typesetting" w:hAnsi="Arabic Typesetting" w:cs="Arabic Typesetting"/>
          <w:b/>
          <w:bCs/>
          <w:sz w:val="34"/>
          <w:szCs w:val="34"/>
          <w:rtl/>
          <w:lang w:val="en-GB"/>
        </w:rPr>
        <w:t>لغات الإيداع</w:t>
      </w:r>
      <w:r w:rsidRPr="00EC09E1">
        <w:rPr>
          <w:rFonts w:ascii="Arabic Typesetting" w:hAnsi="Arabic Typesetting" w:cs="Arabic Typesetting"/>
          <w:sz w:val="34"/>
          <w:szCs w:val="34"/>
          <w:rtl/>
          <w:lang w:val="en-GB"/>
        </w:rPr>
        <w:t xml:space="preserve"> (جميع اللغات غير اللغة الإنكليزية)</w:t>
      </w:r>
    </w:p>
    <w:p w:rsidR="00861CFF" w:rsidRPr="00EC09E1" w:rsidRDefault="00861CFF" w:rsidP="00DA5475">
      <w:pPr>
        <w:spacing w:after="120"/>
        <w:rPr>
          <w:rFonts w:ascii="Arabic Typesetting" w:hAnsi="Arabic Typesetting" w:cs="Arabic Typesetting"/>
          <w:sz w:val="34"/>
          <w:szCs w:val="34"/>
          <w:lang w:val="en-GB"/>
        </w:rPr>
      </w:pPr>
      <w:r>
        <w:rPr>
          <w:rFonts w:ascii="Arabic Typesetting" w:hAnsi="Arabic Typesetting" w:cs="Arabic Typesetting"/>
          <w:noProof/>
          <w:sz w:val="34"/>
          <w:szCs w:val="34"/>
          <w:lang w:bidi="ar-SA"/>
        </w:rPr>
        <w:drawing>
          <wp:inline distT="0" distB="0" distL="0" distR="0" wp14:anchorId="7D163F87" wp14:editId="59902B48">
            <wp:extent cx="5512904" cy="2870436"/>
            <wp:effectExtent l="0" t="0" r="0" b="635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527214" cy="2877887"/>
                    </a:xfrm>
                    <a:prstGeom prst="rect">
                      <a:avLst/>
                    </a:prstGeom>
                    <a:noFill/>
                  </pic:spPr>
                </pic:pic>
              </a:graphicData>
            </a:graphic>
          </wp:inline>
        </w:drawing>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تضع الزيادة الحادة في الطلبات المودعة باللغات الآسيوية في السنوات الخمس الأخيرة ضغطاً هائلاً على المكتب الدولي نظراً لعدد الموارد المحدودة من الموظفين القادرين على العمل بهذه اللغات. وللتخفيف من وقع هذه المسألة أتمتة بعض المهام وتعيين موظفين قادرين على العمل بهذه اللغات.</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lastRenderedPageBreak/>
        <w:t>الموظفون</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يبين الشكل التالي عدد موظفي قطاع أعمال معاهدة التعاون بشأن البراءات منذ عام 2001، المبين بمكافئ عدد الموظفين المتفرغين (أي عدد الموظفين المتفرغين زائد عدد المتفرغين الذي يكافئ مجموع الموظفين غير المتفرغين).</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عدد الموظفين في شعبة عمليات معاهدة التعاون بشأن البراءات</w:t>
      </w:r>
    </w:p>
    <w:p w:rsidR="00861CFF" w:rsidRPr="00EC09E1" w:rsidRDefault="00861CFF" w:rsidP="00DA5475">
      <w:pPr>
        <w:spacing w:after="120"/>
        <w:rPr>
          <w:rFonts w:ascii="Arabic Typesetting" w:hAnsi="Arabic Typesetting" w:cs="Arabic Typesetting"/>
          <w:sz w:val="34"/>
          <w:szCs w:val="34"/>
          <w:lang w:val="en-GB"/>
        </w:rPr>
      </w:pPr>
      <w:r w:rsidRPr="00A11FE2">
        <w:rPr>
          <w:noProof/>
          <w:szCs w:val="20"/>
          <w:rtl/>
          <w:lang w:bidi="ar-SA"/>
        </w:rPr>
        <w:drawing>
          <wp:inline distT="0" distB="0" distL="0" distR="0" wp14:anchorId="0AD95222" wp14:editId="4E30A82F">
            <wp:extent cx="5493505" cy="2789594"/>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515293" cy="2800658"/>
                    </a:xfrm>
                    <a:prstGeom prst="rect">
                      <a:avLst/>
                    </a:prstGeom>
                    <a:noFill/>
                    <a:ln>
                      <a:noFill/>
                    </a:ln>
                  </pic:spPr>
                </pic:pic>
              </a:graphicData>
            </a:graphic>
          </wp:inline>
        </w:drawing>
      </w:r>
    </w:p>
    <w:p w:rsidR="00861CFF" w:rsidRPr="00EC09E1" w:rsidRDefault="00861CFF" w:rsidP="00861CFF">
      <w:pPr>
        <w:numPr>
          <w:ilvl w:val="0"/>
          <w:numId w:val="53"/>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وانخفض عدد موظفي شعبة عمليات معاهدة التعاون بشأن البراءات أكثر فأكثر في عام 2014</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تكلفة وحدة معالجة الطلب</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 xml:space="preserve">يمكن قياس إنتاجية المكتب الدولي في معالجة الطلبات المودعة بناء على معاهدة التعاون بشأن البراءات بتكلفة وحدة معالجة الطلب، المعرّفة بمتوسط التكلفة الإجمالية اللازمة لنشر طلب من طلبات معاهدة التعاون بشأن البراءات. ويُحسب متوسطة التكلفة الإجمالي بإضافة إجمالي نفقات نظام معاهدة التعاون بشأن البراءات المباشرة (النفقات التي </w:t>
      </w:r>
      <w:proofErr w:type="spellStart"/>
      <w:r w:rsidRPr="00EC09E1">
        <w:rPr>
          <w:sz w:val="34"/>
          <w:szCs w:val="34"/>
          <w:rtl/>
          <w:lang w:val="en-GB"/>
        </w:rPr>
        <w:t>يتكبدها</w:t>
      </w:r>
      <w:proofErr w:type="spellEnd"/>
      <w:r w:rsidRPr="00EC09E1">
        <w:rPr>
          <w:sz w:val="34"/>
          <w:szCs w:val="34"/>
          <w:rtl/>
          <w:lang w:val="en-GB"/>
        </w:rPr>
        <w:t xml:space="preserve"> المكتب الدولي في إدارة نظام معاهدة التعاون بشأن البراءات والبرامج المتعلقة به) إلى نسبة من النفقات غير المباشرة على أنشطة الدعم والإدارة (مثل المباني وتكنولوجيا المعلومات وغيرها). وتحسب التكاليف غير المباشرة بحيث لا تراعي سوى الحصة المسندة إلى نظام معاهدة التعاون بشأن البراءات. وتشمل تكلفة الوحدة بالتالي تكاليف جميع أنشطة معاهدة التعاون بشأن البراءات، بما في ذلك الترجمة والاتصالات والإدارة وغيرها من الأنشطة.</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 xml:space="preserve">وروجعت منهجية حساب تكلفة الوحدة في عام 2013 لمواءمتها مع سائر حسابات تكاليف الوحدات/الاتحادات في الويبو، ولكي تبين على نحو أفضل البيئة السريعة التغير. فعلى سبيل المثال كانت تشمل المنهجية القديمة، التي صممت في عام 2007، تكلفة التخزين (لأكثر من 30 عاماً) في المخازن، في حين بلغت نسبة إيداع الطلبات الورقية (بما فيها الإيداعات بناء على نظام </w:t>
      </w:r>
      <w:r w:rsidRPr="00EC09E1">
        <w:rPr>
          <w:sz w:val="34"/>
          <w:szCs w:val="34"/>
          <w:lang w:val="en-GB"/>
        </w:rPr>
        <w:t>PCT EASY</w:t>
      </w:r>
      <w:r w:rsidRPr="00EC09E1">
        <w:rPr>
          <w:sz w:val="34"/>
          <w:szCs w:val="34"/>
          <w:rtl/>
          <w:lang w:val="en-GB"/>
        </w:rPr>
        <w:t>) 10 في المائة من الإيداعات في عام 2013. وحسبت تكلفة الوحدة في معاهدة التعاون بشأن البراءات لعام 2012 باستخدام المنهجيتين. وبلغت تكلفة الوحدة 680 فرنكا سويسريا في عام 2012 باستخدام المنهجية القديمة في حين بلغت 712 فرنكا سويسريا باستخدام المنهجية الجديدة. ويعزى الفارق بين المبلغين وقدره 32 فرنكا سويسريا إلى المنهجية الجديدة لتخصيص التكاليف غير المباشرة.</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وتعرف تكلفة الوحدة رسميا على النحو التالي:</w:t>
      </w:r>
    </w:p>
    <w:p w:rsidR="00861CFF" w:rsidRPr="00EC09E1" w:rsidRDefault="00861CFF" w:rsidP="00DA5475">
      <w:pPr>
        <w:keepNext/>
        <w:spacing w:after="120" w:line="340" w:lineRule="exact"/>
        <w:jc w:val="center"/>
        <w:rPr>
          <w:rFonts w:ascii="Arabic Typesetting" w:hAnsi="Arabic Typesetting" w:cs="Arabic Typesetting"/>
          <w:sz w:val="34"/>
          <w:szCs w:val="34"/>
          <w:lang w:val="en-GB"/>
        </w:rPr>
      </w:pPr>
    </w:p>
    <w:p w:rsidR="00861CFF" w:rsidRPr="00EC09E1" w:rsidRDefault="00861CFF" w:rsidP="00DA5475">
      <w:pPr>
        <w:spacing w:after="120" w:line="340" w:lineRule="exact"/>
        <w:jc w:val="center"/>
        <w:rPr>
          <w:rFonts w:ascii="Arabic Typesetting" w:hAnsi="Arabic Typesetting" w:cs="Arabic Typesetting"/>
          <w:sz w:val="34"/>
          <w:szCs w:val="34"/>
          <w:lang w:bidi="ar-SA"/>
        </w:rPr>
      </w:pPr>
      <w:r w:rsidRPr="00EC09E1">
        <w:rPr>
          <w:rFonts w:ascii="Arabic Typesetting" w:hAnsi="Arabic Typesetting" w:cs="Arabic Typesetting"/>
          <w:noProof/>
          <w:sz w:val="34"/>
          <w:szCs w:val="34"/>
          <w:lang w:bidi="ar-SA"/>
        </w:rPr>
        <mc:AlternateContent>
          <mc:Choice Requires="wpc">
            <w:drawing>
              <wp:inline distT="0" distB="0" distL="0" distR="0" wp14:anchorId="3BB0F801" wp14:editId="0F270B8B">
                <wp:extent cx="2054860" cy="377825"/>
                <wp:effectExtent l="0" t="0" r="2540" b="3175"/>
                <wp:docPr id="218" name="Canvas 2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0" name="Rectangle 21"/>
                        <wps:cNvSpPr>
                          <a:spLocks noChangeArrowheads="1"/>
                        </wps:cNvSpPr>
                        <wps:spPr bwMode="auto">
                          <a:xfrm>
                            <a:off x="320627" y="9525"/>
                            <a:ext cx="68135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0D6F05" w:rsidRDefault="00AA5889" w:rsidP="00DA5475">
                              <w:pPr>
                                <w:rPr>
                                  <w:rFonts w:ascii="Arabic Typesetting" w:hAnsi="Arabic Typesetting" w:cs="Arabic Typesetting"/>
                                  <w:sz w:val="26"/>
                                  <w:szCs w:val="26"/>
                                </w:rPr>
                              </w:pPr>
                              <w:r w:rsidRPr="000D6F05">
                                <w:rPr>
                                  <w:rFonts w:ascii="Arabic Typesetting" w:hAnsi="Arabic Typesetting" w:cs="Arabic Typesetting"/>
                                  <w:color w:val="000000"/>
                                  <w:sz w:val="26"/>
                                  <w:szCs w:val="26"/>
                                  <w:rtl/>
                                </w:rPr>
                                <w:t>إجمالي تكلفة الإنتاج</w:t>
                              </w:r>
                            </w:p>
                          </w:txbxContent>
                        </wps:txbx>
                        <wps:bodyPr rot="0" vert="horz" wrap="none" lIns="0" tIns="0" rIns="0" bIns="0" anchor="t" anchorCtr="0">
                          <a:spAutoFit/>
                        </wps:bodyPr>
                      </wps:wsp>
                      <wps:wsp>
                        <wps:cNvPr id="381" name="Rectangle 22"/>
                        <wps:cNvSpPr>
                          <a:spLocks noChangeArrowheads="1"/>
                        </wps:cNvSpPr>
                        <wps:spPr bwMode="auto">
                          <a:xfrm>
                            <a:off x="389638" y="190332"/>
                            <a:ext cx="54737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0D6F05" w:rsidRDefault="00AA5889" w:rsidP="00DA5475">
                              <w:pPr>
                                <w:jc w:val="center"/>
                                <w:rPr>
                                  <w:rFonts w:ascii="Arabic Typesetting" w:hAnsi="Arabic Typesetting" w:cs="Arabic Typesetting"/>
                                  <w:sz w:val="26"/>
                                  <w:szCs w:val="26"/>
                                </w:rPr>
                              </w:pPr>
                              <w:r w:rsidRPr="000D6F05">
                                <w:rPr>
                                  <w:rFonts w:ascii="Arabic Typesetting" w:hAnsi="Arabic Typesetting" w:cs="Arabic Typesetting"/>
                                  <w:color w:val="000000"/>
                                  <w:sz w:val="26"/>
                                  <w:szCs w:val="26"/>
                                  <w:rtl/>
                                </w:rPr>
                                <w:t>عدد المنشورات</w:t>
                              </w:r>
                            </w:p>
                          </w:txbxContent>
                        </wps:txbx>
                        <wps:bodyPr rot="0" vert="horz" wrap="none" lIns="0" tIns="0" rIns="0" bIns="0" anchor="t" anchorCtr="0">
                          <a:spAutoFit/>
                        </wps:bodyPr>
                      </wps:wsp>
                      <wps:wsp>
                        <wps:cNvPr id="382" name="Rectangle 23"/>
                        <wps:cNvSpPr>
                          <a:spLocks noChangeArrowheads="1"/>
                        </wps:cNvSpPr>
                        <wps:spPr bwMode="auto">
                          <a:xfrm>
                            <a:off x="1604645" y="85725"/>
                            <a:ext cx="44704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0D6F05" w:rsidRDefault="00AA5889" w:rsidP="00DA5475">
                              <w:pPr>
                                <w:rPr>
                                  <w:rFonts w:ascii="Arabic Typesetting" w:hAnsi="Arabic Typesetting" w:cs="Arabic Typesetting"/>
                                  <w:sz w:val="26"/>
                                  <w:szCs w:val="26"/>
                                </w:rPr>
                              </w:pPr>
                              <w:r w:rsidRPr="000D6F05">
                                <w:rPr>
                                  <w:rFonts w:ascii="Arabic Typesetting" w:hAnsi="Arabic Typesetting" w:cs="Arabic Typesetting"/>
                                  <w:color w:val="000000"/>
                                  <w:sz w:val="26"/>
                                  <w:szCs w:val="26"/>
                                  <w:rtl/>
                                </w:rPr>
                                <w:t>تكلفة الوحدة</w:t>
                              </w:r>
                            </w:p>
                          </w:txbxContent>
                        </wps:txbx>
                        <wps:bodyPr rot="0" vert="horz" wrap="none" lIns="0" tIns="0" rIns="0" bIns="0" anchor="t" anchorCtr="0">
                          <a:spAutoFit/>
                        </wps:bodyPr>
                      </wps:wsp>
                      <wps:wsp>
                        <wps:cNvPr id="383" name="Rectangle 24"/>
                        <wps:cNvSpPr>
                          <a:spLocks noChangeArrowheads="1"/>
                        </wps:cNvSpPr>
                        <wps:spPr bwMode="auto">
                          <a:xfrm>
                            <a:off x="1416050" y="85725"/>
                            <a:ext cx="1352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Default="00AA5889" w:rsidP="00DA5475">
                              <w:r>
                                <w:rPr>
                                  <w:color w:val="000000"/>
                                </w:rPr>
                                <w:t xml:space="preserve"> = </w:t>
                              </w:r>
                            </w:p>
                          </w:txbxContent>
                        </wps:txbx>
                        <wps:bodyPr rot="0" vert="horz" wrap="none" lIns="0" tIns="0" rIns="0" bIns="0" anchor="t" anchorCtr="0">
                          <a:spAutoFit/>
                        </wps:bodyPr>
                      </wps:wsp>
                      <wps:wsp>
                        <wps:cNvPr id="160" name="Rectangle 25"/>
                        <wps:cNvSpPr>
                          <a:spLocks noChangeArrowheads="1"/>
                        </wps:cNvSpPr>
                        <wps:spPr bwMode="auto">
                          <a:xfrm>
                            <a:off x="70485" y="179094"/>
                            <a:ext cx="13455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218" o:spid="_x0000_s1027" editas="canvas" style="width:161.8pt;height:29.75pt;mso-position-horizontal-relative:char;mso-position-vertical-relative:line" coordsize="20548,3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0548;height:3778;visibility:visible;mso-wrap-style:square">
                  <v:fill o:detectmouseclick="t"/>
                  <v:path o:connecttype="none"/>
                </v:shape>
                <v:rect id="Rectangle 21" o:spid="_x0000_s1029" style="position:absolute;left:3206;top:95;width:6813;height:18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SVb4A&#10;AADcAAAADwAAAGRycy9kb3ducmV2LnhtbERPy4rCMBTdD/gP4QruxlSF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M0lW+AAAA3AAAAA8AAAAAAAAAAAAAAAAAmAIAAGRycy9kb3ducmV2&#10;LnhtbFBLBQYAAAAABAAEAPUAAACDAwAAAAA=&#10;" filled="f" stroked="f">
                  <v:textbox style="mso-fit-shape-to-text:t" inset="0,0,0,0">
                    <w:txbxContent>
                      <w:p w:rsidR="00AA5889" w:rsidRPr="000D6F05" w:rsidRDefault="00AA5889" w:rsidP="00DA5475">
                        <w:pPr>
                          <w:rPr>
                            <w:rFonts w:ascii="Arabic Typesetting" w:hAnsi="Arabic Typesetting" w:cs="Arabic Typesetting"/>
                            <w:sz w:val="26"/>
                            <w:szCs w:val="26"/>
                          </w:rPr>
                        </w:pPr>
                        <w:r w:rsidRPr="000D6F05">
                          <w:rPr>
                            <w:rFonts w:ascii="Arabic Typesetting" w:hAnsi="Arabic Typesetting" w:cs="Arabic Typesetting"/>
                            <w:color w:val="000000"/>
                            <w:sz w:val="26"/>
                            <w:szCs w:val="26"/>
                            <w:rtl/>
                          </w:rPr>
                          <w:t>إجمالي تكلفة الإنتاج</w:t>
                        </w:r>
                      </w:p>
                    </w:txbxContent>
                  </v:textbox>
                </v:rect>
                <v:rect id="Rectangle 22" o:spid="_x0000_s1030" style="position:absolute;left:3896;top:1903;width:5474;height:18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B3zsEA&#10;AADcAAAADwAAAGRycy9kb3ducmV2LnhtbESP3YrCMBSE7xd8h3AE79ZUh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Ad87BAAAA3AAAAA8AAAAAAAAAAAAAAAAAmAIAAGRycy9kb3du&#10;cmV2LnhtbFBLBQYAAAAABAAEAPUAAACGAwAAAAA=&#10;" filled="f" stroked="f">
                  <v:textbox style="mso-fit-shape-to-text:t" inset="0,0,0,0">
                    <w:txbxContent>
                      <w:p w:rsidR="00AA5889" w:rsidRPr="000D6F05" w:rsidRDefault="00AA5889" w:rsidP="00DA5475">
                        <w:pPr>
                          <w:jc w:val="center"/>
                          <w:rPr>
                            <w:rFonts w:ascii="Arabic Typesetting" w:hAnsi="Arabic Typesetting" w:cs="Arabic Typesetting"/>
                            <w:sz w:val="26"/>
                            <w:szCs w:val="26"/>
                          </w:rPr>
                        </w:pPr>
                        <w:r w:rsidRPr="000D6F05">
                          <w:rPr>
                            <w:rFonts w:ascii="Arabic Typesetting" w:hAnsi="Arabic Typesetting" w:cs="Arabic Typesetting"/>
                            <w:color w:val="000000"/>
                            <w:sz w:val="26"/>
                            <w:szCs w:val="26"/>
                            <w:rtl/>
                          </w:rPr>
                          <w:t>عدد المنشورات</w:t>
                        </w:r>
                      </w:p>
                    </w:txbxContent>
                  </v:textbox>
                </v:rect>
                <v:rect id="Rectangle 23" o:spid="_x0000_s1031" style="position:absolute;left:16046;top:857;width:4470;height:18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pucIA&#10;AADcAAAADwAAAGRycy9kb3ducmV2LnhtbESP3WoCMRSE7wu+QziCdzXbFcq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um5wgAAANwAAAAPAAAAAAAAAAAAAAAAAJgCAABkcnMvZG93&#10;bnJldi54bWxQSwUGAAAAAAQABAD1AAAAhwMAAAAA&#10;" filled="f" stroked="f">
                  <v:textbox style="mso-fit-shape-to-text:t" inset="0,0,0,0">
                    <w:txbxContent>
                      <w:p w:rsidR="00AA5889" w:rsidRPr="000D6F05" w:rsidRDefault="00AA5889" w:rsidP="00DA5475">
                        <w:pPr>
                          <w:rPr>
                            <w:rFonts w:ascii="Arabic Typesetting" w:hAnsi="Arabic Typesetting" w:cs="Arabic Typesetting"/>
                            <w:sz w:val="26"/>
                            <w:szCs w:val="26"/>
                          </w:rPr>
                        </w:pPr>
                        <w:r w:rsidRPr="000D6F05">
                          <w:rPr>
                            <w:rFonts w:ascii="Arabic Typesetting" w:hAnsi="Arabic Typesetting" w:cs="Arabic Typesetting"/>
                            <w:color w:val="000000"/>
                            <w:sz w:val="26"/>
                            <w:szCs w:val="26"/>
                            <w:rtl/>
                          </w:rPr>
                          <w:t>تكلفة الوحدة</w:t>
                        </w:r>
                      </w:p>
                    </w:txbxContent>
                  </v:textbox>
                </v:rect>
                <v:rect id="Rectangle 24" o:spid="_x0000_s1032" style="position:absolute;left:14160;top:857;width:135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MIsEA&#10;AADcAAAADwAAAGRycy9kb3ducmV2LnhtbESP3YrCMBSE7xd8h3AE79ZUh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eTCLBAAAA3AAAAA8AAAAAAAAAAAAAAAAAmAIAAGRycy9kb3du&#10;cmV2LnhtbFBLBQYAAAAABAAEAPUAAACGAwAAAAA=&#10;" filled="f" stroked="f">
                  <v:textbox style="mso-fit-shape-to-text:t" inset="0,0,0,0">
                    <w:txbxContent>
                      <w:p w:rsidR="00AA5889" w:rsidRDefault="00AA5889" w:rsidP="00DA5475">
                        <w:r>
                          <w:rPr>
                            <w:color w:val="000000"/>
                          </w:rPr>
                          <w:t xml:space="preserve"> = </w:t>
                        </w:r>
                      </w:p>
                    </w:txbxContent>
                  </v:textbox>
                </v:rect>
                <v:rect id="Rectangle 25" o:spid="_x0000_s1033" style="position:absolute;left:704;top:1790;width:13456;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2jc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to3HAAAA3AAAAA8AAAAAAAAAAAAAAAAAmAIAAGRy&#10;cy9kb3ducmV2LnhtbFBLBQYAAAAABAAEAPUAAACMAwAAAAA=&#10;" fillcolor="black" stroked="f"/>
                <w10:anchorlock/>
              </v:group>
            </w:pict>
          </mc:Fallback>
        </mc:AlternateConten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lastRenderedPageBreak/>
        <w:t xml:space="preserve">وتبين الأشكال الواردة أدناه تطور تكلفة وحدة المعالجة من عام 2004 إلى عام 2012 باستخدام المنهجية القديمة ومن عام 2012 إلى عام 2014 باستخدام المنهجية الجديدة </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تكلفة وحدة معالجة طلب منشور بناء على معاهدة التعاون بشأن البراءات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838"/>
      </w:tblGrid>
      <w:tr w:rsidR="00861CFF" w:rsidRPr="00CE1404" w:rsidTr="00DA5475">
        <w:tc>
          <w:tcPr>
            <w:tcW w:w="4644" w:type="dxa"/>
            <w:shd w:val="clear" w:color="auto" w:fill="auto"/>
          </w:tcPr>
          <w:p w:rsidR="00861CFF" w:rsidRPr="00CE1404" w:rsidRDefault="00861CFF" w:rsidP="00DA5475">
            <w:pPr>
              <w:keepNext/>
              <w:keepLines/>
              <w:bidi w:val="0"/>
              <w:jc w:val="center"/>
              <w:rPr>
                <w:rFonts w:ascii="Arabic Typesetting" w:eastAsia="MS Mincho" w:hAnsi="Arabic Typesetting" w:cs="Arabic Typesetting"/>
                <w:sz w:val="34"/>
                <w:szCs w:val="34"/>
                <w:lang w:bidi="ar-SA"/>
              </w:rPr>
            </w:pPr>
            <w:r w:rsidRPr="00CE1404">
              <w:rPr>
                <w:rFonts w:ascii="Arabic Typesetting" w:eastAsia="MS Mincho" w:hAnsi="Arabic Typesetting" w:cs="Arabic Typesetting"/>
                <w:sz w:val="34"/>
                <w:szCs w:val="34"/>
                <w:rtl/>
                <w:lang w:bidi="ar-SA"/>
              </w:rPr>
              <w:t>الطريقة القديمة</w:t>
            </w:r>
          </w:p>
        </w:tc>
        <w:tc>
          <w:tcPr>
            <w:tcW w:w="4645" w:type="dxa"/>
            <w:shd w:val="clear" w:color="auto" w:fill="auto"/>
          </w:tcPr>
          <w:p w:rsidR="00861CFF" w:rsidRPr="00CE1404" w:rsidRDefault="00861CFF" w:rsidP="00DA5475">
            <w:pPr>
              <w:keepNext/>
              <w:keepLines/>
              <w:bidi w:val="0"/>
              <w:jc w:val="center"/>
              <w:rPr>
                <w:rFonts w:ascii="Arabic Typesetting" w:eastAsia="MS Mincho" w:hAnsi="Arabic Typesetting" w:cs="Arabic Typesetting"/>
                <w:sz w:val="34"/>
                <w:szCs w:val="34"/>
                <w:lang w:bidi="ar-SA"/>
              </w:rPr>
            </w:pPr>
            <w:r w:rsidRPr="00CE1404">
              <w:rPr>
                <w:rFonts w:ascii="Arabic Typesetting" w:eastAsia="MS Mincho" w:hAnsi="Arabic Typesetting" w:cs="Arabic Typesetting"/>
                <w:sz w:val="34"/>
                <w:szCs w:val="34"/>
                <w:rtl/>
                <w:lang w:bidi="ar-SA"/>
              </w:rPr>
              <w:t>الطريقة الجديدة</w:t>
            </w:r>
          </w:p>
        </w:tc>
      </w:tr>
      <w:tr w:rsidR="00861CFF" w:rsidRPr="00CE1404" w:rsidTr="00DA5475">
        <w:tc>
          <w:tcPr>
            <w:tcW w:w="4644" w:type="dxa"/>
            <w:shd w:val="clear" w:color="auto" w:fill="auto"/>
          </w:tcPr>
          <w:p w:rsidR="00861CFF" w:rsidRPr="00CE1404" w:rsidRDefault="00861CFF" w:rsidP="00DA5475">
            <w:pPr>
              <w:keepNext/>
              <w:keepLines/>
              <w:rPr>
                <w:rFonts w:eastAsia="MS Mincho" w:cs="Times New Roman"/>
                <w:sz w:val="24"/>
                <w:lang w:val="fr-CH" w:bidi="ar-SA"/>
              </w:rPr>
            </w:pPr>
            <w:r>
              <w:rPr>
                <w:rFonts w:eastAsia="MS Mincho" w:cs="Times New Roman"/>
                <w:noProof/>
                <w:sz w:val="24"/>
                <w:lang w:bidi="ar-SA"/>
              </w:rPr>
              <w:drawing>
                <wp:inline distT="0" distB="0" distL="0" distR="0" wp14:anchorId="67F28A6B" wp14:editId="5EB50A2E">
                  <wp:extent cx="2941320" cy="2339987"/>
                  <wp:effectExtent l="0" t="0" r="0" b="317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946049" cy="2343749"/>
                          </a:xfrm>
                          <a:prstGeom prst="rect">
                            <a:avLst/>
                          </a:prstGeom>
                          <a:noFill/>
                        </pic:spPr>
                      </pic:pic>
                    </a:graphicData>
                  </a:graphic>
                </wp:inline>
              </w:drawing>
            </w:r>
          </w:p>
        </w:tc>
        <w:tc>
          <w:tcPr>
            <w:tcW w:w="4645" w:type="dxa"/>
            <w:shd w:val="clear" w:color="auto" w:fill="auto"/>
          </w:tcPr>
          <w:p w:rsidR="00861CFF" w:rsidRPr="00CE1404" w:rsidRDefault="00861CFF" w:rsidP="00DA5475">
            <w:pPr>
              <w:keepNext/>
              <w:keepLines/>
              <w:rPr>
                <w:rFonts w:eastAsia="MS Mincho" w:cs="Times New Roman"/>
                <w:sz w:val="24"/>
                <w:lang w:val="fr-CH" w:bidi="ar-SA"/>
              </w:rPr>
            </w:pPr>
            <w:r>
              <w:rPr>
                <w:rFonts w:eastAsia="MS Mincho" w:cs="Times New Roman"/>
                <w:noProof/>
                <w:sz w:val="24"/>
                <w:lang w:bidi="ar-SA"/>
              </w:rPr>
              <w:drawing>
                <wp:inline distT="0" distB="0" distL="0" distR="0" wp14:anchorId="62546259" wp14:editId="5A4DCFCA">
                  <wp:extent cx="3007361" cy="2346960"/>
                  <wp:effectExtent l="0" t="0" r="254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3011760" cy="2350393"/>
                          </a:xfrm>
                          <a:prstGeom prst="rect">
                            <a:avLst/>
                          </a:prstGeom>
                          <a:noFill/>
                        </pic:spPr>
                      </pic:pic>
                    </a:graphicData>
                  </a:graphic>
                </wp:inline>
              </w:drawing>
            </w:r>
          </w:p>
        </w:tc>
      </w:tr>
    </w:tbl>
    <w:p w:rsidR="00861CFF" w:rsidRPr="00EC09E1" w:rsidRDefault="00861CFF" w:rsidP="00DA5475">
      <w:pPr>
        <w:spacing w:after="120" w:line="240" w:lineRule="exact"/>
        <w:rPr>
          <w:rFonts w:ascii="Arabic Typesetting" w:hAnsi="Arabic Typesetting" w:cs="Arabic Typesetting"/>
          <w:sz w:val="34"/>
          <w:szCs w:val="34"/>
          <w:lang w:val="en-GB"/>
        </w:rPr>
      </w:pPr>
    </w:p>
    <w:p w:rsidR="00861CFF" w:rsidRPr="00EC09E1" w:rsidRDefault="00861CFF" w:rsidP="00861CFF">
      <w:pPr>
        <w:numPr>
          <w:ilvl w:val="0"/>
          <w:numId w:val="53"/>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 xml:space="preserve">بلغ متوسط تكلفة معالجة طلب منشور بناء على معاهدة التعاون بشأن البراءات 662 فرنكا سويسريا في عام 2014، أي بانخفاض نسبته 8.3 في المائة مقارنة بعام 2013. ويعزى هذا الانخفاض إلى تدابير الفعالية المختلفة المتخذة ومنها </w:t>
      </w:r>
      <w:proofErr w:type="spellStart"/>
      <w:r w:rsidRPr="00EC09E1">
        <w:rPr>
          <w:rFonts w:ascii="Arabic Typesetting" w:hAnsi="Arabic Typesetting" w:cs="Arabic Typesetting"/>
          <w:sz w:val="34"/>
          <w:szCs w:val="34"/>
          <w:rtl/>
          <w:lang w:val="en-GB"/>
        </w:rPr>
        <w:t>الأتمتة</w:t>
      </w:r>
      <w:proofErr w:type="spellEnd"/>
      <w:r w:rsidRPr="00EC09E1">
        <w:rPr>
          <w:rFonts w:ascii="Arabic Typesetting" w:hAnsi="Arabic Typesetting" w:cs="Arabic Typesetting"/>
          <w:sz w:val="34"/>
          <w:szCs w:val="34"/>
          <w:rtl/>
          <w:lang w:val="en-GB"/>
        </w:rPr>
        <w:t>.</w:t>
      </w:r>
    </w:p>
    <w:p w:rsidR="00861CFF" w:rsidRPr="00EC09E1" w:rsidRDefault="00861CFF" w:rsidP="00861CFF">
      <w:pPr>
        <w:numPr>
          <w:ilvl w:val="0"/>
          <w:numId w:val="53"/>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وانخفض متوسط تكلفة معالجة طلب منشور بناء على معاهدة التعاون بشأن البراءات المحسوب باستخدام المنهجية القديمة بنسبة 5 في المائة في المتوسط في كل عام من مبلغ 042 1 فرنكا سويسريا في عام 2004 إلى مبلغ 680 فرنكا سويسريا في عام 2012.</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إنتاجية فحص الإجراءات الشكلية</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تعرف إنتاجية الموظفين على أنها المخرجات (أي عدد منشورات معاهدة التعاون بشأن البراءات) مقسمة على عدد الموظفين المتاحين لفحص الإجراءات الشكلية.</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إنتاجية فحص الإجراءات الشكلية</w:t>
      </w:r>
    </w:p>
    <w:p w:rsidR="00861CFF" w:rsidRPr="00EC09E1" w:rsidRDefault="00861CFF" w:rsidP="00DA5475">
      <w:pPr>
        <w:spacing w:after="120"/>
        <w:rPr>
          <w:rFonts w:ascii="Arabic Typesetting" w:hAnsi="Arabic Typesetting" w:cs="Arabic Typesetting"/>
          <w:sz w:val="34"/>
          <w:szCs w:val="34"/>
          <w:lang w:val="en-GB"/>
        </w:rPr>
      </w:pPr>
      <w:r>
        <w:rPr>
          <w:rFonts w:ascii="Arabic Typesetting" w:hAnsi="Arabic Typesetting" w:cs="Arabic Typesetting"/>
          <w:noProof/>
          <w:sz w:val="34"/>
          <w:szCs w:val="34"/>
          <w:lang w:bidi="ar-SA"/>
        </w:rPr>
        <w:drawing>
          <wp:inline distT="0" distB="0" distL="0" distR="0" wp14:anchorId="762961F4" wp14:editId="2C9FCB39">
            <wp:extent cx="5645426" cy="2203808"/>
            <wp:effectExtent l="0" t="0" r="0" b="635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645301" cy="2203759"/>
                    </a:xfrm>
                    <a:prstGeom prst="rect">
                      <a:avLst/>
                    </a:prstGeom>
                    <a:noFill/>
                  </pic:spPr>
                </pic:pic>
              </a:graphicData>
            </a:graphic>
          </wp:inline>
        </w:drawing>
      </w:r>
    </w:p>
    <w:p w:rsidR="00861CFF" w:rsidRPr="00EC09E1" w:rsidRDefault="00861CFF" w:rsidP="00861CFF">
      <w:pPr>
        <w:numPr>
          <w:ilvl w:val="0"/>
          <w:numId w:val="54"/>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 xml:space="preserve">ارتفعت إنتاجية فحص الإجراءات الشكلية في الماضي أساسا بسبب </w:t>
      </w:r>
      <w:proofErr w:type="spellStart"/>
      <w:r w:rsidRPr="00EC09E1">
        <w:rPr>
          <w:rFonts w:ascii="Arabic Typesetting" w:hAnsi="Arabic Typesetting" w:cs="Arabic Typesetting"/>
          <w:sz w:val="34"/>
          <w:szCs w:val="34"/>
          <w:rtl/>
          <w:lang w:val="en-GB"/>
        </w:rPr>
        <w:t>أتمتة</w:t>
      </w:r>
      <w:proofErr w:type="spellEnd"/>
      <w:r w:rsidRPr="00EC09E1">
        <w:rPr>
          <w:rFonts w:ascii="Arabic Typesetting" w:hAnsi="Arabic Typesetting" w:cs="Arabic Typesetting"/>
          <w:sz w:val="34"/>
          <w:szCs w:val="34"/>
          <w:rtl/>
          <w:lang w:val="en-GB"/>
        </w:rPr>
        <w:t xml:space="preserve"> هذه الإجراءات التي أتاحت معالجة عدد أكبر من أعباء العمل بعدد أقل أو مساوٍ من الموظفين.</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lastRenderedPageBreak/>
        <w:t>الجودة الإجمالية لفحص الإجراءات الشكلية</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سعيا إلى قياس جودة العمل الذي يضطلع به المكتب الدولي بطريقة بسيطة وشاملة، طور المكتب مؤشرا للجودة الإجمالية، يحسب كمتوسط أربعة مؤشرات رئيسية للجودة، تقوم ثلاثة منها على توقيت المعاملات الرئيسية في نظام المعاهدة: وهي الإشعار باستلام النسخة الأصلية والنشر وإعادة النشر. ويبين المؤشر الرابع عدد الأخطاء المرتكبة خلال معالجة طلبات معاهدة التعاون بشأن البراءات.</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مؤشر جودة فحص الإجراءات الشكلية</w:t>
      </w:r>
    </w:p>
    <w:p w:rsidR="00861CFF" w:rsidRPr="00EC09E1" w:rsidRDefault="00861CFF" w:rsidP="00DA5475">
      <w:pPr>
        <w:spacing w:after="120"/>
        <w:rPr>
          <w:rFonts w:ascii="Arabic Typesetting" w:hAnsi="Arabic Typesetting" w:cs="Arabic Typesetting"/>
          <w:sz w:val="34"/>
          <w:szCs w:val="34"/>
          <w:rtl/>
          <w:lang w:val="en-GB"/>
        </w:rPr>
      </w:pPr>
      <w:r>
        <w:rPr>
          <w:rFonts w:ascii="Arabic Typesetting" w:hAnsi="Arabic Typesetting" w:cs="Arabic Typesetting"/>
          <w:noProof/>
          <w:sz w:val="34"/>
          <w:szCs w:val="34"/>
          <w:lang w:bidi="ar-SA"/>
        </w:rPr>
        <w:drawing>
          <wp:inline distT="0" distB="0" distL="0" distR="0" wp14:anchorId="09440DAC" wp14:editId="12CD294C">
            <wp:extent cx="5933746" cy="2425148"/>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935481" cy="2425857"/>
                    </a:xfrm>
                    <a:prstGeom prst="rect">
                      <a:avLst/>
                    </a:prstGeom>
                    <a:noFill/>
                  </pic:spPr>
                </pic:pic>
              </a:graphicData>
            </a:graphic>
          </wp:inline>
        </w:drawing>
      </w:r>
    </w:p>
    <w:p w:rsidR="00861CFF" w:rsidRPr="00EC09E1" w:rsidRDefault="00861CFF" w:rsidP="00861CFF">
      <w:pPr>
        <w:numPr>
          <w:ilvl w:val="0"/>
          <w:numId w:val="54"/>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تحسنت الجودة الإجمالية، المقاسة بالمؤشر المركب، تحسنا ملحوظا من متوسط قدره 81 في المائة في عام 2007 إلى 93.1 في المائة في عام 2014.</w:t>
      </w:r>
    </w:p>
    <w:p w:rsidR="00861CFF" w:rsidRPr="00EC09E1" w:rsidRDefault="00861CFF" w:rsidP="00861CFF">
      <w:pPr>
        <w:numPr>
          <w:ilvl w:val="0"/>
          <w:numId w:val="54"/>
        </w:numPr>
        <w:spacing w:after="120" w:line="340" w:lineRule="exact"/>
        <w:rPr>
          <w:rFonts w:ascii="Arabic Typesetting" w:hAnsi="Arabic Typesetting" w:cs="Arabic Typesetting"/>
          <w:sz w:val="34"/>
          <w:szCs w:val="34"/>
          <w:lang w:val="en-GB"/>
        </w:rPr>
      </w:pPr>
      <w:r w:rsidRPr="00EC09E1">
        <w:rPr>
          <w:rFonts w:ascii="Arabic Typesetting" w:hAnsi="Arabic Typesetting" w:cs="Arabic Typesetting"/>
          <w:sz w:val="34"/>
          <w:szCs w:val="34"/>
          <w:rtl/>
          <w:lang w:val="en-GB"/>
        </w:rPr>
        <w:t>وتعزى الزيادة الملحوظة في مؤشر الجودة في عام 2014 أساسا إلى تحسين توقيت أداء فحص الإجراءات الشكلية وإلى تراجع التأخر في إعادة نشر الطلبات إلى جانب تقرير البحث الدولي. ويعزى التأخر في فحص الإجراءات الشكلية وإعادة النشر أساسا إلى انخفاض مؤشر الجودة الملاحظ خلال الفترة 2010-2013.</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توقيت فحص الإجراءات الشكلية</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يبين هذا المؤشر بمزيد من التفاصيل أحد عناصر مؤشر الجودة المركب، وهو الوقت اللازم للمكتب الدولي لإصدار الاستمارة 301. وتصدر هذه الاستمارة عقب استكمال فحص الإجراءات الشكلية للطلب. ويحبذ المودعون تلقي هذه الاستمارة في أسرع وقت ممكن لأن ذلك فيه إشعار بتسلم المكتب الدولي للطلب، ويسمح لهم بمعرفة إن كان طلبهم تتخلله أية نواقص شكلية.</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توقيت فحص الإجراءات الشكلية</w:t>
      </w:r>
    </w:p>
    <w:p w:rsidR="00861CFF" w:rsidRPr="00EC09E1" w:rsidRDefault="00861CFF" w:rsidP="00DA5475">
      <w:pPr>
        <w:spacing w:after="120"/>
        <w:rPr>
          <w:rFonts w:ascii="Arabic Typesetting" w:hAnsi="Arabic Typesetting" w:cs="Arabic Typesetting"/>
          <w:sz w:val="34"/>
          <w:szCs w:val="34"/>
          <w:rtl/>
          <w:lang w:val="en-GB"/>
        </w:rPr>
      </w:pPr>
      <w:r>
        <w:rPr>
          <w:rFonts w:ascii="Arabic Typesetting" w:hAnsi="Arabic Typesetting" w:cs="Arabic Typesetting"/>
          <w:noProof/>
          <w:sz w:val="34"/>
          <w:szCs w:val="34"/>
          <w:lang w:bidi="ar-SA"/>
        </w:rPr>
        <w:drawing>
          <wp:inline distT="0" distB="0" distL="0" distR="0" wp14:anchorId="63B609B8" wp14:editId="599FD220">
            <wp:extent cx="5441433" cy="2148801"/>
            <wp:effectExtent l="0" t="0" r="6985" b="444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454053" cy="2153785"/>
                    </a:xfrm>
                    <a:prstGeom prst="rect">
                      <a:avLst/>
                    </a:prstGeom>
                    <a:noFill/>
                  </pic:spPr>
                </pic:pic>
              </a:graphicData>
            </a:graphic>
          </wp:inline>
        </w:drawing>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lastRenderedPageBreak/>
        <w:t>توقيت النشر</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يبين هذا المؤشر بمزيد من التفاصيل أحد عناصر مؤشر الجودة المركب، وهو الوقت اللازم للمكتب الدولي لنشر الطلب. وتنص المادة 21(2)(أ) من معاهدة التعاون بشأن البراءات على أن "[...] يُجرى النشر الدولي للطلب الدولي فور انقضاء 18 شهرا من تاريخ أولوية هذا الطلب"</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توقيت النشر</w:t>
      </w:r>
    </w:p>
    <w:p w:rsidR="00861CFF" w:rsidRPr="00EC09E1" w:rsidRDefault="00861CFF" w:rsidP="00DA5475">
      <w:pPr>
        <w:spacing w:after="120"/>
        <w:rPr>
          <w:rFonts w:ascii="Arabic Typesetting" w:hAnsi="Arabic Typesetting" w:cs="Arabic Typesetting"/>
          <w:sz w:val="34"/>
          <w:szCs w:val="34"/>
          <w:lang w:val="en-GB"/>
        </w:rPr>
      </w:pPr>
      <w:r>
        <w:rPr>
          <w:rFonts w:ascii="Arabic Typesetting" w:hAnsi="Arabic Typesetting" w:cs="Arabic Typesetting"/>
          <w:noProof/>
          <w:sz w:val="34"/>
          <w:szCs w:val="34"/>
          <w:lang w:bidi="ar-SA"/>
        </w:rPr>
        <w:drawing>
          <wp:inline distT="0" distB="0" distL="0" distR="0" wp14:anchorId="634D003F" wp14:editId="1C0F5CF0">
            <wp:extent cx="5380382" cy="2246574"/>
            <wp:effectExtent l="0" t="0" r="0" b="190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376446" cy="2244931"/>
                    </a:xfrm>
                    <a:prstGeom prst="rect">
                      <a:avLst/>
                    </a:prstGeom>
                    <a:noFill/>
                  </pic:spPr>
                </pic:pic>
              </a:graphicData>
            </a:graphic>
          </wp:inline>
        </w:drawing>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توقيت إعادة النشر</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يبين هذا المؤشر بمزيد من التفاصيل أحد عناصر مؤشر الجودة المركب، وهو الوقت اللازم للمكتب الدولي لإعادة نشر الطلب مع تقرير البحث الدولي. ونظرا لتأخر إدارات البحث الدولي في تقديم تقارير البحث الدولي، ينشر عدد من الطلبات الدولية من دون هذه التقارير. وعندما تتاح هذه التقارير، سيلزم إعادة نشر الطلبات الدولية معها في أسرع وقت ممكن، لاستكمال النشر الدولي.</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توقيت إعادة النشر</w:t>
      </w:r>
    </w:p>
    <w:p w:rsidR="00861CFF" w:rsidRPr="00EC09E1" w:rsidRDefault="00861CFF" w:rsidP="00DA5475">
      <w:pPr>
        <w:spacing w:after="120"/>
        <w:rPr>
          <w:rFonts w:ascii="Arabic Typesetting" w:hAnsi="Arabic Typesetting" w:cs="Arabic Typesetting"/>
          <w:sz w:val="34"/>
          <w:szCs w:val="34"/>
          <w:lang w:val="en-GB"/>
        </w:rPr>
      </w:pPr>
      <w:r>
        <w:rPr>
          <w:rFonts w:ascii="Arabic Typesetting" w:hAnsi="Arabic Typesetting" w:cs="Arabic Typesetting"/>
          <w:noProof/>
          <w:sz w:val="34"/>
          <w:szCs w:val="34"/>
          <w:lang w:bidi="ar-SA"/>
        </w:rPr>
        <w:drawing>
          <wp:inline distT="0" distB="0" distL="0" distR="0" wp14:anchorId="146D13D2" wp14:editId="379E0E58">
            <wp:extent cx="5376331" cy="2420448"/>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382833" cy="2423375"/>
                    </a:xfrm>
                    <a:prstGeom prst="rect">
                      <a:avLst/>
                    </a:prstGeom>
                    <a:noFill/>
                  </pic:spPr>
                </pic:pic>
              </a:graphicData>
            </a:graphic>
          </wp:inline>
        </w:drawing>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جودة الترجمة</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يختار عشوائيا عدد يحسب إحصائيا من وثائق ترجمات الملخصات والتقارير التي تعد تحت مسؤولية المكتب الدولي لتخضع لاختبار جودة. ويحدد التقييم إذا كانت الترجمة "مقبولة" أو "غير مقبولة".</w:t>
      </w:r>
      <w:r w:rsidRPr="00EC09E1">
        <w:rPr>
          <w:sz w:val="34"/>
          <w:szCs w:val="34"/>
          <w:rtl/>
        </w:rPr>
        <w:t xml:space="preserve"> </w:t>
      </w:r>
      <w:r w:rsidRPr="00EC09E1">
        <w:rPr>
          <w:sz w:val="34"/>
          <w:szCs w:val="34"/>
          <w:rtl/>
          <w:lang w:val="en-GB"/>
        </w:rPr>
        <w:t>ويجمع هذا المؤشر نتائج اختبار الجودة الذي يجريه المكتب الدولي في جميع توليفات اللغات وجميع أنواع الوثائق. وتقطع العلاقات مع أية وكالات تعتبر دائما نسبة أقل من 80 في المائة من ترجماتها "مقبولة" أو "منقطعة".</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lastRenderedPageBreak/>
        <w:t>جودة ترجمة معاهدة التعاون بشأن البراءات</w:t>
      </w:r>
    </w:p>
    <w:p w:rsidR="00861CFF" w:rsidRPr="00EC09E1" w:rsidRDefault="00861CFF" w:rsidP="00DA5475">
      <w:pPr>
        <w:spacing w:after="120"/>
        <w:rPr>
          <w:rFonts w:ascii="Arabic Typesetting" w:hAnsi="Arabic Typesetting" w:cs="Arabic Typesetting"/>
          <w:sz w:val="34"/>
          <w:szCs w:val="34"/>
          <w:lang w:val="en-GB"/>
        </w:rPr>
      </w:pPr>
      <w:r>
        <w:rPr>
          <w:rFonts w:ascii="Arabic Typesetting" w:hAnsi="Arabic Typesetting" w:cs="Arabic Typesetting"/>
          <w:noProof/>
          <w:sz w:val="34"/>
          <w:szCs w:val="34"/>
          <w:lang w:bidi="ar-SA"/>
        </w:rPr>
        <w:drawing>
          <wp:inline distT="0" distB="0" distL="0" distR="0" wp14:anchorId="45992281" wp14:editId="1ECD9538">
            <wp:extent cx="5281901" cy="2687394"/>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290319" cy="2691677"/>
                    </a:xfrm>
                    <a:prstGeom prst="rect">
                      <a:avLst/>
                    </a:prstGeom>
                    <a:noFill/>
                  </pic:spPr>
                </pic:pic>
              </a:graphicData>
            </a:graphic>
          </wp:inline>
        </w:drawing>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توقيت تقرير الترجمة</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الغرض من هذا المؤشر هو تقديم معلومات عن التوقيت الذي يتيح المكتب الدولي خلاله ترجمات تقارير الأهلية للبراءة للمودعين والمكاتب. وقد زادت نسبة تقارير الأهلية للبراءة المرسلة خلال 30 شهرا من تاريخ أولوية الطلب زيادة مطردة منذ عام 2010. وفي عام 2014 أرسلت نسبة 82.5 في المائدة من تقارير الأهلية للبراءة خلال 30 شهراً من تاريخ الأولوية.</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توقيت تقرير الترجمة</w:t>
      </w:r>
    </w:p>
    <w:p w:rsidR="00861CFF" w:rsidRPr="00EC09E1" w:rsidRDefault="00861CFF" w:rsidP="00DA5475">
      <w:pPr>
        <w:spacing w:after="120"/>
        <w:rPr>
          <w:rFonts w:ascii="Arabic Typesetting" w:hAnsi="Arabic Typesetting" w:cs="Arabic Typesetting"/>
          <w:sz w:val="34"/>
          <w:szCs w:val="34"/>
          <w:lang w:val="en-GB"/>
        </w:rPr>
      </w:pPr>
      <w:r>
        <w:rPr>
          <w:rFonts w:ascii="Arabic Typesetting" w:hAnsi="Arabic Typesetting" w:cs="Arabic Typesetting"/>
          <w:noProof/>
          <w:sz w:val="34"/>
          <w:szCs w:val="34"/>
          <w:lang w:bidi="ar-SA"/>
        </w:rPr>
        <w:drawing>
          <wp:inline distT="0" distB="0" distL="0" distR="0" wp14:anchorId="4FE23D77" wp14:editId="355CD9F2">
            <wp:extent cx="5367130" cy="2248361"/>
            <wp:effectExtent l="0" t="0" r="508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374871" cy="2251604"/>
                    </a:xfrm>
                    <a:prstGeom prst="rect">
                      <a:avLst/>
                    </a:prstGeom>
                    <a:noFill/>
                  </pic:spPr>
                </pic:pic>
              </a:graphicData>
            </a:graphic>
          </wp:inline>
        </w:drawing>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جودة تطوير البرمجيات</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يتيح مؤشر جودة تطوير البرمجيات مقياسا لجودة أكبر إصدارات البرمجيات لمشروعي الملفات الإلكترونية (</w:t>
      </w:r>
      <w:proofErr w:type="spellStart"/>
      <w:r w:rsidRPr="00EC09E1">
        <w:rPr>
          <w:sz w:val="34"/>
          <w:szCs w:val="34"/>
          <w:lang w:val="en-GB"/>
        </w:rPr>
        <w:t>eDossier</w:t>
      </w:r>
      <w:proofErr w:type="spellEnd"/>
      <w:r w:rsidRPr="00EC09E1">
        <w:rPr>
          <w:sz w:val="34"/>
          <w:szCs w:val="34"/>
          <w:rtl/>
          <w:lang w:val="en-GB"/>
        </w:rPr>
        <w:t>) ونظام معاهدة التعاون بشأن البراءات الإلكتروني (</w:t>
      </w:r>
      <w:proofErr w:type="spellStart"/>
      <w:r w:rsidRPr="00EC09E1">
        <w:rPr>
          <w:sz w:val="34"/>
          <w:szCs w:val="34"/>
          <w:lang w:val="en-GB"/>
        </w:rPr>
        <w:t>ePCT</w:t>
      </w:r>
      <w:proofErr w:type="spellEnd"/>
      <w:r w:rsidRPr="00EC09E1">
        <w:rPr>
          <w:sz w:val="34"/>
          <w:szCs w:val="34"/>
          <w:rtl/>
          <w:lang w:val="en-GB"/>
        </w:rPr>
        <w:t xml:space="preserve">). ويبين هذا المؤشر الحصة المستغرقة من الوقت لإصدار وظائف جديدة في النسخ الصادرة (أي العمل) من إجمالي الوقت المستغرق (أي العمل + إعادة العمل). وإعادة العمل هو الوقت المستغرق لتصويب الأعمال المعيبة المحددة في بيئة الإنتاج. </w:t>
      </w:r>
    </w:p>
    <w:p w:rsidR="00463E5E" w:rsidRDefault="00463E5E">
      <w:pPr>
        <w:bidi w:val="0"/>
        <w:rPr>
          <w:rFonts w:ascii="Arabic Typesetting" w:hAnsi="Arabic Typesetting" w:cs="Arabic Typesetting"/>
          <w:sz w:val="34"/>
          <w:szCs w:val="34"/>
          <w:rtl/>
          <w:lang w:val="en-GB" w:bidi="ar-SA"/>
        </w:rPr>
      </w:pPr>
      <w:r>
        <w:rPr>
          <w:sz w:val="34"/>
          <w:szCs w:val="34"/>
          <w:rtl/>
          <w:lang w:val="en-GB"/>
        </w:rPr>
        <w:br w:type="page"/>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lastRenderedPageBreak/>
        <w:t>وفي ظل هذه المقاربة ستعتبر مخرجات التطوير التي تحتوي على مستويات أدنى من إعادة العمل عالية الجودة لأنها تعكس مدى القيمة المضافة للمنتج من خلال استحداث السمات الجديدة.</w:t>
      </w:r>
    </w:p>
    <w:p w:rsidR="00861CFF" w:rsidRPr="00EC09E1" w:rsidRDefault="00861CFF" w:rsidP="00861CFF">
      <w:pPr>
        <w:pStyle w:val="NumberedParaAR"/>
        <w:numPr>
          <w:ilvl w:val="0"/>
          <w:numId w:val="56"/>
        </w:numPr>
        <w:spacing w:after="120" w:line="340" w:lineRule="exact"/>
        <w:rPr>
          <w:sz w:val="34"/>
          <w:szCs w:val="34"/>
          <w:lang w:val="en-GB"/>
        </w:rPr>
      </w:pPr>
      <w:r w:rsidRPr="00EC09E1">
        <w:rPr>
          <w:noProof/>
          <w:sz w:val="34"/>
          <w:szCs w:val="34"/>
        </w:rPr>
        <mc:AlternateContent>
          <mc:Choice Requires="wps">
            <w:drawing>
              <wp:anchor distT="0" distB="0" distL="114300" distR="114300" simplePos="0" relativeHeight="251674624" behindDoc="0" locked="0" layoutInCell="1" allowOverlap="1" wp14:anchorId="4621D8FA" wp14:editId="1B8DD447">
                <wp:simplePos x="0" y="0"/>
                <wp:positionH relativeFrom="column">
                  <wp:posOffset>2585720</wp:posOffset>
                </wp:positionH>
                <wp:positionV relativeFrom="paragraph">
                  <wp:posOffset>285750</wp:posOffset>
                </wp:positionV>
                <wp:extent cx="405130" cy="212725"/>
                <wp:effectExtent l="0" t="0" r="13970" b="15875"/>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B9220D" w:rsidRDefault="00AA5889" w:rsidP="00DA5475">
                            <w:pPr>
                              <w:jc w:val="right"/>
                              <w:rPr>
                                <w:rFonts w:ascii="Traditional Arabic" w:hAnsi="Traditional Arabic"/>
                                <w:sz w:val="26"/>
                                <w:szCs w:val="26"/>
                              </w:rPr>
                            </w:pPr>
                            <w:r w:rsidRPr="00B9220D">
                              <w:rPr>
                                <w:rFonts w:ascii="Traditional Arabic" w:hAnsi="Traditional Arabic"/>
                                <w:color w:val="000000"/>
                                <w:sz w:val="26"/>
                                <w:szCs w:val="26"/>
                                <w:rtl/>
                              </w:rPr>
                              <w:t>العمل</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angle 161" o:spid="_x0000_s1034" style="position:absolute;left:0;text-align:left;margin-left:203.6pt;margin-top:22.5pt;width:31.9pt;height:1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" filled="f" stroked="f">
                <v:textbox inset="0,0,0,0">
                  <w:txbxContent>
                    <w:p w:rsidR="00AA5889" w:rsidRPr="00B9220D" w:rsidRDefault="00AA5889" w:rsidP="00DA5475">
                      <w:pPr>
                        <w:jc w:val="right"/>
                        <w:rPr>
                          <w:rFonts w:ascii="Traditional Arabic" w:hAnsi="Traditional Arabic"/>
                          <w:sz w:val="26"/>
                          <w:szCs w:val="26"/>
                        </w:rPr>
                      </w:pPr>
                      <w:r w:rsidRPr="00B9220D">
                        <w:rPr>
                          <w:rFonts w:ascii="Traditional Arabic" w:hAnsi="Traditional Arabic"/>
                          <w:color w:val="000000"/>
                          <w:sz w:val="26"/>
                          <w:szCs w:val="26"/>
                          <w:rtl/>
                        </w:rPr>
                        <w:t>العمل</w:t>
                      </w:r>
                    </w:p>
                  </w:txbxContent>
                </v:textbox>
              </v:rect>
            </w:pict>
          </mc:Fallback>
        </mc:AlternateContent>
      </w:r>
      <w:r w:rsidRPr="00EC09E1">
        <w:rPr>
          <w:sz w:val="34"/>
          <w:szCs w:val="34"/>
          <w:rtl/>
          <w:lang w:val="en-GB"/>
        </w:rPr>
        <w:t>ويعرف مؤشر جودة تطوير البرمجيات على النحو التالي:</w:t>
      </w:r>
    </w:p>
    <w:p w:rsidR="00861CFF" w:rsidRPr="00EC09E1" w:rsidRDefault="00861CFF" w:rsidP="00DA5475">
      <w:pPr>
        <w:spacing w:after="120" w:line="340" w:lineRule="exact"/>
        <w:jc w:val="center"/>
        <w:rPr>
          <w:rFonts w:ascii="Arabic Typesetting" w:hAnsi="Arabic Typesetting" w:cs="Arabic Typesetting"/>
          <w:sz w:val="34"/>
          <w:szCs w:val="34"/>
          <w:lang w:val="en-GB"/>
        </w:rPr>
      </w:pPr>
    </w:p>
    <w:p w:rsidR="00861CFF" w:rsidRPr="00EC09E1" w:rsidRDefault="00861CFF" w:rsidP="00DA5475">
      <w:pPr>
        <w:tabs>
          <w:tab w:val="left" w:pos="5972"/>
        </w:tabs>
        <w:spacing w:after="120" w:line="340" w:lineRule="exact"/>
        <w:jc w:val="center"/>
        <w:rPr>
          <w:rFonts w:ascii="Arabic Typesetting" w:hAnsi="Arabic Typesetting" w:cs="Arabic Typesetting"/>
          <w:sz w:val="34"/>
          <w:szCs w:val="34"/>
          <w:lang w:val="en-GB"/>
        </w:rPr>
      </w:pPr>
      <w:r w:rsidRPr="00EC09E1">
        <w:rPr>
          <w:rFonts w:ascii="Arabic Typesetting" w:hAnsi="Arabic Typesetting" w:cs="Arabic Typesetting"/>
          <w:noProof/>
          <w:sz w:val="34"/>
          <w:szCs w:val="34"/>
          <w:lang w:bidi="ar-SA"/>
        </w:rPr>
        <mc:AlternateContent>
          <mc:Choice Requires="wpc">
            <w:drawing>
              <wp:inline distT="0" distB="0" distL="0" distR="0" wp14:anchorId="2B155906" wp14:editId="6D04FB9E">
                <wp:extent cx="3522980" cy="393065"/>
                <wp:effectExtent l="0" t="0" r="0" b="6985"/>
                <wp:docPr id="219" name="Canvas 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2" name="Rectangle 12"/>
                        <wps:cNvSpPr>
                          <a:spLocks noChangeArrowheads="1"/>
                        </wps:cNvSpPr>
                        <wps:spPr bwMode="auto">
                          <a:xfrm>
                            <a:off x="1085688" y="203835"/>
                            <a:ext cx="82867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B9220D" w:rsidRDefault="00AA5889" w:rsidP="00DA5475">
                              <w:pPr>
                                <w:jc w:val="right"/>
                                <w:rPr>
                                  <w:rFonts w:ascii="Arabic Typesetting" w:hAnsi="Arabic Typesetting" w:cs="Arabic Typesetting"/>
                                  <w:sz w:val="26"/>
                                  <w:szCs w:val="26"/>
                                </w:rPr>
                              </w:pPr>
                              <w:r w:rsidRPr="00B9220D">
                                <w:rPr>
                                  <w:rFonts w:ascii="Arabic Typesetting" w:hAnsi="Arabic Typesetting" w:cs="Arabic Typesetting"/>
                                  <w:color w:val="000000"/>
                                  <w:sz w:val="26"/>
                                  <w:szCs w:val="26"/>
                                  <w:rtl/>
                                </w:rPr>
                                <w:t>العمل + إعادة العمل</w:t>
                              </w:r>
                            </w:p>
                          </w:txbxContent>
                        </wps:txbx>
                        <wps:bodyPr rot="0" vert="horz" wrap="square" lIns="0" tIns="0" rIns="0" bIns="0" anchor="t" anchorCtr="0">
                          <a:spAutoFit/>
                        </wps:bodyPr>
                      </wps:wsp>
                      <wps:wsp>
                        <wps:cNvPr id="163" name="Rectangle 13"/>
                        <wps:cNvSpPr>
                          <a:spLocks noChangeArrowheads="1"/>
                        </wps:cNvSpPr>
                        <wps:spPr bwMode="auto">
                          <a:xfrm>
                            <a:off x="923026" y="74932"/>
                            <a:ext cx="6413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Default="00AA5889" w:rsidP="00DA5475">
                              <w:r>
                                <w:rPr>
                                  <w:color w:val="000000"/>
                                </w:rPr>
                                <w:t>*</w:t>
                              </w:r>
                            </w:p>
                          </w:txbxContent>
                        </wps:txbx>
                        <wps:bodyPr rot="0" vert="horz" wrap="none" lIns="0" tIns="0" rIns="0" bIns="0" anchor="t" anchorCtr="0">
                          <a:noAutofit/>
                        </wps:bodyPr>
                      </wps:wsp>
                      <wps:wsp>
                        <wps:cNvPr id="164" name="Rectangle 14"/>
                        <wps:cNvSpPr>
                          <a:spLocks noChangeArrowheads="1"/>
                        </wps:cNvSpPr>
                        <wps:spPr bwMode="auto">
                          <a:xfrm>
                            <a:off x="603849" y="74932"/>
                            <a:ext cx="22415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B9220D" w:rsidRDefault="00AA5889" w:rsidP="00DA5475">
                              <w:pPr>
                                <w:jc w:val="right"/>
                                <w:rPr>
                                  <w:rFonts w:ascii="Arabic Typesetting" w:hAnsi="Arabic Typesetting" w:cs="Arabic Typesetting"/>
                                  <w:sz w:val="26"/>
                                  <w:szCs w:val="26"/>
                                </w:rPr>
                              </w:pPr>
                              <w:r w:rsidRPr="00B9220D">
                                <w:rPr>
                                  <w:rFonts w:ascii="Arabic Typesetting" w:hAnsi="Arabic Typesetting" w:cs="Arabic Typesetting"/>
                                  <w:color w:val="000000"/>
                                  <w:sz w:val="26"/>
                                  <w:szCs w:val="26"/>
                                </w:rPr>
                                <w:t>100</w:t>
                              </w:r>
                            </w:p>
                          </w:txbxContent>
                        </wps:txbx>
                        <wps:bodyPr rot="0" vert="horz" wrap="square" lIns="0" tIns="0" rIns="0" bIns="0" anchor="t" anchorCtr="0">
                          <a:spAutoFit/>
                        </wps:bodyPr>
                      </wps:wsp>
                      <wps:wsp>
                        <wps:cNvPr id="212" name="Rectangle 15"/>
                        <wps:cNvSpPr>
                          <a:spLocks noChangeArrowheads="1"/>
                        </wps:cNvSpPr>
                        <wps:spPr bwMode="auto">
                          <a:xfrm>
                            <a:off x="2086309" y="103517"/>
                            <a:ext cx="25971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B9220D" w:rsidRDefault="00AA5889" w:rsidP="00DA5475">
                              <w:pPr>
                                <w:jc w:val="right"/>
                                <w:rPr>
                                  <w:rFonts w:ascii="Arabic Typesetting" w:hAnsi="Arabic Typesetting" w:cs="Arabic Typesetting"/>
                                  <w:sz w:val="26"/>
                                  <w:szCs w:val="26"/>
                                </w:rPr>
                              </w:pPr>
                              <w:r w:rsidRPr="00B9220D">
                                <w:rPr>
                                  <w:rFonts w:ascii="Arabic Typesetting" w:hAnsi="Arabic Typesetting" w:cs="Arabic Typesetting"/>
                                  <w:color w:val="000000"/>
                                  <w:sz w:val="26"/>
                                  <w:szCs w:val="26"/>
                                </w:rPr>
                                <w:t xml:space="preserve"> = </w:t>
                              </w:r>
                            </w:p>
                          </w:txbxContent>
                        </wps:txbx>
                        <wps:bodyPr rot="0" vert="horz" wrap="square" lIns="0" tIns="0" rIns="0" bIns="0" anchor="t" anchorCtr="0">
                          <a:spAutoFit/>
                        </wps:bodyPr>
                      </wps:wsp>
                      <wps:wsp>
                        <wps:cNvPr id="213" name="Rectangle 16"/>
                        <wps:cNvSpPr>
                          <a:spLocks noChangeArrowheads="1"/>
                        </wps:cNvSpPr>
                        <wps:spPr bwMode="auto">
                          <a:xfrm>
                            <a:off x="1085850" y="160655"/>
                            <a:ext cx="95250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17"/>
                        <wps:cNvSpPr>
                          <a:spLocks noChangeArrowheads="1"/>
                        </wps:cNvSpPr>
                        <wps:spPr bwMode="auto">
                          <a:xfrm>
                            <a:off x="2492356" y="115128"/>
                            <a:ext cx="7696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89" w:rsidRPr="006042F1" w:rsidRDefault="00AA5889" w:rsidP="00DA5475">
                              <w:pPr>
                                <w:rPr>
                                  <w:rFonts w:ascii="Arabic Typesetting" w:hAnsi="Arabic Typesetting" w:cs="Arabic Typesetting"/>
                                  <w:sz w:val="26"/>
                                  <w:szCs w:val="26"/>
                                </w:rPr>
                              </w:pPr>
                              <w:r w:rsidRPr="006042F1">
                                <w:rPr>
                                  <w:rFonts w:ascii="Arabic Typesetting" w:hAnsi="Arabic Typesetting" w:cs="Arabic Typesetting"/>
                                  <w:color w:val="000000"/>
                                  <w:sz w:val="26"/>
                                  <w:szCs w:val="26"/>
                                  <w:rtl/>
                                </w:rPr>
                                <w:t>جودة تطوير البرمجيات</w:t>
                              </w:r>
                            </w:p>
                          </w:txbxContent>
                        </wps:txbx>
                        <wps:bodyPr rot="0" vert="horz" wrap="none" lIns="0" tIns="0" rIns="0" bIns="0" anchor="t" anchorCtr="0">
                          <a:noAutofit/>
                        </wps:bodyPr>
                      </wps:wsp>
                    </wpc:wpc>
                  </a:graphicData>
                </a:graphic>
              </wp:inline>
            </w:drawing>
          </mc:Choice>
          <mc:Fallback>
            <w:pict>
              <v:group id="Canvas 219" o:spid="_x0000_s1035" editas="canvas" style="width:277.4pt;height:30.95pt;mso-position-horizontal-relative:char;mso-position-vertical-relative:line" coordsize="35229,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">
                <v:shape id="_x0000_s1036" type="#_x0000_t75" style="position:absolute;width:35229;height:3930;visibility:visible;mso-wrap-style:square">
                  <v:fill o:detectmouseclick="t"/>
                  <v:path o:connecttype="none"/>
                </v:shape>
                <v:rect id="Rectangle 12" o:spid="_x0000_s1037" style="position:absolute;left:10856;top:2038;width:8287;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s1cQA&#10;AADcAAAADwAAAGRycy9kb3ducmV2LnhtbERPTWvCQBC9F/oflil4KbppDmJj1lAKgR4EMfbQ3obs&#10;mI3Nzobs1kR/vVsoeJvH+5y8mGwnzjT41rGCl0UCgrh2uuVGweehnK9A+ICssXNMCi7kodg8PuSY&#10;aTfyns5VaEQMYZ+hAhNCn0npa0MW/cL1xJE7usFiiHBopB5wjOG2k2mSLKXFlmODwZ7eDdU/1a9V&#10;UO6+WuKr3D+/rkZ3qtPvymx7pWZP09saRKAp3MX/7g8d5y9T+HsmXi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aLNXEAAAA3AAAAA8AAAAAAAAAAAAAAAAAmAIAAGRycy9k&#10;b3ducmV2LnhtbFBLBQYAAAAABAAEAPUAAACJAwAAAAA=&#10;" filled="f" stroked="f">
                  <v:textbox style="mso-fit-shape-to-text:t" inset="0,0,0,0">
                    <w:txbxContent>
                      <w:p w:rsidR="00AA5889" w:rsidRPr="00B9220D" w:rsidRDefault="00AA5889" w:rsidP="00DA5475">
                        <w:pPr>
                          <w:jc w:val="right"/>
                          <w:rPr>
                            <w:rFonts w:ascii="Arabic Typesetting" w:hAnsi="Arabic Typesetting" w:cs="Arabic Typesetting"/>
                            <w:sz w:val="26"/>
                            <w:szCs w:val="26"/>
                          </w:rPr>
                        </w:pPr>
                        <w:r w:rsidRPr="00B9220D">
                          <w:rPr>
                            <w:rFonts w:ascii="Arabic Typesetting" w:hAnsi="Arabic Typesetting" w:cs="Arabic Typesetting"/>
                            <w:color w:val="000000"/>
                            <w:sz w:val="26"/>
                            <w:szCs w:val="26"/>
                            <w:rtl/>
                          </w:rPr>
                          <w:t>العمل + إعادة العمل</w:t>
                        </w:r>
                      </w:p>
                    </w:txbxContent>
                  </v:textbox>
                </v:rect>
                <v:rect id="Rectangle 13" o:spid="_x0000_s1038" style="position:absolute;left:9230;top:749;width:641;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JLGcIA&#10;AADcAAAADwAAAGRycy9kb3ducmV2LnhtbERPzWoCMRC+C75DGKE3zW5bFt0axQrFUvCg9gGGzXSz&#10;dTNZk6jbt28Ewdt8fL8zX/a2FRfyoXGsIJ9kIIgrpxuuFXwfPsZTECEia2wdk4I/CrBcDAdzLLW7&#10;8o4u+1iLFMKhRAUmxq6UMlSGLIaJ64gT9+O8xZigr6X2eE3htpXPWVZIiw2nBoMdrQ1Vx/3ZKqD3&#10;zW72uwpmK30e8u1XMXvdnJR6GvWrNxCR+vgQ392fOs0vXuD2TLp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ksZwgAAANwAAAAPAAAAAAAAAAAAAAAAAJgCAABkcnMvZG93&#10;bnJldi54bWxQSwUGAAAAAAQABAD1AAAAhwMAAAAA&#10;" filled="f" stroked="f">
                  <v:textbox inset="0,0,0,0">
                    <w:txbxContent>
                      <w:p w:rsidR="00AA5889" w:rsidRDefault="00AA5889" w:rsidP="00DA5475">
                        <w:r>
                          <w:rPr>
                            <w:color w:val="000000"/>
                          </w:rPr>
                          <w:t>*</w:t>
                        </w:r>
                      </w:p>
                    </w:txbxContent>
                  </v:textbox>
                </v:rect>
                <v:rect id="Rectangle 14" o:spid="_x0000_s1039" style="position:absolute;left:6038;top:749;width:2242;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8ROsMA&#10;AADcAAAADwAAAGRycy9kb3ducmV2LnhtbERPTYvCMBC9C/sfwix4WTRdEdFqlGVB8CCIdQ/rbWjG&#10;pm4zKU201V9vhAVv83ifs1h1thJXanzpWMHnMAFBnDtdcqHg57AeTEH4gKyxckwKbuRhtXzrLTDV&#10;ruU9XbNQiBjCPkUFJoQ6ldLnhiz6oauJI3dyjcUQYVNI3WAbw20lR0kykRZLjg0Ga/o2lP9lF6tg&#10;vfstie9y/zGbtu6cj46Z2dZK9d+7rzmIQF14if/dGx3nT8bwfC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8ROsMAAADcAAAADwAAAAAAAAAAAAAAAACYAgAAZHJzL2Rv&#10;d25yZXYueG1sUEsFBgAAAAAEAAQA9QAAAIgDAAAAAA==&#10;" filled="f" stroked="f">
                  <v:textbox style="mso-fit-shape-to-text:t" inset="0,0,0,0">
                    <w:txbxContent>
                      <w:p w:rsidR="00AA5889" w:rsidRPr="00B9220D" w:rsidRDefault="00AA5889" w:rsidP="00DA5475">
                        <w:pPr>
                          <w:jc w:val="right"/>
                          <w:rPr>
                            <w:rFonts w:ascii="Arabic Typesetting" w:hAnsi="Arabic Typesetting" w:cs="Arabic Typesetting"/>
                            <w:sz w:val="26"/>
                            <w:szCs w:val="26"/>
                          </w:rPr>
                        </w:pPr>
                        <w:r w:rsidRPr="00B9220D">
                          <w:rPr>
                            <w:rFonts w:ascii="Arabic Typesetting" w:hAnsi="Arabic Typesetting" w:cs="Arabic Typesetting"/>
                            <w:color w:val="000000"/>
                            <w:sz w:val="26"/>
                            <w:szCs w:val="26"/>
                          </w:rPr>
                          <w:t>100</w:t>
                        </w:r>
                      </w:p>
                    </w:txbxContent>
                  </v:textbox>
                </v:rect>
                <v:rect id="Rectangle 15" o:spid="_x0000_s1040" style="position:absolute;left:20863;top:1035;width:2597;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1MUA&#10;AADcAAAADwAAAGRycy9kb3ducmV2LnhtbESPQWvCQBSE70L/w/IKXkQ35iA2ukopCB4EMfbQ3h7Z&#10;ZzY2+zZktyb6611B8DjMzDfMct3bWlyo9ZVjBdNJAoK4cLriUsH3cTOeg/ABWWPtmBRcycN69TZY&#10;YqZdxwe65KEUEcI+QwUmhCaT0heGLPqJa4ijd3KtxRBlW0rdYhfhtpZpksykxYrjgsGGvgwVf/m/&#10;VbDZ/1TEN3kYfcw7dy7S39zsGqWG7/3nAkSgPrzCz/ZWK0inKTz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7UxQAAANwAAAAPAAAAAAAAAAAAAAAAAJgCAABkcnMv&#10;ZG93bnJldi54bWxQSwUGAAAAAAQABAD1AAAAigMAAAAA&#10;" filled="f" stroked="f">
                  <v:textbox style="mso-fit-shape-to-text:t" inset="0,0,0,0">
                    <w:txbxContent>
                      <w:p w:rsidR="00AA5889" w:rsidRPr="00B9220D" w:rsidRDefault="00AA5889" w:rsidP="00DA5475">
                        <w:pPr>
                          <w:jc w:val="right"/>
                          <w:rPr>
                            <w:rFonts w:ascii="Arabic Typesetting" w:hAnsi="Arabic Typesetting" w:cs="Arabic Typesetting"/>
                            <w:sz w:val="26"/>
                            <w:szCs w:val="26"/>
                          </w:rPr>
                        </w:pPr>
                        <w:r w:rsidRPr="00B9220D">
                          <w:rPr>
                            <w:rFonts w:ascii="Arabic Typesetting" w:hAnsi="Arabic Typesetting" w:cs="Arabic Typesetting"/>
                            <w:color w:val="000000"/>
                            <w:sz w:val="26"/>
                            <w:szCs w:val="26"/>
                          </w:rPr>
                          <w:t xml:space="preserve"> = </w:t>
                        </w:r>
                      </w:p>
                    </w:txbxContent>
                  </v:textbox>
                </v:rect>
                <v:rect id="Rectangle 16" o:spid="_x0000_s1041" style="position:absolute;left:10858;top:1606;width:9525;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eA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DOvvHAAAA3AAAAA8AAAAAAAAAAAAAAAAAmAIAAGRy&#10;cy9kb3ducmV2LnhtbFBLBQYAAAAABAAEAPUAAACMAwAAAAA=&#10;" fillcolor="black" stroked="f"/>
                <v:rect id="Rectangle 17" o:spid="_x0000_s1042" style="position:absolute;left:24923;top:1151;width:7696;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jBbMQA&#10;AADcAAAADwAAAGRycy9kb3ducmV2LnhtbESP3WoCMRSE7wXfIRyhd5pdEdGtUWyhKIIX/jzAYXO6&#10;Wd2cbJNU17c3hYKXw8x8wyxWnW3EjXyoHSvIRxkI4tLpmisF59PXcAYiRGSNjWNS8KAAq2W/t8BC&#10;uzsf6HaMlUgQDgUqMDG2hZShNGQxjFxLnLxv5y3GJH0ltcd7gttGjrNsKi3WnBYMtvRpqLwef60C&#10;+tgc5pd1MHvp85Dvd9P5ZPOj1NugW7+DiNTFV/i/vdUKxvkE/s6k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4wWzEAAAA3AAAAA8AAAAAAAAAAAAAAAAAmAIAAGRycy9k&#10;b3ducmV2LnhtbFBLBQYAAAAABAAEAPUAAACJAwAAAAA=&#10;" filled="f" stroked="f">
                  <v:textbox inset="0,0,0,0">
                    <w:txbxContent>
                      <w:p w:rsidR="00AA5889" w:rsidRPr="006042F1" w:rsidRDefault="00AA5889" w:rsidP="00DA5475">
                        <w:pPr>
                          <w:rPr>
                            <w:rFonts w:ascii="Arabic Typesetting" w:hAnsi="Arabic Typesetting" w:cs="Arabic Typesetting"/>
                            <w:sz w:val="26"/>
                            <w:szCs w:val="26"/>
                          </w:rPr>
                        </w:pPr>
                        <w:r w:rsidRPr="006042F1">
                          <w:rPr>
                            <w:rFonts w:ascii="Arabic Typesetting" w:hAnsi="Arabic Typesetting" w:cs="Arabic Typesetting"/>
                            <w:color w:val="000000"/>
                            <w:sz w:val="26"/>
                            <w:szCs w:val="26"/>
                            <w:rtl/>
                          </w:rPr>
                          <w:t>جودة تطوير البرمجيات</w:t>
                        </w:r>
                      </w:p>
                    </w:txbxContent>
                  </v:textbox>
                </v:rect>
                <w10:anchorlock/>
              </v:group>
            </w:pict>
          </mc:Fallback>
        </mc:AlternateConten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وفي عام 2014 بلغت جودة الإصدارات الكبرى، بحسب تعريف مؤشر جودة البرمجيات، نسبة 94.3 في المائة. وتعد هذه النسبة أعلى بخمس نقاط مئوية من النسبة المسجلة في عام 2013.</w:t>
      </w:r>
    </w:p>
    <w:p w:rsidR="00861CFF" w:rsidRPr="00EC09E1" w:rsidRDefault="00861CFF" w:rsidP="00DA5475">
      <w:pPr>
        <w:keepNext/>
        <w:spacing w:after="120" w:line="340" w:lineRule="exact"/>
        <w:jc w:val="center"/>
        <w:rPr>
          <w:rFonts w:ascii="Arabic Typesetting" w:hAnsi="Arabic Typesetting" w:cs="Arabic Typesetting"/>
          <w:b/>
          <w:bCs/>
          <w:sz w:val="34"/>
          <w:szCs w:val="34"/>
          <w:lang w:val="en-GB"/>
        </w:rPr>
      </w:pPr>
      <w:r w:rsidRPr="00EC09E1">
        <w:rPr>
          <w:rFonts w:ascii="Arabic Typesetting" w:hAnsi="Arabic Typesetting" w:cs="Arabic Typesetting"/>
          <w:b/>
          <w:bCs/>
          <w:sz w:val="34"/>
          <w:szCs w:val="34"/>
          <w:rtl/>
          <w:lang w:val="en-GB"/>
        </w:rPr>
        <w:t>جودة تطوير البرمجيات</w:t>
      </w:r>
    </w:p>
    <w:p w:rsidR="00861CFF" w:rsidRPr="00EC09E1" w:rsidRDefault="00861CFF" w:rsidP="00DA5475">
      <w:pPr>
        <w:spacing w:after="120"/>
        <w:rPr>
          <w:rFonts w:ascii="Arabic Typesetting" w:hAnsi="Arabic Typesetting" w:cs="Arabic Typesetting"/>
          <w:sz w:val="34"/>
          <w:szCs w:val="34"/>
          <w:rtl/>
          <w:lang w:val="en-GB"/>
        </w:rPr>
      </w:pPr>
      <w:r>
        <w:rPr>
          <w:rFonts w:ascii="Arabic Typesetting" w:hAnsi="Arabic Typesetting" w:cs="Arabic Typesetting"/>
          <w:noProof/>
          <w:sz w:val="34"/>
          <w:szCs w:val="34"/>
          <w:lang w:bidi="ar-SA"/>
        </w:rPr>
        <w:drawing>
          <wp:inline distT="0" distB="0" distL="0" distR="0" wp14:anchorId="7335BE54" wp14:editId="6FD385F0">
            <wp:extent cx="5193699" cy="2825539"/>
            <wp:effectExtent l="0" t="0" r="6985"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191702" cy="2824452"/>
                    </a:xfrm>
                    <a:prstGeom prst="rect">
                      <a:avLst/>
                    </a:prstGeom>
                    <a:noFill/>
                  </pic:spPr>
                </pic:pic>
              </a:graphicData>
            </a:graphic>
          </wp:inline>
        </w:drawing>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مستويات خدمات أنظمة المعلومات</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يبين مؤشر الأداء المسمى مستويات خدمات أنظمة المعلومات أداء الخدمة التي تقدمها أنظمة معلومات نظام معاهدة التعاون بشأن البراءات إلى المستخدمين، استنادا إلى قدرتها على تحقيق الأهداف المتفق عليها.</w:t>
      </w:r>
    </w:p>
    <w:p w:rsidR="00861CFF" w:rsidRPr="00EC09E1" w:rsidRDefault="00861CFF" w:rsidP="00944CDC">
      <w:pPr>
        <w:pStyle w:val="NumberedParaAR"/>
        <w:numPr>
          <w:ilvl w:val="0"/>
          <w:numId w:val="56"/>
        </w:numPr>
        <w:spacing w:after="120" w:line="340" w:lineRule="exact"/>
        <w:rPr>
          <w:sz w:val="34"/>
          <w:szCs w:val="34"/>
          <w:lang w:val="en-GB"/>
        </w:rPr>
      </w:pPr>
      <w:r w:rsidRPr="00EC09E1">
        <w:rPr>
          <w:sz w:val="34"/>
          <w:szCs w:val="34"/>
          <w:rtl/>
          <w:lang w:val="en-GB"/>
        </w:rPr>
        <w:t>ويحسب هذا المؤشر المركب باستخدام متوسط خمسة مؤشرات أداء تقوم على الأهداف.</w:t>
      </w:r>
      <w:r w:rsidR="00944CDC" w:rsidRPr="00944CDC">
        <w:rPr>
          <w:rStyle w:val="FootnoteReference"/>
          <w:rFonts w:cs="Arabic Typesetting"/>
          <w:sz w:val="34"/>
          <w:rtl/>
          <w:lang w:val="en-GB"/>
        </w:rPr>
        <w:footnoteReference w:id="26"/>
      </w:r>
      <w:r w:rsidR="00944CDC" w:rsidRPr="00EC09E1">
        <w:rPr>
          <w:sz w:val="34"/>
          <w:szCs w:val="34"/>
          <w:rtl/>
          <w:lang w:val="en-GB"/>
        </w:rPr>
        <w:t xml:space="preserve"> </w:t>
      </w:r>
      <w:r w:rsidRPr="00EC09E1">
        <w:rPr>
          <w:sz w:val="34"/>
          <w:szCs w:val="34"/>
          <w:rtl/>
          <w:lang w:val="en-GB"/>
        </w:rPr>
        <w:t>ويُعبر عن كل مؤشر كنسبة من الهدف المحقق بالفعل.</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وفي عام 2014 بلغ مستوى الخدمة العام 95.3 من مستويات الأداء المستهدفة.</w:t>
      </w:r>
    </w:p>
    <w:p w:rsidR="00861CFF" w:rsidRPr="00EC09E1" w:rsidRDefault="00861CFF" w:rsidP="00DA5475">
      <w:pPr>
        <w:keepNext/>
        <w:spacing w:after="120" w:line="340" w:lineRule="exact"/>
        <w:jc w:val="center"/>
        <w:rPr>
          <w:rFonts w:ascii="Arabic Typesetting" w:hAnsi="Arabic Typesetting" w:cs="Arabic Typesetting"/>
          <w:b/>
          <w:bCs/>
          <w:sz w:val="34"/>
          <w:szCs w:val="34"/>
          <w:rtl/>
          <w:lang w:val="en-GB"/>
        </w:rPr>
      </w:pPr>
      <w:r w:rsidRPr="00EC09E1">
        <w:rPr>
          <w:rFonts w:ascii="Arabic Typesetting" w:hAnsi="Arabic Typesetting" w:cs="Arabic Typesetting"/>
          <w:b/>
          <w:bCs/>
          <w:sz w:val="34"/>
          <w:szCs w:val="34"/>
          <w:rtl/>
          <w:lang w:val="en-GB"/>
        </w:rPr>
        <w:t>مستويات خدمة أنظمة المعلومات</w:t>
      </w:r>
    </w:p>
    <w:tbl>
      <w:tblPr>
        <w:bidiVisual/>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559"/>
        <w:gridCol w:w="2127"/>
        <w:gridCol w:w="992"/>
        <w:gridCol w:w="959"/>
      </w:tblGrid>
      <w:tr w:rsidR="00861CFF" w:rsidRPr="00463E5E" w:rsidTr="00475EFE">
        <w:trPr>
          <w:jc w:val="center"/>
        </w:trPr>
        <w:tc>
          <w:tcPr>
            <w:tcW w:w="675" w:type="dxa"/>
            <w:shd w:val="clear" w:color="auto" w:fill="auto"/>
            <w:tcMar>
              <w:top w:w="85" w:type="dxa"/>
              <w:bottom w:w="85" w:type="dxa"/>
            </w:tcMar>
          </w:tcPr>
          <w:p w:rsidR="00861CFF" w:rsidRPr="00463E5E" w:rsidRDefault="00861CFF" w:rsidP="00463E5E">
            <w:pPr>
              <w:autoSpaceDE w:val="0"/>
              <w:autoSpaceDN w:val="0"/>
              <w:adjustRightInd w:val="0"/>
              <w:spacing w:line="280" w:lineRule="exact"/>
              <w:jc w:val="center"/>
              <w:rPr>
                <w:rFonts w:ascii="Arabic Typesetting" w:hAnsi="Arabic Typesetting" w:cs="Arabic Typesetting"/>
                <w:bCs/>
                <w:color w:val="000000"/>
                <w:sz w:val="30"/>
                <w:szCs w:val="30"/>
                <w:lang w:val="en-GB" w:eastAsia="en-GB" w:bidi="ar-SA"/>
              </w:rPr>
            </w:pPr>
            <w:r w:rsidRPr="00463E5E">
              <w:rPr>
                <w:rFonts w:ascii="Arabic Typesetting" w:hAnsi="Arabic Typesetting" w:cs="Arabic Typesetting"/>
                <w:bCs/>
                <w:color w:val="000000"/>
                <w:sz w:val="30"/>
                <w:szCs w:val="30"/>
                <w:rtl/>
                <w:lang w:val="en-GB" w:eastAsia="en-GB" w:bidi="ar-SA"/>
              </w:rPr>
              <w:t>رقم المؤشر</w:t>
            </w:r>
          </w:p>
        </w:tc>
        <w:tc>
          <w:tcPr>
            <w:tcW w:w="2977" w:type="dxa"/>
            <w:shd w:val="clear" w:color="auto" w:fill="auto"/>
            <w:tcMar>
              <w:top w:w="85" w:type="dxa"/>
              <w:bottom w:w="85" w:type="dxa"/>
            </w:tcMar>
          </w:tcPr>
          <w:p w:rsidR="00861CFF" w:rsidRPr="00463E5E" w:rsidRDefault="00861CFF" w:rsidP="00463E5E">
            <w:pPr>
              <w:autoSpaceDE w:val="0"/>
              <w:autoSpaceDN w:val="0"/>
              <w:adjustRightInd w:val="0"/>
              <w:spacing w:line="280" w:lineRule="exact"/>
              <w:jc w:val="center"/>
              <w:rPr>
                <w:rFonts w:ascii="Arabic Typesetting" w:hAnsi="Arabic Typesetting" w:cs="Arabic Typesetting"/>
                <w:bCs/>
                <w:i/>
                <w:color w:val="000000"/>
                <w:sz w:val="30"/>
                <w:szCs w:val="30"/>
                <w:lang w:val="en-GB" w:eastAsia="en-GB" w:bidi="ar-SA"/>
              </w:rPr>
            </w:pPr>
            <w:r w:rsidRPr="00463E5E">
              <w:rPr>
                <w:rFonts w:ascii="Arabic Typesetting" w:hAnsi="Arabic Typesetting" w:cs="Arabic Typesetting"/>
                <w:bCs/>
                <w:color w:val="000000"/>
                <w:sz w:val="30"/>
                <w:szCs w:val="30"/>
                <w:rtl/>
                <w:lang w:val="en-GB" w:eastAsia="en-GB" w:bidi="ar-SA"/>
              </w:rPr>
              <w:t>وصف قصير لمؤشر الأداء</w:t>
            </w:r>
          </w:p>
        </w:tc>
        <w:tc>
          <w:tcPr>
            <w:tcW w:w="1559" w:type="dxa"/>
            <w:shd w:val="clear" w:color="auto" w:fill="auto"/>
            <w:tcMar>
              <w:top w:w="85" w:type="dxa"/>
              <w:bottom w:w="85" w:type="dxa"/>
            </w:tcMar>
          </w:tcPr>
          <w:p w:rsidR="00861CFF" w:rsidRPr="00463E5E" w:rsidRDefault="00861CFF" w:rsidP="00463E5E">
            <w:pPr>
              <w:autoSpaceDE w:val="0"/>
              <w:autoSpaceDN w:val="0"/>
              <w:adjustRightInd w:val="0"/>
              <w:spacing w:line="280" w:lineRule="exact"/>
              <w:jc w:val="center"/>
              <w:rPr>
                <w:rFonts w:ascii="Arabic Typesetting" w:hAnsi="Arabic Typesetting" w:cs="Arabic Typesetting"/>
                <w:bCs/>
                <w:color w:val="000000"/>
                <w:sz w:val="30"/>
                <w:szCs w:val="30"/>
                <w:lang w:val="en-GB" w:eastAsia="en-GB" w:bidi="ar-SA"/>
              </w:rPr>
            </w:pPr>
            <w:r w:rsidRPr="00463E5E">
              <w:rPr>
                <w:rFonts w:ascii="Arabic Typesetting" w:hAnsi="Arabic Typesetting" w:cs="Arabic Typesetting"/>
                <w:bCs/>
                <w:color w:val="000000"/>
                <w:sz w:val="30"/>
                <w:szCs w:val="30"/>
                <w:rtl/>
                <w:lang w:val="en-GB" w:eastAsia="en-GB" w:bidi="ar-SA"/>
              </w:rPr>
              <w:t>الهدف</w:t>
            </w:r>
          </w:p>
        </w:tc>
        <w:tc>
          <w:tcPr>
            <w:tcW w:w="2127" w:type="dxa"/>
            <w:shd w:val="clear" w:color="auto" w:fill="auto"/>
            <w:tcMar>
              <w:top w:w="85" w:type="dxa"/>
              <w:bottom w:w="85" w:type="dxa"/>
            </w:tcMar>
          </w:tcPr>
          <w:p w:rsidR="00861CFF" w:rsidRPr="00463E5E" w:rsidRDefault="00861CFF" w:rsidP="00463E5E">
            <w:pPr>
              <w:autoSpaceDE w:val="0"/>
              <w:autoSpaceDN w:val="0"/>
              <w:adjustRightInd w:val="0"/>
              <w:spacing w:line="280" w:lineRule="exact"/>
              <w:jc w:val="center"/>
              <w:rPr>
                <w:rFonts w:ascii="Arabic Typesetting" w:hAnsi="Arabic Typesetting" w:cs="Arabic Typesetting"/>
                <w:bCs/>
                <w:color w:val="000000"/>
                <w:sz w:val="30"/>
                <w:szCs w:val="30"/>
                <w:lang w:val="en-GB" w:eastAsia="en-GB" w:bidi="ar-SA"/>
              </w:rPr>
            </w:pPr>
            <w:r w:rsidRPr="00463E5E">
              <w:rPr>
                <w:rFonts w:ascii="Arabic Typesetting" w:hAnsi="Arabic Typesetting" w:cs="Arabic Typesetting"/>
                <w:bCs/>
                <w:color w:val="000000"/>
                <w:sz w:val="30"/>
                <w:szCs w:val="30"/>
                <w:rtl/>
                <w:lang w:val="en-GB" w:eastAsia="en-GB" w:bidi="ar-SA"/>
              </w:rPr>
              <w:t>الشروط</w:t>
            </w:r>
          </w:p>
        </w:tc>
        <w:tc>
          <w:tcPr>
            <w:tcW w:w="992" w:type="dxa"/>
            <w:tcMar>
              <w:top w:w="85" w:type="dxa"/>
              <w:bottom w:w="85" w:type="dxa"/>
            </w:tcMar>
          </w:tcPr>
          <w:p w:rsidR="00861CFF" w:rsidRPr="00463E5E" w:rsidRDefault="00861CFF" w:rsidP="00463E5E">
            <w:pPr>
              <w:autoSpaceDE w:val="0"/>
              <w:autoSpaceDN w:val="0"/>
              <w:adjustRightInd w:val="0"/>
              <w:spacing w:line="280" w:lineRule="exact"/>
              <w:jc w:val="center"/>
              <w:rPr>
                <w:rFonts w:ascii="Arabic Typesetting" w:hAnsi="Arabic Typesetting" w:cs="Arabic Typesetting"/>
                <w:bCs/>
                <w:color w:val="000000"/>
                <w:sz w:val="30"/>
                <w:szCs w:val="30"/>
                <w:lang w:val="en-GB" w:eastAsia="en-GB" w:bidi="ar-SA"/>
              </w:rPr>
            </w:pPr>
            <w:r w:rsidRPr="00463E5E">
              <w:rPr>
                <w:rFonts w:ascii="Arabic Typesetting" w:hAnsi="Arabic Typesetting" w:cs="Arabic Typesetting"/>
                <w:bCs/>
                <w:sz w:val="30"/>
                <w:szCs w:val="30"/>
                <w:rtl/>
                <w:lang w:bidi="ar-SA"/>
              </w:rPr>
              <w:t>نتائج عام 2013</w:t>
            </w:r>
          </w:p>
        </w:tc>
        <w:tc>
          <w:tcPr>
            <w:tcW w:w="959" w:type="dxa"/>
            <w:tcMar>
              <w:top w:w="85" w:type="dxa"/>
              <w:bottom w:w="85" w:type="dxa"/>
            </w:tcMar>
          </w:tcPr>
          <w:p w:rsidR="00861CFF" w:rsidRPr="00463E5E" w:rsidRDefault="00861CFF" w:rsidP="00463E5E">
            <w:pPr>
              <w:autoSpaceDE w:val="0"/>
              <w:autoSpaceDN w:val="0"/>
              <w:adjustRightInd w:val="0"/>
              <w:spacing w:line="280" w:lineRule="exact"/>
              <w:jc w:val="center"/>
              <w:rPr>
                <w:rFonts w:ascii="Arabic Typesetting" w:hAnsi="Arabic Typesetting" w:cs="Arabic Typesetting"/>
                <w:bCs/>
                <w:color w:val="000000"/>
                <w:sz w:val="30"/>
                <w:szCs w:val="30"/>
                <w:lang w:val="en-GB" w:eastAsia="en-GB" w:bidi="ar-SA"/>
              </w:rPr>
            </w:pPr>
            <w:r w:rsidRPr="00463E5E">
              <w:rPr>
                <w:rFonts w:ascii="Arabic Typesetting" w:hAnsi="Arabic Typesetting" w:cs="Arabic Typesetting"/>
                <w:bCs/>
                <w:sz w:val="30"/>
                <w:szCs w:val="30"/>
                <w:rtl/>
                <w:lang w:bidi="ar-SA"/>
              </w:rPr>
              <w:t>نتائج عام 2014</w:t>
            </w:r>
          </w:p>
        </w:tc>
      </w:tr>
      <w:tr w:rsidR="00861CFF" w:rsidRPr="00463E5E" w:rsidTr="00475EFE">
        <w:trPr>
          <w:jc w:val="center"/>
        </w:trPr>
        <w:tc>
          <w:tcPr>
            <w:tcW w:w="675" w:type="dxa"/>
            <w:shd w:val="clear" w:color="auto" w:fill="auto"/>
            <w:tcMar>
              <w:top w:w="85" w:type="dxa"/>
              <w:bottom w:w="85" w:type="dxa"/>
            </w:tcMar>
          </w:tcPr>
          <w:p w:rsidR="00861CFF" w:rsidRPr="00463E5E" w:rsidRDefault="00861CFF" w:rsidP="00463E5E">
            <w:pPr>
              <w:spacing w:line="280" w:lineRule="exact"/>
              <w:rPr>
                <w:rFonts w:ascii="Arabic Typesetting" w:hAnsi="Arabic Typesetting" w:cs="Arabic Typesetting"/>
                <w:sz w:val="30"/>
                <w:szCs w:val="30"/>
                <w:lang w:val="en-GB" w:eastAsia="en-GB" w:bidi="ar-SA"/>
              </w:rPr>
            </w:pPr>
            <w:r w:rsidRPr="00463E5E">
              <w:rPr>
                <w:rFonts w:ascii="Arabic Typesetting" w:hAnsi="Arabic Typesetting" w:cs="Arabic Typesetting"/>
                <w:sz w:val="30"/>
                <w:szCs w:val="30"/>
                <w:rtl/>
                <w:lang w:val="en-GB" w:eastAsia="en-GB" w:bidi="ar-SA"/>
              </w:rPr>
              <w:t>(1)</w:t>
            </w:r>
          </w:p>
        </w:tc>
        <w:tc>
          <w:tcPr>
            <w:tcW w:w="2977" w:type="dxa"/>
            <w:shd w:val="clear" w:color="auto" w:fill="auto"/>
            <w:tcMar>
              <w:top w:w="85" w:type="dxa"/>
              <w:bottom w:w="85" w:type="dxa"/>
            </w:tcMar>
          </w:tcPr>
          <w:p w:rsidR="00861CFF" w:rsidRPr="00463E5E" w:rsidRDefault="00861CFF" w:rsidP="00463E5E">
            <w:pPr>
              <w:spacing w:line="280" w:lineRule="exact"/>
              <w:rPr>
                <w:rFonts w:ascii="Arabic Typesetting" w:hAnsi="Arabic Typesetting" w:cs="Arabic Typesetting"/>
                <w:sz w:val="30"/>
                <w:szCs w:val="30"/>
                <w:lang w:val="en-GB" w:eastAsia="en-GB" w:bidi="ar-SA"/>
              </w:rPr>
            </w:pPr>
            <w:r w:rsidRPr="00463E5E">
              <w:rPr>
                <w:rFonts w:ascii="Arabic Typesetting" w:hAnsi="Arabic Typesetting" w:cs="Arabic Typesetting"/>
                <w:sz w:val="30"/>
                <w:szCs w:val="30"/>
                <w:rtl/>
                <w:lang w:val="en-GB" w:eastAsia="en-GB" w:bidi="ar-SA"/>
              </w:rPr>
              <w:t>زمن حل الأحداث</w:t>
            </w:r>
          </w:p>
          <w:p w:rsidR="00861CFF" w:rsidRPr="00463E5E" w:rsidRDefault="00861CFF" w:rsidP="00463E5E">
            <w:pPr>
              <w:spacing w:line="280" w:lineRule="exact"/>
              <w:rPr>
                <w:rFonts w:ascii="Arabic Typesetting" w:hAnsi="Arabic Typesetting" w:cs="Arabic Typesetting"/>
                <w:iCs/>
                <w:sz w:val="30"/>
                <w:szCs w:val="30"/>
                <w:lang w:val="en-GB" w:eastAsia="en-GB" w:bidi="ar-SA"/>
              </w:rPr>
            </w:pPr>
            <w:r w:rsidRPr="00463E5E">
              <w:rPr>
                <w:rFonts w:ascii="Arabic Typesetting" w:hAnsi="Arabic Typesetting" w:cs="Arabic Typesetting"/>
                <w:iCs/>
                <w:sz w:val="30"/>
                <w:szCs w:val="30"/>
                <w:rtl/>
                <w:lang w:val="en-GB" w:eastAsia="en-GB" w:bidi="ar-SA"/>
              </w:rPr>
              <w:t>وقت العمل (7 صباحا – 7 مساء في أيام عمل الويبو) بين وقت إصدار بطاقة وحلها.</w:t>
            </w:r>
          </w:p>
        </w:tc>
        <w:tc>
          <w:tcPr>
            <w:tcW w:w="1559"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rtl/>
                <w:lang w:val="en-GB" w:eastAsia="en-GB" w:bidi="ar-SA"/>
              </w:rPr>
            </w:pPr>
            <w:r w:rsidRPr="00463E5E">
              <w:rPr>
                <w:rFonts w:ascii="Arabic Typesetting" w:hAnsi="Arabic Typesetting" w:cs="Arabic Typesetting"/>
                <w:color w:val="000000"/>
                <w:sz w:val="30"/>
                <w:szCs w:val="30"/>
                <w:rtl/>
                <w:lang w:val="en-GB" w:eastAsia="en-GB" w:bidi="ar-SA"/>
              </w:rPr>
              <w:t>الشدة 1: 4 ساعات</w:t>
            </w:r>
          </w:p>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rtl/>
                <w:lang w:val="en-GB" w:eastAsia="en-GB" w:bidi="ar-SA"/>
              </w:rPr>
            </w:pPr>
            <w:r w:rsidRPr="00463E5E">
              <w:rPr>
                <w:rFonts w:ascii="Arabic Typesetting" w:hAnsi="Arabic Typesetting" w:cs="Arabic Typesetting"/>
                <w:color w:val="000000"/>
                <w:sz w:val="30"/>
                <w:szCs w:val="30"/>
                <w:rtl/>
                <w:lang w:val="en-GB" w:eastAsia="en-GB" w:bidi="ar-SA"/>
              </w:rPr>
              <w:t>الشدة 2: يومان</w:t>
            </w:r>
          </w:p>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rtl/>
                <w:lang w:val="en-GB" w:eastAsia="en-GB" w:bidi="ar-SA"/>
              </w:rPr>
            </w:pPr>
            <w:r w:rsidRPr="00463E5E">
              <w:rPr>
                <w:rFonts w:ascii="Arabic Typesetting" w:hAnsi="Arabic Typesetting" w:cs="Arabic Typesetting"/>
                <w:color w:val="000000"/>
                <w:sz w:val="30"/>
                <w:szCs w:val="30"/>
                <w:rtl/>
                <w:lang w:val="en-GB" w:eastAsia="en-GB" w:bidi="ar-SA"/>
              </w:rPr>
              <w:t>الشدة 3: 5 أيام</w:t>
            </w:r>
          </w:p>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الشدة 4: 10 أيام</w:t>
            </w:r>
          </w:p>
        </w:tc>
        <w:tc>
          <w:tcPr>
            <w:tcW w:w="212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بطاقات الإنتاج والدعم التي يحلها فريق الدعم</w:t>
            </w:r>
          </w:p>
        </w:tc>
        <w:tc>
          <w:tcPr>
            <w:tcW w:w="992" w:type="dxa"/>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85.5 </w:t>
            </w:r>
            <w:r w:rsidR="00475EFE">
              <w:rPr>
                <w:rFonts w:ascii="Arabic Typesetting" w:hAnsi="Arabic Typesetting" w:cs="Arabic Typesetting"/>
                <w:sz w:val="30"/>
                <w:szCs w:val="30"/>
                <w:rtl/>
                <w:lang w:bidi="ar-SA"/>
              </w:rPr>
              <w:t>%</w:t>
            </w:r>
          </w:p>
        </w:tc>
        <w:tc>
          <w:tcPr>
            <w:tcW w:w="959" w:type="dxa"/>
            <w:tcMar>
              <w:top w:w="85" w:type="dxa"/>
              <w:bottom w:w="85" w:type="dxa"/>
            </w:tcMar>
          </w:tcPr>
          <w:p w:rsidR="00861CFF" w:rsidRPr="00463E5E" w:rsidRDefault="00861CFF" w:rsidP="00475EF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88.8</w:t>
            </w:r>
            <w:r w:rsidR="00475EFE">
              <w:rPr>
                <w:rFonts w:ascii="Arabic Typesetting" w:hAnsi="Arabic Typesetting" w:cs="Arabic Typesetting" w:hint="cs"/>
                <w:sz w:val="30"/>
                <w:szCs w:val="30"/>
                <w:rtl/>
                <w:lang w:bidi="ar-SA"/>
              </w:rPr>
              <w:t>%</w:t>
            </w:r>
          </w:p>
        </w:tc>
      </w:tr>
      <w:tr w:rsidR="00861CFF" w:rsidRPr="00463E5E" w:rsidTr="00475EFE">
        <w:trPr>
          <w:jc w:val="center"/>
        </w:trPr>
        <w:tc>
          <w:tcPr>
            <w:tcW w:w="675" w:type="dxa"/>
            <w:shd w:val="clear" w:color="auto" w:fill="auto"/>
            <w:tcMar>
              <w:top w:w="85" w:type="dxa"/>
              <w:bottom w:w="85" w:type="dxa"/>
            </w:tcMar>
          </w:tcPr>
          <w:p w:rsidR="00861CFF" w:rsidRPr="00463E5E" w:rsidRDefault="00861CFF" w:rsidP="00463E5E">
            <w:pPr>
              <w:spacing w:line="280" w:lineRule="exact"/>
              <w:rPr>
                <w:rFonts w:ascii="Arabic Typesetting" w:hAnsi="Arabic Typesetting" w:cs="Arabic Typesetting"/>
                <w:sz w:val="30"/>
                <w:szCs w:val="30"/>
                <w:lang w:val="en-GB" w:eastAsia="en-GB" w:bidi="ar-SA"/>
              </w:rPr>
            </w:pPr>
            <w:r w:rsidRPr="00463E5E">
              <w:rPr>
                <w:rFonts w:ascii="Arabic Typesetting" w:hAnsi="Arabic Typesetting" w:cs="Arabic Typesetting"/>
                <w:sz w:val="30"/>
                <w:szCs w:val="30"/>
                <w:rtl/>
                <w:lang w:val="en-GB" w:eastAsia="en-GB" w:bidi="ar-SA"/>
              </w:rPr>
              <w:lastRenderedPageBreak/>
              <w:t>(2)</w:t>
            </w:r>
          </w:p>
        </w:tc>
        <w:tc>
          <w:tcPr>
            <w:tcW w:w="2977" w:type="dxa"/>
            <w:shd w:val="clear" w:color="auto" w:fill="auto"/>
            <w:tcMar>
              <w:top w:w="85" w:type="dxa"/>
              <w:bottom w:w="85" w:type="dxa"/>
            </w:tcMar>
          </w:tcPr>
          <w:p w:rsidR="00861CFF" w:rsidRPr="00463E5E" w:rsidRDefault="00861CFF" w:rsidP="00463E5E">
            <w:pPr>
              <w:spacing w:line="280" w:lineRule="exact"/>
              <w:rPr>
                <w:rFonts w:ascii="Arabic Typesetting" w:hAnsi="Arabic Typesetting" w:cs="Arabic Typesetting"/>
                <w:sz w:val="30"/>
                <w:szCs w:val="30"/>
                <w:lang w:val="en-GB" w:eastAsia="en-GB" w:bidi="ar-SA"/>
              </w:rPr>
            </w:pPr>
            <w:r w:rsidRPr="00463E5E">
              <w:rPr>
                <w:rFonts w:ascii="Arabic Typesetting" w:hAnsi="Arabic Typesetting" w:cs="Arabic Typesetting"/>
                <w:sz w:val="30"/>
                <w:szCs w:val="30"/>
                <w:rtl/>
                <w:lang w:val="en-GB" w:eastAsia="en-GB" w:bidi="ar-SA"/>
              </w:rPr>
              <w:t>زمن تحميل الوثائق</w:t>
            </w:r>
          </w:p>
          <w:p w:rsidR="00861CFF" w:rsidRPr="00463E5E" w:rsidRDefault="00861CFF" w:rsidP="00463E5E">
            <w:pPr>
              <w:spacing w:line="280" w:lineRule="exact"/>
              <w:rPr>
                <w:rFonts w:ascii="Arabic Typesetting" w:hAnsi="Arabic Typesetting" w:cs="Arabic Typesetting"/>
                <w:iCs/>
                <w:sz w:val="30"/>
                <w:szCs w:val="30"/>
                <w:lang w:val="en-GB" w:eastAsia="en-GB" w:bidi="ar-SA"/>
              </w:rPr>
            </w:pPr>
            <w:r w:rsidRPr="00463E5E">
              <w:rPr>
                <w:rFonts w:ascii="Arabic Typesetting" w:hAnsi="Arabic Typesetting" w:cs="Arabic Typesetting"/>
                <w:iCs/>
                <w:sz w:val="30"/>
                <w:szCs w:val="30"/>
                <w:rtl/>
                <w:lang w:val="en-GB" w:eastAsia="en-GB" w:bidi="ar-SA"/>
              </w:rPr>
              <w:t>الوقت المستغرق منذ تسلم وثيقة في المكتب الدولي وتوافرها في نظام الملفات الإلكترونية (</w:t>
            </w:r>
            <w:proofErr w:type="spellStart"/>
            <w:r w:rsidRPr="00463E5E">
              <w:rPr>
                <w:rFonts w:ascii="Arabic Typesetting" w:hAnsi="Arabic Typesetting" w:cs="Arabic Typesetting"/>
                <w:iCs/>
                <w:sz w:val="30"/>
                <w:szCs w:val="30"/>
                <w:lang w:val="en-GB" w:eastAsia="en-GB" w:bidi="ar-SA"/>
              </w:rPr>
              <w:t>eDossier</w:t>
            </w:r>
            <w:proofErr w:type="spellEnd"/>
            <w:r w:rsidRPr="00463E5E">
              <w:rPr>
                <w:rFonts w:ascii="Arabic Typesetting" w:hAnsi="Arabic Typesetting" w:cs="Arabic Typesetting"/>
                <w:iCs/>
                <w:sz w:val="30"/>
                <w:szCs w:val="30"/>
                <w:rtl/>
                <w:lang w:val="en-GB" w:eastAsia="en-GB" w:bidi="ar-SA"/>
              </w:rPr>
              <w:t>)</w:t>
            </w:r>
          </w:p>
        </w:tc>
        <w:tc>
          <w:tcPr>
            <w:tcW w:w="1559"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8 ساعات</w:t>
            </w:r>
          </w:p>
        </w:tc>
        <w:tc>
          <w:tcPr>
            <w:tcW w:w="212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الوثائق المحملة بعملية شبه مؤتمتة أو مؤتمتة بالكامل</w:t>
            </w:r>
          </w:p>
        </w:tc>
        <w:tc>
          <w:tcPr>
            <w:tcW w:w="992" w:type="dxa"/>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80.0 </w:t>
            </w:r>
            <w:r w:rsidR="00475EFE">
              <w:rPr>
                <w:rFonts w:ascii="Arabic Typesetting" w:hAnsi="Arabic Typesetting" w:cs="Arabic Typesetting"/>
                <w:sz w:val="30"/>
                <w:szCs w:val="30"/>
                <w:rtl/>
                <w:lang w:bidi="ar-SA"/>
              </w:rPr>
              <w:t>%</w:t>
            </w:r>
          </w:p>
        </w:tc>
        <w:tc>
          <w:tcPr>
            <w:tcW w:w="959" w:type="dxa"/>
            <w:tcMar>
              <w:top w:w="85" w:type="dxa"/>
              <w:bottom w:w="85" w:type="dxa"/>
            </w:tcMar>
          </w:tcPr>
          <w:p w:rsidR="00861CFF" w:rsidRPr="00463E5E" w:rsidRDefault="00861CFF" w:rsidP="00475EF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88.2 </w:t>
            </w:r>
            <w:r w:rsidR="00475EFE">
              <w:rPr>
                <w:rFonts w:ascii="Arabic Typesetting" w:hAnsi="Arabic Typesetting" w:cs="Arabic Typesetting" w:hint="cs"/>
                <w:sz w:val="30"/>
                <w:szCs w:val="30"/>
                <w:rtl/>
                <w:lang w:bidi="ar-SA"/>
              </w:rPr>
              <w:t>%</w:t>
            </w:r>
          </w:p>
        </w:tc>
      </w:tr>
      <w:tr w:rsidR="00861CFF" w:rsidRPr="00463E5E" w:rsidTr="00475EFE">
        <w:trPr>
          <w:jc w:val="center"/>
        </w:trPr>
        <w:tc>
          <w:tcPr>
            <w:tcW w:w="675"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(3)</w:t>
            </w:r>
          </w:p>
        </w:tc>
        <w:tc>
          <w:tcPr>
            <w:tcW w:w="297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معدل النجاح في معالجة مجموعة من الوظائف</w:t>
            </w:r>
          </w:p>
        </w:tc>
        <w:tc>
          <w:tcPr>
            <w:tcW w:w="1559"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100 </w:t>
            </w:r>
            <w:r w:rsidR="00475EFE">
              <w:rPr>
                <w:rFonts w:ascii="Arabic Typesetting" w:hAnsi="Arabic Typesetting" w:cs="Arabic Typesetting"/>
                <w:sz w:val="30"/>
                <w:szCs w:val="30"/>
                <w:rtl/>
                <w:lang w:bidi="ar-SA"/>
              </w:rPr>
              <w:t>%</w:t>
            </w:r>
          </w:p>
        </w:tc>
        <w:tc>
          <w:tcPr>
            <w:tcW w:w="212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مجموعات العمل اللازم استكمالها بنجاح عند إغلاق دائرة أعمال في تاريخ محدد</w:t>
            </w:r>
          </w:p>
        </w:tc>
        <w:tc>
          <w:tcPr>
            <w:tcW w:w="992" w:type="dxa"/>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99.6 </w:t>
            </w:r>
            <w:r w:rsidR="00475EFE">
              <w:rPr>
                <w:rFonts w:ascii="Arabic Typesetting" w:hAnsi="Arabic Typesetting" w:cs="Arabic Typesetting"/>
                <w:sz w:val="30"/>
                <w:szCs w:val="30"/>
                <w:rtl/>
                <w:lang w:bidi="ar-SA"/>
              </w:rPr>
              <w:t>%</w:t>
            </w:r>
          </w:p>
        </w:tc>
        <w:tc>
          <w:tcPr>
            <w:tcW w:w="959" w:type="dxa"/>
            <w:tcMar>
              <w:top w:w="85" w:type="dxa"/>
              <w:bottom w:w="85" w:type="dxa"/>
            </w:tcMar>
          </w:tcPr>
          <w:p w:rsidR="00861CFF" w:rsidRPr="00463E5E" w:rsidRDefault="00861CFF" w:rsidP="00475EF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99.5 </w:t>
            </w:r>
            <w:r w:rsidR="00475EFE">
              <w:rPr>
                <w:rFonts w:ascii="Arabic Typesetting" w:hAnsi="Arabic Typesetting" w:cs="Arabic Typesetting" w:hint="cs"/>
                <w:sz w:val="30"/>
                <w:szCs w:val="30"/>
                <w:rtl/>
                <w:lang w:bidi="ar-SA"/>
              </w:rPr>
              <w:t>%</w:t>
            </w:r>
          </w:p>
        </w:tc>
      </w:tr>
      <w:tr w:rsidR="00861CFF" w:rsidRPr="00463E5E" w:rsidTr="00475EFE">
        <w:trPr>
          <w:jc w:val="center"/>
        </w:trPr>
        <w:tc>
          <w:tcPr>
            <w:tcW w:w="675"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(4)</w:t>
            </w:r>
          </w:p>
        </w:tc>
        <w:tc>
          <w:tcPr>
            <w:tcW w:w="297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توافر نظام الملفات الإلكترونية (</w:t>
            </w:r>
            <w:proofErr w:type="spellStart"/>
            <w:r w:rsidRPr="00463E5E">
              <w:rPr>
                <w:rFonts w:ascii="Arabic Typesetting" w:hAnsi="Arabic Typesetting" w:cs="Arabic Typesetting"/>
                <w:color w:val="000000"/>
                <w:sz w:val="30"/>
                <w:szCs w:val="30"/>
                <w:lang w:val="en-GB" w:eastAsia="en-GB" w:bidi="ar-SA"/>
              </w:rPr>
              <w:t>eDossier</w:t>
            </w:r>
            <w:proofErr w:type="spellEnd"/>
            <w:r w:rsidRPr="00463E5E">
              <w:rPr>
                <w:rFonts w:ascii="Arabic Typesetting" w:hAnsi="Arabic Typesetting" w:cs="Arabic Typesetting"/>
                <w:color w:val="000000"/>
                <w:sz w:val="30"/>
                <w:szCs w:val="30"/>
                <w:rtl/>
                <w:lang w:val="en-GB" w:eastAsia="en-GB" w:bidi="ar-SA"/>
              </w:rPr>
              <w:t>)</w:t>
            </w:r>
          </w:p>
        </w:tc>
        <w:tc>
          <w:tcPr>
            <w:tcW w:w="1559"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 xml:space="preserve">99 </w:t>
            </w:r>
            <w:r w:rsidR="00475EFE">
              <w:rPr>
                <w:rFonts w:ascii="Arabic Typesetting" w:hAnsi="Arabic Typesetting" w:cs="Arabic Typesetting"/>
                <w:color w:val="000000"/>
                <w:sz w:val="30"/>
                <w:szCs w:val="30"/>
                <w:rtl/>
                <w:lang w:val="en-GB" w:eastAsia="en-GB" w:bidi="ar-SA"/>
              </w:rPr>
              <w:t>%</w:t>
            </w:r>
          </w:p>
        </w:tc>
        <w:tc>
          <w:tcPr>
            <w:tcW w:w="212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من الساعة 7 صباحا إلى الساعة 7 مساء في أيام العمل</w:t>
            </w:r>
          </w:p>
        </w:tc>
        <w:tc>
          <w:tcPr>
            <w:tcW w:w="992" w:type="dxa"/>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100.0 </w:t>
            </w:r>
            <w:r w:rsidR="00475EFE">
              <w:rPr>
                <w:rFonts w:ascii="Arabic Typesetting" w:hAnsi="Arabic Typesetting" w:cs="Arabic Typesetting"/>
                <w:sz w:val="30"/>
                <w:szCs w:val="30"/>
                <w:rtl/>
                <w:lang w:bidi="ar-SA"/>
              </w:rPr>
              <w:t>%</w:t>
            </w:r>
          </w:p>
        </w:tc>
        <w:tc>
          <w:tcPr>
            <w:tcW w:w="959" w:type="dxa"/>
            <w:tcMar>
              <w:top w:w="85" w:type="dxa"/>
              <w:bottom w:w="85" w:type="dxa"/>
            </w:tcMar>
          </w:tcPr>
          <w:p w:rsidR="00861CFF" w:rsidRPr="00463E5E" w:rsidRDefault="00861CFF" w:rsidP="00475EF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100.0 </w:t>
            </w:r>
            <w:r w:rsidR="00475EFE">
              <w:rPr>
                <w:rFonts w:ascii="Arabic Typesetting" w:hAnsi="Arabic Typesetting" w:cs="Arabic Typesetting" w:hint="cs"/>
                <w:sz w:val="30"/>
                <w:szCs w:val="30"/>
                <w:rtl/>
                <w:lang w:bidi="ar-SA"/>
              </w:rPr>
              <w:t>%</w:t>
            </w:r>
          </w:p>
        </w:tc>
      </w:tr>
      <w:tr w:rsidR="00861CFF" w:rsidRPr="00463E5E" w:rsidTr="00475EFE">
        <w:trPr>
          <w:jc w:val="center"/>
        </w:trPr>
        <w:tc>
          <w:tcPr>
            <w:tcW w:w="675"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(5)</w:t>
            </w:r>
          </w:p>
        </w:tc>
        <w:tc>
          <w:tcPr>
            <w:tcW w:w="297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توافر نظام معاهدة التعاون بشأن البراءات الإلكتروني (</w:t>
            </w:r>
            <w:proofErr w:type="spellStart"/>
            <w:r w:rsidRPr="00463E5E">
              <w:rPr>
                <w:rFonts w:ascii="Arabic Typesetting" w:hAnsi="Arabic Typesetting" w:cs="Arabic Typesetting"/>
                <w:color w:val="000000"/>
                <w:sz w:val="30"/>
                <w:szCs w:val="30"/>
                <w:lang w:val="en-GB" w:eastAsia="en-GB" w:bidi="ar-SA"/>
              </w:rPr>
              <w:t>ePCT</w:t>
            </w:r>
            <w:proofErr w:type="spellEnd"/>
            <w:r w:rsidRPr="00463E5E">
              <w:rPr>
                <w:rFonts w:ascii="Arabic Typesetting" w:hAnsi="Arabic Typesetting" w:cs="Arabic Typesetting"/>
                <w:color w:val="000000"/>
                <w:sz w:val="30"/>
                <w:szCs w:val="30"/>
                <w:rtl/>
                <w:lang w:val="en-GB" w:eastAsia="en-GB" w:bidi="ar-SA"/>
              </w:rPr>
              <w:t>)</w:t>
            </w:r>
          </w:p>
        </w:tc>
        <w:tc>
          <w:tcPr>
            <w:tcW w:w="1559"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 xml:space="preserve">99 </w:t>
            </w:r>
            <w:r w:rsidR="00475EFE">
              <w:rPr>
                <w:rFonts w:ascii="Arabic Typesetting" w:hAnsi="Arabic Typesetting" w:cs="Arabic Typesetting"/>
                <w:color w:val="000000"/>
                <w:sz w:val="30"/>
                <w:szCs w:val="30"/>
                <w:rtl/>
                <w:lang w:val="en-GB" w:eastAsia="en-GB" w:bidi="ar-SA"/>
              </w:rPr>
              <w:t>%</w:t>
            </w:r>
          </w:p>
        </w:tc>
        <w:tc>
          <w:tcPr>
            <w:tcW w:w="212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color w:val="000000"/>
                <w:sz w:val="30"/>
                <w:szCs w:val="30"/>
                <w:rtl/>
                <w:lang w:val="en-GB" w:eastAsia="en-GB" w:bidi="ar-SA"/>
              </w:rPr>
              <w:t>24 ساعة</w:t>
            </w:r>
          </w:p>
        </w:tc>
        <w:tc>
          <w:tcPr>
            <w:tcW w:w="992" w:type="dxa"/>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100.0 </w:t>
            </w:r>
            <w:r w:rsidR="00475EFE">
              <w:rPr>
                <w:rFonts w:ascii="Arabic Typesetting" w:hAnsi="Arabic Typesetting" w:cs="Arabic Typesetting"/>
                <w:sz w:val="30"/>
                <w:szCs w:val="30"/>
                <w:rtl/>
                <w:lang w:bidi="ar-SA"/>
              </w:rPr>
              <w:t>%</w:t>
            </w:r>
          </w:p>
        </w:tc>
        <w:tc>
          <w:tcPr>
            <w:tcW w:w="959" w:type="dxa"/>
            <w:tcMar>
              <w:top w:w="85" w:type="dxa"/>
              <w:bottom w:w="85" w:type="dxa"/>
            </w:tcMar>
          </w:tcPr>
          <w:p w:rsidR="00861CFF" w:rsidRPr="00463E5E" w:rsidRDefault="00861CFF" w:rsidP="00475EFE">
            <w:pPr>
              <w:autoSpaceDE w:val="0"/>
              <w:autoSpaceDN w:val="0"/>
              <w:adjustRightInd w:val="0"/>
              <w:spacing w:line="280" w:lineRule="exact"/>
              <w:rPr>
                <w:rFonts w:ascii="Arabic Typesetting" w:hAnsi="Arabic Typesetting" w:cs="Arabic Typesetting"/>
                <w:color w:val="000000"/>
                <w:sz w:val="30"/>
                <w:szCs w:val="30"/>
                <w:lang w:val="en-GB" w:eastAsia="en-GB" w:bidi="ar-SA"/>
              </w:rPr>
            </w:pPr>
            <w:r w:rsidRPr="00463E5E">
              <w:rPr>
                <w:rFonts w:ascii="Arabic Typesetting" w:hAnsi="Arabic Typesetting" w:cs="Arabic Typesetting"/>
                <w:sz w:val="30"/>
                <w:szCs w:val="30"/>
                <w:rtl/>
                <w:lang w:bidi="ar-SA"/>
              </w:rPr>
              <w:t xml:space="preserve">100.0 </w:t>
            </w:r>
            <w:r w:rsidR="00475EFE">
              <w:rPr>
                <w:rFonts w:ascii="Arabic Typesetting" w:hAnsi="Arabic Typesetting" w:cs="Arabic Typesetting" w:hint="cs"/>
                <w:sz w:val="30"/>
                <w:szCs w:val="30"/>
                <w:rtl/>
                <w:lang w:bidi="ar-SA"/>
              </w:rPr>
              <w:t>%</w:t>
            </w:r>
          </w:p>
        </w:tc>
      </w:tr>
      <w:tr w:rsidR="00861CFF" w:rsidRPr="00463E5E" w:rsidTr="00475EFE">
        <w:trPr>
          <w:cantSplit/>
          <w:jc w:val="center"/>
        </w:trPr>
        <w:tc>
          <w:tcPr>
            <w:tcW w:w="675"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b/>
                <w:color w:val="000000"/>
                <w:sz w:val="30"/>
                <w:szCs w:val="30"/>
                <w:lang w:val="en-GB" w:eastAsia="en-GB" w:bidi="ar-SA"/>
              </w:rPr>
            </w:pPr>
          </w:p>
        </w:tc>
        <w:tc>
          <w:tcPr>
            <w:tcW w:w="297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bCs/>
                <w:color w:val="000000"/>
                <w:sz w:val="30"/>
                <w:szCs w:val="30"/>
                <w:rtl/>
                <w:lang w:val="en-GB" w:eastAsia="en-GB" w:bidi="ar-SA"/>
              </w:rPr>
            </w:pPr>
            <w:r w:rsidRPr="00463E5E">
              <w:rPr>
                <w:rFonts w:ascii="Arabic Typesetting" w:hAnsi="Arabic Typesetting" w:cs="Arabic Typesetting"/>
                <w:bCs/>
                <w:color w:val="000000"/>
                <w:sz w:val="30"/>
                <w:szCs w:val="30"/>
                <w:rtl/>
                <w:lang w:val="en-GB" w:eastAsia="en-GB" w:bidi="ar-SA"/>
              </w:rPr>
              <w:t xml:space="preserve">مستويات خدمات أنظمة المعلومات </w:t>
            </w:r>
          </w:p>
          <w:p w:rsidR="00861CFF" w:rsidRPr="00463E5E" w:rsidRDefault="00861CFF" w:rsidP="00463E5E">
            <w:pPr>
              <w:autoSpaceDE w:val="0"/>
              <w:autoSpaceDN w:val="0"/>
              <w:adjustRightInd w:val="0"/>
              <w:spacing w:line="280" w:lineRule="exact"/>
              <w:rPr>
                <w:rFonts w:ascii="Arabic Typesetting" w:hAnsi="Arabic Typesetting" w:cs="Arabic Typesetting"/>
                <w:bCs/>
                <w:iCs/>
                <w:color w:val="000000"/>
                <w:sz w:val="30"/>
                <w:szCs w:val="30"/>
                <w:lang w:val="en-GB" w:eastAsia="en-GB" w:bidi="ar-SA"/>
              </w:rPr>
            </w:pPr>
            <w:r w:rsidRPr="00463E5E">
              <w:rPr>
                <w:rFonts w:ascii="Arabic Typesetting" w:hAnsi="Arabic Typesetting" w:cs="Arabic Typesetting"/>
                <w:bCs/>
                <w:iCs/>
                <w:color w:val="000000"/>
                <w:sz w:val="30"/>
                <w:szCs w:val="30"/>
                <w:rtl/>
                <w:lang w:val="en-GB" w:eastAsia="en-GB" w:bidi="ar-SA"/>
              </w:rPr>
              <w:t xml:space="preserve">متوسط المؤشرات الواردة أعلاه: (1): 20 </w:t>
            </w:r>
            <w:r w:rsidR="00475EFE">
              <w:rPr>
                <w:rFonts w:ascii="Arabic Typesetting" w:hAnsi="Arabic Typesetting" w:cs="Arabic Typesetting"/>
                <w:bCs/>
                <w:iCs/>
                <w:color w:val="000000"/>
                <w:sz w:val="30"/>
                <w:szCs w:val="30"/>
                <w:rtl/>
                <w:lang w:val="en-GB" w:eastAsia="en-GB" w:bidi="ar-SA"/>
              </w:rPr>
              <w:t>%</w:t>
            </w:r>
            <w:r w:rsidRPr="00463E5E">
              <w:rPr>
                <w:rFonts w:ascii="Arabic Typesetting" w:hAnsi="Arabic Typesetting" w:cs="Arabic Typesetting"/>
                <w:bCs/>
                <w:iCs/>
                <w:color w:val="000000"/>
                <w:sz w:val="30"/>
                <w:szCs w:val="30"/>
                <w:rtl/>
                <w:lang w:val="en-GB" w:eastAsia="en-GB" w:bidi="ar-SA"/>
              </w:rPr>
              <w:t xml:space="preserve"> (2): 20 </w:t>
            </w:r>
            <w:r w:rsidR="00475EFE">
              <w:rPr>
                <w:rFonts w:ascii="Arabic Typesetting" w:hAnsi="Arabic Typesetting" w:cs="Arabic Typesetting"/>
                <w:bCs/>
                <w:iCs/>
                <w:color w:val="000000"/>
                <w:sz w:val="30"/>
                <w:szCs w:val="30"/>
                <w:rtl/>
                <w:lang w:val="en-GB" w:eastAsia="en-GB" w:bidi="ar-SA"/>
              </w:rPr>
              <w:t>%</w:t>
            </w:r>
            <w:r w:rsidRPr="00463E5E">
              <w:rPr>
                <w:rFonts w:ascii="Arabic Typesetting" w:hAnsi="Arabic Typesetting" w:cs="Arabic Typesetting"/>
                <w:bCs/>
                <w:iCs/>
                <w:color w:val="000000"/>
                <w:sz w:val="30"/>
                <w:szCs w:val="30"/>
                <w:rtl/>
                <w:lang w:val="en-GB" w:eastAsia="en-GB" w:bidi="ar-SA"/>
              </w:rPr>
              <w:t xml:space="preserve"> (3): 20 </w:t>
            </w:r>
            <w:r w:rsidR="00475EFE">
              <w:rPr>
                <w:rFonts w:ascii="Arabic Typesetting" w:hAnsi="Arabic Typesetting" w:cs="Arabic Typesetting"/>
                <w:bCs/>
                <w:iCs/>
                <w:color w:val="000000"/>
                <w:sz w:val="30"/>
                <w:szCs w:val="30"/>
                <w:rtl/>
                <w:lang w:val="en-GB" w:eastAsia="en-GB" w:bidi="ar-SA"/>
              </w:rPr>
              <w:t>%</w:t>
            </w:r>
            <w:r w:rsidRPr="00463E5E">
              <w:rPr>
                <w:rFonts w:ascii="Arabic Typesetting" w:hAnsi="Arabic Typesetting" w:cs="Arabic Typesetting"/>
                <w:bCs/>
                <w:iCs/>
                <w:color w:val="000000"/>
                <w:sz w:val="30"/>
                <w:szCs w:val="30"/>
                <w:rtl/>
                <w:lang w:val="en-GB" w:eastAsia="en-GB" w:bidi="ar-SA"/>
              </w:rPr>
              <w:t xml:space="preserve"> (4): 20 </w:t>
            </w:r>
            <w:r w:rsidR="00475EFE">
              <w:rPr>
                <w:rFonts w:ascii="Arabic Typesetting" w:hAnsi="Arabic Typesetting" w:cs="Arabic Typesetting"/>
                <w:bCs/>
                <w:iCs/>
                <w:color w:val="000000"/>
                <w:sz w:val="30"/>
                <w:szCs w:val="30"/>
                <w:rtl/>
                <w:lang w:val="en-GB" w:eastAsia="en-GB" w:bidi="ar-SA"/>
              </w:rPr>
              <w:t>%</w:t>
            </w:r>
            <w:r w:rsidRPr="00463E5E">
              <w:rPr>
                <w:rFonts w:ascii="Arabic Typesetting" w:hAnsi="Arabic Typesetting" w:cs="Arabic Typesetting"/>
                <w:bCs/>
                <w:iCs/>
                <w:color w:val="000000"/>
                <w:sz w:val="30"/>
                <w:szCs w:val="30"/>
                <w:rtl/>
                <w:lang w:val="en-GB" w:eastAsia="en-GB" w:bidi="ar-SA"/>
              </w:rPr>
              <w:t xml:space="preserve"> (5): 20 </w:t>
            </w:r>
            <w:r w:rsidR="00475EFE">
              <w:rPr>
                <w:rFonts w:ascii="Arabic Typesetting" w:hAnsi="Arabic Typesetting" w:cs="Arabic Typesetting"/>
                <w:bCs/>
                <w:iCs/>
                <w:color w:val="000000"/>
                <w:sz w:val="30"/>
                <w:szCs w:val="30"/>
                <w:rtl/>
                <w:lang w:val="en-GB" w:eastAsia="en-GB" w:bidi="ar-SA"/>
              </w:rPr>
              <w:t>%</w:t>
            </w:r>
          </w:p>
        </w:tc>
        <w:tc>
          <w:tcPr>
            <w:tcW w:w="1559"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b/>
                <w:color w:val="000000"/>
                <w:sz w:val="30"/>
                <w:szCs w:val="30"/>
                <w:lang w:val="en-GB" w:eastAsia="en-GB" w:bidi="ar-SA"/>
              </w:rPr>
            </w:pPr>
          </w:p>
        </w:tc>
        <w:tc>
          <w:tcPr>
            <w:tcW w:w="2127" w:type="dxa"/>
            <w:shd w:val="clear" w:color="auto" w:fill="auto"/>
            <w:tcMar>
              <w:top w:w="85" w:type="dxa"/>
              <w:bottom w:w="85" w:type="dxa"/>
            </w:tcMar>
          </w:tcPr>
          <w:p w:rsidR="00861CFF" w:rsidRPr="00463E5E" w:rsidRDefault="00861CFF" w:rsidP="00463E5E">
            <w:pPr>
              <w:autoSpaceDE w:val="0"/>
              <w:autoSpaceDN w:val="0"/>
              <w:adjustRightInd w:val="0"/>
              <w:spacing w:line="280" w:lineRule="exact"/>
              <w:rPr>
                <w:rFonts w:ascii="Arabic Typesetting" w:hAnsi="Arabic Typesetting" w:cs="Arabic Typesetting"/>
                <w:b/>
                <w:color w:val="000000"/>
                <w:sz w:val="30"/>
                <w:szCs w:val="30"/>
                <w:lang w:val="en-GB" w:eastAsia="en-GB" w:bidi="ar-SA"/>
              </w:rPr>
            </w:pPr>
          </w:p>
        </w:tc>
        <w:tc>
          <w:tcPr>
            <w:tcW w:w="992" w:type="dxa"/>
            <w:tcMar>
              <w:top w:w="85" w:type="dxa"/>
              <w:bottom w:w="85" w:type="dxa"/>
            </w:tcMar>
          </w:tcPr>
          <w:p w:rsidR="00861CFF" w:rsidRPr="00463E5E" w:rsidRDefault="00861CFF" w:rsidP="00463E5E">
            <w:pPr>
              <w:tabs>
                <w:tab w:val="right" w:pos="918"/>
              </w:tabs>
              <w:autoSpaceDE w:val="0"/>
              <w:autoSpaceDN w:val="0"/>
              <w:adjustRightInd w:val="0"/>
              <w:spacing w:line="280" w:lineRule="exact"/>
              <w:rPr>
                <w:rFonts w:ascii="Arabic Typesetting" w:hAnsi="Arabic Typesetting" w:cs="Arabic Typesetting"/>
                <w:bCs/>
                <w:sz w:val="30"/>
                <w:szCs w:val="30"/>
                <w:lang w:bidi="ar-SA"/>
              </w:rPr>
            </w:pPr>
            <w:r w:rsidRPr="00463E5E">
              <w:rPr>
                <w:rFonts w:ascii="Arabic Typesetting" w:hAnsi="Arabic Typesetting" w:cs="Arabic Typesetting"/>
                <w:bCs/>
                <w:sz w:val="30"/>
                <w:szCs w:val="30"/>
                <w:rtl/>
                <w:lang w:bidi="ar-SA"/>
              </w:rPr>
              <w:t xml:space="preserve">93.0 </w:t>
            </w:r>
            <w:r w:rsidR="00475EFE">
              <w:rPr>
                <w:rFonts w:ascii="Arabic Typesetting" w:hAnsi="Arabic Typesetting" w:cs="Arabic Typesetting"/>
                <w:bCs/>
                <w:sz w:val="30"/>
                <w:szCs w:val="30"/>
                <w:rtl/>
                <w:lang w:bidi="ar-SA"/>
              </w:rPr>
              <w:t>%</w:t>
            </w:r>
          </w:p>
        </w:tc>
        <w:tc>
          <w:tcPr>
            <w:tcW w:w="959" w:type="dxa"/>
            <w:tcMar>
              <w:top w:w="85" w:type="dxa"/>
              <w:bottom w:w="85" w:type="dxa"/>
            </w:tcMar>
          </w:tcPr>
          <w:p w:rsidR="00861CFF" w:rsidRPr="00463E5E" w:rsidRDefault="00861CFF" w:rsidP="00475EFE">
            <w:pPr>
              <w:autoSpaceDE w:val="0"/>
              <w:autoSpaceDN w:val="0"/>
              <w:adjustRightInd w:val="0"/>
              <w:spacing w:line="280" w:lineRule="exact"/>
              <w:rPr>
                <w:rFonts w:ascii="Arabic Typesetting" w:hAnsi="Arabic Typesetting" w:cs="Arabic Typesetting"/>
                <w:bCs/>
                <w:sz w:val="30"/>
                <w:szCs w:val="30"/>
                <w:lang w:bidi="ar-SA"/>
              </w:rPr>
            </w:pPr>
            <w:r w:rsidRPr="00463E5E">
              <w:rPr>
                <w:rFonts w:ascii="Arabic Typesetting" w:hAnsi="Arabic Typesetting" w:cs="Arabic Typesetting"/>
                <w:bCs/>
                <w:sz w:val="30"/>
                <w:szCs w:val="30"/>
                <w:rtl/>
                <w:lang w:bidi="ar-SA"/>
              </w:rPr>
              <w:t xml:space="preserve">95.3 </w:t>
            </w:r>
            <w:r w:rsidR="00475EFE">
              <w:rPr>
                <w:rFonts w:ascii="Arabic Typesetting" w:hAnsi="Arabic Typesetting" w:cs="Arabic Typesetting" w:hint="cs"/>
                <w:bCs/>
                <w:sz w:val="30"/>
                <w:szCs w:val="30"/>
                <w:rtl/>
                <w:lang w:bidi="ar-SA"/>
              </w:rPr>
              <w:t>%</w:t>
            </w:r>
          </w:p>
        </w:tc>
      </w:tr>
    </w:tbl>
    <w:p w:rsidR="00861CFF" w:rsidRPr="00EC09E1" w:rsidRDefault="00861CFF" w:rsidP="00DA5475">
      <w:pPr>
        <w:spacing w:after="120" w:line="340" w:lineRule="exact"/>
        <w:rPr>
          <w:rFonts w:ascii="Arabic Typesetting" w:hAnsi="Arabic Typesetting" w:cs="Arabic Typesetting"/>
          <w:sz w:val="34"/>
          <w:szCs w:val="34"/>
          <w:rtl/>
          <w:lang w:val="en-GB"/>
        </w:rPr>
      </w:pPr>
    </w:p>
    <w:p w:rsidR="00861CFF" w:rsidRPr="009509ED" w:rsidRDefault="00861CFF" w:rsidP="00DA5475">
      <w:pPr>
        <w:keepNext/>
        <w:tabs>
          <w:tab w:val="left" w:pos="2916"/>
        </w:tabs>
        <w:spacing w:after="120" w:line="340" w:lineRule="exact"/>
        <w:rPr>
          <w:rFonts w:ascii="Arabic Typesetting" w:hAnsi="Arabic Typesetting" w:cs="Arabic Typesetting"/>
          <w:b/>
          <w:bCs/>
          <w:sz w:val="36"/>
          <w:szCs w:val="36"/>
          <w:lang w:val="en-GB"/>
        </w:rPr>
      </w:pPr>
      <w:r w:rsidRPr="009509ED">
        <w:rPr>
          <w:rFonts w:ascii="Arabic Typesetting" w:hAnsi="Arabic Typesetting" w:cs="Arabic Typesetting"/>
          <w:b/>
          <w:bCs/>
          <w:sz w:val="36"/>
          <w:szCs w:val="36"/>
          <w:rtl/>
          <w:lang w:val="en-GB"/>
        </w:rPr>
        <w:t>المكتب الدولي بوصفه مكتبا لتسلم الطلبات</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الإيداعات</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يوضح هذا الجدول الإيداعات بناء على معاهدة التعاون بشأن البراءات لدى أكبر عشرة مكاتب لتسلم الطلبات خلال الأعوام الخمسة الماضية وحتى عام 2014. ومن حيث المبدأ يودع أي طلب بناء على معاهدة التعاون بشأن البراءات لدى مكتب البراءات الوطني في وطن المودع أو لدى أي مكتب براءات إقليمي ينوب عن اختصاص هذا المكتب. والمكتب الدولي مختص بتسلم الطلبات من جميع الدول المتعاقدة بموجب معاهدة التعاون بشأن البراءات. ويمكن الاطلاع في هذا الجدول كذلك على تطور الإيداعات لدى المكتب الدولي بوصفه مكتبا لتسلم الطلبات وترتيبه من حيث عدد الإيداعات بين سائر مكاتب تسلم</w:t>
      </w:r>
      <w:r w:rsidR="001D14C5">
        <w:rPr>
          <w:sz w:val="34"/>
          <w:szCs w:val="34"/>
          <w:rtl/>
          <w:lang w:val="en-GB"/>
        </w:rPr>
        <w:t xml:space="preserve"> الطلبات فضلا عن حصته في السوق.</w:t>
      </w:r>
    </w:p>
    <w:p w:rsidR="00861CFF" w:rsidRPr="00EC09E1" w:rsidRDefault="00861CFF" w:rsidP="00DA5475">
      <w:pPr>
        <w:spacing w:after="120"/>
        <w:jc w:val="center"/>
        <w:rPr>
          <w:rFonts w:ascii="Arabic Typesetting" w:hAnsi="Arabic Typesetting" w:cs="Arabic Typesetting"/>
          <w:sz w:val="34"/>
          <w:szCs w:val="34"/>
          <w:lang w:val="en-GB"/>
        </w:rPr>
      </w:pPr>
      <w:r w:rsidRPr="00790321">
        <w:rPr>
          <w:noProof/>
          <w:szCs w:val="20"/>
          <w:rtl/>
          <w:lang w:bidi="ar-SA"/>
        </w:rPr>
        <w:drawing>
          <wp:inline distT="0" distB="0" distL="0" distR="0" wp14:anchorId="01EDEC79" wp14:editId="1F95903C">
            <wp:extent cx="5939790" cy="2981245"/>
            <wp:effectExtent l="0" t="0" r="381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939790" cy="2981245"/>
                    </a:xfrm>
                    <a:prstGeom prst="rect">
                      <a:avLst/>
                    </a:prstGeom>
                    <a:noFill/>
                    <a:ln>
                      <a:noFill/>
                    </a:ln>
                  </pic:spPr>
                </pic:pic>
              </a:graphicData>
            </a:graphic>
          </wp:inline>
        </w:drawing>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lastRenderedPageBreak/>
        <w:t>واعتبارا من البرنامج والميزانية للثنائية 2014/2015 أضيف مؤشرا الأداء التاليان بالنسبة إلى المكتب الدولي بصفته مكتبا لتسلم الطلبات:</w:t>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توقيت الإخطار بتاريخ الإيداع الدولي</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يبين هذا المؤشر الوقت اللازم للمكتب الدولي بصفته مكتبا لتسلم الطلبات لإصدار الاستمارة 105. وتصدر هذه الاستمارة بعد منح تاريخ الإيداع الدولي. ويحبذ المودعون تسلم هذه الاستمارة في أسرع وقت ممكن لأن الطلب الدولي يكون له أثر الطلب الوطني العادي في كل دولة معينة اعتبارا من تاريخ الإيداع الدولي الذي يجب أن يعتبر تاريخ الإيداع الفعلي في كل دولة معينة.</w:t>
      </w:r>
    </w:p>
    <w:p w:rsidR="00861CFF" w:rsidRPr="00EC09E1" w:rsidRDefault="00861CFF" w:rsidP="00DA5475">
      <w:pPr>
        <w:keepNext/>
        <w:spacing w:after="120" w:line="340" w:lineRule="exact"/>
        <w:jc w:val="center"/>
        <w:rPr>
          <w:rFonts w:ascii="Arabic Typesetting" w:hAnsi="Arabic Typesetting" w:cs="Arabic Typesetting"/>
          <w:b/>
          <w:bCs/>
          <w:sz w:val="34"/>
          <w:szCs w:val="34"/>
          <w:lang w:val="en-GB"/>
        </w:rPr>
      </w:pPr>
      <w:r w:rsidRPr="00EC09E1">
        <w:rPr>
          <w:rFonts w:ascii="Arabic Typesetting" w:hAnsi="Arabic Typesetting" w:cs="Arabic Typesetting"/>
          <w:b/>
          <w:bCs/>
          <w:sz w:val="34"/>
          <w:szCs w:val="34"/>
          <w:rtl/>
          <w:lang w:val="en-GB"/>
        </w:rPr>
        <w:t>توقيت الإخطار بتاريخ الإيداع الدولي</w:t>
      </w:r>
    </w:p>
    <w:p w:rsidR="00861CFF" w:rsidRPr="00EC09E1" w:rsidRDefault="00861CFF" w:rsidP="00DA5475">
      <w:pPr>
        <w:spacing w:after="120"/>
        <w:rPr>
          <w:rFonts w:ascii="Arabic Typesetting" w:hAnsi="Arabic Typesetting" w:cs="Arabic Typesetting"/>
          <w:sz w:val="34"/>
          <w:szCs w:val="34"/>
          <w:rtl/>
          <w:lang w:val="en-GB"/>
        </w:rPr>
      </w:pPr>
      <w:r>
        <w:rPr>
          <w:rFonts w:ascii="Arabic Typesetting" w:hAnsi="Arabic Typesetting" w:cs="Arabic Typesetting"/>
          <w:noProof/>
          <w:sz w:val="34"/>
          <w:szCs w:val="34"/>
          <w:lang w:bidi="ar-SA"/>
        </w:rPr>
        <w:drawing>
          <wp:inline distT="0" distB="0" distL="0" distR="0" wp14:anchorId="47CB2311" wp14:editId="570D28C7">
            <wp:extent cx="5420139" cy="2351847"/>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419491" cy="2351566"/>
                    </a:xfrm>
                    <a:prstGeom prst="rect">
                      <a:avLst/>
                    </a:prstGeom>
                    <a:noFill/>
                  </pic:spPr>
                </pic:pic>
              </a:graphicData>
            </a:graphic>
          </wp:inline>
        </w:drawing>
      </w:r>
    </w:p>
    <w:p w:rsidR="00861CFF" w:rsidRPr="00EC09E1" w:rsidRDefault="00861CFF" w:rsidP="00DA5475">
      <w:pPr>
        <w:keepNext/>
        <w:spacing w:after="120" w:line="340" w:lineRule="exact"/>
        <w:rPr>
          <w:rFonts w:ascii="Arabic Typesetting" w:hAnsi="Arabic Typesetting" w:cs="Arabic Typesetting"/>
          <w:i/>
          <w:iCs/>
          <w:sz w:val="34"/>
          <w:szCs w:val="34"/>
          <w:lang w:val="en-GB"/>
        </w:rPr>
      </w:pPr>
      <w:r w:rsidRPr="00EC09E1">
        <w:rPr>
          <w:rFonts w:ascii="Arabic Typesetting" w:hAnsi="Arabic Typesetting" w:cs="Arabic Typesetting"/>
          <w:i/>
          <w:iCs/>
          <w:sz w:val="34"/>
          <w:szCs w:val="34"/>
          <w:rtl/>
          <w:lang w:val="en-GB"/>
        </w:rPr>
        <w:t>توقيت تسليم نسخة البحث</w:t>
      </w:r>
    </w:p>
    <w:p w:rsidR="00861CFF" w:rsidRPr="00EC09E1" w:rsidRDefault="00861CFF" w:rsidP="00861CFF">
      <w:pPr>
        <w:pStyle w:val="NumberedParaAR"/>
        <w:numPr>
          <w:ilvl w:val="0"/>
          <w:numId w:val="56"/>
        </w:numPr>
        <w:spacing w:after="120" w:line="340" w:lineRule="exact"/>
        <w:rPr>
          <w:sz w:val="34"/>
          <w:szCs w:val="34"/>
          <w:lang w:val="en-GB"/>
        </w:rPr>
      </w:pPr>
      <w:r w:rsidRPr="00EC09E1">
        <w:rPr>
          <w:sz w:val="34"/>
          <w:szCs w:val="34"/>
          <w:rtl/>
          <w:lang w:val="en-GB"/>
        </w:rPr>
        <w:t>يبين هذا المؤشر الوقت اللازم للمكتب الدولي بصفته مكتبا لتسلم الطلبات لتسليم نسخ البحث إلى إدارات البحث الدولي. وتسلم نسخ البحث سريعا بعد سداد رسم البحث، كي تتمكن إدارات البحث الدولي من إعداد تقرير البحث الدولي في إطار المهلة المحددة في الإطار التنظيمي لمعاهدة التعاون بشأن البراءات. ويؤثر التأخير في تسليم نسخ البحث سلبا في قدرة إدارات البحث الدولي على الوفاء بهذه المهل.</w:t>
      </w:r>
    </w:p>
    <w:p w:rsidR="00861CFF" w:rsidRPr="00EC09E1" w:rsidRDefault="00861CFF" w:rsidP="00DA5475">
      <w:pPr>
        <w:pStyle w:val="NumberedParaAR"/>
        <w:numPr>
          <w:ilvl w:val="0"/>
          <w:numId w:val="0"/>
        </w:numPr>
        <w:spacing w:after="120" w:line="340" w:lineRule="exact"/>
        <w:rPr>
          <w:sz w:val="34"/>
          <w:szCs w:val="34"/>
          <w:highlight w:val="yellow"/>
          <w:lang w:val="fr-CH"/>
        </w:rPr>
      </w:pPr>
      <w:r w:rsidRPr="00EC09E1">
        <w:rPr>
          <w:b/>
          <w:bCs/>
          <w:sz w:val="34"/>
          <w:szCs w:val="34"/>
          <w:rtl/>
          <w:lang w:val="en-GB" w:bidi="ar-EG"/>
        </w:rPr>
        <w:t>توقيت تسليم نسخة البحث</w:t>
      </w:r>
    </w:p>
    <w:p w:rsidR="00861CFF" w:rsidRPr="00EC09E1" w:rsidRDefault="00861CFF" w:rsidP="00DA5475">
      <w:pPr>
        <w:spacing w:after="120"/>
        <w:rPr>
          <w:rFonts w:ascii="Arabic Typesetting" w:hAnsi="Arabic Typesetting" w:cs="Arabic Typesetting"/>
          <w:sz w:val="34"/>
          <w:szCs w:val="34"/>
          <w:rtl/>
          <w:lang w:val="en-GB"/>
        </w:rPr>
      </w:pPr>
      <w:r>
        <w:rPr>
          <w:rFonts w:ascii="Arabic Typesetting" w:hAnsi="Arabic Typesetting" w:cs="Arabic Typesetting"/>
          <w:noProof/>
          <w:sz w:val="34"/>
          <w:szCs w:val="34"/>
          <w:lang w:bidi="ar-SA"/>
        </w:rPr>
        <w:drawing>
          <wp:inline distT="0" distB="0" distL="0" distR="0" wp14:anchorId="2EE23FD2" wp14:editId="38B739D9">
            <wp:extent cx="5698243" cy="2474469"/>
            <wp:effectExtent l="0" t="0" r="0" b="254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696126" cy="2473550"/>
                    </a:xfrm>
                    <a:prstGeom prst="rect">
                      <a:avLst/>
                    </a:prstGeom>
                    <a:noFill/>
                  </pic:spPr>
                </pic:pic>
              </a:graphicData>
            </a:graphic>
          </wp:inline>
        </w:drawing>
      </w:r>
    </w:p>
    <w:p w:rsidR="00861CFF" w:rsidRDefault="00861CFF" w:rsidP="00862268">
      <w:pPr>
        <w:spacing w:after="120" w:line="340" w:lineRule="exact"/>
        <w:jc w:val="both"/>
        <w:rPr>
          <w:rFonts w:ascii="Arabic Typesetting" w:hAnsi="Arabic Typesetting" w:cs="Arabic Typesetting"/>
          <w:sz w:val="34"/>
          <w:szCs w:val="34"/>
          <w:highlight w:val="yellow"/>
          <w:rtl/>
          <w:lang w:bidi="ar-SA"/>
        </w:rPr>
      </w:pPr>
    </w:p>
    <w:p w:rsidR="00861CFF" w:rsidRPr="00C16521" w:rsidRDefault="00861CFF" w:rsidP="00862268">
      <w:pPr>
        <w:spacing w:after="120" w:line="340" w:lineRule="exact"/>
        <w:jc w:val="both"/>
        <w:rPr>
          <w:rFonts w:ascii="Arabic Typesetting" w:hAnsi="Arabic Typesetting" w:cs="Arabic Typesetting"/>
          <w:sz w:val="34"/>
          <w:szCs w:val="34"/>
          <w:highlight w:val="yellow"/>
          <w:rtl/>
          <w:lang w:bidi="ar-SA"/>
        </w:rPr>
        <w:sectPr w:rsidR="00861CFF" w:rsidRPr="00C16521" w:rsidSect="000700C6">
          <w:pgSz w:w="11906" w:h="16838" w:code="9"/>
          <w:pgMar w:top="1418" w:right="1418" w:bottom="1418" w:left="1134" w:header="510" w:footer="1021" w:gutter="0"/>
          <w:cols w:space="720"/>
          <w:bidi/>
          <w:rtlGutter/>
        </w:sectPr>
      </w:pPr>
    </w:p>
    <w:p w:rsidR="00861CFF" w:rsidRPr="00EC6B71" w:rsidRDefault="00861CFF" w:rsidP="00DA5475">
      <w:pPr>
        <w:pStyle w:val="Heading3"/>
        <w:rPr>
          <w:rFonts w:ascii="Arabic Typesetting" w:hAnsi="Arabic Typesetting" w:cs="Arabic Typesetting"/>
          <w:b w:val="0"/>
          <w:bCs w:val="0"/>
          <w:sz w:val="38"/>
          <w:szCs w:val="38"/>
          <w:rtl/>
          <w:lang w:val="fr-CH" w:bidi="ar-SA"/>
        </w:rPr>
      </w:pPr>
      <w:bookmarkStart w:id="136" w:name="_Toc364355424"/>
      <w:bookmarkStart w:id="137" w:name="_Toc420595543"/>
      <w:r w:rsidRPr="00EC6B71">
        <w:rPr>
          <w:rFonts w:ascii="Arabic Typesetting" w:hAnsi="Arabic Typesetting" w:cs="Arabic Typesetting"/>
          <w:sz w:val="38"/>
          <w:szCs w:val="38"/>
          <w:rtl/>
          <w:lang w:val="fr-CH" w:bidi="ar-SA"/>
        </w:rPr>
        <w:lastRenderedPageBreak/>
        <w:t xml:space="preserve">المرفق </w:t>
      </w:r>
      <w:r w:rsidRPr="00EC6B71">
        <w:rPr>
          <w:rFonts w:ascii="Arabic Typesetting" w:hAnsi="Arabic Typesetting" w:cs="Arabic Typesetting" w:hint="cs"/>
          <w:sz w:val="38"/>
          <w:szCs w:val="38"/>
          <w:rtl/>
          <w:lang w:val="fr-CH" w:bidi="ar-SA"/>
        </w:rPr>
        <w:t>السادس</w:t>
      </w:r>
      <w:r w:rsidRPr="00EC6B71">
        <w:rPr>
          <w:rFonts w:ascii="Arabic Typesetting" w:hAnsi="Arabic Typesetting" w:cs="Arabic Typesetting" w:hint="cs"/>
          <w:sz w:val="38"/>
          <w:szCs w:val="38"/>
          <w:rtl/>
          <w:lang w:val="fr-CH" w:bidi="ar-SA"/>
        </w:rPr>
        <w:tab/>
        <w:t xml:space="preserve">مؤشرات </w:t>
      </w:r>
      <w:r>
        <w:rPr>
          <w:rFonts w:ascii="Arabic Typesetting" w:hAnsi="Arabic Typesetting" w:cs="Arabic Typesetting" w:hint="cs"/>
          <w:sz w:val="38"/>
          <w:szCs w:val="38"/>
          <w:rtl/>
          <w:lang w:val="fr-CH" w:bidi="ar-SA"/>
        </w:rPr>
        <w:t>عمليات</w:t>
      </w:r>
      <w:r w:rsidRPr="00EC6B71">
        <w:rPr>
          <w:rFonts w:ascii="Arabic Typesetting" w:hAnsi="Arabic Typesetting" w:cs="Arabic Typesetting" w:hint="cs"/>
          <w:sz w:val="38"/>
          <w:szCs w:val="38"/>
          <w:rtl/>
          <w:lang w:val="fr-CH" w:bidi="ar-SA"/>
        </w:rPr>
        <w:t xml:space="preserve"> نظام مدريد</w:t>
      </w:r>
      <w:bookmarkEnd w:id="136"/>
      <w:bookmarkEnd w:id="137"/>
    </w:p>
    <w:p w:rsidR="00861CFF" w:rsidRPr="00D61344" w:rsidRDefault="00861CFF" w:rsidP="00DA5475">
      <w:pPr>
        <w:keepNext/>
        <w:spacing w:line="380" w:lineRule="exact"/>
        <w:rPr>
          <w:rFonts w:ascii="Arabic Typesetting" w:hAnsi="Arabic Typesetting" w:cs="Arabic Typesetting"/>
          <w:sz w:val="38"/>
          <w:szCs w:val="38"/>
          <w:lang w:val="fr-CH"/>
        </w:rPr>
      </w:pPr>
      <w:r w:rsidRPr="00D61344">
        <w:rPr>
          <w:rFonts w:ascii="Arabic Typesetting" w:hAnsi="Arabic Typesetting" w:cs="Arabic Typesetting"/>
          <w:sz w:val="38"/>
          <w:szCs w:val="38"/>
          <w:rtl/>
          <w:lang w:val="fr-CH"/>
        </w:rPr>
        <w:t xml:space="preserve">مؤشرات </w:t>
      </w:r>
      <w:r w:rsidRPr="00D61344">
        <w:rPr>
          <w:rFonts w:ascii="Arabic Typesetting" w:hAnsi="Arabic Typesetting" w:cs="Arabic Typesetting" w:hint="cs"/>
          <w:sz w:val="38"/>
          <w:szCs w:val="38"/>
          <w:rtl/>
          <w:lang w:val="fr-CH"/>
        </w:rPr>
        <w:t>النتيجة المرتقبة</w:t>
      </w:r>
    </w:p>
    <w:p w:rsidR="00861CFF" w:rsidRPr="00D61344" w:rsidRDefault="00861CFF" w:rsidP="00DA5475">
      <w:pPr>
        <w:keepNext/>
        <w:spacing w:after="240" w:line="380" w:lineRule="exact"/>
        <w:rPr>
          <w:rFonts w:ascii="Arabic Typesetting" w:hAnsi="Arabic Typesetting" w:cs="Arabic Typesetting"/>
          <w:sz w:val="38"/>
          <w:szCs w:val="38"/>
          <w:rtl/>
          <w:lang w:val="fr-CH"/>
        </w:rPr>
      </w:pPr>
      <w:r w:rsidRPr="00D61344">
        <w:rPr>
          <w:rFonts w:ascii="Arabic Typesetting" w:hAnsi="Arabic Typesetting" w:cs="Arabic Typesetting" w:hint="cs"/>
          <w:sz w:val="38"/>
          <w:szCs w:val="38"/>
          <w:rtl/>
          <w:lang w:val="fr-CH"/>
        </w:rPr>
        <w:t>"</w:t>
      </w:r>
      <w:r w:rsidRPr="00D61344">
        <w:rPr>
          <w:rFonts w:ascii="Arabic Typesetting" w:hAnsi="Arabic Typesetting" w:cs="Arabic Typesetting"/>
          <w:sz w:val="38"/>
          <w:szCs w:val="38"/>
          <w:rtl/>
          <w:lang w:val="fr-CH"/>
        </w:rPr>
        <w:t xml:space="preserve">إنتاجية وجودة خدمات محسّنة في عمليات </w:t>
      </w:r>
      <w:r w:rsidRPr="00D61344">
        <w:rPr>
          <w:rFonts w:ascii="Arabic Typesetting" w:hAnsi="Arabic Typesetting" w:cs="Arabic Typesetting" w:hint="cs"/>
          <w:sz w:val="38"/>
          <w:szCs w:val="38"/>
          <w:rtl/>
          <w:lang w:val="fr-CH" w:bidi="ar-SA"/>
        </w:rPr>
        <w:t>نظام مدريد</w:t>
      </w:r>
      <w:r w:rsidRPr="00D61344">
        <w:rPr>
          <w:rFonts w:ascii="Arabic Typesetting" w:hAnsi="Arabic Typesetting" w:cs="Arabic Typesetting" w:hint="cs"/>
          <w:sz w:val="38"/>
          <w:szCs w:val="38"/>
          <w:rtl/>
          <w:lang w:val="fr-CH"/>
        </w:rPr>
        <w:t>"</w:t>
      </w:r>
    </w:p>
    <w:p w:rsidR="00861CFF" w:rsidRPr="00BA5BE0" w:rsidRDefault="00861CFF" w:rsidP="00861CFF">
      <w:pPr>
        <w:pStyle w:val="NumberedParaAR"/>
        <w:numPr>
          <w:ilvl w:val="0"/>
          <w:numId w:val="48"/>
        </w:numPr>
        <w:spacing w:after="120" w:line="340" w:lineRule="exact"/>
        <w:rPr>
          <w:sz w:val="34"/>
          <w:szCs w:val="34"/>
        </w:rPr>
      </w:pPr>
      <w:r w:rsidRPr="00BA5BE0">
        <w:rPr>
          <w:rFonts w:hint="cs"/>
          <w:sz w:val="34"/>
          <w:szCs w:val="34"/>
          <w:rtl/>
        </w:rPr>
        <w:t xml:space="preserve">من المهم </w:t>
      </w:r>
      <w:r>
        <w:rPr>
          <w:rFonts w:hint="cs"/>
          <w:sz w:val="34"/>
          <w:szCs w:val="34"/>
          <w:rtl/>
        </w:rPr>
        <w:t>النظر في</w:t>
      </w:r>
      <w:r w:rsidRPr="00BA5BE0">
        <w:rPr>
          <w:rFonts w:hint="cs"/>
          <w:sz w:val="34"/>
          <w:szCs w:val="34"/>
          <w:rtl/>
        </w:rPr>
        <w:t xml:space="preserve"> تطورات </w:t>
      </w:r>
      <w:r>
        <w:rPr>
          <w:rFonts w:hint="cs"/>
          <w:sz w:val="34"/>
          <w:szCs w:val="34"/>
          <w:rtl/>
        </w:rPr>
        <w:t>العوامل</w:t>
      </w:r>
      <w:r w:rsidRPr="00BA5BE0">
        <w:rPr>
          <w:rFonts w:hint="cs"/>
          <w:sz w:val="34"/>
          <w:szCs w:val="34"/>
          <w:rtl/>
        </w:rPr>
        <w:t xml:space="preserve"> التالية، كمعلومات أساسية عن مؤشرات الأداء للنتيجة المرتقبة "</w:t>
      </w:r>
      <w:r w:rsidRPr="00BA5BE0">
        <w:rPr>
          <w:sz w:val="34"/>
          <w:szCs w:val="34"/>
          <w:rtl/>
        </w:rPr>
        <w:t>إنتاجية وجودة خدمات محسّنة في عمليات نظام مدريد"</w:t>
      </w:r>
      <w:r w:rsidRPr="00BA5BE0">
        <w:rPr>
          <w:rFonts w:hint="cs"/>
          <w:sz w:val="34"/>
          <w:szCs w:val="34"/>
          <w:rtl/>
        </w:rPr>
        <w:t xml:space="preserve"> </w:t>
      </w:r>
    </w:p>
    <w:p w:rsidR="00861CFF" w:rsidRDefault="00861CFF" w:rsidP="00861CFF">
      <w:pPr>
        <w:pStyle w:val="NumberedParaAR"/>
        <w:numPr>
          <w:ilvl w:val="0"/>
          <w:numId w:val="45"/>
        </w:numPr>
        <w:spacing w:after="120" w:line="340" w:lineRule="exact"/>
        <w:ind w:left="714" w:hanging="357"/>
        <w:rPr>
          <w:sz w:val="34"/>
          <w:szCs w:val="34"/>
        </w:rPr>
      </w:pPr>
      <w:r w:rsidRPr="00EC6B71">
        <w:rPr>
          <w:rFonts w:hint="cs"/>
          <w:sz w:val="34"/>
          <w:szCs w:val="34"/>
          <w:rtl/>
        </w:rPr>
        <w:t>أعباء عمل نظام مدريد</w:t>
      </w:r>
      <w:r>
        <w:rPr>
          <w:rFonts w:hint="cs"/>
          <w:sz w:val="34"/>
          <w:szCs w:val="34"/>
          <w:rtl/>
        </w:rPr>
        <w:t>؛</w:t>
      </w:r>
    </w:p>
    <w:p w:rsidR="00861CFF" w:rsidRDefault="00861CFF" w:rsidP="00861CFF">
      <w:pPr>
        <w:pStyle w:val="NumberedParaAR"/>
        <w:numPr>
          <w:ilvl w:val="0"/>
          <w:numId w:val="45"/>
        </w:numPr>
        <w:spacing w:after="120" w:line="340" w:lineRule="exact"/>
        <w:ind w:left="714" w:hanging="357"/>
        <w:rPr>
          <w:sz w:val="34"/>
          <w:szCs w:val="34"/>
        </w:rPr>
      </w:pPr>
      <w:r>
        <w:rPr>
          <w:rFonts w:hint="cs"/>
          <w:sz w:val="34"/>
          <w:szCs w:val="34"/>
          <w:rtl/>
        </w:rPr>
        <w:t>ومكونات تلك الأعباء؛</w:t>
      </w:r>
    </w:p>
    <w:p w:rsidR="00861CFF" w:rsidRDefault="00861CFF" w:rsidP="00861CFF">
      <w:pPr>
        <w:pStyle w:val="NumberedParaAR"/>
        <w:numPr>
          <w:ilvl w:val="0"/>
          <w:numId w:val="45"/>
        </w:numPr>
        <w:spacing w:after="120" w:line="340" w:lineRule="exact"/>
        <w:ind w:left="714" w:hanging="357"/>
        <w:rPr>
          <w:sz w:val="34"/>
          <w:szCs w:val="34"/>
        </w:rPr>
      </w:pPr>
      <w:r>
        <w:rPr>
          <w:rFonts w:hint="cs"/>
          <w:sz w:val="34"/>
          <w:szCs w:val="34"/>
          <w:rtl/>
        </w:rPr>
        <w:t>وعدد الموظفين المكلفين بمعالجة تلك الأعباء؛</w:t>
      </w:r>
    </w:p>
    <w:p w:rsidR="00861CFF" w:rsidRPr="00EC6B71" w:rsidRDefault="00861CFF" w:rsidP="00861CFF">
      <w:pPr>
        <w:pStyle w:val="NumberedParaAR"/>
        <w:numPr>
          <w:ilvl w:val="0"/>
          <w:numId w:val="45"/>
        </w:numPr>
        <w:spacing w:after="120" w:line="340" w:lineRule="exact"/>
        <w:ind w:left="714" w:hanging="357"/>
        <w:rPr>
          <w:sz w:val="34"/>
          <w:szCs w:val="34"/>
        </w:rPr>
      </w:pPr>
      <w:r>
        <w:rPr>
          <w:rFonts w:hint="cs"/>
          <w:sz w:val="34"/>
          <w:szCs w:val="34"/>
          <w:rtl/>
        </w:rPr>
        <w:t>ومستوى الأتمتة؛</w:t>
      </w:r>
    </w:p>
    <w:p w:rsidR="00861CFF" w:rsidRDefault="00861CFF" w:rsidP="00861CFF">
      <w:pPr>
        <w:pStyle w:val="NumberedParaAR"/>
        <w:numPr>
          <w:ilvl w:val="0"/>
          <w:numId w:val="45"/>
        </w:numPr>
        <w:spacing w:after="120" w:line="340" w:lineRule="exact"/>
        <w:rPr>
          <w:sz w:val="34"/>
          <w:szCs w:val="34"/>
        </w:rPr>
      </w:pPr>
      <w:r>
        <w:rPr>
          <w:rFonts w:hint="cs"/>
          <w:sz w:val="34"/>
          <w:szCs w:val="34"/>
          <w:rtl/>
        </w:rPr>
        <w:t>وتكلفة الإنتاج الإجمالية.</w:t>
      </w:r>
    </w:p>
    <w:p w:rsidR="00861CFF" w:rsidRDefault="00861CFF" w:rsidP="00DA5475">
      <w:pPr>
        <w:keepNext/>
        <w:spacing w:after="240" w:line="380" w:lineRule="exact"/>
        <w:rPr>
          <w:rFonts w:ascii="Arabic Typesetting" w:hAnsi="Arabic Typesetting" w:cs="Arabic Typesetting"/>
          <w:b/>
          <w:bCs/>
          <w:sz w:val="36"/>
          <w:szCs w:val="36"/>
          <w:rtl/>
          <w:lang w:val="fr-CH"/>
        </w:rPr>
      </w:pPr>
      <w:r w:rsidRPr="0079303D">
        <w:rPr>
          <w:rFonts w:ascii="Arabic Typesetting" w:hAnsi="Arabic Typesetting" w:cs="Arabic Typesetting" w:hint="cs"/>
          <w:b/>
          <w:bCs/>
          <w:sz w:val="36"/>
          <w:szCs w:val="36"/>
          <w:rtl/>
          <w:lang w:val="fr-CH"/>
        </w:rPr>
        <w:t>أولا.</w:t>
      </w:r>
      <w:r w:rsidRPr="0079303D">
        <w:rPr>
          <w:rFonts w:ascii="Arabic Typesetting" w:hAnsi="Arabic Typesetting" w:cs="Arabic Typesetting" w:hint="cs"/>
          <w:b/>
          <w:bCs/>
          <w:sz w:val="36"/>
          <w:szCs w:val="36"/>
          <w:rtl/>
          <w:lang w:val="fr-CH"/>
        </w:rPr>
        <w:tab/>
        <w:t>الوثائق الواردة</w:t>
      </w:r>
    </w:p>
    <w:p w:rsidR="00861CFF" w:rsidRDefault="00861CFF" w:rsidP="00861CFF">
      <w:pPr>
        <w:pStyle w:val="NumberedParaAR"/>
        <w:numPr>
          <w:ilvl w:val="0"/>
          <w:numId w:val="48"/>
        </w:numPr>
        <w:spacing w:after="120" w:line="340" w:lineRule="exact"/>
        <w:rPr>
          <w:lang w:val="fr-CH"/>
        </w:rPr>
      </w:pPr>
      <w:r>
        <w:rPr>
          <w:rFonts w:hint="cs"/>
          <w:rtl/>
          <w:lang w:val="fr-CH"/>
        </w:rPr>
        <w:t>يستلم</w:t>
      </w:r>
      <w:r w:rsidRPr="00ED3E81">
        <w:rPr>
          <w:rtl/>
          <w:lang w:val="fr-CH"/>
        </w:rPr>
        <w:t xml:space="preserve"> المكتب الدولي ست فئات مختلفة من </w:t>
      </w:r>
      <w:r w:rsidRPr="00ED3E81">
        <w:rPr>
          <w:rFonts w:hint="cs"/>
          <w:rtl/>
          <w:lang w:val="fr-CH"/>
        </w:rPr>
        <w:t>الوثائق</w:t>
      </w:r>
      <w:r w:rsidRPr="00ED3E81">
        <w:rPr>
          <w:rtl/>
          <w:lang w:val="fr-CH"/>
        </w:rPr>
        <w:t>، وهي الطلبات الدولية</w:t>
      </w:r>
      <w:r>
        <w:rPr>
          <w:rFonts w:hint="cs"/>
          <w:rtl/>
          <w:lang w:val="fr-CH"/>
        </w:rPr>
        <w:t>،</w:t>
      </w:r>
      <w:r w:rsidRPr="00ED3E81">
        <w:rPr>
          <w:rtl/>
          <w:lang w:val="fr-CH"/>
        </w:rPr>
        <w:t xml:space="preserve"> والتجديدات</w:t>
      </w:r>
      <w:r>
        <w:rPr>
          <w:rFonts w:hint="cs"/>
          <w:rtl/>
          <w:lang w:val="fr-CH"/>
        </w:rPr>
        <w:t>،</w:t>
      </w:r>
      <w:r w:rsidRPr="00ED3E81">
        <w:rPr>
          <w:rtl/>
          <w:lang w:val="fr-CH"/>
        </w:rPr>
        <w:t xml:space="preserve"> والتعيينات اللاحقة</w:t>
      </w:r>
      <w:r>
        <w:rPr>
          <w:rFonts w:hint="cs"/>
          <w:rtl/>
          <w:lang w:val="fr-CH"/>
        </w:rPr>
        <w:t>،</w:t>
      </w:r>
      <w:r w:rsidRPr="00ED3E81">
        <w:rPr>
          <w:rtl/>
          <w:lang w:val="fr-CH"/>
        </w:rPr>
        <w:t xml:space="preserve"> </w:t>
      </w:r>
      <w:r w:rsidRPr="00ED3E81">
        <w:rPr>
          <w:rFonts w:hint="cs"/>
          <w:rtl/>
          <w:lang w:val="fr-CH"/>
        </w:rPr>
        <w:t>والتغييرات</w:t>
      </w:r>
      <w:r>
        <w:rPr>
          <w:rFonts w:hint="cs"/>
          <w:rtl/>
          <w:lang w:val="fr-CH"/>
        </w:rPr>
        <w:t>،</w:t>
      </w:r>
      <w:r w:rsidRPr="00ED3E81">
        <w:rPr>
          <w:rtl/>
          <w:lang w:val="fr-CH"/>
        </w:rPr>
        <w:t xml:space="preserve"> والقرارات</w:t>
      </w:r>
      <w:r>
        <w:rPr>
          <w:rFonts w:hint="cs"/>
          <w:rtl/>
          <w:lang w:val="fr-CH"/>
        </w:rPr>
        <w:t>،</w:t>
      </w:r>
      <w:r w:rsidRPr="00ED3E81">
        <w:rPr>
          <w:rtl/>
          <w:lang w:val="fr-CH"/>
        </w:rPr>
        <w:t xml:space="preserve"> </w:t>
      </w:r>
      <w:r w:rsidRPr="00ED3E81">
        <w:rPr>
          <w:rFonts w:hint="cs"/>
          <w:rtl/>
          <w:lang w:val="fr-CH"/>
        </w:rPr>
        <w:t>والتصحيحات</w:t>
      </w:r>
      <w:r w:rsidRPr="00ED3E81">
        <w:rPr>
          <w:rtl/>
          <w:lang w:val="fr-CH"/>
        </w:rPr>
        <w:t>. وي</w:t>
      </w:r>
      <w:r w:rsidRPr="00ED3E81">
        <w:rPr>
          <w:rFonts w:hint="cs"/>
          <w:rtl/>
          <w:lang w:val="fr-CH"/>
        </w:rPr>
        <w:t>ُعرض</w:t>
      </w:r>
      <w:r w:rsidRPr="00ED3E81">
        <w:rPr>
          <w:rtl/>
          <w:lang w:val="fr-CH"/>
        </w:rPr>
        <w:t xml:space="preserve"> أدناه</w:t>
      </w:r>
      <w:r w:rsidRPr="00ED3E81">
        <w:rPr>
          <w:rFonts w:hint="cs"/>
          <w:rtl/>
          <w:lang w:val="fr-CH"/>
        </w:rPr>
        <w:t xml:space="preserve"> آخر </w:t>
      </w:r>
      <w:r w:rsidRPr="00ED3E81">
        <w:rPr>
          <w:rtl/>
          <w:lang w:val="fr-CH"/>
        </w:rPr>
        <w:t xml:space="preserve">اتجاه لكل من </w:t>
      </w:r>
      <w:r w:rsidRPr="00ED3E81">
        <w:rPr>
          <w:rFonts w:hint="cs"/>
          <w:rtl/>
          <w:lang w:val="fr-CH"/>
        </w:rPr>
        <w:t xml:space="preserve">تلك </w:t>
      </w:r>
      <w:r w:rsidRPr="00ED3E81">
        <w:rPr>
          <w:rtl/>
          <w:lang w:val="fr-CH"/>
        </w:rPr>
        <w:t>الوثائق. و</w:t>
      </w:r>
      <w:r w:rsidRPr="00ED3E81">
        <w:rPr>
          <w:rFonts w:hint="cs"/>
          <w:rtl/>
          <w:lang w:val="fr-CH"/>
        </w:rPr>
        <w:t>ترد</w:t>
      </w:r>
      <w:r w:rsidRPr="00ED3E81">
        <w:rPr>
          <w:rtl/>
          <w:lang w:val="fr-CH"/>
        </w:rPr>
        <w:t xml:space="preserve"> أيضا معلومات إضافية عن </w:t>
      </w:r>
      <w:r w:rsidRPr="00ED3E81">
        <w:rPr>
          <w:rFonts w:hint="cs"/>
          <w:rtl/>
          <w:lang w:val="fr-CH"/>
        </w:rPr>
        <w:t xml:space="preserve">الطلبات </w:t>
      </w:r>
      <w:r w:rsidRPr="00ED3E81">
        <w:rPr>
          <w:rtl/>
          <w:lang w:val="fr-CH"/>
        </w:rPr>
        <w:t>مثل متوسط عدد</w:t>
      </w:r>
      <w:r w:rsidRPr="00ED3E81">
        <w:rPr>
          <w:rFonts w:hint="cs"/>
          <w:rtl/>
          <w:lang w:val="fr-CH"/>
        </w:rPr>
        <w:t xml:space="preserve"> الأصناف </w:t>
      </w:r>
      <w:r w:rsidRPr="00ED3E81">
        <w:rPr>
          <w:rtl/>
          <w:lang w:val="fr-CH"/>
        </w:rPr>
        <w:t xml:space="preserve">ومتوسط عدد الكلمات. </w:t>
      </w:r>
      <w:r w:rsidRPr="00ED3E81">
        <w:rPr>
          <w:rFonts w:hint="cs"/>
          <w:rtl/>
          <w:lang w:val="fr-CH"/>
        </w:rPr>
        <w:t>و</w:t>
      </w:r>
      <w:r w:rsidRPr="00ED3E81">
        <w:rPr>
          <w:rtl/>
          <w:lang w:val="fr-CH"/>
        </w:rPr>
        <w:t xml:space="preserve">لأسباب </w:t>
      </w:r>
      <w:r w:rsidRPr="00ED3E81">
        <w:rPr>
          <w:rFonts w:hint="cs"/>
          <w:rtl/>
          <w:lang w:val="fr-CH"/>
        </w:rPr>
        <w:t>تقنية،</w:t>
      </w:r>
      <w:r w:rsidRPr="00ED3E81">
        <w:rPr>
          <w:rtl/>
          <w:lang w:val="fr-CH"/>
        </w:rPr>
        <w:t xml:space="preserve"> </w:t>
      </w:r>
      <w:r w:rsidRPr="00ED3E81">
        <w:rPr>
          <w:rFonts w:hint="cs"/>
          <w:rtl/>
          <w:lang w:val="fr-CH"/>
        </w:rPr>
        <w:t xml:space="preserve">تقدم </w:t>
      </w:r>
      <w:r w:rsidRPr="00ED3E81">
        <w:rPr>
          <w:rtl/>
          <w:lang w:val="fr-CH"/>
        </w:rPr>
        <w:t xml:space="preserve">بعض المؤشرات </w:t>
      </w:r>
      <w:r>
        <w:rPr>
          <w:rFonts w:hint="cs"/>
          <w:rtl/>
          <w:lang w:val="fr-CH"/>
        </w:rPr>
        <w:t>ال</w:t>
      </w:r>
      <w:r w:rsidRPr="00ED3E81">
        <w:rPr>
          <w:rtl/>
          <w:lang w:val="fr-CH"/>
        </w:rPr>
        <w:t xml:space="preserve">بيانات بناء على </w:t>
      </w:r>
      <w:r w:rsidRPr="00ED3E81">
        <w:rPr>
          <w:rFonts w:hint="cs"/>
          <w:rtl/>
          <w:lang w:val="fr-CH"/>
        </w:rPr>
        <w:t>الوثائق المعالجة بد</w:t>
      </w:r>
      <w:r w:rsidRPr="00ED3E81">
        <w:rPr>
          <w:rtl/>
          <w:lang w:val="fr-CH"/>
        </w:rPr>
        <w:t xml:space="preserve">لا من </w:t>
      </w:r>
      <w:r w:rsidRPr="00ED3E81">
        <w:rPr>
          <w:rFonts w:hint="cs"/>
          <w:rtl/>
          <w:lang w:val="fr-CH"/>
        </w:rPr>
        <w:t>ال</w:t>
      </w:r>
      <w:r w:rsidRPr="00ED3E81">
        <w:rPr>
          <w:rtl/>
          <w:lang w:val="fr-CH"/>
        </w:rPr>
        <w:t xml:space="preserve">وثائق </w:t>
      </w:r>
      <w:r w:rsidRPr="00ED3E81">
        <w:rPr>
          <w:rFonts w:hint="cs"/>
          <w:rtl/>
          <w:lang w:val="fr-CH"/>
        </w:rPr>
        <w:t>ال</w:t>
      </w:r>
      <w:r w:rsidRPr="00ED3E81">
        <w:rPr>
          <w:rtl/>
          <w:lang w:val="fr-CH"/>
        </w:rPr>
        <w:t xml:space="preserve">واردة. ولذلك قد </w:t>
      </w:r>
      <w:r w:rsidRPr="00ED3E81">
        <w:rPr>
          <w:rFonts w:hint="cs"/>
          <w:rtl/>
          <w:lang w:val="fr-CH"/>
        </w:rPr>
        <w:t>يؤثر ت</w:t>
      </w:r>
      <w:r w:rsidRPr="00ED3E81">
        <w:rPr>
          <w:rtl/>
          <w:lang w:val="fr-CH"/>
        </w:rPr>
        <w:t xml:space="preserve">راكم </w:t>
      </w:r>
      <w:r w:rsidRPr="00ED3E81">
        <w:rPr>
          <w:rFonts w:hint="cs"/>
          <w:rtl/>
          <w:lang w:val="fr-CH"/>
        </w:rPr>
        <w:t>الوثائق التي تنتظر ال</w:t>
      </w:r>
      <w:r w:rsidRPr="00ED3E81">
        <w:rPr>
          <w:rtl/>
          <w:lang w:val="fr-CH"/>
        </w:rPr>
        <w:t xml:space="preserve">معالجة </w:t>
      </w:r>
      <w:r w:rsidRPr="00ED3E81">
        <w:rPr>
          <w:rFonts w:hint="cs"/>
          <w:rtl/>
          <w:lang w:val="fr-CH"/>
        </w:rPr>
        <w:t xml:space="preserve">في </w:t>
      </w:r>
      <w:r w:rsidRPr="00ED3E81">
        <w:rPr>
          <w:rtl/>
          <w:lang w:val="fr-CH"/>
        </w:rPr>
        <w:t>بعض المؤشرات.</w:t>
      </w:r>
    </w:p>
    <w:p w:rsidR="00861CFF" w:rsidRDefault="00861CFF" w:rsidP="00DA5475">
      <w:pPr>
        <w:pStyle w:val="NumberedParaAR"/>
        <w:keepNext/>
        <w:numPr>
          <w:ilvl w:val="0"/>
          <w:numId w:val="0"/>
        </w:numPr>
        <w:spacing w:after="120" w:line="340" w:lineRule="exact"/>
        <w:rPr>
          <w:u w:val="single"/>
          <w:rtl/>
          <w:lang w:val="fr-CH"/>
        </w:rPr>
      </w:pPr>
      <w:r w:rsidRPr="0097152B">
        <w:rPr>
          <w:rFonts w:hint="cs"/>
          <w:u w:val="single"/>
          <w:rtl/>
          <w:lang w:val="fr-CH"/>
        </w:rPr>
        <w:t>الطلبات الدولية</w:t>
      </w:r>
    </w:p>
    <w:p w:rsidR="00861CFF" w:rsidRPr="00ED3E81" w:rsidRDefault="00861CFF" w:rsidP="00DA5475">
      <w:pPr>
        <w:pStyle w:val="NumberedParaAR"/>
        <w:numPr>
          <w:ilvl w:val="0"/>
          <w:numId w:val="0"/>
        </w:numPr>
        <w:spacing w:after="120" w:line="240" w:lineRule="auto"/>
        <w:rPr>
          <w:u w:val="single"/>
          <w:lang w:val="fr-CH"/>
        </w:rPr>
      </w:pPr>
      <w:r w:rsidRPr="00033DAB">
        <w:rPr>
          <w:rFonts w:hint="cs"/>
          <w:noProof/>
          <w:rtl/>
        </w:rPr>
        <w:drawing>
          <wp:inline distT="0" distB="0" distL="0" distR="0" wp14:anchorId="48867AF0" wp14:editId="6A271EAE">
            <wp:extent cx="6356909" cy="3027099"/>
            <wp:effectExtent l="0" t="0" r="6350" b="190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6356746" cy="3027022"/>
                    </a:xfrm>
                    <a:prstGeom prst="rect">
                      <a:avLst/>
                    </a:prstGeom>
                    <a:noFill/>
                    <a:ln>
                      <a:noFill/>
                    </a:ln>
                  </pic:spPr>
                </pic:pic>
              </a:graphicData>
            </a:graphic>
          </wp:inline>
        </w:drawing>
      </w:r>
    </w:p>
    <w:p w:rsidR="00861CFF" w:rsidRDefault="00861CFF" w:rsidP="00861CFF">
      <w:pPr>
        <w:pStyle w:val="NumberedParaAR"/>
        <w:numPr>
          <w:ilvl w:val="0"/>
          <w:numId w:val="50"/>
        </w:numPr>
        <w:spacing w:after="120" w:line="340" w:lineRule="exact"/>
        <w:rPr>
          <w:sz w:val="34"/>
          <w:szCs w:val="34"/>
        </w:rPr>
      </w:pPr>
      <w:r w:rsidRPr="00EC6B71">
        <w:rPr>
          <w:rFonts w:hint="cs"/>
          <w:sz w:val="34"/>
          <w:szCs w:val="34"/>
          <w:rtl/>
        </w:rPr>
        <w:t>و</w:t>
      </w:r>
      <w:r>
        <w:rPr>
          <w:rFonts w:hint="cs"/>
          <w:sz w:val="34"/>
          <w:szCs w:val="34"/>
          <w:rtl/>
        </w:rPr>
        <w:t>في سنة 2014</w:t>
      </w:r>
      <w:r w:rsidRPr="00EC6B71">
        <w:rPr>
          <w:rFonts w:hint="cs"/>
          <w:sz w:val="34"/>
          <w:szCs w:val="34"/>
          <w:rtl/>
        </w:rPr>
        <w:t xml:space="preserve"> استلم المكتب الدولي </w:t>
      </w:r>
      <w:r w:rsidRPr="0097152B">
        <w:rPr>
          <w:sz w:val="34"/>
          <w:szCs w:val="34"/>
        </w:rPr>
        <w:t>47,885</w:t>
      </w:r>
      <w:r>
        <w:rPr>
          <w:sz w:val="34"/>
          <w:szCs w:val="34"/>
          <w:rtl/>
        </w:rPr>
        <w:t xml:space="preserve"> </w:t>
      </w:r>
      <w:r w:rsidRPr="00EC6B71">
        <w:rPr>
          <w:rFonts w:hint="cs"/>
          <w:sz w:val="34"/>
          <w:szCs w:val="34"/>
          <w:rtl/>
        </w:rPr>
        <w:t xml:space="preserve">طلبا، </w:t>
      </w:r>
      <w:r>
        <w:rPr>
          <w:rFonts w:hint="cs"/>
          <w:sz w:val="34"/>
          <w:szCs w:val="34"/>
          <w:rtl/>
        </w:rPr>
        <w:t xml:space="preserve">أي </w:t>
      </w:r>
      <w:r w:rsidRPr="00EC6B71">
        <w:rPr>
          <w:rFonts w:hint="cs"/>
          <w:sz w:val="34"/>
          <w:szCs w:val="34"/>
          <w:rtl/>
        </w:rPr>
        <w:t xml:space="preserve">زيادة بنسبة </w:t>
      </w:r>
      <w:r w:rsidRPr="0097152B">
        <w:rPr>
          <w:sz w:val="34"/>
          <w:szCs w:val="34"/>
        </w:rPr>
        <w:t>2.3</w:t>
      </w:r>
      <w:r>
        <w:rPr>
          <w:sz w:val="34"/>
          <w:szCs w:val="34"/>
          <w:rtl/>
        </w:rPr>
        <w:t xml:space="preserve"> </w:t>
      </w:r>
      <w:r>
        <w:rPr>
          <w:rFonts w:hint="cs"/>
          <w:sz w:val="34"/>
          <w:szCs w:val="34"/>
          <w:rtl/>
        </w:rPr>
        <w:t>ب</w:t>
      </w:r>
      <w:r w:rsidRPr="00EC6B71">
        <w:rPr>
          <w:rFonts w:hint="cs"/>
          <w:sz w:val="34"/>
          <w:szCs w:val="34"/>
          <w:rtl/>
        </w:rPr>
        <w:t xml:space="preserve">المائة مقارنة بسنة </w:t>
      </w:r>
      <w:r>
        <w:rPr>
          <w:rFonts w:hint="cs"/>
          <w:sz w:val="34"/>
          <w:szCs w:val="34"/>
          <w:rtl/>
        </w:rPr>
        <w:t>2013</w:t>
      </w:r>
      <w:r w:rsidRPr="00EC6B71">
        <w:rPr>
          <w:rFonts w:hint="cs"/>
          <w:sz w:val="34"/>
          <w:szCs w:val="34"/>
          <w:rtl/>
        </w:rPr>
        <w:t>.</w:t>
      </w:r>
    </w:p>
    <w:p w:rsidR="00861CFF" w:rsidRPr="0097152B" w:rsidRDefault="00861CFF" w:rsidP="00861CFF">
      <w:pPr>
        <w:pStyle w:val="NumberedParaAR"/>
        <w:numPr>
          <w:ilvl w:val="0"/>
          <w:numId w:val="50"/>
        </w:numPr>
        <w:spacing w:after="120" w:line="340" w:lineRule="exact"/>
        <w:rPr>
          <w:sz w:val="34"/>
          <w:szCs w:val="34"/>
        </w:rPr>
      </w:pPr>
      <w:r>
        <w:rPr>
          <w:rFonts w:hint="cs"/>
          <w:sz w:val="34"/>
          <w:szCs w:val="34"/>
          <w:rtl/>
        </w:rPr>
        <w:t>وارتفع باستمرار عدد الطلبات المستلمة منذ 2010.</w:t>
      </w:r>
    </w:p>
    <w:p w:rsidR="00861CFF" w:rsidRPr="00D74DD1" w:rsidRDefault="00861CFF" w:rsidP="00DA5475">
      <w:pPr>
        <w:pStyle w:val="NumberedParaAR"/>
        <w:keepNext/>
        <w:numPr>
          <w:ilvl w:val="0"/>
          <w:numId w:val="0"/>
        </w:numPr>
        <w:spacing w:before="120" w:after="120" w:line="340" w:lineRule="exact"/>
        <w:ind w:left="423"/>
        <w:rPr>
          <w:i/>
          <w:iCs/>
          <w:sz w:val="34"/>
          <w:szCs w:val="34"/>
          <w:rtl/>
        </w:rPr>
      </w:pPr>
      <w:r w:rsidRPr="00D74DD1">
        <w:rPr>
          <w:rFonts w:hint="cs"/>
          <w:i/>
          <w:iCs/>
          <w:sz w:val="34"/>
          <w:szCs w:val="34"/>
          <w:rtl/>
        </w:rPr>
        <w:lastRenderedPageBreak/>
        <w:t>توزيع الطلبات بحسب لغة الإيداع</w:t>
      </w:r>
    </w:p>
    <w:p w:rsidR="00861CFF" w:rsidRDefault="00861CFF" w:rsidP="00DA5475">
      <w:pPr>
        <w:pStyle w:val="NumberedParaAR"/>
        <w:numPr>
          <w:ilvl w:val="0"/>
          <w:numId w:val="0"/>
        </w:numPr>
        <w:spacing w:after="120" w:line="240" w:lineRule="auto"/>
        <w:rPr>
          <w:rtl/>
        </w:rPr>
      </w:pPr>
      <w:r>
        <w:rPr>
          <w:noProof/>
          <w:color w:val="C00000"/>
        </w:rPr>
        <w:drawing>
          <wp:inline distT="0" distB="0" distL="0" distR="0" wp14:anchorId="79D0DCB6" wp14:editId="5CB03AB6">
            <wp:extent cx="5361115" cy="2728011"/>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372734" cy="2733923"/>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pPr>
      <w:r>
        <w:rPr>
          <w:rFonts w:hint="cs"/>
          <w:rtl/>
        </w:rPr>
        <w:t>في سنة 2014، أُودع 80 بالمائة من الطلبات بالإنكليزية. وارتفعت تلك الحصة بخمسة عشرة نقطة مئوية من 65 بالمائة في 2008 إلى 80 بالمائة في سنة 2014.</w:t>
      </w:r>
    </w:p>
    <w:p w:rsidR="00861CFF" w:rsidRDefault="00861CFF" w:rsidP="00DA5475">
      <w:pPr>
        <w:pStyle w:val="NumberedParaAR"/>
        <w:keepNext/>
        <w:numPr>
          <w:ilvl w:val="0"/>
          <w:numId w:val="0"/>
        </w:numPr>
        <w:spacing w:before="120" w:after="120" w:line="340" w:lineRule="exact"/>
        <w:ind w:left="423"/>
        <w:rPr>
          <w:i/>
          <w:iCs/>
          <w:sz w:val="34"/>
          <w:szCs w:val="34"/>
          <w:rtl/>
        </w:rPr>
      </w:pPr>
      <w:r w:rsidRPr="0077265E">
        <w:rPr>
          <w:rFonts w:hint="cs"/>
          <w:i/>
          <w:iCs/>
          <w:sz w:val="34"/>
          <w:szCs w:val="34"/>
          <w:rtl/>
        </w:rPr>
        <w:t>متوسط عدد التعيينات لكل تسجيل</w:t>
      </w:r>
    </w:p>
    <w:p w:rsidR="00861CFF" w:rsidRDefault="00861CFF" w:rsidP="00DA5475">
      <w:pPr>
        <w:pStyle w:val="NumberedParaAR"/>
        <w:numPr>
          <w:ilvl w:val="0"/>
          <w:numId w:val="0"/>
        </w:numPr>
        <w:spacing w:before="120" w:after="120" w:line="240" w:lineRule="auto"/>
        <w:rPr>
          <w:i/>
          <w:iCs/>
          <w:sz w:val="34"/>
          <w:szCs w:val="34"/>
          <w:rtl/>
        </w:rPr>
      </w:pPr>
      <w:r>
        <w:rPr>
          <w:i/>
          <w:iCs/>
          <w:noProof/>
          <w:sz w:val="34"/>
          <w:szCs w:val="34"/>
        </w:rPr>
        <w:drawing>
          <wp:inline distT="0" distB="0" distL="0" distR="0" wp14:anchorId="6FC9370C" wp14:editId="1551CCE2">
            <wp:extent cx="5158503" cy="2594075"/>
            <wp:effectExtent l="0" t="0" r="444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171175" cy="2600447"/>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بلغ متوسط عدد التعيينات في الطلبات المسجلة في سنة 2014 ما قدره 6.9 تعيينات.</w:t>
      </w:r>
    </w:p>
    <w:p w:rsidR="00861CFF" w:rsidRDefault="00861CFF" w:rsidP="00861CFF">
      <w:pPr>
        <w:pStyle w:val="NumberedParaAR"/>
        <w:numPr>
          <w:ilvl w:val="0"/>
          <w:numId w:val="50"/>
        </w:numPr>
        <w:spacing w:after="120" w:line="340" w:lineRule="exact"/>
        <w:rPr>
          <w:sz w:val="34"/>
          <w:szCs w:val="34"/>
        </w:rPr>
      </w:pPr>
      <w:r>
        <w:rPr>
          <w:rFonts w:hint="cs"/>
          <w:sz w:val="34"/>
          <w:szCs w:val="34"/>
          <w:rtl/>
        </w:rPr>
        <w:t>وظل متوسط عدد التعيينات بدون تغيير تقريبا منذ 2010.</w:t>
      </w:r>
    </w:p>
    <w:p w:rsidR="00475EFE" w:rsidRPr="00475EFE" w:rsidRDefault="00475EFE" w:rsidP="002B7CA6">
      <w:pPr>
        <w:pStyle w:val="NumberedParaAR"/>
        <w:keepNext/>
        <w:numPr>
          <w:ilvl w:val="0"/>
          <w:numId w:val="0"/>
        </w:numPr>
        <w:spacing w:before="120" w:after="120" w:line="340" w:lineRule="exact"/>
        <w:ind w:left="423"/>
        <w:rPr>
          <w:i/>
          <w:iCs/>
          <w:sz w:val="34"/>
          <w:szCs w:val="34"/>
          <w:rtl/>
        </w:rPr>
      </w:pPr>
      <w:r>
        <w:rPr>
          <w:rFonts w:hint="cs"/>
          <w:i/>
          <w:iCs/>
          <w:sz w:val="34"/>
          <w:szCs w:val="34"/>
          <w:rtl/>
        </w:rPr>
        <w:lastRenderedPageBreak/>
        <w:t>متوسط عدد الأصناف بحسب كل تسجيل</w:t>
      </w:r>
    </w:p>
    <w:p w:rsidR="00475EFE" w:rsidRPr="00475EFE" w:rsidRDefault="002B7CA6" w:rsidP="002B7CA6">
      <w:pPr>
        <w:pStyle w:val="NumberedParaAR"/>
        <w:numPr>
          <w:ilvl w:val="0"/>
          <w:numId w:val="0"/>
        </w:numPr>
        <w:spacing w:before="120" w:after="120" w:line="240" w:lineRule="auto"/>
        <w:ind w:left="-2"/>
        <w:rPr>
          <w:sz w:val="34"/>
          <w:szCs w:val="34"/>
          <w:rtl/>
        </w:rPr>
      </w:pPr>
      <w:r>
        <w:rPr>
          <w:noProof/>
          <w:sz w:val="34"/>
          <w:szCs w:val="34"/>
        </w:rPr>
        <w:drawing>
          <wp:inline distT="0" distB="0" distL="0" distR="0" wp14:anchorId="1A03E847">
            <wp:extent cx="5181600" cy="2399385"/>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187164" cy="2401962"/>
                    </a:xfrm>
                    <a:prstGeom prst="rect">
                      <a:avLst/>
                    </a:prstGeom>
                    <a:noFill/>
                  </pic:spPr>
                </pic:pic>
              </a:graphicData>
            </a:graphic>
          </wp:inline>
        </w:drawing>
      </w:r>
    </w:p>
    <w:p w:rsidR="002B7CA6" w:rsidRDefault="002B7CA6" w:rsidP="002B7CA6">
      <w:pPr>
        <w:pStyle w:val="NumberedParaAR"/>
        <w:numPr>
          <w:ilvl w:val="0"/>
          <w:numId w:val="50"/>
        </w:numPr>
        <w:spacing w:after="120" w:line="340" w:lineRule="exact"/>
        <w:rPr>
          <w:sz w:val="34"/>
          <w:szCs w:val="34"/>
        </w:rPr>
      </w:pPr>
      <w:r>
        <w:rPr>
          <w:rFonts w:hint="cs"/>
          <w:sz w:val="34"/>
          <w:szCs w:val="34"/>
          <w:rtl/>
        </w:rPr>
        <w:t>بلغ متوسط عدد الأصناف المحدّدة في جميع الطلبات المسجلة في سنة 2014 ما قدره 2.5 أصناف.</w:t>
      </w:r>
    </w:p>
    <w:p w:rsidR="00861CFF" w:rsidRPr="003B5A23" w:rsidRDefault="00861CFF" w:rsidP="00DA5475">
      <w:pPr>
        <w:pStyle w:val="NumberedParaAR"/>
        <w:keepNext/>
        <w:numPr>
          <w:ilvl w:val="0"/>
          <w:numId w:val="0"/>
        </w:numPr>
        <w:spacing w:before="120" w:after="120" w:line="340" w:lineRule="exact"/>
        <w:ind w:left="423"/>
        <w:rPr>
          <w:i/>
          <w:iCs/>
          <w:sz w:val="34"/>
          <w:szCs w:val="34"/>
        </w:rPr>
      </w:pPr>
      <w:r>
        <w:rPr>
          <w:rFonts w:hint="cs"/>
          <w:i/>
          <w:iCs/>
          <w:sz w:val="34"/>
          <w:szCs w:val="34"/>
          <w:rtl/>
        </w:rPr>
        <w:t>متوسط حجم الطلبات</w:t>
      </w:r>
    </w:p>
    <w:p w:rsidR="00861CFF" w:rsidRDefault="00861CFF" w:rsidP="00861CFF">
      <w:pPr>
        <w:pStyle w:val="NumberedParaAR"/>
        <w:numPr>
          <w:ilvl w:val="0"/>
          <w:numId w:val="48"/>
        </w:numPr>
        <w:spacing w:after="120" w:line="340" w:lineRule="exact"/>
        <w:rPr>
          <w:sz w:val="34"/>
          <w:szCs w:val="34"/>
        </w:rPr>
      </w:pPr>
      <w:r>
        <w:rPr>
          <w:rFonts w:hint="cs"/>
          <w:sz w:val="34"/>
          <w:szCs w:val="34"/>
          <w:rtl/>
        </w:rPr>
        <w:t>يُحدَّد حجم الطلب بالعدد الإجمالي للكلمات التي يستخدمها المودع لوصف علامته، وبالقائمة الأساسية للسلع والخدمات، وبأي حالات انقاص مرافقة للطلب. ويترجم المكتب الدولي تلك العناصر الثلاثة إلى لغتين (الإنكليزية والفرنسية أو الإسبانية).</w:t>
      </w:r>
    </w:p>
    <w:p w:rsidR="00861CFF" w:rsidRDefault="00861CFF" w:rsidP="00861CFF">
      <w:pPr>
        <w:pStyle w:val="NumberedParaAR"/>
        <w:numPr>
          <w:ilvl w:val="0"/>
          <w:numId w:val="48"/>
        </w:numPr>
        <w:spacing w:after="120" w:line="340" w:lineRule="exact"/>
        <w:rPr>
          <w:sz w:val="34"/>
          <w:szCs w:val="34"/>
        </w:rPr>
      </w:pPr>
      <w:r>
        <w:rPr>
          <w:rFonts w:hint="cs"/>
          <w:sz w:val="34"/>
          <w:szCs w:val="34"/>
          <w:rtl/>
        </w:rPr>
        <w:t>ويؤثر حجم الطلبات على عبء العمل على الفاحصين، ويشمل ذلك العمل تصنيف السلع و/أو الخدمات في الطلب وفقا لتصنيف نيس.</w:t>
      </w:r>
    </w:p>
    <w:p w:rsidR="00861CFF" w:rsidRDefault="00861CFF" w:rsidP="00861CFF">
      <w:pPr>
        <w:pStyle w:val="NumberedParaAR"/>
        <w:numPr>
          <w:ilvl w:val="0"/>
          <w:numId w:val="48"/>
        </w:numPr>
        <w:spacing w:after="120" w:line="340" w:lineRule="exact"/>
        <w:rPr>
          <w:sz w:val="34"/>
          <w:szCs w:val="34"/>
        </w:rPr>
      </w:pPr>
      <w:r>
        <w:rPr>
          <w:rFonts w:hint="cs"/>
          <w:sz w:val="34"/>
          <w:szCs w:val="34"/>
          <w:rtl/>
        </w:rPr>
        <w:t>ويُحدَّد معدل حجم طلب ما بالعدد الإجمالي للكلمات في القائمة الأساسية للسلع والخدمات، وحالات الانقاص والوصف مقسوم على عدد الطلبات المسجلة.</w:t>
      </w:r>
    </w:p>
    <w:p w:rsidR="00861CFF" w:rsidRDefault="00861CFF" w:rsidP="00DA5475">
      <w:pPr>
        <w:pStyle w:val="NumberedParaAR"/>
        <w:numPr>
          <w:ilvl w:val="0"/>
          <w:numId w:val="0"/>
        </w:numPr>
        <w:spacing w:after="120" w:line="240" w:lineRule="auto"/>
        <w:rPr>
          <w:sz w:val="34"/>
          <w:szCs w:val="34"/>
        </w:rPr>
      </w:pPr>
      <w:r>
        <w:rPr>
          <w:noProof/>
          <w:sz w:val="34"/>
          <w:szCs w:val="34"/>
        </w:rPr>
        <w:drawing>
          <wp:inline distT="0" distB="0" distL="0" distR="0" wp14:anchorId="7E2DC7CC" wp14:editId="3D56EB2D">
            <wp:extent cx="5565913" cy="2798199"/>
            <wp:effectExtent l="0" t="0" r="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564338" cy="2797407"/>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في سنة 2014، بلغ متوسط حجم الطلب 239 كلمة، أي بزيادة بلغت 12 بالمائة مقارنة بسنة 2013.</w:t>
      </w:r>
    </w:p>
    <w:p w:rsidR="00861CFF" w:rsidRDefault="00861CFF" w:rsidP="00861CFF">
      <w:pPr>
        <w:pStyle w:val="NumberedParaAR"/>
        <w:numPr>
          <w:ilvl w:val="0"/>
          <w:numId w:val="50"/>
        </w:numPr>
        <w:spacing w:after="120" w:line="340" w:lineRule="exact"/>
        <w:rPr>
          <w:sz w:val="34"/>
          <w:szCs w:val="34"/>
        </w:rPr>
      </w:pPr>
      <w:r>
        <w:rPr>
          <w:rFonts w:hint="cs"/>
          <w:sz w:val="34"/>
          <w:szCs w:val="34"/>
          <w:rtl/>
        </w:rPr>
        <w:t>وفي حين أن بعض جوانب عمل الترجمة والتصنيف أصبحت مؤتمتة، فإن الارتفاع الكبير في حجم الطلبات له أثر بالغ على عبء عمل المكتب الدولي.</w:t>
      </w:r>
    </w:p>
    <w:p w:rsidR="00861CFF" w:rsidRPr="003B5A23" w:rsidRDefault="00861CFF" w:rsidP="00DA5475">
      <w:pPr>
        <w:pStyle w:val="NumberedParaAR"/>
        <w:keepNext/>
        <w:numPr>
          <w:ilvl w:val="0"/>
          <w:numId w:val="0"/>
        </w:numPr>
        <w:spacing w:before="120" w:after="120" w:line="340" w:lineRule="exact"/>
        <w:ind w:left="423"/>
        <w:rPr>
          <w:i/>
          <w:iCs/>
          <w:sz w:val="34"/>
          <w:szCs w:val="34"/>
        </w:rPr>
      </w:pPr>
      <w:r>
        <w:rPr>
          <w:rFonts w:hint="cs"/>
          <w:i/>
          <w:iCs/>
          <w:sz w:val="34"/>
          <w:szCs w:val="34"/>
          <w:rtl/>
        </w:rPr>
        <w:lastRenderedPageBreak/>
        <w:t>توزيع الطلبات الصحيحة والطلبات غير الصحيحة</w:t>
      </w:r>
    </w:p>
    <w:p w:rsidR="00861CFF" w:rsidRDefault="00861CFF" w:rsidP="00DA5475">
      <w:pPr>
        <w:pStyle w:val="NumberedParaAR"/>
        <w:numPr>
          <w:ilvl w:val="0"/>
          <w:numId w:val="0"/>
        </w:numPr>
        <w:spacing w:after="120" w:line="240" w:lineRule="auto"/>
        <w:jc w:val="center"/>
        <w:rPr>
          <w:sz w:val="34"/>
          <w:szCs w:val="34"/>
          <w:rtl/>
        </w:rPr>
      </w:pPr>
      <w:r>
        <w:rPr>
          <w:noProof/>
          <w:sz w:val="34"/>
          <w:szCs w:val="34"/>
        </w:rPr>
        <w:drawing>
          <wp:inline distT="0" distB="0" distL="0" distR="0" wp14:anchorId="4A88DFCF" wp14:editId="7FFEE675">
            <wp:extent cx="5512904" cy="2792497"/>
            <wp:effectExtent l="0" t="0" r="0" b="825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529027" cy="2800664"/>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ظلت حصة الطلبات الصحيحة، إلى حد ما، دون تغيير مقارنة بسنة 2011.</w:t>
      </w:r>
    </w:p>
    <w:p w:rsidR="00861CFF" w:rsidRPr="00017A3D" w:rsidRDefault="00861CFF" w:rsidP="00DA5475">
      <w:pPr>
        <w:pStyle w:val="NumberedParaAR"/>
        <w:keepNext/>
        <w:numPr>
          <w:ilvl w:val="0"/>
          <w:numId w:val="0"/>
        </w:numPr>
        <w:spacing w:after="120" w:line="340" w:lineRule="exact"/>
        <w:rPr>
          <w:u w:val="single"/>
          <w:rtl/>
          <w:lang w:val="fr-CH"/>
        </w:rPr>
      </w:pPr>
      <w:r>
        <w:rPr>
          <w:rFonts w:hint="cs"/>
          <w:u w:val="single"/>
          <w:rtl/>
          <w:lang w:val="fr-CH"/>
        </w:rPr>
        <w:t>التجديدات</w:t>
      </w:r>
    </w:p>
    <w:p w:rsidR="00861CFF" w:rsidRDefault="00861CFF" w:rsidP="00DA5475">
      <w:pPr>
        <w:pStyle w:val="NormalParaAR"/>
        <w:spacing w:after="120" w:line="240" w:lineRule="auto"/>
        <w:jc w:val="center"/>
        <w:rPr>
          <w:sz w:val="34"/>
          <w:szCs w:val="34"/>
          <w:rtl/>
        </w:rPr>
      </w:pPr>
      <w:r>
        <w:rPr>
          <w:noProof/>
          <w:sz w:val="34"/>
          <w:szCs w:val="34"/>
        </w:rPr>
        <w:drawing>
          <wp:inline distT="0" distB="0" distL="0" distR="0" wp14:anchorId="70DC03AC" wp14:editId="4385D059">
            <wp:extent cx="5379835" cy="2796857"/>
            <wp:effectExtent l="0" t="0" r="0" b="381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382408" cy="2798194"/>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 xml:space="preserve">في سنة 2014، سجل المكتب الدولي </w:t>
      </w:r>
      <w:r w:rsidRPr="00017A3D">
        <w:rPr>
          <w:sz w:val="34"/>
          <w:szCs w:val="34"/>
        </w:rPr>
        <w:t>25,729</w:t>
      </w:r>
      <w:r>
        <w:rPr>
          <w:rFonts w:hint="cs"/>
          <w:sz w:val="34"/>
          <w:szCs w:val="34"/>
          <w:rtl/>
        </w:rPr>
        <w:t xml:space="preserve"> تجديدا، أي بزيادة بلغت 12 بالمائة مقارنة بسنة 2013.</w:t>
      </w:r>
    </w:p>
    <w:p w:rsidR="00861CFF" w:rsidRPr="00017A3D" w:rsidRDefault="00861CFF" w:rsidP="00861CFF">
      <w:pPr>
        <w:pStyle w:val="NumberedParaAR"/>
        <w:numPr>
          <w:ilvl w:val="0"/>
          <w:numId w:val="50"/>
        </w:numPr>
        <w:spacing w:after="120" w:line="340" w:lineRule="exact"/>
        <w:rPr>
          <w:sz w:val="34"/>
          <w:szCs w:val="34"/>
          <w:rtl/>
        </w:rPr>
      </w:pPr>
      <w:r>
        <w:rPr>
          <w:rFonts w:hint="cs"/>
          <w:sz w:val="34"/>
          <w:szCs w:val="34"/>
          <w:rtl/>
        </w:rPr>
        <w:t>ورغم الزيادة في التجديدات بين 2009 و2014، ظل عدد التجديدات المعالجة يدويا مستقرا نسبيا. وفي سنة 2014، عولج</w:t>
      </w:r>
      <w:r>
        <w:rPr>
          <w:rFonts w:hint="eastAsia"/>
          <w:sz w:val="34"/>
          <w:szCs w:val="34"/>
          <w:rtl/>
        </w:rPr>
        <w:t> </w:t>
      </w:r>
      <w:r>
        <w:rPr>
          <w:rFonts w:hint="cs"/>
          <w:sz w:val="34"/>
          <w:szCs w:val="34"/>
          <w:rtl/>
        </w:rPr>
        <w:t>59 بالمائة من التجديدات آليا.</w:t>
      </w:r>
    </w:p>
    <w:p w:rsidR="00861CFF" w:rsidRDefault="00861CFF" w:rsidP="00DA5475">
      <w:pPr>
        <w:pStyle w:val="NumberedParaAR"/>
        <w:keepNext/>
        <w:numPr>
          <w:ilvl w:val="0"/>
          <w:numId w:val="0"/>
        </w:numPr>
        <w:spacing w:after="120" w:line="340" w:lineRule="exact"/>
        <w:rPr>
          <w:u w:val="single"/>
          <w:rtl/>
          <w:lang w:val="fr-CH"/>
        </w:rPr>
      </w:pPr>
      <w:r w:rsidRPr="00A5314B">
        <w:rPr>
          <w:rFonts w:hint="cs"/>
          <w:u w:val="single"/>
          <w:rtl/>
          <w:lang w:val="fr-CH"/>
        </w:rPr>
        <w:lastRenderedPageBreak/>
        <w:t>التعيينات اللاحقة</w:t>
      </w:r>
    </w:p>
    <w:p w:rsidR="00861CFF" w:rsidRDefault="00861CFF" w:rsidP="00DA5475">
      <w:pPr>
        <w:pStyle w:val="NumberedParaAR"/>
        <w:numPr>
          <w:ilvl w:val="0"/>
          <w:numId w:val="0"/>
        </w:numPr>
        <w:spacing w:after="120" w:line="240" w:lineRule="auto"/>
        <w:rPr>
          <w:u w:val="single"/>
          <w:rtl/>
          <w:lang w:val="fr-CH"/>
        </w:rPr>
      </w:pPr>
      <w:r w:rsidRPr="00525F59">
        <w:rPr>
          <w:rFonts w:hint="cs"/>
          <w:noProof/>
          <w:rtl/>
        </w:rPr>
        <w:drawing>
          <wp:inline distT="0" distB="0" distL="0" distR="0" wp14:anchorId="7F96D1B3" wp14:editId="57F7CB65">
            <wp:extent cx="5401586" cy="3000881"/>
            <wp:effectExtent l="0" t="0" r="889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403696" cy="3002053"/>
                    </a:xfrm>
                    <a:prstGeom prst="rect">
                      <a:avLst/>
                    </a:prstGeom>
                    <a:noFill/>
                    <a:ln>
                      <a:noFill/>
                    </a:ln>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 xml:space="preserve">في سنة 2014، سجل المكتب الدولي </w:t>
      </w:r>
      <w:r w:rsidRPr="00116990">
        <w:rPr>
          <w:sz w:val="34"/>
          <w:szCs w:val="34"/>
        </w:rPr>
        <w:t xml:space="preserve">17,316 </w:t>
      </w:r>
      <w:r>
        <w:rPr>
          <w:rFonts w:hint="cs"/>
          <w:sz w:val="34"/>
          <w:szCs w:val="34"/>
          <w:rtl/>
        </w:rPr>
        <w:t>، أي بانخفاض بلغ 2.5 بالمائة مقارنة بسنة 2013.</w:t>
      </w:r>
    </w:p>
    <w:p w:rsidR="00861CFF" w:rsidRPr="00017A3D" w:rsidRDefault="00861CFF" w:rsidP="00861CFF">
      <w:pPr>
        <w:pStyle w:val="NumberedParaAR"/>
        <w:numPr>
          <w:ilvl w:val="0"/>
          <w:numId w:val="50"/>
        </w:numPr>
        <w:spacing w:after="120" w:line="340" w:lineRule="exact"/>
        <w:rPr>
          <w:sz w:val="34"/>
          <w:szCs w:val="34"/>
          <w:rtl/>
        </w:rPr>
      </w:pPr>
      <w:r>
        <w:rPr>
          <w:rFonts w:hint="cs"/>
          <w:sz w:val="34"/>
          <w:szCs w:val="34"/>
          <w:rtl/>
        </w:rPr>
        <w:t>وفي سنة 2014، أُتيحت للمودعين على الإنترنت استمارة جديدة للتعيين اللاحق الإلكتروني (</w:t>
      </w:r>
      <w:r w:rsidRPr="00116990">
        <w:rPr>
          <w:sz w:val="34"/>
          <w:szCs w:val="34"/>
        </w:rPr>
        <w:t>E-Subsequent Designation</w:t>
      </w:r>
      <w:r>
        <w:rPr>
          <w:rFonts w:hint="cs"/>
          <w:sz w:val="34"/>
          <w:szCs w:val="34"/>
          <w:rtl/>
        </w:rPr>
        <w:t>). ومكنت تلك الاستمارة الإلكترونية المكتب الدولي من أن يعالج آليا 14 بالمائة من جميع التعيينات اللاحقة.</w:t>
      </w:r>
    </w:p>
    <w:p w:rsidR="00861CFF" w:rsidRDefault="00861CFF" w:rsidP="00DA5475">
      <w:pPr>
        <w:pStyle w:val="NumberedParaAR"/>
        <w:keepNext/>
        <w:numPr>
          <w:ilvl w:val="0"/>
          <w:numId w:val="0"/>
        </w:numPr>
        <w:spacing w:after="120" w:line="340" w:lineRule="exact"/>
        <w:rPr>
          <w:u w:val="single"/>
          <w:rtl/>
          <w:lang w:val="fr-CH"/>
        </w:rPr>
      </w:pPr>
      <w:r>
        <w:rPr>
          <w:rFonts w:hint="cs"/>
          <w:u w:val="single"/>
          <w:rtl/>
          <w:lang w:val="fr-CH"/>
        </w:rPr>
        <w:t>التغييرات</w:t>
      </w:r>
    </w:p>
    <w:p w:rsidR="00861CFF" w:rsidRDefault="00861CFF" w:rsidP="00DA5475">
      <w:pPr>
        <w:pStyle w:val="NumberedParaAR"/>
        <w:numPr>
          <w:ilvl w:val="0"/>
          <w:numId w:val="0"/>
        </w:numPr>
        <w:spacing w:after="120" w:line="240" w:lineRule="auto"/>
        <w:jc w:val="center"/>
        <w:rPr>
          <w:u w:val="single"/>
          <w:rtl/>
          <w:lang w:val="fr-CH"/>
        </w:rPr>
      </w:pPr>
      <w:r w:rsidRPr="00436EBE">
        <w:rPr>
          <w:noProof/>
        </w:rPr>
        <w:drawing>
          <wp:inline distT="0" distB="0" distL="0" distR="0" wp14:anchorId="5842B5D6" wp14:editId="1246ABE9">
            <wp:extent cx="5406887" cy="2876527"/>
            <wp:effectExtent l="0" t="0" r="3810" b="63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416533" cy="2881659"/>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 xml:space="preserve">في سنة 2014، سجل المكتب الدولي </w:t>
      </w:r>
      <w:r w:rsidRPr="00436EBE">
        <w:rPr>
          <w:sz w:val="34"/>
          <w:szCs w:val="34"/>
        </w:rPr>
        <w:t>38,817</w:t>
      </w:r>
      <w:r>
        <w:rPr>
          <w:sz w:val="34"/>
          <w:szCs w:val="34"/>
          <w:rtl/>
        </w:rPr>
        <w:t xml:space="preserve"> </w:t>
      </w:r>
      <w:r>
        <w:rPr>
          <w:rFonts w:hint="cs"/>
          <w:sz w:val="34"/>
          <w:szCs w:val="34"/>
          <w:rtl/>
        </w:rPr>
        <w:t>التماسا لإجراء تغييرات، أي بزيادة بلغت 5.5 بالمائة مقارنة بسنة 2013.</w:t>
      </w:r>
    </w:p>
    <w:p w:rsidR="00861CFF" w:rsidRPr="00BA4FC7" w:rsidRDefault="00861CFF" w:rsidP="00DA5475">
      <w:pPr>
        <w:pStyle w:val="NumberedParaAR"/>
        <w:numPr>
          <w:ilvl w:val="0"/>
          <w:numId w:val="0"/>
        </w:numPr>
        <w:spacing w:after="120" w:line="340" w:lineRule="exact"/>
        <w:rPr>
          <w:u w:val="single"/>
          <w:rtl/>
        </w:rPr>
      </w:pPr>
    </w:p>
    <w:p w:rsidR="00861CFF" w:rsidRDefault="00861CFF" w:rsidP="00DA5475">
      <w:pPr>
        <w:pStyle w:val="NumberedParaAR"/>
        <w:keepNext/>
        <w:numPr>
          <w:ilvl w:val="0"/>
          <w:numId w:val="0"/>
        </w:numPr>
        <w:spacing w:after="120" w:line="340" w:lineRule="exact"/>
        <w:rPr>
          <w:u w:val="single"/>
          <w:rtl/>
          <w:lang w:val="fr-CH"/>
        </w:rPr>
      </w:pPr>
      <w:r>
        <w:rPr>
          <w:rFonts w:hint="cs"/>
          <w:u w:val="single"/>
          <w:rtl/>
          <w:lang w:val="fr-CH"/>
        </w:rPr>
        <w:lastRenderedPageBreak/>
        <w:t>القرارات</w:t>
      </w:r>
    </w:p>
    <w:p w:rsidR="00861CFF" w:rsidRDefault="00861CFF" w:rsidP="00DA5475">
      <w:pPr>
        <w:pStyle w:val="NumberedParaAR"/>
        <w:numPr>
          <w:ilvl w:val="0"/>
          <w:numId w:val="0"/>
        </w:numPr>
        <w:spacing w:after="120" w:line="240" w:lineRule="auto"/>
        <w:rPr>
          <w:u w:val="single"/>
          <w:rtl/>
          <w:lang w:val="fr-CH"/>
        </w:rPr>
      </w:pPr>
      <w:r w:rsidRPr="00344B65">
        <w:rPr>
          <w:noProof/>
        </w:rPr>
        <w:drawing>
          <wp:inline distT="0" distB="0" distL="0" distR="0" wp14:anchorId="3C3DC2F7" wp14:editId="286D55D9">
            <wp:extent cx="5216448" cy="2822713"/>
            <wp:effectExtent l="0" t="0" r="381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221403" cy="2825394"/>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 xml:space="preserve">في سنة 2014، ارتفع عدد القرارات المسجلة بنسبة 0.3 بالمائة مقارنة بسنة 2013، وبلغ مجموعها </w:t>
      </w:r>
      <w:r w:rsidRPr="006555DD">
        <w:rPr>
          <w:sz w:val="34"/>
          <w:szCs w:val="34"/>
        </w:rPr>
        <w:t>521,208</w:t>
      </w:r>
      <w:r>
        <w:rPr>
          <w:rFonts w:hint="cs"/>
          <w:sz w:val="34"/>
          <w:szCs w:val="34"/>
          <w:rtl/>
        </w:rPr>
        <w:t xml:space="preserve"> قرارات. وارتفع عدد القرارات المسجلة ارتفاعا سريعا منذ 2010.</w:t>
      </w:r>
    </w:p>
    <w:p w:rsidR="00861CFF" w:rsidRDefault="00861CFF" w:rsidP="00861CFF">
      <w:pPr>
        <w:pStyle w:val="NumberedParaAR"/>
        <w:numPr>
          <w:ilvl w:val="0"/>
          <w:numId w:val="50"/>
        </w:numPr>
        <w:spacing w:after="120" w:line="340" w:lineRule="exact"/>
        <w:rPr>
          <w:sz w:val="34"/>
          <w:szCs w:val="34"/>
        </w:rPr>
      </w:pPr>
      <w:r>
        <w:rPr>
          <w:rFonts w:hint="cs"/>
          <w:sz w:val="34"/>
          <w:szCs w:val="34"/>
          <w:rtl/>
        </w:rPr>
        <w:t xml:space="preserve">وفي سنة 204، عولج 62 بالمائة من القرارات آليا. وتعالج أغلبية القرارات آليا منذ 2011. </w:t>
      </w:r>
    </w:p>
    <w:p w:rsidR="00861CFF" w:rsidRPr="00BA4FC7" w:rsidRDefault="00861CFF" w:rsidP="00DA5475">
      <w:pPr>
        <w:pStyle w:val="NumberedParaAR"/>
        <w:numPr>
          <w:ilvl w:val="0"/>
          <w:numId w:val="0"/>
        </w:numPr>
        <w:spacing w:after="120" w:line="340" w:lineRule="exact"/>
        <w:rPr>
          <w:u w:val="single"/>
          <w:rtl/>
        </w:rPr>
      </w:pPr>
    </w:p>
    <w:p w:rsidR="00861CFF" w:rsidRDefault="00861CFF" w:rsidP="00DA5475">
      <w:pPr>
        <w:pStyle w:val="NumberedParaAR"/>
        <w:keepNext/>
        <w:numPr>
          <w:ilvl w:val="0"/>
          <w:numId w:val="0"/>
        </w:numPr>
        <w:spacing w:after="120" w:line="340" w:lineRule="exact"/>
        <w:rPr>
          <w:u w:val="single"/>
          <w:rtl/>
          <w:lang w:val="fr-CH"/>
        </w:rPr>
      </w:pPr>
      <w:r>
        <w:rPr>
          <w:rFonts w:hint="cs"/>
          <w:u w:val="single"/>
          <w:rtl/>
          <w:lang w:val="fr-CH"/>
        </w:rPr>
        <w:t>التصحيحات</w:t>
      </w:r>
    </w:p>
    <w:p w:rsidR="00861CFF" w:rsidRDefault="00861CFF" w:rsidP="00DA5475">
      <w:pPr>
        <w:pStyle w:val="NumberedParaAR"/>
        <w:numPr>
          <w:ilvl w:val="0"/>
          <w:numId w:val="0"/>
        </w:numPr>
        <w:spacing w:after="120" w:line="240" w:lineRule="auto"/>
        <w:rPr>
          <w:u w:val="single"/>
          <w:rtl/>
          <w:lang w:val="fr-CH"/>
        </w:rPr>
      </w:pPr>
      <w:r w:rsidRPr="00597495">
        <w:rPr>
          <w:noProof/>
        </w:rPr>
        <w:drawing>
          <wp:inline distT="0" distB="0" distL="0" distR="0" wp14:anchorId="058330B0" wp14:editId="14EF9506">
            <wp:extent cx="5552660" cy="2758205"/>
            <wp:effectExtent l="0" t="0" r="0" b="444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546607" cy="2755198"/>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 xml:space="preserve">في سنة 2014، دون المكتب الدولي ما يقارب </w:t>
      </w:r>
      <w:r w:rsidRPr="00597495">
        <w:rPr>
          <w:sz w:val="34"/>
          <w:szCs w:val="34"/>
        </w:rPr>
        <w:t>6,000</w:t>
      </w:r>
      <w:r>
        <w:rPr>
          <w:sz w:val="34"/>
          <w:szCs w:val="34"/>
          <w:rtl/>
        </w:rPr>
        <w:t xml:space="preserve"> </w:t>
      </w:r>
      <w:r>
        <w:rPr>
          <w:rFonts w:hint="cs"/>
          <w:sz w:val="34"/>
          <w:szCs w:val="34"/>
          <w:rtl/>
        </w:rPr>
        <w:t>تصحيح، أي بزيادة بلغت 17 بالمائة مقارنة بسنة 2013.</w:t>
      </w:r>
    </w:p>
    <w:p w:rsidR="00861CFF" w:rsidRPr="00366C0B" w:rsidRDefault="00861CFF" w:rsidP="00DA5475">
      <w:pPr>
        <w:keepNext/>
        <w:spacing w:after="240" w:line="380" w:lineRule="exact"/>
        <w:rPr>
          <w:rFonts w:ascii="Arabic Typesetting" w:hAnsi="Arabic Typesetting" w:cs="Arabic Typesetting"/>
          <w:b/>
          <w:bCs/>
          <w:sz w:val="36"/>
          <w:szCs w:val="36"/>
          <w:rtl/>
          <w:lang w:val="fr-CH"/>
        </w:rPr>
      </w:pPr>
      <w:r w:rsidRPr="00366C0B">
        <w:rPr>
          <w:rFonts w:ascii="Arabic Typesetting" w:hAnsi="Arabic Typesetting" w:cs="Arabic Typesetting" w:hint="cs"/>
          <w:b/>
          <w:bCs/>
          <w:sz w:val="36"/>
          <w:szCs w:val="36"/>
          <w:rtl/>
          <w:lang w:val="fr-CH"/>
        </w:rPr>
        <w:t>ثانيا</w:t>
      </w:r>
      <w:r>
        <w:rPr>
          <w:rFonts w:ascii="Arabic Typesetting" w:hAnsi="Arabic Typesetting" w:cs="Arabic Typesetting" w:hint="cs"/>
          <w:b/>
          <w:bCs/>
          <w:sz w:val="36"/>
          <w:szCs w:val="36"/>
          <w:rtl/>
          <w:lang w:val="fr-CH"/>
        </w:rPr>
        <w:t>.</w:t>
      </w:r>
      <w:r w:rsidRPr="00366C0B">
        <w:rPr>
          <w:rFonts w:ascii="Arabic Typesetting" w:hAnsi="Arabic Typesetting" w:cs="Arabic Typesetting" w:hint="cs"/>
          <w:b/>
          <w:bCs/>
          <w:sz w:val="36"/>
          <w:szCs w:val="36"/>
          <w:rtl/>
          <w:lang w:val="fr-CH"/>
        </w:rPr>
        <w:tab/>
        <w:t>عبء العمل الإجمالي</w:t>
      </w:r>
    </w:p>
    <w:p w:rsidR="00861CFF" w:rsidRDefault="00861CFF" w:rsidP="00861CFF">
      <w:pPr>
        <w:pStyle w:val="NumberedParaAR"/>
        <w:numPr>
          <w:ilvl w:val="0"/>
          <w:numId w:val="48"/>
        </w:numPr>
        <w:spacing w:after="120" w:line="340" w:lineRule="exact"/>
        <w:rPr>
          <w:sz w:val="34"/>
          <w:szCs w:val="34"/>
        </w:rPr>
      </w:pPr>
      <w:r>
        <w:rPr>
          <w:rFonts w:hint="cs"/>
          <w:sz w:val="34"/>
          <w:szCs w:val="34"/>
          <w:rtl/>
        </w:rPr>
        <w:t>يمثل عبء العمل الإجمالي العدد الإجمالي المرجح للوثائق التي يعالجها المكتب الدولي</w:t>
      </w:r>
      <w:r w:rsidRPr="00EC6B71">
        <w:rPr>
          <w:rFonts w:hint="cs"/>
          <w:sz w:val="34"/>
          <w:szCs w:val="34"/>
          <w:rtl/>
        </w:rPr>
        <w:t>.</w:t>
      </w:r>
      <w:r>
        <w:rPr>
          <w:rFonts w:hint="cs"/>
          <w:sz w:val="34"/>
          <w:szCs w:val="34"/>
          <w:rtl/>
        </w:rPr>
        <w:t xml:space="preserve"> ويشمل ذلك جميع فئات الوثائق الست (الطلبات والتجديدات والتعيينات اللاحقة والتغييرات والقرارات والتصحيحات).</w:t>
      </w:r>
    </w:p>
    <w:p w:rsidR="00861CFF" w:rsidRDefault="00861CFF" w:rsidP="00861CFF">
      <w:pPr>
        <w:pStyle w:val="NumberedParaAR"/>
        <w:numPr>
          <w:ilvl w:val="0"/>
          <w:numId w:val="48"/>
        </w:numPr>
        <w:spacing w:after="120" w:line="340" w:lineRule="exact"/>
        <w:rPr>
          <w:sz w:val="34"/>
          <w:szCs w:val="34"/>
        </w:rPr>
      </w:pPr>
      <w:r>
        <w:rPr>
          <w:rFonts w:hint="cs"/>
          <w:sz w:val="34"/>
          <w:szCs w:val="34"/>
          <w:rtl/>
        </w:rPr>
        <w:lastRenderedPageBreak/>
        <w:t>ولأن معالجة تلك الأنواع من الوثائق لا يتطلب موارد متساوية، فكل نوع يرجح على حدة بشكل مختلف. ووفقا لنظام الترجيح، يمكن لفاحص ما، في الفترة المطلوبة لمعالجة طلب دولي، أن يعالج 1.6 من التجديدات أو 1.8 من التعيينات اللاحقة أو</w:t>
      </w:r>
      <w:r>
        <w:rPr>
          <w:rFonts w:hint="eastAsia"/>
          <w:sz w:val="34"/>
          <w:szCs w:val="34"/>
          <w:rtl/>
        </w:rPr>
        <w:t> </w:t>
      </w:r>
      <w:r>
        <w:rPr>
          <w:rFonts w:hint="cs"/>
          <w:sz w:val="34"/>
          <w:szCs w:val="34"/>
          <w:rtl/>
        </w:rPr>
        <w:t>1.8 من التغييرات أو 10 قرارا</w:t>
      </w:r>
      <w:r>
        <w:rPr>
          <w:rFonts w:hint="eastAsia"/>
          <w:sz w:val="34"/>
          <w:szCs w:val="34"/>
          <w:rtl/>
        </w:rPr>
        <w:t>ت</w:t>
      </w:r>
      <w:r>
        <w:rPr>
          <w:rFonts w:hint="cs"/>
          <w:sz w:val="34"/>
          <w:szCs w:val="34"/>
          <w:rtl/>
        </w:rPr>
        <w:t>. وعلى نفس المنوال، يمكن لموظف في المعالجة الآلية أن يعالج، في الفترة المطلوبة لمعالجة طلب دولي، 17 وثيقة.</w:t>
      </w:r>
    </w:p>
    <w:p w:rsidR="00861CFF" w:rsidRDefault="00861CFF" w:rsidP="00DA5475">
      <w:pPr>
        <w:pStyle w:val="NumberedParaAR"/>
        <w:numPr>
          <w:ilvl w:val="0"/>
          <w:numId w:val="0"/>
        </w:numPr>
        <w:spacing w:after="120" w:line="240" w:lineRule="auto"/>
        <w:rPr>
          <w:sz w:val="34"/>
          <w:szCs w:val="34"/>
          <w:rtl/>
        </w:rPr>
      </w:pPr>
      <w:r>
        <w:rPr>
          <w:noProof/>
          <w:sz w:val="34"/>
          <w:szCs w:val="34"/>
        </w:rPr>
        <w:drawing>
          <wp:inline distT="0" distB="0" distL="0" distR="0" wp14:anchorId="4634CCCA" wp14:editId="72A13167">
            <wp:extent cx="5567444" cy="2324051"/>
            <wp:effectExtent l="0" t="0" r="0" b="63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608061" cy="2341006"/>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في سنة 2014، ظل عبء العمل الإجمالي مستقرا مقارنة بسنة 2013. وكانت نسبة الطلبا</w:t>
      </w:r>
      <w:r>
        <w:rPr>
          <w:rFonts w:hint="eastAsia"/>
          <w:sz w:val="34"/>
          <w:szCs w:val="34"/>
          <w:rtl/>
        </w:rPr>
        <w:t>ت</w:t>
      </w:r>
      <w:r>
        <w:rPr>
          <w:rFonts w:hint="cs"/>
          <w:sz w:val="34"/>
          <w:szCs w:val="34"/>
          <w:rtl/>
        </w:rPr>
        <w:t xml:space="preserve"> والقرارات والتغييرات ما يقارب 80 بالمائة من عبء العمل الإجمالي.</w:t>
      </w:r>
    </w:p>
    <w:p w:rsidR="00861CFF" w:rsidRDefault="00861CFF" w:rsidP="00861CFF">
      <w:pPr>
        <w:pStyle w:val="NumberedParaAR"/>
        <w:numPr>
          <w:ilvl w:val="0"/>
          <w:numId w:val="50"/>
        </w:numPr>
        <w:spacing w:after="120" w:line="340" w:lineRule="exact"/>
        <w:rPr>
          <w:sz w:val="34"/>
          <w:szCs w:val="34"/>
        </w:rPr>
      </w:pPr>
      <w:r>
        <w:rPr>
          <w:rFonts w:hint="cs"/>
          <w:sz w:val="34"/>
          <w:szCs w:val="34"/>
          <w:rtl/>
        </w:rPr>
        <w:t>وبين 2011 و2013، ازداد عبء العمل زيادة حادة ويرجع ذلك بالأساس إلى العدد المتزايد من القرارات.</w:t>
      </w:r>
    </w:p>
    <w:p w:rsidR="00861CFF" w:rsidRPr="00E11AE3" w:rsidRDefault="00861CFF" w:rsidP="00DA5475">
      <w:pPr>
        <w:keepNext/>
        <w:spacing w:after="240" w:line="380" w:lineRule="exact"/>
        <w:rPr>
          <w:rFonts w:ascii="Arabic Typesetting" w:hAnsi="Arabic Typesetting" w:cs="Arabic Typesetting"/>
          <w:b/>
          <w:bCs/>
          <w:sz w:val="36"/>
          <w:szCs w:val="36"/>
          <w:lang w:val="fr-CH"/>
        </w:rPr>
      </w:pPr>
      <w:r>
        <w:rPr>
          <w:rFonts w:ascii="Arabic Typesetting" w:hAnsi="Arabic Typesetting" w:cs="Arabic Typesetting" w:hint="cs"/>
          <w:b/>
          <w:bCs/>
          <w:sz w:val="36"/>
          <w:szCs w:val="36"/>
          <w:rtl/>
          <w:lang w:val="fr-CH"/>
        </w:rPr>
        <w:t>ثالثا.</w:t>
      </w:r>
      <w:r>
        <w:rPr>
          <w:rFonts w:ascii="Arabic Typesetting" w:hAnsi="Arabic Typesetting" w:cs="Arabic Typesetting" w:hint="cs"/>
          <w:b/>
          <w:bCs/>
          <w:sz w:val="36"/>
          <w:szCs w:val="36"/>
          <w:rtl/>
          <w:lang w:val="fr-CH"/>
        </w:rPr>
        <w:tab/>
        <w:t>طريقة إيداع الوثائق الواردة</w:t>
      </w:r>
    </w:p>
    <w:p w:rsidR="00861CFF" w:rsidRDefault="00861CFF" w:rsidP="00DA5475">
      <w:pPr>
        <w:pStyle w:val="NumberedParaAR"/>
        <w:numPr>
          <w:ilvl w:val="0"/>
          <w:numId w:val="0"/>
        </w:numPr>
        <w:spacing w:before="120" w:after="120" w:line="240" w:lineRule="auto"/>
        <w:ind w:left="425"/>
        <w:rPr>
          <w:sz w:val="34"/>
          <w:szCs w:val="34"/>
          <w:rtl/>
        </w:rPr>
      </w:pPr>
      <w:r>
        <w:rPr>
          <w:noProof/>
          <w:sz w:val="34"/>
          <w:szCs w:val="34"/>
        </w:rPr>
        <w:drawing>
          <wp:inline distT="0" distB="0" distL="0" distR="0" wp14:anchorId="2CF13C52" wp14:editId="3DA3F207">
            <wp:extent cx="5206363" cy="2535704"/>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230721" cy="2547567"/>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rPr>
          <w:sz w:val="34"/>
          <w:szCs w:val="34"/>
        </w:rPr>
      </w:pPr>
      <w:r>
        <w:rPr>
          <w:rFonts w:hint="cs"/>
          <w:sz w:val="34"/>
          <w:szCs w:val="34"/>
          <w:rtl/>
        </w:rPr>
        <w:t>في سنة 2014، أودع إلكترونيا 66 بالمائة من جميع الوثائق الواردة لدى المكتب الدولي.</w:t>
      </w:r>
    </w:p>
    <w:p w:rsidR="00861CFF" w:rsidRPr="00E11AE3" w:rsidRDefault="00861CFF" w:rsidP="00861CFF">
      <w:pPr>
        <w:pStyle w:val="NumberedParaAR"/>
        <w:numPr>
          <w:ilvl w:val="0"/>
          <w:numId w:val="50"/>
        </w:numPr>
        <w:spacing w:after="120" w:line="340" w:lineRule="exact"/>
        <w:rPr>
          <w:sz w:val="34"/>
          <w:szCs w:val="34"/>
          <w:rtl/>
        </w:rPr>
      </w:pPr>
      <w:r>
        <w:rPr>
          <w:rFonts w:hint="cs"/>
          <w:sz w:val="34"/>
          <w:szCs w:val="34"/>
          <w:rtl/>
        </w:rPr>
        <w:t>وظلت حصة الوثائق المودعة إلكترونيا مستقرة منذ 2012.</w:t>
      </w:r>
    </w:p>
    <w:p w:rsidR="00861CFF" w:rsidRPr="00EE1A8C" w:rsidRDefault="00861CFF" w:rsidP="00DA5475">
      <w:pPr>
        <w:keepNext/>
        <w:spacing w:after="240" w:line="380" w:lineRule="exact"/>
        <w:rPr>
          <w:rFonts w:ascii="Arabic Typesetting" w:hAnsi="Arabic Typesetting" w:cs="Arabic Typesetting"/>
          <w:b/>
          <w:bCs/>
          <w:sz w:val="36"/>
          <w:szCs w:val="36"/>
          <w:lang w:val="fr-CH"/>
        </w:rPr>
      </w:pPr>
      <w:r>
        <w:rPr>
          <w:rFonts w:ascii="Arabic Typesetting" w:hAnsi="Arabic Typesetting" w:cs="Arabic Typesetting" w:hint="cs"/>
          <w:b/>
          <w:bCs/>
          <w:sz w:val="36"/>
          <w:szCs w:val="36"/>
          <w:rtl/>
          <w:lang w:val="fr-CH"/>
        </w:rPr>
        <w:lastRenderedPageBreak/>
        <w:t>رابعا.</w:t>
      </w:r>
      <w:r>
        <w:rPr>
          <w:rFonts w:ascii="Arabic Typesetting" w:hAnsi="Arabic Typesetting" w:cs="Arabic Typesetting" w:hint="cs"/>
          <w:b/>
          <w:bCs/>
          <w:sz w:val="36"/>
          <w:szCs w:val="36"/>
          <w:rtl/>
          <w:lang w:val="fr-CH"/>
        </w:rPr>
        <w:tab/>
        <w:t>المعالجة</w:t>
      </w:r>
    </w:p>
    <w:p w:rsidR="00861CFF" w:rsidRPr="00E27AEC" w:rsidRDefault="00861CFF" w:rsidP="00DA5475">
      <w:pPr>
        <w:pStyle w:val="NumberedParaAR"/>
        <w:keepNext/>
        <w:numPr>
          <w:ilvl w:val="0"/>
          <w:numId w:val="0"/>
        </w:numPr>
        <w:spacing w:after="120" w:line="340" w:lineRule="exact"/>
        <w:rPr>
          <w:u w:val="single"/>
          <w:rtl/>
          <w:lang w:val="fr-CH"/>
        </w:rPr>
      </w:pPr>
      <w:r>
        <w:rPr>
          <w:rFonts w:hint="cs"/>
          <w:u w:val="single"/>
          <w:rtl/>
          <w:lang w:val="fr-CH"/>
        </w:rPr>
        <w:t>تكلفة الإنتاج الإجمالية</w:t>
      </w:r>
    </w:p>
    <w:p w:rsidR="00861CFF" w:rsidRPr="008265D4" w:rsidRDefault="00861CFF" w:rsidP="00861CFF">
      <w:pPr>
        <w:pStyle w:val="NumberedParaAR"/>
        <w:numPr>
          <w:ilvl w:val="0"/>
          <w:numId w:val="48"/>
        </w:numPr>
        <w:spacing w:after="120" w:line="340" w:lineRule="exact"/>
        <w:rPr>
          <w:sz w:val="34"/>
          <w:szCs w:val="34"/>
          <w:rtl/>
        </w:rPr>
      </w:pPr>
      <w:r w:rsidRPr="008265D4">
        <w:rPr>
          <w:rFonts w:hint="cs"/>
          <w:sz w:val="34"/>
          <w:szCs w:val="34"/>
          <w:rtl/>
        </w:rPr>
        <w:t xml:space="preserve">تتألف </w:t>
      </w:r>
      <w:r>
        <w:rPr>
          <w:rFonts w:hint="cs"/>
          <w:sz w:val="34"/>
          <w:szCs w:val="34"/>
          <w:rtl/>
        </w:rPr>
        <w:t>تكلفة الإنتاج الإجمالية</w:t>
      </w:r>
      <w:r w:rsidRPr="008265D4">
        <w:rPr>
          <w:rFonts w:hint="cs"/>
          <w:sz w:val="34"/>
          <w:szCs w:val="34"/>
          <w:rtl/>
        </w:rPr>
        <w:t xml:space="preserve"> من تكاليف مباشرة وتكاليف غير مباشرة. والتكاليف المباشرة هي النفقات التي يتحملها المكتب الدولي في </w:t>
      </w:r>
      <w:r>
        <w:rPr>
          <w:rFonts w:hint="cs"/>
          <w:sz w:val="34"/>
          <w:szCs w:val="34"/>
          <w:rtl/>
        </w:rPr>
        <w:t>إدار</w:t>
      </w:r>
      <w:r w:rsidRPr="008265D4">
        <w:rPr>
          <w:rFonts w:hint="cs"/>
          <w:sz w:val="34"/>
          <w:szCs w:val="34"/>
          <w:rtl/>
        </w:rPr>
        <w:t>ة نظام مدريد (مثل الإدارة والترجمة والتسجيل). وأما التكاليف غير المباشرة فهي نفقات أنشطة الدعم (مثل تلك المرتبطة بالمباني وتكنولوجيا المعلومات). وتُرجَّح التكاليف غير المباشرة لكي تأخذ في الحسبان الحصة المخصصة لنظام مدريد فقط.</w:t>
      </w:r>
    </w:p>
    <w:p w:rsidR="00861CFF" w:rsidRDefault="00861CFF" w:rsidP="00DA5475">
      <w:pPr>
        <w:pStyle w:val="NumberedParaAR"/>
        <w:numPr>
          <w:ilvl w:val="0"/>
          <w:numId w:val="0"/>
        </w:numPr>
        <w:spacing w:after="120" w:line="240" w:lineRule="auto"/>
        <w:rPr>
          <w:rtl/>
        </w:rPr>
      </w:pPr>
      <w:r>
        <w:rPr>
          <w:noProof/>
        </w:rPr>
        <w:drawing>
          <wp:inline distT="0" distB="0" distL="0" distR="0" wp14:anchorId="5588C105" wp14:editId="7A61CBC8">
            <wp:extent cx="5539408" cy="2762312"/>
            <wp:effectExtent l="0" t="0" r="444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549634" cy="2767411"/>
                    </a:xfrm>
                    <a:prstGeom prst="rect">
                      <a:avLst/>
                    </a:prstGeom>
                    <a:noFill/>
                  </pic:spPr>
                </pic:pic>
              </a:graphicData>
            </a:graphic>
          </wp:inline>
        </w:drawing>
      </w:r>
    </w:p>
    <w:p w:rsidR="00861CFF" w:rsidRDefault="00861CFF" w:rsidP="00861CFF">
      <w:pPr>
        <w:pStyle w:val="NumberedParaAR"/>
        <w:numPr>
          <w:ilvl w:val="0"/>
          <w:numId w:val="50"/>
        </w:numPr>
        <w:spacing w:after="120" w:line="340" w:lineRule="exact"/>
      </w:pPr>
      <w:r>
        <w:rPr>
          <w:rFonts w:hint="cs"/>
          <w:rtl/>
        </w:rPr>
        <w:t>تقدر تكلفة الإنتاج الإجمالية بمبلغ 41.8 مليون فرنك سويسري في 2014، أي زيادة طفيفة بنسبة 0.1 بالمائة مقارنة بسنة 2013.</w:t>
      </w:r>
    </w:p>
    <w:p w:rsidR="00861CFF" w:rsidRDefault="00861CFF" w:rsidP="00861CFF">
      <w:pPr>
        <w:pStyle w:val="NumberedParaAR"/>
        <w:numPr>
          <w:ilvl w:val="0"/>
          <w:numId w:val="50"/>
        </w:numPr>
        <w:spacing w:after="120" w:line="340" w:lineRule="exact"/>
        <w:rPr>
          <w:rtl/>
        </w:rPr>
      </w:pPr>
      <w:r>
        <w:rPr>
          <w:rFonts w:hint="cs"/>
          <w:rtl/>
        </w:rPr>
        <w:t>وفي سنة 2014، بلغت حصة التكاليف المباشرة 61 بالمائة من التكلفة الإجمالية.</w:t>
      </w:r>
    </w:p>
    <w:p w:rsidR="00861CFF" w:rsidRPr="00C41BBF" w:rsidRDefault="00861CFF" w:rsidP="00DA5475">
      <w:pPr>
        <w:pStyle w:val="NumberedParaAR"/>
        <w:keepNext/>
        <w:numPr>
          <w:ilvl w:val="0"/>
          <w:numId w:val="0"/>
        </w:numPr>
        <w:spacing w:after="120" w:line="340" w:lineRule="exact"/>
        <w:rPr>
          <w:u w:val="single"/>
          <w:rtl/>
          <w:lang w:val="fr-CH"/>
        </w:rPr>
      </w:pPr>
      <w:r w:rsidRPr="00A832AD">
        <w:rPr>
          <w:rFonts w:hint="cs"/>
          <w:u w:val="single"/>
          <w:rtl/>
          <w:lang w:val="fr-CH"/>
        </w:rPr>
        <w:t>تكلفة الوحدة</w:t>
      </w:r>
    </w:p>
    <w:p w:rsidR="00861CFF" w:rsidRPr="00A43C4B" w:rsidRDefault="00861CFF" w:rsidP="00861CFF">
      <w:pPr>
        <w:pStyle w:val="NumberedParaAR"/>
        <w:numPr>
          <w:ilvl w:val="0"/>
          <w:numId w:val="48"/>
        </w:numPr>
        <w:spacing w:after="200" w:line="276" w:lineRule="auto"/>
        <w:rPr>
          <w:sz w:val="34"/>
          <w:szCs w:val="34"/>
          <w:rtl/>
        </w:rPr>
      </w:pPr>
      <w:r>
        <w:rPr>
          <w:rFonts w:hint="cs"/>
          <w:sz w:val="34"/>
          <w:szCs w:val="34"/>
          <w:rtl/>
        </w:rPr>
        <w:t xml:space="preserve">يمكن حساب </w:t>
      </w:r>
      <w:r w:rsidRPr="00A43C4B">
        <w:rPr>
          <w:sz w:val="34"/>
          <w:szCs w:val="34"/>
          <w:rtl/>
        </w:rPr>
        <w:t xml:space="preserve">كفاءة </w:t>
      </w:r>
      <w:r>
        <w:rPr>
          <w:sz w:val="34"/>
          <w:szCs w:val="34"/>
          <w:rtl/>
        </w:rPr>
        <w:t xml:space="preserve">المكتب الدولي </w:t>
      </w:r>
      <w:r w:rsidRPr="00A43C4B">
        <w:rPr>
          <w:sz w:val="34"/>
          <w:szCs w:val="34"/>
          <w:rtl/>
        </w:rPr>
        <w:t xml:space="preserve">في معالجة المعاملات </w:t>
      </w:r>
      <w:r>
        <w:rPr>
          <w:rFonts w:hint="cs"/>
          <w:sz w:val="34"/>
          <w:szCs w:val="34"/>
          <w:rtl/>
        </w:rPr>
        <w:t>ب</w:t>
      </w:r>
      <w:r w:rsidRPr="00A43C4B">
        <w:rPr>
          <w:sz w:val="34"/>
          <w:szCs w:val="34"/>
          <w:rtl/>
        </w:rPr>
        <w:t>تكلفة الوحدة</w:t>
      </w:r>
      <w:r>
        <w:rPr>
          <w:rFonts w:hint="cs"/>
          <w:sz w:val="34"/>
          <w:szCs w:val="34"/>
          <w:rtl/>
        </w:rPr>
        <w:t xml:space="preserve"> التي تعني </w:t>
      </w:r>
      <w:r w:rsidRPr="005B7E0F">
        <w:rPr>
          <w:rFonts w:hint="cs"/>
          <w:sz w:val="34"/>
          <w:szCs w:val="34"/>
          <w:rtl/>
        </w:rPr>
        <w:t>متسوط</w:t>
      </w:r>
      <w:r w:rsidRPr="005B7E0F">
        <w:rPr>
          <w:sz w:val="34"/>
          <w:szCs w:val="34"/>
          <w:rtl/>
        </w:rPr>
        <w:t xml:space="preserve"> </w:t>
      </w:r>
      <w:r w:rsidRPr="005B7E0F">
        <w:rPr>
          <w:rFonts w:hint="cs"/>
          <w:sz w:val="34"/>
          <w:szCs w:val="34"/>
          <w:rtl/>
        </w:rPr>
        <w:t>التكلفة</w:t>
      </w:r>
      <w:r w:rsidRPr="005B7E0F">
        <w:rPr>
          <w:sz w:val="34"/>
          <w:szCs w:val="34"/>
          <w:rtl/>
        </w:rPr>
        <w:t xml:space="preserve"> </w:t>
      </w:r>
      <w:r w:rsidRPr="005B7E0F">
        <w:rPr>
          <w:rFonts w:hint="cs"/>
          <w:sz w:val="34"/>
          <w:szCs w:val="34"/>
          <w:rtl/>
        </w:rPr>
        <w:t>لإنتاج</w:t>
      </w:r>
      <w:r w:rsidRPr="005B7E0F">
        <w:rPr>
          <w:sz w:val="34"/>
          <w:szCs w:val="34"/>
          <w:rtl/>
        </w:rPr>
        <w:t xml:space="preserve"> </w:t>
      </w:r>
      <w:r w:rsidRPr="005B7E0F">
        <w:rPr>
          <w:rFonts w:hint="cs"/>
          <w:sz w:val="34"/>
          <w:szCs w:val="34"/>
          <w:rtl/>
        </w:rPr>
        <w:t>وحدة</w:t>
      </w:r>
      <w:r w:rsidRPr="005B7E0F">
        <w:rPr>
          <w:sz w:val="34"/>
          <w:szCs w:val="34"/>
          <w:rtl/>
        </w:rPr>
        <w:t xml:space="preserve"> </w:t>
      </w:r>
      <w:r w:rsidRPr="005B7E0F">
        <w:rPr>
          <w:rFonts w:hint="cs"/>
          <w:sz w:val="34"/>
          <w:szCs w:val="34"/>
          <w:rtl/>
        </w:rPr>
        <w:t>واحدة</w:t>
      </w:r>
      <w:r w:rsidRPr="005B7E0F">
        <w:rPr>
          <w:sz w:val="34"/>
          <w:szCs w:val="34"/>
          <w:rtl/>
        </w:rPr>
        <w:t xml:space="preserve"> </w:t>
      </w:r>
      <w:r w:rsidRPr="005B7E0F">
        <w:rPr>
          <w:rFonts w:hint="cs"/>
          <w:sz w:val="34"/>
          <w:szCs w:val="34"/>
          <w:rtl/>
        </w:rPr>
        <w:t>من</w:t>
      </w:r>
      <w:r w:rsidRPr="005B7E0F">
        <w:rPr>
          <w:sz w:val="34"/>
          <w:szCs w:val="34"/>
          <w:rtl/>
        </w:rPr>
        <w:t xml:space="preserve"> </w:t>
      </w:r>
      <w:r w:rsidRPr="005B7E0F">
        <w:rPr>
          <w:rFonts w:hint="cs"/>
          <w:sz w:val="34"/>
          <w:szCs w:val="34"/>
          <w:rtl/>
        </w:rPr>
        <w:t>المخرجات</w:t>
      </w:r>
      <w:r w:rsidRPr="00A43C4B">
        <w:rPr>
          <w:sz w:val="34"/>
          <w:szCs w:val="34"/>
        </w:rPr>
        <w:t>.</w:t>
      </w:r>
    </w:p>
    <w:p w:rsidR="00861CFF" w:rsidRDefault="00861CFF" w:rsidP="00861CFF">
      <w:pPr>
        <w:pStyle w:val="NumberedParaAR"/>
        <w:numPr>
          <w:ilvl w:val="0"/>
          <w:numId w:val="48"/>
        </w:numPr>
        <w:spacing w:after="200" w:line="276" w:lineRule="auto"/>
        <w:rPr>
          <w:sz w:val="34"/>
          <w:szCs w:val="34"/>
        </w:rPr>
      </w:pPr>
      <w:r>
        <w:rPr>
          <w:rFonts w:hint="cs"/>
          <w:sz w:val="34"/>
          <w:szCs w:val="34"/>
          <w:rtl/>
        </w:rPr>
        <w:t xml:space="preserve">وبما أن </w:t>
      </w:r>
      <w:r>
        <w:rPr>
          <w:sz w:val="34"/>
          <w:szCs w:val="34"/>
          <w:rtl/>
        </w:rPr>
        <w:t xml:space="preserve">المكتب الدولي </w:t>
      </w:r>
      <w:r w:rsidRPr="00A43C4B">
        <w:rPr>
          <w:sz w:val="34"/>
          <w:szCs w:val="34"/>
          <w:rtl/>
        </w:rPr>
        <w:t xml:space="preserve">يسجل </w:t>
      </w:r>
      <w:r>
        <w:rPr>
          <w:rFonts w:hint="cs"/>
          <w:sz w:val="34"/>
          <w:szCs w:val="34"/>
          <w:rtl/>
        </w:rPr>
        <w:t xml:space="preserve">طلبات </w:t>
      </w:r>
      <w:r w:rsidRPr="00A43C4B">
        <w:rPr>
          <w:sz w:val="34"/>
          <w:szCs w:val="34"/>
          <w:rtl/>
        </w:rPr>
        <w:t xml:space="preserve">جديدة ويحفظ التسجيلات </w:t>
      </w:r>
      <w:r>
        <w:rPr>
          <w:rFonts w:hint="cs"/>
          <w:sz w:val="34"/>
          <w:szCs w:val="34"/>
          <w:rtl/>
        </w:rPr>
        <w:t>الموجودة</w:t>
      </w:r>
      <w:r w:rsidRPr="00A43C4B">
        <w:rPr>
          <w:sz w:val="34"/>
          <w:szCs w:val="34"/>
          <w:rtl/>
        </w:rPr>
        <w:t xml:space="preserve">، فمن </w:t>
      </w:r>
      <w:r>
        <w:rPr>
          <w:rFonts w:hint="cs"/>
          <w:sz w:val="34"/>
          <w:szCs w:val="34"/>
          <w:rtl/>
        </w:rPr>
        <w:t>الوجيه</w:t>
      </w:r>
      <w:r w:rsidRPr="00A43C4B">
        <w:rPr>
          <w:sz w:val="34"/>
          <w:szCs w:val="34"/>
          <w:rtl/>
        </w:rPr>
        <w:t xml:space="preserve"> أن </w:t>
      </w:r>
      <w:r>
        <w:rPr>
          <w:rFonts w:hint="cs"/>
          <w:sz w:val="34"/>
          <w:szCs w:val="34"/>
          <w:rtl/>
        </w:rPr>
        <w:t>ت</w:t>
      </w:r>
      <w:r w:rsidRPr="00A43C4B">
        <w:rPr>
          <w:sz w:val="34"/>
          <w:szCs w:val="34"/>
          <w:rtl/>
        </w:rPr>
        <w:t xml:space="preserve">كون </w:t>
      </w:r>
      <w:r>
        <w:rPr>
          <w:rFonts w:hint="cs"/>
          <w:sz w:val="34"/>
          <w:szCs w:val="34"/>
          <w:rtl/>
        </w:rPr>
        <w:t>هناك</w:t>
      </w:r>
      <w:r w:rsidRPr="00A43C4B">
        <w:rPr>
          <w:sz w:val="34"/>
          <w:szCs w:val="34"/>
          <w:rtl/>
        </w:rPr>
        <w:t xml:space="preserve"> وحدة من </w:t>
      </w:r>
      <w:r>
        <w:rPr>
          <w:rFonts w:hint="cs"/>
          <w:sz w:val="34"/>
          <w:szCs w:val="34"/>
          <w:rtl/>
        </w:rPr>
        <w:t>المخرجات</w:t>
      </w:r>
      <w:r w:rsidRPr="00A43C4B">
        <w:rPr>
          <w:sz w:val="34"/>
          <w:szCs w:val="34"/>
          <w:rtl/>
        </w:rPr>
        <w:t xml:space="preserve"> ال</w:t>
      </w:r>
      <w:r>
        <w:rPr>
          <w:rFonts w:hint="cs"/>
          <w:sz w:val="34"/>
          <w:szCs w:val="34"/>
          <w:rtl/>
        </w:rPr>
        <w:t>ت</w:t>
      </w:r>
      <w:r w:rsidRPr="00A43C4B">
        <w:rPr>
          <w:sz w:val="34"/>
          <w:szCs w:val="34"/>
          <w:rtl/>
        </w:rPr>
        <w:t xml:space="preserve">ي </w:t>
      </w:r>
      <w:r>
        <w:rPr>
          <w:rFonts w:hint="cs"/>
          <w:sz w:val="34"/>
          <w:szCs w:val="34"/>
          <w:rtl/>
        </w:rPr>
        <w:t>ت</w:t>
      </w:r>
      <w:r w:rsidRPr="00A43C4B">
        <w:rPr>
          <w:sz w:val="34"/>
          <w:szCs w:val="34"/>
          <w:rtl/>
        </w:rPr>
        <w:t xml:space="preserve">تضمن مجموعة من المعاملات. </w:t>
      </w:r>
      <w:r>
        <w:rPr>
          <w:sz w:val="34"/>
          <w:szCs w:val="34"/>
          <w:rtl/>
        </w:rPr>
        <w:t>و</w:t>
      </w:r>
      <w:r>
        <w:rPr>
          <w:rFonts w:hint="cs"/>
          <w:sz w:val="34"/>
          <w:szCs w:val="34"/>
          <w:rtl/>
        </w:rPr>
        <w:t xml:space="preserve">يرد أدناه </w:t>
      </w:r>
      <w:r w:rsidRPr="00A43C4B">
        <w:rPr>
          <w:sz w:val="34"/>
          <w:szCs w:val="34"/>
          <w:rtl/>
        </w:rPr>
        <w:t>مؤشرا</w:t>
      </w:r>
      <w:r>
        <w:rPr>
          <w:rFonts w:hint="cs"/>
          <w:sz w:val="34"/>
          <w:szCs w:val="34"/>
          <w:rtl/>
        </w:rPr>
        <w:t>ن</w:t>
      </w:r>
      <w:r w:rsidRPr="00A43C4B">
        <w:rPr>
          <w:sz w:val="34"/>
          <w:szCs w:val="34"/>
          <w:rtl/>
        </w:rPr>
        <w:t xml:space="preserve"> </w:t>
      </w:r>
      <w:r>
        <w:rPr>
          <w:rFonts w:hint="cs"/>
          <w:sz w:val="34"/>
          <w:szCs w:val="34"/>
          <w:rtl/>
        </w:rPr>
        <w:t>اثنان ل</w:t>
      </w:r>
      <w:r w:rsidRPr="00A43C4B">
        <w:rPr>
          <w:sz w:val="34"/>
          <w:szCs w:val="34"/>
          <w:rtl/>
        </w:rPr>
        <w:t>تكلفة الوحدة</w:t>
      </w:r>
      <w:r>
        <w:rPr>
          <w:rFonts w:hint="cs"/>
          <w:sz w:val="34"/>
          <w:szCs w:val="34"/>
          <w:rtl/>
        </w:rPr>
        <w:t xml:space="preserve"> </w:t>
      </w:r>
      <w:r w:rsidRPr="00A43C4B">
        <w:rPr>
          <w:sz w:val="34"/>
          <w:szCs w:val="34"/>
          <w:rtl/>
        </w:rPr>
        <w:t>باستخدام وحد</w:t>
      </w:r>
      <w:r>
        <w:rPr>
          <w:rFonts w:hint="cs"/>
          <w:sz w:val="34"/>
          <w:szCs w:val="34"/>
          <w:rtl/>
        </w:rPr>
        <w:t xml:space="preserve">تين </w:t>
      </w:r>
      <w:r>
        <w:rPr>
          <w:sz w:val="34"/>
          <w:szCs w:val="34"/>
          <w:rtl/>
        </w:rPr>
        <w:t>مختلف</w:t>
      </w:r>
      <w:r>
        <w:rPr>
          <w:rFonts w:hint="cs"/>
          <w:sz w:val="34"/>
          <w:szCs w:val="34"/>
          <w:rtl/>
        </w:rPr>
        <w:t xml:space="preserve">تين </w:t>
      </w:r>
      <w:r w:rsidRPr="00A43C4B">
        <w:rPr>
          <w:sz w:val="34"/>
          <w:szCs w:val="34"/>
          <w:rtl/>
        </w:rPr>
        <w:t xml:space="preserve">من </w:t>
      </w:r>
      <w:r>
        <w:rPr>
          <w:rFonts w:hint="cs"/>
          <w:sz w:val="34"/>
          <w:szCs w:val="34"/>
          <w:rtl/>
        </w:rPr>
        <w:t>المخرجات.</w:t>
      </w:r>
    </w:p>
    <w:p w:rsidR="00861CFF" w:rsidRPr="00B25063" w:rsidRDefault="00861CFF" w:rsidP="00861CFF">
      <w:pPr>
        <w:pStyle w:val="NumberedParaAR"/>
        <w:numPr>
          <w:ilvl w:val="0"/>
          <w:numId w:val="48"/>
        </w:numPr>
        <w:spacing w:after="200" w:line="276" w:lineRule="auto"/>
        <w:rPr>
          <w:sz w:val="34"/>
          <w:szCs w:val="34"/>
          <w:rtl/>
        </w:rPr>
      </w:pPr>
      <w:r w:rsidRPr="00B25063">
        <w:rPr>
          <w:sz w:val="34"/>
          <w:szCs w:val="34"/>
          <w:rtl/>
        </w:rPr>
        <w:t>وكجزء من جهود</w:t>
      </w:r>
      <w:r w:rsidRPr="00B25063">
        <w:rPr>
          <w:sz w:val="34"/>
          <w:szCs w:val="34"/>
        </w:rPr>
        <w:t xml:space="preserve"> </w:t>
      </w:r>
      <w:r w:rsidRPr="00B25063">
        <w:rPr>
          <w:sz w:val="34"/>
          <w:szCs w:val="34"/>
          <w:rtl/>
        </w:rPr>
        <w:t>المكتب الدولي</w:t>
      </w:r>
      <w:r w:rsidRPr="00B25063">
        <w:rPr>
          <w:rFonts w:hint="cs"/>
          <w:sz w:val="34"/>
          <w:szCs w:val="34"/>
          <w:rtl/>
        </w:rPr>
        <w:t xml:space="preserve"> لمواصلة </w:t>
      </w:r>
      <w:r w:rsidRPr="00B25063">
        <w:rPr>
          <w:sz w:val="34"/>
          <w:szCs w:val="34"/>
          <w:rtl/>
        </w:rPr>
        <w:t>صقل منهجية حساب تكاليف الوحدة، تم تنقيح المنهجية في</w:t>
      </w:r>
      <w:r w:rsidRPr="00B25063">
        <w:rPr>
          <w:rFonts w:hint="cs"/>
          <w:sz w:val="34"/>
          <w:szCs w:val="34"/>
          <w:rtl/>
        </w:rPr>
        <w:t xml:space="preserve"> وثيقة</w:t>
      </w:r>
      <w:r w:rsidRPr="00B25063">
        <w:rPr>
          <w:sz w:val="34"/>
          <w:szCs w:val="34"/>
          <w:rtl/>
        </w:rPr>
        <w:t xml:space="preserve"> البرنامج والميزانية</w:t>
      </w:r>
      <w:r w:rsidRPr="00B25063">
        <w:rPr>
          <w:rFonts w:hint="cs"/>
          <w:sz w:val="34"/>
          <w:szCs w:val="34"/>
          <w:rtl/>
        </w:rPr>
        <w:t xml:space="preserve"> للثنائية</w:t>
      </w:r>
      <w:r w:rsidRPr="00B25063">
        <w:rPr>
          <w:sz w:val="34"/>
          <w:szCs w:val="34"/>
          <w:rtl/>
        </w:rPr>
        <w:t xml:space="preserve"> 2016/17 ل</w:t>
      </w:r>
      <w:r w:rsidRPr="00B25063">
        <w:rPr>
          <w:rFonts w:hint="cs"/>
          <w:sz w:val="34"/>
          <w:szCs w:val="34"/>
          <w:rtl/>
        </w:rPr>
        <w:t>ت</w:t>
      </w:r>
      <w:r w:rsidRPr="00B25063">
        <w:rPr>
          <w:sz w:val="34"/>
          <w:szCs w:val="34"/>
          <w:rtl/>
        </w:rPr>
        <w:t>عكس بشكل أدق تكلفة معالجة أعباء</w:t>
      </w:r>
      <w:r w:rsidRPr="00B25063">
        <w:rPr>
          <w:rFonts w:hint="cs"/>
          <w:sz w:val="34"/>
          <w:szCs w:val="34"/>
          <w:rtl/>
        </w:rPr>
        <w:t xml:space="preserve"> </w:t>
      </w:r>
      <w:r w:rsidRPr="00B25063">
        <w:rPr>
          <w:sz w:val="34"/>
          <w:szCs w:val="34"/>
          <w:rtl/>
        </w:rPr>
        <w:t>عمل مدريد في</w:t>
      </w:r>
      <w:r w:rsidRPr="00B25063">
        <w:rPr>
          <w:sz w:val="34"/>
          <w:szCs w:val="34"/>
        </w:rPr>
        <w:t xml:space="preserve"> </w:t>
      </w:r>
      <w:r w:rsidRPr="00B25063">
        <w:rPr>
          <w:sz w:val="34"/>
          <w:szCs w:val="34"/>
          <w:rtl/>
        </w:rPr>
        <w:t>المكتب الدولي</w:t>
      </w:r>
      <w:r w:rsidRPr="00B25063">
        <w:rPr>
          <w:sz w:val="34"/>
          <w:szCs w:val="34"/>
        </w:rPr>
        <w:t>:</w:t>
      </w:r>
    </w:p>
    <w:p w:rsidR="00861CFF" w:rsidRPr="008265D4" w:rsidRDefault="00861CFF" w:rsidP="00861CFF">
      <w:pPr>
        <w:pStyle w:val="NumberedParaAR"/>
        <w:numPr>
          <w:ilvl w:val="0"/>
          <w:numId w:val="50"/>
        </w:numPr>
        <w:spacing w:after="120" w:line="340" w:lineRule="exact"/>
        <w:rPr>
          <w:sz w:val="34"/>
          <w:szCs w:val="34"/>
          <w:rtl/>
        </w:rPr>
      </w:pPr>
      <w:r w:rsidRPr="00B25063">
        <w:rPr>
          <w:rFonts w:hint="cs"/>
          <w:rtl/>
        </w:rPr>
        <w:t>تمت</w:t>
      </w:r>
      <w:r w:rsidRPr="008265D4">
        <w:rPr>
          <w:rFonts w:hint="cs"/>
          <w:sz w:val="34"/>
          <w:szCs w:val="34"/>
          <w:rtl/>
        </w:rPr>
        <w:t xml:space="preserve"> مواءمة</w:t>
      </w:r>
      <w:r w:rsidRPr="008265D4">
        <w:rPr>
          <w:sz w:val="34"/>
          <w:szCs w:val="34"/>
          <w:rtl/>
        </w:rPr>
        <w:t xml:space="preserve"> منهجية حساب تكاليف</w:t>
      </w:r>
      <w:r w:rsidRPr="008265D4">
        <w:rPr>
          <w:rFonts w:hint="cs"/>
          <w:sz w:val="34"/>
          <w:szCs w:val="34"/>
          <w:rtl/>
        </w:rPr>
        <w:t xml:space="preserve"> نظام</w:t>
      </w:r>
      <w:r w:rsidRPr="008265D4">
        <w:rPr>
          <w:sz w:val="34"/>
          <w:szCs w:val="34"/>
          <w:rtl/>
        </w:rPr>
        <w:t xml:space="preserve"> مدريد المباشرة وغير المباشرة مع منهجيات حساب </w:t>
      </w:r>
      <w:r w:rsidRPr="008265D4">
        <w:rPr>
          <w:rFonts w:hint="cs"/>
          <w:sz w:val="34"/>
          <w:szCs w:val="34"/>
          <w:rtl/>
        </w:rPr>
        <w:t xml:space="preserve">تكاليف الوحدة في نظامي </w:t>
      </w:r>
      <w:r w:rsidRPr="008265D4">
        <w:rPr>
          <w:sz w:val="34"/>
          <w:szCs w:val="34"/>
          <w:rtl/>
        </w:rPr>
        <w:t>معاهدة البراءات ولاهاي</w:t>
      </w:r>
      <w:r w:rsidRPr="008265D4">
        <w:rPr>
          <w:sz w:val="34"/>
          <w:szCs w:val="34"/>
        </w:rPr>
        <w:t>.</w:t>
      </w:r>
    </w:p>
    <w:p w:rsidR="00861CFF" w:rsidRPr="008265D4" w:rsidRDefault="00861CFF" w:rsidP="00861CFF">
      <w:pPr>
        <w:pStyle w:val="NumberedParaAR"/>
        <w:numPr>
          <w:ilvl w:val="0"/>
          <w:numId w:val="50"/>
        </w:numPr>
        <w:spacing w:after="120" w:line="340" w:lineRule="exact"/>
        <w:rPr>
          <w:sz w:val="34"/>
          <w:szCs w:val="34"/>
          <w:rtl/>
        </w:rPr>
      </w:pPr>
      <w:r w:rsidRPr="00B4155E">
        <w:rPr>
          <w:rtl/>
        </w:rPr>
        <w:t>و</w:t>
      </w:r>
      <w:r w:rsidRPr="00B4155E">
        <w:rPr>
          <w:rFonts w:hint="cs"/>
          <w:rtl/>
        </w:rPr>
        <w:t>أُ</w:t>
      </w:r>
      <w:r w:rsidRPr="00B4155E">
        <w:rPr>
          <w:rtl/>
        </w:rPr>
        <w:t>دخل</w:t>
      </w:r>
      <w:r w:rsidRPr="008265D4">
        <w:rPr>
          <w:sz w:val="34"/>
          <w:szCs w:val="34"/>
          <w:rtl/>
        </w:rPr>
        <w:t xml:space="preserve"> نظام مرج</w:t>
      </w:r>
      <w:r w:rsidRPr="008265D4">
        <w:rPr>
          <w:rFonts w:hint="cs"/>
          <w:sz w:val="34"/>
          <w:szCs w:val="34"/>
          <w:rtl/>
        </w:rPr>
        <w:t>َّ</w:t>
      </w:r>
      <w:r w:rsidRPr="008265D4">
        <w:rPr>
          <w:sz w:val="34"/>
          <w:szCs w:val="34"/>
          <w:rtl/>
        </w:rPr>
        <w:t xml:space="preserve">ح </w:t>
      </w:r>
      <w:r w:rsidRPr="008265D4">
        <w:rPr>
          <w:rFonts w:hint="cs"/>
          <w:sz w:val="34"/>
          <w:szCs w:val="34"/>
          <w:rtl/>
        </w:rPr>
        <w:t>لتقدير أفضل ل</w:t>
      </w:r>
      <w:r w:rsidRPr="008265D4">
        <w:rPr>
          <w:sz w:val="34"/>
          <w:szCs w:val="34"/>
          <w:rtl/>
        </w:rPr>
        <w:t>لعمل الفعلي المطلوب لمعالجة فئات الوثائق</w:t>
      </w:r>
      <w:r w:rsidRPr="008265D4">
        <w:rPr>
          <w:rFonts w:hint="cs"/>
          <w:sz w:val="34"/>
          <w:szCs w:val="34"/>
          <w:rtl/>
        </w:rPr>
        <w:t xml:space="preserve"> الست</w:t>
      </w:r>
      <w:r w:rsidRPr="008265D4">
        <w:rPr>
          <w:sz w:val="34"/>
          <w:szCs w:val="34"/>
          <w:rtl/>
        </w:rPr>
        <w:t xml:space="preserve">، مع </w:t>
      </w:r>
      <w:r w:rsidRPr="008265D4">
        <w:rPr>
          <w:rFonts w:hint="cs"/>
          <w:sz w:val="34"/>
          <w:szCs w:val="34"/>
          <w:rtl/>
        </w:rPr>
        <w:t>مراعاة</w:t>
      </w:r>
      <w:r w:rsidRPr="008265D4">
        <w:rPr>
          <w:sz w:val="34"/>
          <w:szCs w:val="34"/>
          <w:rtl/>
        </w:rPr>
        <w:t xml:space="preserve"> أن </w:t>
      </w:r>
      <w:r w:rsidRPr="008265D4">
        <w:rPr>
          <w:rFonts w:hint="cs"/>
          <w:sz w:val="34"/>
          <w:szCs w:val="34"/>
          <w:rtl/>
        </w:rPr>
        <w:t>ال</w:t>
      </w:r>
      <w:r w:rsidRPr="008265D4">
        <w:rPr>
          <w:sz w:val="34"/>
          <w:szCs w:val="34"/>
          <w:rtl/>
        </w:rPr>
        <w:t xml:space="preserve">بعض </w:t>
      </w:r>
      <w:r w:rsidRPr="008265D4">
        <w:rPr>
          <w:rFonts w:hint="cs"/>
          <w:sz w:val="34"/>
          <w:szCs w:val="34"/>
          <w:rtl/>
        </w:rPr>
        <w:t>من تلك</w:t>
      </w:r>
      <w:r w:rsidRPr="008265D4">
        <w:rPr>
          <w:sz w:val="34"/>
          <w:szCs w:val="34"/>
          <w:rtl/>
        </w:rPr>
        <w:t xml:space="preserve"> الوثائق </w:t>
      </w:r>
      <w:r w:rsidRPr="008265D4">
        <w:rPr>
          <w:rFonts w:hint="cs"/>
          <w:sz w:val="34"/>
          <w:szCs w:val="34"/>
          <w:rtl/>
        </w:rPr>
        <w:t xml:space="preserve">يتطلب عملا </w:t>
      </w:r>
      <w:r w:rsidRPr="008265D4">
        <w:rPr>
          <w:sz w:val="34"/>
          <w:szCs w:val="34"/>
          <w:rtl/>
        </w:rPr>
        <w:t>أكثر من غيرها</w:t>
      </w:r>
      <w:r w:rsidRPr="008265D4">
        <w:rPr>
          <w:rFonts w:hint="cs"/>
          <w:sz w:val="34"/>
          <w:szCs w:val="34"/>
          <w:rtl/>
        </w:rPr>
        <w:t>.</w:t>
      </w:r>
      <w:r w:rsidRPr="00944CDC">
        <w:rPr>
          <w:rStyle w:val="FootnoteReference"/>
          <w:rFonts w:cs="Arabic Typesetting"/>
          <w:sz w:val="34"/>
          <w:rtl/>
        </w:rPr>
        <w:footnoteReference w:id="27"/>
      </w:r>
    </w:p>
    <w:p w:rsidR="00861CFF" w:rsidRPr="008265D4" w:rsidRDefault="00861CFF" w:rsidP="00861CFF">
      <w:pPr>
        <w:pStyle w:val="NumberedParaAR"/>
        <w:numPr>
          <w:ilvl w:val="0"/>
          <w:numId w:val="50"/>
        </w:numPr>
        <w:spacing w:after="120" w:line="340" w:lineRule="exact"/>
        <w:rPr>
          <w:sz w:val="34"/>
          <w:szCs w:val="34"/>
          <w:rtl/>
        </w:rPr>
      </w:pPr>
      <w:r w:rsidRPr="00B25063">
        <w:rPr>
          <w:rFonts w:hint="cs"/>
          <w:rtl/>
        </w:rPr>
        <w:lastRenderedPageBreak/>
        <w:t>وأ</w:t>
      </w:r>
      <w:r w:rsidRPr="00B25063">
        <w:rPr>
          <w:rtl/>
        </w:rPr>
        <w:t>ع</w:t>
      </w:r>
      <w:r w:rsidRPr="00B25063">
        <w:rPr>
          <w:rFonts w:hint="cs"/>
          <w:rtl/>
        </w:rPr>
        <w:t>ي</w:t>
      </w:r>
      <w:r w:rsidRPr="00B25063">
        <w:rPr>
          <w:rtl/>
        </w:rPr>
        <w:t>د</w:t>
      </w:r>
      <w:r w:rsidRPr="008265D4">
        <w:rPr>
          <w:rFonts w:hint="cs"/>
          <w:sz w:val="34"/>
          <w:szCs w:val="34"/>
          <w:rtl/>
        </w:rPr>
        <w:t xml:space="preserve"> تحديد</w:t>
      </w:r>
      <w:r w:rsidRPr="008265D4">
        <w:rPr>
          <w:sz w:val="34"/>
          <w:szCs w:val="34"/>
          <w:rtl/>
        </w:rPr>
        <w:t xml:space="preserve"> تكلفة الوحدة الأولى لتشمل </w:t>
      </w:r>
      <w:r w:rsidRPr="008265D4">
        <w:rPr>
          <w:rFonts w:hint="cs"/>
          <w:sz w:val="34"/>
          <w:szCs w:val="34"/>
          <w:rtl/>
        </w:rPr>
        <w:t xml:space="preserve">فقط </w:t>
      </w:r>
      <w:r w:rsidRPr="008265D4">
        <w:rPr>
          <w:sz w:val="34"/>
          <w:szCs w:val="34"/>
          <w:rtl/>
        </w:rPr>
        <w:t>التسجيلات و</w:t>
      </w:r>
      <w:r w:rsidRPr="008265D4">
        <w:rPr>
          <w:rFonts w:hint="cs"/>
          <w:sz w:val="34"/>
          <w:szCs w:val="34"/>
          <w:rtl/>
        </w:rPr>
        <w:t>ال</w:t>
      </w:r>
      <w:r w:rsidRPr="008265D4">
        <w:rPr>
          <w:sz w:val="34"/>
          <w:szCs w:val="34"/>
          <w:rtl/>
        </w:rPr>
        <w:t>تجديد</w:t>
      </w:r>
      <w:r w:rsidRPr="008265D4">
        <w:rPr>
          <w:rFonts w:hint="cs"/>
          <w:sz w:val="34"/>
          <w:szCs w:val="34"/>
          <w:rtl/>
        </w:rPr>
        <w:t>ات</w:t>
      </w:r>
      <w:r w:rsidRPr="008265D4">
        <w:rPr>
          <w:sz w:val="34"/>
          <w:szCs w:val="34"/>
          <w:rtl/>
        </w:rPr>
        <w:t xml:space="preserve"> </w:t>
      </w:r>
      <w:r w:rsidRPr="008265D4">
        <w:rPr>
          <w:rFonts w:hint="cs"/>
          <w:sz w:val="34"/>
          <w:szCs w:val="34"/>
          <w:rtl/>
        </w:rPr>
        <w:t>ال</w:t>
      </w:r>
      <w:r w:rsidRPr="008265D4">
        <w:rPr>
          <w:sz w:val="34"/>
          <w:szCs w:val="34"/>
          <w:rtl/>
        </w:rPr>
        <w:t xml:space="preserve">دولية </w:t>
      </w:r>
      <w:r w:rsidRPr="008265D4">
        <w:rPr>
          <w:rFonts w:hint="cs"/>
          <w:sz w:val="34"/>
          <w:szCs w:val="34"/>
          <w:rtl/>
        </w:rPr>
        <w:t>ال</w:t>
      </w:r>
      <w:r w:rsidRPr="008265D4">
        <w:rPr>
          <w:sz w:val="34"/>
          <w:szCs w:val="34"/>
          <w:rtl/>
        </w:rPr>
        <w:t xml:space="preserve">جديدة (شملت تكلفة الوحدة في </w:t>
      </w:r>
      <w:r w:rsidRPr="008265D4">
        <w:rPr>
          <w:rFonts w:hint="cs"/>
          <w:sz w:val="34"/>
          <w:szCs w:val="34"/>
          <w:rtl/>
        </w:rPr>
        <w:t xml:space="preserve">وثيقة </w:t>
      </w:r>
      <w:r w:rsidRPr="008265D4">
        <w:rPr>
          <w:sz w:val="34"/>
          <w:szCs w:val="34"/>
          <w:rtl/>
        </w:rPr>
        <w:t>البرنامج والميزانية</w:t>
      </w:r>
      <w:r w:rsidRPr="008265D4">
        <w:rPr>
          <w:rFonts w:hint="cs"/>
          <w:sz w:val="34"/>
          <w:szCs w:val="34"/>
          <w:rtl/>
        </w:rPr>
        <w:t xml:space="preserve"> للثنائية</w:t>
      </w:r>
      <w:r w:rsidRPr="008265D4">
        <w:rPr>
          <w:sz w:val="34"/>
          <w:szCs w:val="34"/>
          <w:rtl/>
        </w:rPr>
        <w:t xml:space="preserve"> 2014/15 </w:t>
      </w:r>
      <w:r w:rsidRPr="008265D4">
        <w:rPr>
          <w:rFonts w:hint="cs"/>
          <w:sz w:val="34"/>
          <w:szCs w:val="34"/>
          <w:rtl/>
        </w:rPr>
        <w:t>التعيينات</w:t>
      </w:r>
      <w:r w:rsidRPr="008265D4">
        <w:rPr>
          <w:sz w:val="34"/>
          <w:szCs w:val="34"/>
          <w:rtl/>
        </w:rPr>
        <w:t xml:space="preserve"> اللاحقة أيضا). </w:t>
      </w:r>
      <w:r w:rsidRPr="008265D4">
        <w:rPr>
          <w:rFonts w:hint="cs"/>
          <w:sz w:val="34"/>
          <w:szCs w:val="34"/>
          <w:rtl/>
        </w:rPr>
        <w:t xml:space="preserve">والأساس </w:t>
      </w:r>
      <w:r w:rsidRPr="008265D4">
        <w:rPr>
          <w:sz w:val="34"/>
          <w:szCs w:val="34"/>
          <w:rtl/>
        </w:rPr>
        <w:t>المنطق</w:t>
      </w:r>
      <w:r w:rsidRPr="008265D4">
        <w:rPr>
          <w:rFonts w:hint="cs"/>
          <w:sz w:val="34"/>
          <w:szCs w:val="34"/>
          <w:rtl/>
        </w:rPr>
        <w:t>ي</w:t>
      </w:r>
      <w:r w:rsidRPr="008265D4">
        <w:rPr>
          <w:sz w:val="34"/>
          <w:szCs w:val="34"/>
          <w:rtl/>
        </w:rPr>
        <w:t xml:space="preserve"> ل</w:t>
      </w:r>
      <w:r w:rsidRPr="008265D4">
        <w:rPr>
          <w:rFonts w:hint="cs"/>
          <w:sz w:val="34"/>
          <w:szCs w:val="34"/>
          <w:rtl/>
        </w:rPr>
        <w:t>حذف</w:t>
      </w:r>
      <w:r w:rsidRPr="008265D4">
        <w:rPr>
          <w:sz w:val="34"/>
          <w:szCs w:val="34"/>
          <w:rtl/>
        </w:rPr>
        <w:t xml:space="preserve"> </w:t>
      </w:r>
      <w:r w:rsidRPr="008265D4">
        <w:rPr>
          <w:rFonts w:hint="cs"/>
          <w:sz w:val="34"/>
          <w:szCs w:val="34"/>
          <w:rtl/>
        </w:rPr>
        <w:t>التعيينات</w:t>
      </w:r>
      <w:r w:rsidRPr="008265D4">
        <w:rPr>
          <w:sz w:val="34"/>
          <w:szCs w:val="34"/>
          <w:rtl/>
        </w:rPr>
        <w:t xml:space="preserve"> اللاحقة كعنصر من عناصر تكلفة الوحدة هو </w:t>
      </w:r>
      <w:r w:rsidRPr="008265D4">
        <w:rPr>
          <w:rFonts w:hint="cs"/>
          <w:sz w:val="34"/>
          <w:szCs w:val="34"/>
          <w:rtl/>
        </w:rPr>
        <w:t xml:space="preserve">من أجل </w:t>
      </w:r>
      <w:r w:rsidRPr="008265D4">
        <w:rPr>
          <w:sz w:val="34"/>
          <w:szCs w:val="34"/>
          <w:rtl/>
        </w:rPr>
        <w:t xml:space="preserve">تركيز </w:t>
      </w:r>
      <w:r w:rsidRPr="008265D4">
        <w:rPr>
          <w:rFonts w:hint="cs"/>
          <w:sz w:val="34"/>
          <w:szCs w:val="34"/>
          <w:rtl/>
        </w:rPr>
        <w:t xml:space="preserve">أكبر </w:t>
      </w:r>
      <w:r w:rsidRPr="008265D4">
        <w:rPr>
          <w:sz w:val="34"/>
          <w:szCs w:val="34"/>
          <w:rtl/>
        </w:rPr>
        <w:t xml:space="preserve">على </w:t>
      </w:r>
      <w:r w:rsidRPr="008265D4">
        <w:rPr>
          <w:rFonts w:hint="cs"/>
          <w:sz w:val="34"/>
          <w:szCs w:val="34"/>
          <w:rtl/>
        </w:rPr>
        <w:t xml:space="preserve">مخرجات </w:t>
      </w:r>
      <w:r w:rsidRPr="008265D4">
        <w:rPr>
          <w:sz w:val="34"/>
          <w:szCs w:val="34"/>
          <w:rtl/>
        </w:rPr>
        <w:t>مدريد</w:t>
      </w:r>
      <w:r w:rsidRPr="008265D4">
        <w:rPr>
          <w:rFonts w:hint="cs"/>
          <w:sz w:val="34"/>
          <w:szCs w:val="34"/>
          <w:rtl/>
        </w:rPr>
        <w:t xml:space="preserve"> الرئيسية</w:t>
      </w:r>
      <w:r w:rsidRPr="008265D4">
        <w:rPr>
          <w:sz w:val="34"/>
          <w:szCs w:val="34"/>
          <w:rtl/>
        </w:rPr>
        <w:t xml:space="preserve">، وهي التسجيل الدولي وتجديده. </w:t>
      </w:r>
      <w:r w:rsidRPr="008265D4">
        <w:rPr>
          <w:rFonts w:hint="cs"/>
          <w:sz w:val="34"/>
          <w:szCs w:val="34"/>
          <w:rtl/>
        </w:rPr>
        <w:t>و</w:t>
      </w:r>
      <w:r w:rsidRPr="008265D4">
        <w:rPr>
          <w:sz w:val="34"/>
          <w:szCs w:val="34"/>
          <w:rtl/>
        </w:rPr>
        <w:t xml:space="preserve">يمكن </w:t>
      </w:r>
      <w:r w:rsidRPr="008265D4">
        <w:rPr>
          <w:rFonts w:hint="cs"/>
          <w:sz w:val="34"/>
          <w:szCs w:val="34"/>
          <w:rtl/>
        </w:rPr>
        <w:t xml:space="preserve">اعتبرا </w:t>
      </w:r>
      <w:r w:rsidRPr="008265D4">
        <w:rPr>
          <w:sz w:val="34"/>
          <w:szCs w:val="34"/>
          <w:rtl/>
        </w:rPr>
        <w:t xml:space="preserve">جميع </w:t>
      </w:r>
      <w:r w:rsidRPr="008265D4">
        <w:rPr>
          <w:rFonts w:hint="cs"/>
          <w:sz w:val="34"/>
          <w:szCs w:val="34"/>
          <w:rtl/>
        </w:rPr>
        <w:t>م</w:t>
      </w:r>
      <w:r w:rsidRPr="008265D4">
        <w:rPr>
          <w:sz w:val="34"/>
          <w:szCs w:val="34"/>
          <w:rtl/>
        </w:rPr>
        <w:t>عاملات مدريد الأخرى (</w:t>
      </w:r>
      <w:r w:rsidRPr="008265D4">
        <w:rPr>
          <w:rFonts w:hint="cs"/>
          <w:sz w:val="34"/>
          <w:szCs w:val="34"/>
          <w:rtl/>
        </w:rPr>
        <w:t>التعيينات</w:t>
      </w:r>
      <w:r w:rsidRPr="008265D4">
        <w:rPr>
          <w:sz w:val="34"/>
          <w:szCs w:val="34"/>
          <w:rtl/>
        </w:rPr>
        <w:t xml:space="preserve"> اللاحقة والتعديلات والقرارات </w:t>
      </w:r>
      <w:r w:rsidRPr="008265D4">
        <w:rPr>
          <w:rFonts w:hint="cs"/>
          <w:sz w:val="34"/>
          <w:szCs w:val="34"/>
          <w:rtl/>
        </w:rPr>
        <w:t>والتصحيحات</w:t>
      </w:r>
      <w:r w:rsidRPr="008265D4">
        <w:rPr>
          <w:sz w:val="34"/>
          <w:szCs w:val="34"/>
          <w:rtl/>
        </w:rPr>
        <w:t>) ثانوية</w:t>
      </w:r>
      <w:r w:rsidRPr="008265D4">
        <w:rPr>
          <w:rFonts w:hint="cs"/>
          <w:sz w:val="34"/>
          <w:szCs w:val="34"/>
          <w:rtl/>
        </w:rPr>
        <w:t xml:space="preserve"> مقارنة بتلك</w:t>
      </w:r>
      <w:r w:rsidRPr="008265D4">
        <w:rPr>
          <w:sz w:val="34"/>
          <w:szCs w:val="34"/>
          <w:rtl/>
        </w:rPr>
        <w:t xml:space="preserve"> المعامل</w:t>
      </w:r>
      <w:r w:rsidRPr="008265D4">
        <w:rPr>
          <w:rFonts w:hint="cs"/>
          <w:sz w:val="34"/>
          <w:szCs w:val="34"/>
          <w:rtl/>
        </w:rPr>
        <w:t>تين</w:t>
      </w:r>
      <w:r w:rsidRPr="008265D4">
        <w:rPr>
          <w:sz w:val="34"/>
          <w:szCs w:val="34"/>
          <w:rtl/>
        </w:rPr>
        <w:t xml:space="preserve"> الأساسيتين. وعلاوة على ذلك، لا يوجد أي مبرر حقيقي </w:t>
      </w:r>
      <w:r w:rsidRPr="008265D4">
        <w:rPr>
          <w:rFonts w:hint="cs"/>
          <w:sz w:val="34"/>
          <w:szCs w:val="34"/>
          <w:rtl/>
        </w:rPr>
        <w:t xml:space="preserve">لإدراج معاملة من تلك </w:t>
      </w:r>
      <w:r w:rsidRPr="008265D4">
        <w:rPr>
          <w:sz w:val="34"/>
          <w:szCs w:val="34"/>
          <w:rtl/>
        </w:rPr>
        <w:t xml:space="preserve">المعاملات الثانوية كعنصر من عناصر تكاليف </w:t>
      </w:r>
      <w:r w:rsidRPr="008265D4">
        <w:rPr>
          <w:rFonts w:hint="cs"/>
          <w:sz w:val="34"/>
          <w:szCs w:val="34"/>
          <w:rtl/>
        </w:rPr>
        <w:t>ال</w:t>
      </w:r>
      <w:r w:rsidRPr="008265D4">
        <w:rPr>
          <w:sz w:val="34"/>
          <w:szCs w:val="34"/>
          <w:rtl/>
        </w:rPr>
        <w:t>وحدة</w:t>
      </w:r>
      <w:r w:rsidRPr="008265D4">
        <w:rPr>
          <w:rFonts w:hint="cs"/>
          <w:sz w:val="34"/>
          <w:szCs w:val="34"/>
          <w:rtl/>
        </w:rPr>
        <w:t xml:space="preserve"> وعدم إدراج المعاملات الأخرى</w:t>
      </w:r>
      <w:r w:rsidRPr="008265D4">
        <w:rPr>
          <w:sz w:val="34"/>
          <w:szCs w:val="34"/>
        </w:rPr>
        <w:t>.</w:t>
      </w:r>
    </w:p>
    <w:p w:rsidR="00861CFF" w:rsidRPr="008265D4" w:rsidRDefault="00861CFF" w:rsidP="00861CFF">
      <w:pPr>
        <w:pStyle w:val="NumberedParaAR"/>
        <w:numPr>
          <w:ilvl w:val="0"/>
          <w:numId w:val="50"/>
        </w:numPr>
        <w:spacing w:after="120" w:line="340" w:lineRule="exact"/>
        <w:rPr>
          <w:sz w:val="34"/>
          <w:szCs w:val="34"/>
          <w:rtl/>
        </w:rPr>
      </w:pPr>
      <w:r w:rsidRPr="008265D4">
        <w:rPr>
          <w:rFonts w:hint="cs"/>
          <w:sz w:val="34"/>
          <w:szCs w:val="34"/>
          <w:rtl/>
        </w:rPr>
        <w:t>وت</w:t>
      </w:r>
      <w:r w:rsidRPr="008265D4">
        <w:rPr>
          <w:sz w:val="34"/>
          <w:szCs w:val="34"/>
          <w:rtl/>
        </w:rPr>
        <w:t xml:space="preserve">ستند تكلفة الوحدة الثانية على عدد الوثائق </w:t>
      </w:r>
      <w:r w:rsidRPr="008265D4">
        <w:rPr>
          <w:rFonts w:hint="cs"/>
          <w:sz w:val="34"/>
          <w:szCs w:val="34"/>
          <w:rtl/>
        </w:rPr>
        <w:t>المدونة</w:t>
      </w:r>
      <w:r w:rsidRPr="008265D4">
        <w:rPr>
          <w:sz w:val="34"/>
          <w:szCs w:val="34"/>
          <w:rtl/>
        </w:rPr>
        <w:t xml:space="preserve"> في السجل بدلا من عدد من </w:t>
      </w:r>
      <w:r w:rsidRPr="008265D4">
        <w:rPr>
          <w:rFonts w:hint="cs"/>
          <w:sz w:val="34"/>
          <w:szCs w:val="34"/>
          <w:rtl/>
        </w:rPr>
        <w:t>التدوينات</w:t>
      </w:r>
      <w:r w:rsidRPr="008265D4">
        <w:rPr>
          <w:sz w:val="34"/>
          <w:szCs w:val="34"/>
          <w:rtl/>
        </w:rPr>
        <w:t xml:space="preserve"> </w:t>
      </w:r>
      <w:r w:rsidRPr="008265D4">
        <w:rPr>
          <w:rFonts w:hint="cs"/>
          <w:sz w:val="34"/>
          <w:szCs w:val="34"/>
          <w:rtl/>
        </w:rPr>
        <w:t>بسبب اختلاف</w:t>
      </w:r>
      <w:r w:rsidRPr="008265D4">
        <w:rPr>
          <w:sz w:val="34"/>
          <w:szCs w:val="34"/>
          <w:rtl/>
        </w:rPr>
        <w:t xml:space="preserve"> </w:t>
      </w:r>
      <w:r w:rsidRPr="008265D4">
        <w:rPr>
          <w:rFonts w:hint="cs"/>
          <w:sz w:val="34"/>
          <w:szCs w:val="34"/>
          <w:rtl/>
        </w:rPr>
        <w:t>درجات</w:t>
      </w:r>
      <w:r w:rsidRPr="008265D4">
        <w:rPr>
          <w:sz w:val="34"/>
          <w:szCs w:val="34"/>
          <w:rtl/>
        </w:rPr>
        <w:t xml:space="preserve"> الجهود اللازمة لمعالجة </w:t>
      </w:r>
      <w:r w:rsidRPr="008265D4">
        <w:rPr>
          <w:rFonts w:hint="cs"/>
          <w:sz w:val="34"/>
          <w:szCs w:val="34"/>
          <w:rtl/>
        </w:rPr>
        <w:t>ال</w:t>
      </w:r>
      <w:r w:rsidRPr="008265D4">
        <w:rPr>
          <w:sz w:val="34"/>
          <w:szCs w:val="34"/>
          <w:rtl/>
        </w:rPr>
        <w:t xml:space="preserve">وثائق </w:t>
      </w:r>
      <w:r w:rsidRPr="008265D4">
        <w:rPr>
          <w:rFonts w:hint="cs"/>
          <w:sz w:val="34"/>
          <w:szCs w:val="34"/>
          <w:rtl/>
        </w:rPr>
        <w:t>ال</w:t>
      </w:r>
      <w:r w:rsidRPr="008265D4">
        <w:rPr>
          <w:sz w:val="34"/>
          <w:szCs w:val="34"/>
          <w:rtl/>
        </w:rPr>
        <w:t>مختلفة</w:t>
      </w:r>
      <w:r w:rsidRPr="008265D4">
        <w:rPr>
          <w:sz w:val="34"/>
          <w:szCs w:val="34"/>
        </w:rPr>
        <w:t>.</w:t>
      </w:r>
    </w:p>
    <w:p w:rsidR="00861CFF" w:rsidRPr="00A43C4B" w:rsidRDefault="00861CFF" w:rsidP="00861CFF">
      <w:pPr>
        <w:pStyle w:val="NumberedParaAR"/>
        <w:numPr>
          <w:ilvl w:val="0"/>
          <w:numId w:val="48"/>
        </w:numPr>
        <w:spacing w:after="200" w:line="276" w:lineRule="auto"/>
        <w:rPr>
          <w:sz w:val="34"/>
          <w:szCs w:val="34"/>
          <w:rtl/>
        </w:rPr>
      </w:pPr>
      <w:r>
        <w:rPr>
          <w:rFonts w:hint="cs"/>
          <w:sz w:val="34"/>
          <w:szCs w:val="34"/>
          <w:rtl/>
        </w:rPr>
        <w:t xml:space="preserve">وتسهيلا </w:t>
      </w:r>
      <w:r w:rsidRPr="00A43C4B">
        <w:rPr>
          <w:sz w:val="34"/>
          <w:szCs w:val="34"/>
          <w:rtl/>
        </w:rPr>
        <w:t>لمقارنة</w:t>
      </w:r>
      <w:r>
        <w:rPr>
          <w:rFonts w:hint="cs"/>
          <w:sz w:val="34"/>
          <w:szCs w:val="34"/>
          <w:rtl/>
        </w:rPr>
        <w:t xml:space="preserve"> البيانات</w:t>
      </w:r>
      <w:r w:rsidRPr="00A43C4B">
        <w:rPr>
          <w:sz w:val="34"/>
          <w:szCs w:val="34"/>
          <w:rtl/>
        </w:rPr>
        <w:t xml:space="preserve">، </w:t>
      </w:r>
      <w:r>
        <w:rPr>
          <w:rFonts w:hint="cs"/>
          <w:sz w:val="34"/>
          <w:szCs w:val="34"/>
          <w:rtl/>
        </w:rPr>
        <w:t>تعرض الأشكال</w:t>
      </w:r>
      <w:r w:rsidRPr="00A43C4B">
        <w:rPr>
          <w:sz w:val="34"/>
          <w:szCs w:val="34"/>
          <w:rtl/>
        </w:rPr>
        <w:t xml:space="preserve"> البيانية أدناه تطور تكاليف </w:t>
      </w:r>
      <w:r>
        <w:rPr>
          <w:sz w:val="34"/>
          <w:szCs w:val="34"/>
          <w:rtl/>
        </w:rPr>
        <w:t>وحد</w:t>
      </w:r>
      <w:r>
        <w:rPr>
          <w:rFonts w:hint="cs"/>
          <w:sz w:val="34"/>
          <w:szCs w:val="34"/>
          <w:rtl/>
        </w:rPr>
        <w:t xml:space="preserve">تين </w:t>
      </w:r>
      <w:r w:rsidRPr="00A43C4B">
        <w:rPr>
          <w:sz w:val="34"/>
          <w:szCs w:val="34"/>
          <w:rtl/>
        </w:rPr>
        <w:t>اثن</w:t>
      </w:r>
      <w:r>
        <w:rPr>
          <w:rFonts w:hint="cs"/>
          <w:sz w:val="34"/>
          <w:szCs w:val="34"/>
          <w:rtl/>
        </w:rPr>
        <w:t>ت</w:t>
      </w:r>
      <w:r w:rsidRPr="00A43C4B">
        <w:rPr>
          <w:sz w:val="34"/>
          <w:szCs w:val="34"/>
          <w:rtl/>
        </w:rPr>
        <w:t>ين</w:t>
      </w:r>
      <w:r>
        <w:rPr>
          <w:rFonts w:hint="cs"/>
          <w:sz w:val="34"/>
          <w:szCs w:val="34"/>
          <w:rtl/>
        </w:rPr>
        <w:t xml:space="preserve"> من </w:t>
      </w:r>
      <w:r w:rsidRPr="00A43C4B">
        <w:rPr>
          <w:sz w:val="34"/>
          <w:szCs w:val="34"/>
          <w:rtl/>
        </w:rPr>
        <w:t>2008</w:t>
      </w:r>
      <w:r>
        <w:rPr>
          <w:rFonts w:hint="cs"/>
          <w:sz w:val="34"/>
          <w:szCs w:val="34"/>
          <w:rtl/>
        </w:rPr>
        <w:t xml:space="preserve"> إلى </w:t>
      </w:r>
      <w:r w:rsidRPr="00A43C4B">
        <w:rPr>
          <w:sz w:val="34"/>
          <w:szCs w:val="34"/>
          <w:rtl/>
        </w:rPr>
        <w:t xml:space="preserve">2014 باستخدام المنهجية القديمة </w:t>
      </w:r>
      <w:r>
        <w:rPr>
          <w:rFonts w:hint="cs"/>
          <w:sz w:val="34"/>
          <w:szCs w:val="34"/>
          <w:rtl/>
        </w:rPr>
        <w:t>ومن</w:t>
      </w:r>
      <w:r>
        <w:rPr>
          <w:rFonts w:hint="eastAsia"/>
          <w:sz w:val="34"/>
          <w:szCs w:val="34"/>
          <w:rtl/>
        </w:rPr>
        <w:t> </w:t>
      </w:r>
      <w:r w:rsidRPr="00A43C4B">
        <w:rPr>
          <w:sz w:val="34"/>
          <w:szCs w:val="34"/>
          <w:rtl/>
        </w:rPr>
        <w:t>2012</w:t>
      </w:r>
      <w:r>
        <w:rPr>
          <w:rFonts w:hint="cs"/>
          <w:sz w:val="34"/>
          <w:szCs w:val="34"/>
          <w:rtl/>
        </w:rPr>
        <w:t xml:space="preserve"> إلى </w:t>
      </w:r>
      <w:r w:rsidRPr="00A43C4B">
        <w:rPr>
          <w:sz w:val="34"/>
          <w:szCs w:val="34"/>
          <w:rtl/>
        </w:rPr>
        <w:t xml:space="preserve">2014 باستخدام المنهجية الجديدة، بما في ذلك </w:t>
      </w:r>
      <w:r>
        <w:rPr>
          <w:rFonts w:hint="cs"/>
          <w:sz w:val="34"/>
          <w:szCs w:val="34"/>
          <w:rtl/>
        </w:rPr>
        <w:t xml:space="preserve">تفصيل </w:t>
      </w:r>
      <w:r w:rsidRPr="00A43C4B">
        <w:rPr>
          <w:sz w:val="34"/>
          <w:szCs w:val="34"/>
          <w:rtl/>
        </w:rPr>
        <w:t>لمساهمة التكاليف المباشرة وغير المباشرة</w:t>
      </w:r>
      <w:r w:rsidRPr="00A43C4B">
        <w:rPr>
          <w:sz w:val="34"/>
          <w:szCs w:val="34"/>
        </w:rPr>
        <w:t>.</w:t>
      </w:r>
    </w:p>
    <w:p w:rsidR="00861CFF" w:rsidRPr="00B4155E" w:rsidRDefault="00861CFF" w:rsidP="00DA5475">
      <w:pPr>
        <w:pStyle w:val="NumberedParaAR"/>
        <w:keepNext/>
        <w:numPr>
          <w:ilvl w:val="0"/>
          <w:numId w:val="0"/>
        </w:numPr>
        <w:spacing w:before="120" w:after="120" w:line="340" w:lineRule="exact"/>
        <w:ind w:left="423"/>
        <w:rPr>
          <w:i/>
          <w:iCs/>
          <w:sz w:val="34"/>
          <w:szCs w:val="34"/>
          <w:rtl/>
        </w:rPr>
      </w:pPr>
      <w:r w:rsidRPr="00B4155E">
        <w:rPr>
          <w:i/>
          <w:iCs/>
          <w:sz w:val="34"/>
          <w:szCs w:val="34"/>
          <w:rtl/>
        </w:rPr>
        <w:t>تكلفة الوحدة لكل</w:t>
      </w:r>
      <w:r w:rsidRPr="00B4155E">
        <w:rPr>
          <w:rFonts w:hint="cs"/>
          <w:i/>
          <w:iCs/>
          <w:sz w:val="34"/>
          <w:szCs w:val="34"/>
          <w:rtl/>
        </w:rPr>
        <w:t xml:space="preserve"> </w:t>
      </w:r>
      <w:r w:rsidRPr="00B4155E">
        <w:rPr>
          <w:i/>
          <w:iCs/>
          <w:sz w:val="34"/>
          <w:szCs w:val="34"/>
          <w:rtl/>
        </w:rPr>
        <w:t>تسجيل دولي جديد/</w:t>
      </w:r>
      <w:r w:rsidRPr="00B4155E">
        <w:rPr>
          <w:rFonts w:hint="cs"/>
          <w:i/>
          <w:iCs/>
          <w:sz w:val="34"/>
          <w:szCs w:val="34"/>
          <w:rtl/>
        </w:rPr>
        <w:t>م</w:t>
      </w:r>
      <w:r w:rsidRPr="00B4155E">
        <w:rPr>
          <w:i/>
          <w:iCs/>
          <w:sz w:val="34"/>
          <w:szCs w:val="34"/>
          <w:rtl/>
        </w:rPr>
        <w:t>جد</w:t>
      </w:r>
      <w:r w:rsidRPr="00B4155E">
        <w:rPr>
          <w:rFonts w:hint="cs"/>
          <w:i/>
          <w:iCs/>
          <w:sz w:val="34"/>
          <w:szCs w:val="34"/>
          <w:rtl/>
        </w:rPr>
        <w:t>ّ</w:t>
      </w:r>
      <w:r>
        <w:rPr>
          <w:i/>
          <w:iCs/>
          <w:sz w:val="34"/>
          <w:szCs w:val="34"/>
          <w:rtl/>
        </w:rPr>
        <w:t>د</w:t>
      </w:r>
    </w:p>
    <w:p w:rsidR="00861CFF" w:rsidRPr="00A43C4B" w:rsidRDefault="00861CFF" w:rsidP="00861CFF">
      <w:pPr>
        <w:pStyle w:val="NumberedParaAR"/>
        <w:numPr>
          <w:ilvl w:val="0"/>
          <w:numId w:val="48"/>
        </w:numPr>
        <w:spacing w:after="200" w:line="276" w:lineRule="auto"/>
        <w:rPr>
          <w:sz w:val="34"/>
          <w:szCs w:val="34"/>
          <w:rtl/>
        </w:rPr>
      </w:pPr>
      <w:r w:rsidRPr="00A43C4B">
        <w:rPr>
          <w:sz w:val="34"/>
          <w:szCs w:val="34"/>
          <w:rtl/>
        </w:rPr>
        <w:t xml:space="preserve">التسجيلات </w:t>
      </w:r>
      <w:r>
        <w:rPr>
          <w:rFonts w:hint="cs"/>
          <w:sz w:val="34"/>
          <w:szCs w:val="34"/>
          <w:rtl/>
        </w:rPr>
        <w:t>ال</w:t>
      </w:r>
      <w:r w:rsidRPr="00A43C4B">
        <w:rPr>
          <w:sz w:val="34"/>
          <w:szCs w:val="34"/>
          <w:rtl/>
        </w:rPr>
        <w:t xml:space="preserve">دولية </w:t>
      </w:r>
      <w:r>
        <w:rPr>
          <w:rFonts w:hint="cs"/>
          <w:sz w:val="34"/>
          <w:szCs w:val="34"/>
          <w:rtl/>
        </w:rPr>
        <w:t>ال</w:t>
      </w:r>
      <w:r w:rsidRPr="00A43C4B">
        <w:rPr>
          <w:sz w:val="34"/>
          <w:szCs w:val="34"/>
          <w:rtl/>
        </w:rPr>
        <w:t xml:space="preserve">جديدة </w:t>
      </w:r>
      <w:r>
        <w:rPr>
          <w:rFonts w:hint="cs"/>
          <w:sz w:val="34"/>
          <w:szCs w:val="34"/>
          <w:rtl/>
        </w:rPr>
        <w:t>هي الطلبات المسجلة</w:t>
      </w:r>
      <w:r w:rsidRPr="00A43C4B">
        <w:rPr>
          <w:sz w:val="34"/>
          <w:szCs w:val="34"/>
          <w:rtl/>
        </w:rPr>
        <w:t xml:space="preserve"> خلال سنة معينة، </w:t>
      </w:r>
      <w:r>
        <w:rPr>
          <w:rFonts w:hint="cs"/>
          <w:sz w:val="34"/>
          <w:szCs w:val="34"/>
          <w:rtl/>
        </w:rPr>
        <w:t>و</w:t>
      </w:r>
      <w:r w:rsidRPr="00A43C4B">
        <w:rPr>
          <w:sz w:val="34"/>
          <w:szCs w:val="34"/>
          <w:rtl/>
        </w:rPr>
        <w:t xml:space="preserve">التسجيلات الدولية </w:t>
      </w:r>
      <w:r>
        <w:rPr>
          <w:rFonts w:hint="cs"/>
          <w:sz w:val="34"/>
          <w:szCs w:val="34"/>
          <w:rtl/>
        </w:rPr>
        <w:t xml:space="preserve">المجدّدة هي </w:t>
      </w:r>
      <w:r w:rsidRPr="00A43C4B">
        <w:rPr>
          <w:sz w:val="34"/>
          <w:szCs w:val="34"/>
          <w:rtl/>
        </w:rPr>
        <w:t xml:space="preserve">التسجيلات </w:t>
      </w:r>
      <w:r>
        <w:rPr>
          <w:rFonts w:hint="cs"/>
          <w:sz w:val="34"/>
          <w:szCs w:val="34"/>
          <w:rtl/>
        </w:rPr>
        <w:t>الموجودة أصلا و</w:t>
      </w:r>
      <w:r w:rsidRPr="00A43C4B">
        <w:rPr>
          <w:sz w:val="34"/>
          <w:szCs w:val="34"/>
          <w:rtl/>
        </w:rPr>
        <w:t xml:space="preserve">التي يتم تجديدها خلال سنة معينة. </w:t>
      </w:r>
      <w:r>
        <w:rPr>
          <w:rFonts w:hint="cs"/>
          <w:sz w:val="34"/>
          <w:szCs w:val="34"/>
          <w:rtl/>
        </w:rPr>
        <w:t>ويعكس</w:t>
      </w:r>
      <w:r w:rsidRPr="00A43C4B">
        <w:rPr>
          <w:sz w:val="34"/>
          <w:szCs w:val="34"/>
          <w:rtl/>
        </w:rPr>
        <w:t xml:space="preserve"> </w:t>
      </w:r>
      <w:r>
        <w:rPr>
          <w:rFonts w:hint="cs"/>
          <w:sz w:val="34"/>
          <w:szCs w:val="34"/>
          <w:rtl/>
        </w:rPr>
        <w:t xml:space="preserve">ذلك النوعان من </w:t>
      </w:r>
      <w:r w:rsidRPr="00A43C4B">
        <w:rPr>
          <w:sz w:val="34"/>
          <w:szCs w:val="34"/>
          <w:rtl/>
        </w:rPr>
        <w:t>المعاملات العمل الأساسي</w:t>
      </w:r>
      <w:r>
        <w:rPr>
          <w:sz w:val="34"/>
          <w:szCs w:val="34"/>
          <w:rtl/>
        </w:rPr>
        <w:t xml:space="preserve"> </w:t>
      </w:r>
      <w:r>
        <w:rPr>
          <w:rFonts w:hint="cs"/>
          <w:sz w:val="34"/>
          <w:szCs w:val="34"/>
          <w:rtl/>
        </w:rPr>
        <w:t>ل</w:t>
      </w:r>
      <w:r>
        <w:rPr>
          <w:sz w:val="34"/>
          <w:szCs w:val="34"/>
          <w:rtl/>
        </w:rPr>
        <w:t>لمكتب الدولي</w:t>
      </w:r>
      <w:r w:rsidRPr="00A43C4B">
        <w:rPr>
          <w:sz w:val="34"/>
          <w:szCs w:val="34"/>
        </w:rPr>
        <w:t>.</w:t>
      </w:r>
    </w:p>
    <w:p w:rsidR="00861CFF" w:rsidRDefault="00861CFF" w:rsidP="00861CFF">
      <w:pPr>
        <w:pStyle w:val="NumberedParaAR"/>
        <w:numPr>
          <w:ilvl w:val="0"/>
          <w:numId w:val="48"/>
        </w:numPr>
        <w:spacing w:after="120" w:line="340" w:lineRule="exact"/>
        <w:rPr>
          <w:sz w:val="34"/>
          <w:szCs w:val="34"/>
        </w:rPr>
      </w:pPr>
      <w:r w:rsidRPr="008265D4">
        <w:rPr>
          <w:rFonts w:hint="cs"/>
          <w:sz w:val="34"/>
          <w:szCs w:val="34"/>
          <w:rtl/>
        </w:rPr>
        <w:t xml:space="preserve">وبما أن معالجة </w:t>
      </w:r>
      <w:r>
        <w:rPr>
          <w:rFonts w:hint="cs"/>
          <w:sz w:val="34"/>
          <w:szCs w:val="34"/>
          <w:rtl/>
        </w:rPr>
        <w:t>ذلك</w:t>
      </w:r>
      <w:r w:rsidRPr="008265D4">
        <w:rPr>
          <w:rFonts w:hint="cs"/>
          <w:sz w:val="34"/>
          <w:szCs w:val="34"/>
          <w:rtl/>
        </w:rPr>
        <w:t xml:space="preserve"> النوعين من المعاملات ل</w:t>
      </w:r>
      <w:r w:rsidRPr="008265D4">
        <w:rPr>
          <w:sz w:val="34"/>
          <w:szCs w:val="34"/>
          <w:rtl/>
        </w:rPr>
        <w:t xml:space="preserve">ا </w:t>
      </w:r>
      <w:r w:rsidRPr="008265D4">
        <w:rPr>
          <w:rFonts w:hint="cs"/>
          <w:sz w:val="34"/>
          <w:szCs w:val="34"/>
          <w:rtl/>
        </w:rPr>
        <w:t>ي</w:t>
      </w:r>
      <w:r w:rsidRPr="008265D4">
        <w:rPr>
          <w:sz w:val="34"/>
          <w:szCs w:val="34"/>
          <w:rtl/>
        </w:rPr>
        <w:t xml:space="preserve">تطلب موارد متساوية، </w:t>
      </w:r>
      <w:r w:rsidRPr="008265D4">
        <w:rPr>
          <w:rFonts w:hint="cs"/>
          <w:sz w:val="34"/>
          <w:szCs w:val="34"/>
          <w:rtl/>
        </w:rPr>
        <w:t>فكل</w:t>
      </w:r>
      <w:r w:rsidRPr="008265D4">
        <w:rPr>
          <w:sz w:val="34"/>
          <w:szCs w:val="34"/>
          <w:rtl/>
        </w:rPr>
        <w:t xml:space="preserve"> </w:t>
      </w:r>
      <w:r w:rsidRPr="008265D4">
        <w:rPr>
          <w:rFonts w:hint="cs"/>
          <w:sz w:val="34"/>
          <w:szCs w:val="34"/>
          <w:rtl/>
        </w:rPr>
        <w:t>نوع</w:t>
      </w:r>
      <w:r w:rsidRPr="008265D4">
        <w:rPr>
          <w:sz w:val="34"/>
          <w:szCs w:val="34"/>
          <w:rtl/>
        </w:rPr>
        <w:t xml:space="preserve"> </w:t>
      </w:r>
      <w:r w:rsidRPr="008265D4">
        <w:rPr>
          <w:rFonts w:hint="cs"/>
          <w:sz w:val="34"/>
          <w:szCs w:val="34"/>
          <w:rtl/>
        </w:rPr>
        <w:t>يُرجّح</w:t>
      </w:r>
      <w:r w:rsidRPr="008265D4">
        <w:rPr>
          <w:sz w:val="34"/>
          <w:szCs w:val="34"/>
          <w:rtl/>
        </w:rPr>
        <w:t xml:space="preserve"> </w:t>
      </w:r>
      <w:r w:rsidRPr="008265D4">
        <w:rPr>
          <w:rFonts w:hint="cs"/>
          <w:sz w:val="34"/>
          <w:szCs w:val="34"/>
          <w:rtl/>
        </w:rPr>
        <w:t>بشكل</w:t>
      </w:r>
      <w:r w:rsidRPr="008265D4">
        <w:rPr>
          <w:sz w:val="34"/>
          <w:szCs w:val="34"/>
          <w:rtl/>
        </w:rPr>
        <w:t xml:space="preserve"> </w:t>
      </w:r>
      <w:r w:rsidRPr="008265D4">
        <w:rPr>
          <w:rFonts w:hint="cs"/>
          <w:sz w:val="34"/>
          <w:szCs w:val="34"/>
          <w:rtl/>
        </w:rPr>
        <w:t>مختلف</w:t>
      </w:r>
      <w:r w:rsidRPr="008265D4">
        <w:rPr>
          <w:sz w:val="34"/>
          <w:szCs w:val="34"/>
          <w:rtl/>
        </w:rPr>
        <w:t>.</w:t>
      </w:r>
      <w:r w:rsidR="00212CB2" w:rsidRPr="00212CB2">
        <w:rPr>
          <w:rStyle w:val="FootnoteReference"/>
          <w:rFonts w:cs="Arabic Typesetting"/>
          <w:sz w:val="34"/>
          <w:rtl/>
        </w:rPr>
        <w:footnoteReference w:id="28"/>
      </w:r>
      <w:r w:rsidRPr="00212CB2">
        <w:rPr>
          <w:sz w:val="34"/>
          <w:szCs w:val="34"/>
          <w:rtl/>
        </w:rPr>
        <w:t xml:space="preserve"> </w:t>
      </w:r>
      <w:r w:rsidRPr="008265D4">
        <w:rPr>
          <w:rFonts w:hint="cs"/>
          <w:sz w:val="34"/>
          <w:szCs w:val="34"/>
          <w:rtl/>
        </w:rPr>
        <w:t>وتُ</w:t>
      </w:r>
      <w:r w:rsidRPr="008265D4">
        <w:rPr>
          <w:sz w:val="34"/>
          <w:szCs w:val="34"/>
          <w:rtl/>
        </w:rPr>
        <w:t xml:space="preserve">حسب تكلفة الوحدة بقسمة </w:t>
      </w:r>
      <w:r>
        <w:rPr>
          <w:rFonts w:hint="cs"/>
          <w:sz w:val="34"/>
          <w:szCs w:val="34"/>
          <w:rtl/>
        </w:rPr>
        <w:t>تكلفة الإنتاج الإجمالية</w:t>
      </w:r>
      <w:r w:rsidRPr="008265D4">
        <w:rPr>
          <w:sz w:val="34"/>
          <w:szCs w:val="34"/>
          <w:rtl/>
        </w:rPr>
        <w:t xml:space="preserve"> </w:t>
      </w:r>
      <w:r w:rsidRPr="008265D4">
        <w:rPr>
          <w:rFonts w:hint="cs"/>
          <w:sz w:val="34"/>
          <w:szCs w:val="34"/>
          <w:rtl/>
        </w:rPr>
        <w:t>على ع</w:t>
      </w:r>
      <w:r w:rsidRPr="008265D4">
        <w:rPr>
          <w:sz w:val="34"/>
          <w:szCs w:val="34"/>
          <w:rtl/>
        </w:rPr>
        <w:t>دد</w:t>
      </w:r>
      <w:r w:rsidRPr="008265D4">
        <w:rPr>
          <w:rFonts w:hint="cs"/>
          <w:sz w:val="34"/>
          <w:szCs w:val="34"/>
          <w:rtl/>
        </w:rPr>
        <w:t xml:space="preserve"> التسجيلات الجديدة</w:t>
      </w:r>
      <w:r w:rsidRPr="008265D4">
        <w:rPr>
          <w:sz w:val="34"/>
          <w:szCs w:val="34"/>
          <w:rtl/>
        </w:rPr>
        <w:t>/</w:t>
      </w:r>
      <w:r w:rsidRPr="008265D4">
        <w:rPr>
          <w:rFonts w:hint="cs"/>
          <w:sz w:val="34"/>
          <w:szCs w:val="34"/>
          <w:rtl/>
        </w:rPr>
        <w:t xml:space="preserve"> المجدَّدة</w:t>
      </w:r>
      <w:r w:rsidRPr="008265D4">
        <w:rPr>
          <w:sz w:val="34"/>
          <w:szCs w:val="34"/>
          <w:rtl/>
        </w:rPr>
        <w:t>.</w:t>
      </w:r>
    </w:p>
    <w:tbl>
      <w:tblPr>
        <w:tblStyle w:val="TableGrid1"/>
        <w:bidiVisual/>
        <w:tblW w:w="0" w:type="auto"/>
        <w:tblLook w:val="04A0" w:firstRow="1" w:lastRow="0" w:firstColumn="1" w:lastColumn="0" w:noHBand="0" w:noVBand="1"/>
      </w:tblPr>
      <w:tblGrid>
        <w:gridCol w:w="5157"/>
        <w:gridCol w:w="4413"/>
      </w:tblGrid>
      <w:tr w:rsidR="00861CFF" w:rsidRPr="00B4155E" w:rsidTr="00DA5475">
        <w:trPr>
          <w:cantSplit/>
        </w:trPr>
        <w:tc>
          <w:tcPr>
            <w:tcW w:w="4788" w:type="dxa"/>
          </w:tcPr>
          <w:p w:rsidR="00861CFF" w:rsidRPr="00B4155E" w:rsidRDefault="00861CFF" w:rsidP="00DA5475">
            <w:pPr>
              <w:bidi w:val="0"/>
              <w:jc w:val="center"/>
              <w:rPr>
                <w:rFonts w:ascii="Arabic Typesetting" w:hAnsi="Arabic Typesetting" w:cs="Arabic Typesetting"/>
                <w:sz w:val="34"/>
                <w:szCs w:val="34"/>
                <w:lang w:bidi="ar-SA"/>
              </w:rPr>
            </w:pPr>
            <w:r>
              <w:rPr>
                <w:rFonts w:ascii="Arabic Typesetting" w:hAnsi="Arabic Typesetting" w:cs="Arabic Typesetting" w:hint="cs"/>
                <w:sz w:val="34"/>
                <w:szCs w:val="34"/>
                <w:rtl/>
                <w:lang w:bidi="ar-SA"/>
              </w:rPr>
              <w:t>الطريقة</w:t>
            </w:r>
            <w:r w:rsidRPr="00B4155E">
              <w:rPr>
                <w:rFonts w:ascii="Arabic Typesetting" w:hAnsi="Arabic Typesetting" w:cs="Arabic Typesetting"/>
                <w:sz w:val="34"/>
                <w:szCs w:val="34"/>
                <w:rtl/>
                <w:lang w:bidi="ar-SA"/>
              </w:rPr>
              <w:t xml:space="preserve"> القديمة</w:t>
            </w:r>
          </w:p>
        </w:tc>
        <w:tc>
          <w:tcPr>
            <w:tcW w:w="4788" w:type="dxa"/>
          </w:tcPr>
          <w:p w:rsidR="00861CFF" w:rsidRPr="00B4155E" w:rsidRDefault="00861CFF" w:rsidP="00DA5475">
            <w:pPr>
              <w:bidi w:val="0"/>
              <w:jc w:val="center"/>
              <w:rPr>
                <w:rFonts w:ascii="Arabic Typesetting" w:hAnsi="Arabic Typesetting" w:cs="Arabic Typesetting"/>
                <w:sz w:val="34"/>
                <w:szCs w:val="34"/>
                <w:lang w:bidi="ar-SA"/>
              </w:rPr>
            </w:pPr>
            <w:r>
              <w:rPr>
                <w:rFonts w:ascii="Arabic Typesetting" w:hAnsi="Arabic Typesetting" w:cs="Arabic Typesetting" w:hint="cs"/>
                <w:sz w:val="34"/>
                <w:szCs w:val="34"/>
                <w:rtl/>
                <w:lang w:bidi="ar-SA"/>
              </w:rPr>
              <w:t>الطريقة</w:t>
            </w:r>
            <w:r w:rsidRPr="00B4155E">
              <w:rPr>
                <w:rFonts w:ascii="Arabic Typesetting" w:hAnsi="Arabic Typesetting" w:cs="Arabic Typesetting"/>
                <w:sz w:val="34"/>
                <w:szCs w:val="34"/>
                <w:rtl/>
                <w:lang w:bidi="ar-SA"/>
              </w:rPr>
              <w:t xml:space="preserve"> الجديدة</w:t>
            </w:r>
          </w:p>
        </w:tc>
      </w:tr>
      <w:tr w:rsidR="00861CFF" w:rsidRPr="00B4155E" w:rsidTr="00DA5475">
        <w:trPr>
          <w:cantSplit/>
        </w:trPr>
        <w:tc>
          <w:tcPr>
            <w:tcW w:w="4788" w:type="dxa"/>
          </w:tcPr>
          <w:p w:rsidR="00861CFF" w:rsidRPr="00B4155E" w:rsidRDefault="00861CFF" w:rsidP="00DA5475">
            <w:pPr>
              <w:bidi w:val="0"/>
              <w:jc w:val="center"/>
              <w:rPr>
                <w:rFonts w:ascii="Arabic Typesetting" w:hAnsi="Arabic Typesetting" w:cs="Arabic Typesetting"/>
                <w:sz w:val="34"/>
                <w:szCs w:val="34"/>
                <w:lang w:bidi="ar-SA"/>
              </w:rPr>
            </w:pPr>
            <w:r>
              <w:rPr>
                <w:rFonts w:ascii="Arabic Typesetting" w:hAnsi="Arabic Typesetting" w:cs="Arabic Typesetting"/>
                <w:noProof/>
                <w:sz w:val="34"/>
                <w:szCs w:val="34"/>
                <w:lang w:bidi="ar-SA"/>
              </w:rPr>
              <w:drawing>
                <wp:inline distT="0" distB="0" distL="0" distR="0" wp14:anchorId="14D3B83C" wp14:editId="194FA3F3">
                  <wp:extent cx="3208712" cy="2191448"/>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3211780" cy="2193543"/>
                          </a:xfrm>
                          <a:prstGeom prst="rect">
                            <a:avLst/>
                          </a:prstGeom>
                          <a:noFill/>
                        </pic:spPr>
                      </pic:pic>
                    </a:graphicData>
                  </a:graphic>
                </wp:inline>
              </w:drawing>
            </w:r>
          </w:p>
        </w:tc>
        <w:tc>
          <w:tcPr>
            <w:tcW w:w="4788" w:type="dxa"/>
          </w:tcPr>
          <w:p w:rsidR="00861CFF" w:rsidRPr="00B4155E" w:rsidRDefault="00861CFF" w:rsidP="00DA5475">
            <w:pPr>
              <w:jc w:val="center"/>
              <w:rPr>
                <w:rFonts w:ascii="Arabic Typesetting" w:hAnsi="Arabic Typesetting" w:cs="Arabic Typesetting"/>
                <w:sz w:val="34"/>
                <w:szCs w:val="34"/>
                <w:lang w:bidi="ar-SA"/>
              </w:rPr>
            </w:pPr>
            <w:r>
              <w:rPr>
                <w:rFonts w:ascii="Arabic Typesetting" w:hAnsi="Arabic Typesetting" w:cs="Arabic Typesetting"/>
                <w:noProof/>
                <w:sz w:val="34"/>
                <w:szCs w:val="34"/>
                <w:lang w:bidi="ar-SA"/>
              </w:rPr>
              <w:drawing>
                <wp:inline distT="0" distB="0" distL="0" distR="0" wp14:anchorId="1F516610" wp14:editId="10C543EA">
                  <wp:extent cx="2726574" cy="219456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734452" cy="2200901"/>
                          </a:xfrm>
                          <a:prstGeom prst="rect">
                            <a:avLst/>
                          </a:prstGeom>
                          <a:noFill/>
                        </pic:spPr>
                      </pic:pic>
                    </a:graphicData>
                  </a:graphic>
                </wp:inline>
              </w:drawing>
            </w:r>
          </w:p>
        </w:tc>
      </w:tr>
    </w:tbl>
    <w:p w:rsidR="00861CFF" w:rsidRPr="00B679BA" w:rsidRDefault="00861CFF" w:rsidP="00861CFF">
      <w:pPr>
        <w:pStyle w:val="NumberedParaAR"/>
        <w:numPr>
          <w:ilvl w:val="0"/>
          <w:numId w:val="50"/>
        </w:numPr>
        <w:spacing w:before="120" w:after="120" w:line="340" w:lineRule="exact"/>
        <w:ind w:left="714" w:hanging="357"/>
        <w:rPr>
          <w:sz w:val="34"/>
          <w:szCs w:val="34"/>
          <w:rtl/>
        </w:rPr>
      </w:pPr>
      <w:r>
        <w:rPr>
          <w:rFonts w:hint="cs"/>
          <w:sz w:val="34"/>
          <w:szCs w:val="34"/>
          <w:rtl/>
        </w:rPr>
        <w:t xml:space="preserve">بلغ متوسط تكلفة معالجة تسجيل دولي جديد/مجدَّد 837 فرنكا سويسريا في 2014، أي بزيادة قدرها 2.6 بالمائة مقارنة بسنة 2013. وترجع تلك الزيادة بالأساس إلى تكلفة معالجة ظلت مستقرة إلى جانب انخفاض بنسبة 4.5 بالمائة في عدد الطلبات الدولية المسجلة. </w:t>
      </w:r>
    </w:p>
    <w:p w:rsidR="00861CFF" w:rsidRPr="00A25859" w:rsidRDefault="00861CFF" w:rsidP="00DA5475">
      <w:pPr>
        <w:pStyle w:val="NumberedParaAR"/>
        <w:keepNext/>
        <w:numPr>
          <w:ilvl w:val="0"/>
          <w:numId w:val="0"/>
        </w:numPr>
        <w:spacing w:before="120" w:after="120" w:line="340" w:lineRule="exact"/>
        <w:ind w:left="423"/>
        <w:rPr>
          <w:i/>
          <w:iCs/>
          <w:sz w:val="34"/>
          <w:szCs w:val="34"/>
          <w:rtl/>
        </w:rPr>
      </w:pPr>
      <w:r>
        <w:rPr>
          <w:rFonts w:hint="cs"/>
          <w:i/>
          <w:iCs/>
          <w:sz w:val="34"/>
          <w:szCs w:val="34"/>
          <w:rtl/>
        </w:rPr>
        <w:lastRenderedPageBreak/>
        <w:t>تكلفة الوحدة لكل وثيقة مدونة في السجل</w:t>
      </w:r>
    </w:p>
    <w:p w:rsidR="00861CFF" w:rsidRDefault="00861CFF" w:rsidP="00861CFF">
      <w:pPr>
        <w:pStyle w:val="NumberedParaAR"/>
        <w:keepNext/>
        <w:numPr>
          <w:ilvl w:val="0"/>
          <w:numId w:val="48"/>
        </w:numPr>
        <w:spacing w:after="120" w:line="340" w:lineRule="exact"/>
        <w:rPr>
          <w:sz w:val="34"/>
          <w:szCs w:val="34"/>
        </w:rPr>
      </w:pPr>
      <w:r>
        <w:rPr>
          <w:rFonts w:hint="cs"/>
          <w:sz w:val="34"/>
          <w:szCs w:val="34"/>
          <w:rtl/>
        </w:rPr>
        <w:t>تشكل الوثائق المسجلة في السجل الحجم الإجمالي لعبء العمل (انظر "عبء العمل الإجمالي" أعلاه).</w:t>
      </w:r>
    </w:p>
    <w:tbl>
      <w:tblPr>
        <w:tblStyle w:val="TableGrid"/>
        <w:bidiVisual/>
        <w:tblW w:w="9606" w:type="dxa"/>
        <w:tblLayout w:type="fixed"/>
        <w:tblLook w:val="04A0" w:firstRow="1" w:lastRow="0" w:firstColumn="1" w:lastColumn="0" w:noHBand="0" w:noVBand="1"/>
      </w:tblPr>
      <w:tblGrid>
        <w:gridCol w:w="5177"/>
        <w:gridCol w:w="4429"/>
      </w:tblGrid>
      <w:tr w:rsidR="00861CFF" w:rsidRPr="00990B8A" w:rsidTr="00DA5475">
        <w:trPr>
          <w:cantSplit/>
          <w:trHeight w:val="273"/>
        </w:trPr>
        <w:tc>
          <w:tcPr>
            <w:tcW w:w="5177" w:type="dxa"/>
          </w:tcPr>
          <w:p w:rsidR="00861CFF" w:rsidRPr="00712F5F" w:rsidRDefault="00861CFF" w:rsidP="00DA5475">
            <w:pPr>
              <w:keepNext/>
              <w:jc w:val="center"/>
            </w:pPr>
            <w:r w:rsidRPr="00712F5F">
              <w:rPr>
                <w:rtl/>
              </w:rPr>
              <w:t>الطريقة القديمة</w:t>
            </w:r>
          </w:p>
        </w:tc>
        <w:tc>
          <w:tcPr>
            <w:tcW w:w="4429" w:type="dxa"/>
          </w:tcPr>
          <w:p w:rsidR="00861CFF" w:rsidRDefault="00861CFF" w:rsidP="00DA5475">
            <w:pPr>
              <w:keepNext/>
              <w:jc w:val="center"/>
            </w:pPr>
            <w:r w:rsidRPr="00712F5F">
              <w:rPr>
                <w:rtl/>
              </w:rPr>
              <w:t>الطريقة الجديدة</w:t>
            </w:r>
          </w:p>
        </w:tc>
      </w:tr>
      <w:tr w:rsidR="00861CFF" w:rsidRPr="00990B8A" w:rsidTr="00DA5475">
        <w:trPr>
          <w:cantSplit/>
          <w:trHeight w:val="3013"/>
        </w:trPr>
        <w:tc>
          <w:tcPr>
            <w:tcW w:w="5177" w:type="dxa"/>
          </w:tcPr>
          <w:p w:rsidR="00861CFF" w:rsidRPr="00990B8A" w:rsidRDefault="00861CFF" w:rsidP="00DA5475">
            <w:pPr>
              <w:keepNext/>
              <w:keepLines/>
              <w:jc w:val="center"/>
              <w:rPr>
                <w:rFonts w:ascii="Arial" w:hAnsi="Arial" w:cs="Arial"/>
              </w:rPr>
            </w:pPr>
            <w:r>
              <w:rPr>
                <w:rFonts w:ascii="Arial" w:hAnsi="Arial" w:cs="Arial"/>
                <w:noProof/>
                <w:lang w:bidi="ar-SA"/>
              </w:rPr>
              <w:drawing>
                <wp:inline distT="0" distB="0" distL="0" distR="0" wp14:anchorId="7ACB2226" wp14:editId="5DEA0A35">
                  <wp:extent cx="3218298" cy="2124222"/>
                  <wp:effectExtent l="0" t="0" r="127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3220860" cy="2125913"/>
                          </a:xfrm>
                          <a:prstGeom prst="rect">
                            <a:avLst/>
                          </a:prstGeom>
                          <a:noFill/>
                        </pic:spPr>
                      </pic:pic>
                    </a:graphicData>
                  </a:graphic>
                </wp:inline>
              </w:drawing>
            </w:r>
          </w:p>
        </w:tc>
        <w:tc>
          <w:tcPr>
            <w:tcW w:w="4429" w:type="dxa"/>
          </w:tcPr>
          <w:p w:rsidR="00861CFF" w:rsidRPr="00990B8A" w:rsidRDefault="00861CFF" w:rsidP="00DA5475">
            <w:pPr>
              <w:keepNext/>
              <w:keepLines/>
              <w:jc w:val="center"/>
              <w:rPr>
                <w:rFonts w:ascii="Arial" w:hAnsi="Arial" w:cs="Arial"/>
              </w:rPr>
            </w:pPr>
            <w:r>
              <w:rPr>
                <w:rFonts w:ascii="Arial" w:hAnsi="Arial" w:cs="Arial"/>
                <w:noProof/>
                <w:lang w:bidi="ar-SA"/>
              </w:rPr>
              <w:drawing>
                <wp:inline distT="0" distB="0" distL="0" distR="0" wp14:anchorId="76967D93" wp14:editId="065C66F1">
                  <wp:extent cx="2736166" cy="2124222"/>
                  <wp:effectExtent l="0" t="0" r="762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733650" cy="2122269"/>
                          </a:xfrm>
                          <a:prstGeom prst="rect">
                            <a:avLst/>
                          </a:prstGeom>
                          <a:noFill/>
                        </pic:spPr>
                      </pic:pic>
                    </a:graphicData>
                  </a:graphic>
                </wp:inline>
              </w:drawing>
            </w:r>
          </w:p>
        </w:tc>
      </w:tr>
    </w:tbl>
    <w:p w:rsidR="00861CFF" w:rsidRDefault="00861CFF" w:rsidP="00861CFF">
      <w:pPr>
        <w:pStyle w:val="NumberedParaAR"/>
        <w:numPr>
          <w:ilvl w:val="0"/>
          <w:numId w:val="50"/>
        </w:numPr>
        <w:spacing w:before="120" w:after="120" w:line="340" w:lineRule="exact"/>
        <w:ind w:left="714" w:hanging="357"/>
        <w:rPr>
          <w:sz w:val="34"/>
          <w:szCs w:val="34"/>
        </w:rPr>
      </w:pPr>
      <w:r>
        <w:rPr>
          <w:rFonts w:hint="cs"/>
          <w:sz w:val="34"/>
          <w:szCs w:val="34"/>
          <w:rtl/>
        </w:rPr>
        <w:t>ارتفع متوسط تكلفة تدوين وثيقة في السجل ارتفاعا طفيفا من 320 فرنكا سويسريا في 2012 إلى 322 فرنكا سويسريا في 2014.</w:t>
      </w:r>
    </w:p>
    <w:p w:rsidR="00861CFF" w:rsidRPr="00B02A83" w:rsidRDefault="00861CFF" w:rsidP="00DA5475">
      <w:pPr>
        <w:keepNext/>
        <w:spacing w:after="240" w:line="380" w:lineRule="exact"/>
        <w:rPr>
          <w:rFonts w:ascii="Arabic Typesetting" w:hAnsi="Arabic Typesetting" w:cs="Arabic Typesetting"/>
          <w:b/>
          <w:bCs/>
          <w:sz w:val="36"/>
          <w:szCs w:val="36"/>
          <w:rtl/>
          <w:lang w:val="fr-CH"/>
        </w:rPr>
      </w:pPr>
      <w:r w:rsidRPr="00B02A83">
        <w:rPr>
          <w:rFonts w:ascii="Arabic Typesetting" w:hAnsi="Arabic Typesetting" w:cs="Arabic Typesetting" w:hint="cs"/>
          <w:b/>
          <w:bCs/>
          <w:sz w:val="36"/>
          <w:szCs w:val="36"/>
          <w:rtl/>
          <w:lang w:val="fr-CH"/>
        </w:rPr>
        <w:t>خامسا.</w:t>
      </w:r>
      <w:r w:rsidRPr="00B02A83">
        <w:rPr>
          <w:rFonts w:ascii="Arabic Typesetting" w:hAnsi="Arabic Typesetting" w:cs="Arabic Typesetting" w:hint="cs"/>
          <w:b/>
          <w:bCs/>
          <w:sz w:val="36"/>
          <w:szCs w:val="36"/>
          <w:rtl/>
          <w:lang w:val="fr-CH"/>
        </w:rPr>
        <w:tab/>
      </w:r>
      <w:r w:rsidRPr="00B02A83">
        <w:rPr>
          <w:rFonts w:ascii="Arabic Typesetting" w:hAnsi="Arabic Typesetting" w:cs="Arabic Typesetting" w:hint="cs"/>
          <w:b/>
          <w:bCs/>
          <w:sz w:val="36"/>
          <w:szCs w:val="36"/>
          <w:rtl/>
          <w:lang w:val="fr-CH"/>
        </w:rPr>
        <w:tab/>
        <w:t>إنتاجية الفحص</w:t>
      </w:r>
    </w:p>
    <w:p w:rsidR="00861CFF" w:rsidRPr="00B02A83" w:rsidRDefault="00861CFF" w:rsidP="00861CFF">
      <w:pPr>
        <w:pStyle w:val="NumberedParaAR"/>
        <w:keepNext/>
        <w:numPr>
          <w:ilvl w:val="0"/>
          <w:numId w:val="48"/>
        </w:numPr>
        <w:spacing w:after="120" w:line="340" w:lineRule="exact"/>
        <w:rPr>
          <w:sz w:val="34"/>
          <w:szCs w:val="34"/>
          <w:rtl/>
        </w:rPr>
      </w:pPr>
      <w:r>
        <w:rPr>
          <w:rFonts w:hint="cs"/>
          <w:sz w:val="34"/>
          <w:szCs w:val="34"/>
          <w:rtl/>
        </w:rPr>
        <w:t>إنتاجية الفحص هي عدد التسجيلات الدولية الجديدة/المجددة التي عالجها الفاحصون مقسوم على عدد الموظفين المكلفين بالفحص. ويُحسب في عداد الموظفين الممنوحون والمتدربون والمتعاقدون الخارجيون.</w:t>
      </w:r>
    </w:p>
    <w:p w:rsidR="00861CFF" w:rsidRDefault="00861CFF" w:rsidP="00DA5475">
      <w:pPr>
        <w:pStyle w:val="NumberedParaAR"/>
        <w:numPr>
          <w:ilvl w:val="0"/>
          <w:numId w:val="0"/>
        </w:numPr>
        <w:spacing w:after="120" w:line="240" w:lineRule="auto"/>
        <w:rPr>
          <w:sz w:val="34"/>
          <w:szCs w:val="34"/>
          <w:rtl/>
        </w:rPr>
      </w:pPr>
      <w:r>
        <w:rPr>
          <w:noProof/>
          <w:sz w:val="34"/>
          <w:szCs w:val="34"/>
        </w:rPr>
        <w:drawing>
          <wp:inline distT="0" distB="0" distL="0" distR="0" wp14:anchorId="21E5ECAA" wp14:editId="0CB509AE">
            <wp:extent cx="5494582" cy="2690192"/>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506086" cy="2695824"/>
                    </a:xfrm>
                    <a:prstGeom prst="rect">
                      <a:avLst/>
                    </a:prstGeom>
                    <a:noFill/>
                  </pic:spPr>
                </pic:pic>
              </a:graphicData>
            </a:graphic>
          </wp:inline>
        </w:drawing>
      </w:r>
    </w:p>
    <w:p w:rsidR="00861CFF" w:rsidRDefault="00861CFF" w:rsidP="00861CFF">
      <w:pPr>
        <w:pStyle w:val="NumberedParaAR"/>
        <w:numPr>
          <w:ilvl w:val="0"/>
          <w:numId w:val="50"/>
        </w:numPr>
        <w:spacing w:before="120" w:after="120" w:line="340" w:lineRule="exact"/>
        <w:ind w:left="714" w:hanging="357"/>
        <w:rPr>
          <w:sz w:val="34"/>
          <w:szCs w:val="34"/>
          <w:rtl/>
        </w:rPr>
      </w:pPr>
      <w:r>
        <w:rPr>
          <w:rFonts w:hint="cs"/>
          <w:sz w:val="34"/>
          <w:szCs w:val="34"/>
          <w:rtl/>
        </w:rPr>
        <w:t>ظلت إنتاجية الفحص مستقرة نسبيا في سنة 2014 مقارنة بسنة 2013.</w:t>
      </w:r>
    </w:p>
    <w:p w:rsidR="00861CFF" w:rsidRPr="0061324A" w:rsidRDefault="00861CFF" w:rsidP="00DA5475">
      <w:pPr>
        <w:keepNext/>
        <w:spacing w:after="240" w:line="380" w:lineRule="exact"/>
        <w:rPr>
          <w:rFonts w:ascii="Arabic Typesetting" w:hAnsi="Arabic Typesetting" w:cs="Arabic Typesetting"/>
          <w:b/>
          <w:bCs/>
          <w:sz w:val="36"/>
          <w:szCs w:val="36"/>
          <w:rtl/>
          <w:lang w:val="fr-CH"/>
        </w:rPr>
      </w:pPr>
      <w:r>
        <w:rPr>
          <w:rFonts w:ascii="Arabic Typesetting" w:hAnsi="Arabic Typesetting" w:cs="Arabic Typesetting" w:hint="cs"/>
          <w:b/>
          <w:bCs/>
          <w:sz w:val="36"/>
          <w:szCs w:val="36"/>
          <w:rtl/>
          <w:lang w:val="fr-CH"/>
        </w:rPr>
        <w:lastRenderedPageBreak/>
        <w:t>سادسا.</w:t>
      </w:r>
      <w:r>
        <w:rPr>
          <w:rFonts w:ascii="Arabic Typesetting" w:hAnsi="Arabic Typesetting" w:cs="Arabic Typesetting" w:hint="cs"/>
          <w:b/>
          <w:bCs/>
          <w:sz w:val="36"/>
          <w:szCs w:val="36"/>
          <w:rtl/>
          <w:lang w:val="fr-CH"/>
        </w:rPr>
        <w:tab/>
        <w:t>الموظفون</w:t>
      </w:r>
    </w:p>
    <w:p w:rsidR="00861CFF" w:rsidRDefault="00861CFF" w:rsidP="00DA5475">
      <w:pPr>
        <w:pStyle w:val="NumberedParaAR"/>
        <w:numPr>
          <w:ilvl w:val="0"/>
          <w:numId w:val="0"/>
        </w:numPr>
        <w:spacing w:before="120" w:after="120" w:line="240" w:lineRule="auto"/>
        <w:rPr>
          <w:sz w:val="34"/>
          <w:szCs w:val="34"/>
          <w:rtl/>
        </w:rPr>
      </w:pPr>
      <w:r>
        <w:rPr>
          <w:noProof/>
          <w:sz w:val="34"/>
          <w:szCs w:val="34"/>
        </w:rPr>
        <w:drawing>
          <wp:inline distT="0" distB="0" distL="0" distR="0" wp14:anchorId="18411C79" wp14:editId="14EE13A5">
            <wp:extent cx="5459017" cy="2623930"/>
            <wp:effectExtent l="0" t="0" r="8890" b="508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455503" cy="2622241"/>
                    </a:xfrm>
                    <a:prstGeom prst="rect">
                      <a:avLst/>
                    </a:prstGeom>
                    <a:noFill/>
                  </pic:spPr>
                </pic:pic>
              </a:graphicData>
            </a:graphic>
          </wp:inline>
        </w:drawing>
      </w:r>
    </w:p>
    <w:p w:rsidR="00861CFF" w:rsidRDefault="00861CFF" w:rsidP="00861CFF">
      <w:pPr>
        <w:pStyle w:val="NumberedParaAR"/>
        <w:numPr>
          <w:ilvl w:val="0"/>
          <w:numId w:val="50"/>
        </w:numPr>
        <w:spacing w:before="120" w:after="120" w:line="340" w:lineRule="exact"/>
        <w:ind w:left="714" w:hanging="357"/>
        <w:rPr>
          <w:sz w:val="34"/>
          <w:szCs w:val="34"/>
        </w:rPr>
      </w:pPr>
      <w:r>
        <w:rPr>
          <w:rFonts w:hint="cs"/>
          <w:sz w:val="34"/>
          <w:szCs w:val="34"/>
          <w:rtl/>
        </w:rPr>
        <w:t>بقي عدد الموظفين مستقرا نسبيا منذ 2010، في حين ارتفع عدد الموارد المرنة من 1 في سنة 2012 إلى 12 في سنة</w:t>
      </w:r>
      <w:r>
        <w:rPr>
          <w:rFonts w:hint="eastAsia"/>
          <w:sz w:val="34"/>
          <w:szCs w:val="34"/>
          <w:rtl/>
        </w:rPr>
        <w:t> </w:t>
      </w:r>
      <w:r>
        <w:rPr>
          <w:rFonts w:hint="cs"/>
          <w:sz w:val="34"/>
          <w:szCs w:val="34"/>
          <w:rtl/>
        </w:rPr>
        <w:t>2014.</w:t>
      </w:r>
    </w:p>
    <w:p w:rsidR="00861CFF" w:rsidRDefault="00861CFF" w:rsidP="00861CFF">
      <w:pPr>
        <w:pStyle w:val="NumberedParaAR"/>
        <w:numPr>
          <w:ilvl w:val="0"/>
          <w:numId w:val="50"/>
        </w:numPr>
        <w:spacing w:before="120" w:after="120" w:line="340" w:lineRule="exact"/>
        <w:ind w:left="714" w:hanging="357"/>
        <w:rPr>
          <w:sz w:val="34"/>
          <w:szCs w:val="34"/>
          <w:rtl/>
        </w:rPr>
      </w:pPr>
      <w:r>
        <w:rPr>
          <w:rFonts w:hint="cs"/>
          <w:sz w:val="34"/>
          <w:szCs w:val="34"/>
          <w:rtl/>
        </w:rPr>
        <w:t>ولا يشمل هذا المؤشر موظفي الشركات الخارجية المتعاونة الذين لا يعملون في مباني الويبو.</w:t>
      </w:r>
    </w:p>
    <w:p w:rsidR="00861CFF" w:rsidRDefault="00861CFF" w:rsidP="00DA5475">
      <w:pPr>
        <w:keepNext/>
        <w:spacing w:after="240" w:line="380" w:lineRule="exact"/>
        <w:rPr>
          <w:rFonts w:ascii="Arabic Typesetting" w:hAnsi="Arabic Typesetting" w:cs="Arabic Typesetting"/>
          <w:b/>
          <w:bCs/>
          <w:sz w:val="36"/>
          <w:szCs w:val="36"/>
          <w:rtl/>
          <w:lang w:val="fr-CH"/>
        </w:rPr>
      </w:pPr>
      <w:r>
        <w:rPr>
          <w:rFonts w:ascii="Arabic Typesetting" w:hAnsi="Arabic Typesetting" w:cs="Arabic Typesetting" w:hint="cs"/>
          <w:b/>
          <w:bCs/>
          <w:sz w:val="36"/>
          <w:szCs w:val="36"/>
          <w:rtl/>
          <w:lang w:val="fr-CH"/>
        </w:rPr>
        <w:t>سابعا.</w:t>
      </w:r>
      <w:r>
        <w:rPr>
          <w:rFonts w:ascii="Arabic Typesetting" w:hAnsi="Arabic Typesetting" w:cs="Arabic Typesetting" w:hint="cs"/>
          <w:b/>
          <w:bCs/>
          <w:sz w:val="36"/>
          <w:szCs w:val="36"/>
          <w:rtl/>
          <w:lang w:val="fr-CH"/>
        </w:rPr>
        <w:tab/>
        <w:t>مدة المعالجة</w:t>
      </w:r>
    </w:p>
    <w:p w:rsidR="00861CFF" w:rsidRPr="004F631A" w:rsidRDefault="00861CFF" w:rsidP="00861CFF">
      <w:pPr>
        <w:pStyle w:val="NumberedParaAR"/>
        <w:numPr>
          <w:ilvl w:val="0"/>
          <w:numId w:val="48"/>
        </w:numPr>
        <w:spacing w:after="120" w:line="340" w:lineRule="exact"/>
        <w:rPr>
          <w:sz w:val="34"/>
          <w:szCs w:val="34"/>
          <w:rtl/>
        </w:rPr>
      </w:pPr>
      <w:r>
        <w:rPr>
          <w:rFonts w:hint="cs"/>
          <w:sz w:val="34"/>
          <w:szCs w:val="34"/>
          <w:rtl/>
        </w:rPr>
        <w:t>تبين الأشكال أدناه متوسط مدة المعالجة فيما يخص المعاملات الست التي يقوم بها المكتب الدولي. وتُحسب مدة المعالجة اعتبارا من تاريخ استلام وثيقة ما إلى تاريخ تدوينها.</w:t>
      </w:r>
    </w:p>
    <w:tbl>
      <w:tblPr>
        <w:tblStyle w:val="TableGrid2"/>
        <w:bidiVisual/>
        <w:tblW w:w="0" w:type="auto"/>
        <w:jc w:val="center"/>
        <w:tblLook w:val="04A0" w:firstRow="1" w:lastRow="0" w:firstColumn="1" w:lastColumn="0" w:noHBand="0" w:noVBand="1"/>
      </w:tblPr>
      <w:tblGrid>
        <w:gridCol w:w="4827"/>
        <w:gridCol w:w="4743"/>
      </w:tblGrid>
      <w:tr w:rsidR="00861CFF" w:rsidRPr="0061324A" w:rsidTr="00DA5475">
        <w:trPr>
          <w:trHeight w:val="3298"/>
          <w:jc w:val="center"/>
        </w:trPr>
        <w:tc>
          <w:tcPr>
            <w:tcW w:w="4560" w:type="dxa"/>
          </w:tcPr>
          <w:p w:rsidR="00861CFF" w:rsidRPr="0061324A" w:rsidRDefault="00861CFF" w:rsidP="00DA5475">
            <w:pPr>
              <w:jc w:val="both"/>
              <w:rPr>
                <w:rFonts w:ascii="Arial" w:hAnsi="Arial" w:cs="Arial"/>
                <w:szCs w:val="22"/>
                <w:lang w:bidi="ar-SA"/>
              </w:rPr>
            </w:pPr>
            <w:r>
              <w:rPr>
                <w:rFonts w:ascii="Arial" w:hAnsi="Arial" w:cs="Arial"/>
                <w:noProof/>
                <w:szCs w:val="22"/>
                <w:lang w:bidi="ar-SA"/>
              </w:rPr>
              <w:drawing>
                <wp:inline distT="0" distB="0" distL="0" distR="0" wp14:anchorId="0C745193" wp14:editId="656A2375">
                  <wp:extent cx="2996418" cy="2509425"/>
                  <wp:effectExtent l="0" t="0" r="0" b="571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996418" cy="2509425"/>
                          </a:xfrm>
                          <a:prstGeom prst="rect">
                            <a:avLst/>
                          </a:prstGeom>
                          <a:noFill/>
                        </pic:spPr>
                      </pic:pic>
                    </a:graphicData>
                  </a:graphic>
                </wp:inline>
              </w:drawing>
            </w:r>
          </w:p>
        </w:tc>
        <w:tc>
          <w:tcPr>
            <w:tcW w:w="4591" w:type="dxa"/>
          </w:tcPr>
          <w:p w:rsidR="00861CFF" w:rsidRPr="0061324A" w:rsidRDefault="00861CFF" w:rsidP="00DA5475">
            <w:pPr>
              <w:jc w:val="both"/>
              <w:rPr>
                <w:rFonts w:ascii="Arial" w:hAnsi="Arial" w:cs="Arial"/>
                <w:szCs w:val="22"/>
                <w:lang w:bidi="ar-SA"/>
              </w:rPr>
            </w:pPr>
            <w:r>
              <w:rPr>
                <w:rFonts w:ascii="Arial" w:hAnsi="Arial" w:cs="Arial"/>
                <w:noProof/>
                <w:szCs w:val="22"/>
                <w:lang w:bidi="ar-SA"/>
              </w:rPr>
              <w:drawing>
                <wp:inline distT="0" distB="0" distL="0" distR="0" wp14:anchorId="33DF1C0B" wp14:editId="114391FD">
                  <wp:extent cx="3045655" cy="2511083"/>
                  <wp:effectExtent l="0" t="0" r="2540" b="381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057773" cy="2521074"/>
                          </a:xfrm>
                          <a:prstGeom prst="rect">
                            <a:avLst/>
                          </a:prstGeom>
                          <a:noFill/>
                        </pic:spPr>
                      </pic:pic>
                    </a:graphicData>
                  </a:graphic>
                </wp:inline>
              </w:drawing>
            </w:r>
          </w:p>
        </w:tc>
      </w:tr>
      <w:tr w:rsidR="00861CFF" w:rsidRPr="0061324A" w:rsidTr="00DA5475">
        <w:trPr>
          <w:trHeight w:val="3418"/>
          <w:jc w:val="center"/>
        </w:trPr>
        <w:tc>
          <w:tcPr>
            <w:tcW w:w="4560" w:type="dxa"/>
          </w:tcPr>
          <w:p w:rsidR="00861CFF" w:rsidRPr="0061324A" w:rsidRDefault="00861CFF" w:rsidP="00DA5475">
            <w:pPr>
              <w:jc w:val="both"/>
              <w:rPr>
                <w:rFonts w:ascii="Arial" w:hAnsi="Arial" w:cs="Arial"/>
                <w:szCs w:val="22"/>
                <w:lang w:bidi="ar-SA"/>
              </w:rPr>
            </w:pPr>
            <w:r>
              <w:rPr>
                <w:rFonts w:ascii="Arial" w:hAnsi="Arial" w:cs="Arial"/>
                <w:noProof/>
                <w:szCs w:val="22"/>
                <w:lang w:bidi="ar-SA"/>
              </w:rPr>
              <w:lastRenderedPageBreak/>
              <w:drawing>
                <wp:inline distT="0" distB="0" distL="0" distR="0" wp14:anchorId="68444F08" wp14:editId="1F98C19F">
                  <wp:extent cx="2975317" cy="2447779"/>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980245" cy="2451833"/>
                          </a:xfrm>
                          <a:prstGeom prst="rect">
                            <a:avLst/>
                          </a:prstGeom>
                          <a:noFill/>
                        </pic:spPr>
                      </pic:pic>
                    </a:graphicData>
                  </a:graphic>
                </wp:inline>
              </w:drawing>
            </w:r>
          </w:p>
        </w:tc>
        <w:tc>
          <w:tcPr>
            <w:tcW w:w="4591" w:type="dxa"/>
          </w:tcPr>
          <w:p w:rsidR="00861CFF" w:rsidRPr="0061324A" w:rsidRDefault="00861CFF" w:rsidP="00DA5475">
            <w:pPr>
              <w:jc w:val="both"/>
              <w:rPr>
                <w:rFonts w:ascii="Arial" w:hAnsi="Arial" w:cs="Arial"/>
                <w:color w:val="FF0000"/>
                <w:szCs w:val="22"/>
                <w:lang w:bidi="ar-SA"/>
              </w:rPr>
            </w:pPr>
            <w:r>
              <w:rPr>
                <w:rFonts w:ascii="Arial" w:hAnsi="Arial" w:cs="Arial"/>
                <w:noProof/>
                <w:color w:val="FF0000"/>
                <w:szCs w:val="22"/>
                <w:lang w:bidi="ar-SA"/>
              </w:rPr>
              <w:drawing>
                <wp:inline distT="0" distB="0" distL="0" distR="0" wp14:anchorId="4248B0D3" wp14:editId="79B4741A">
                  <wp:extent cx="2962581" cy="2447779"/>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973011" cy="2456397"/>
                          </a:xfrm>
                          <a:prstGeom prst="rect">
                            <a:avLst/>
                          </a:prstGeom>
                          <a:noFill/>
                        </pic:spPr>
                      </pic:pic>
                    </a:graphicData>
                  </a:graphic>
                </wp:inline>
              </w:drawing>
            </w:r>
          </w:p>
        </w:tc>
      </w:tr>
      <w:tr w:rsidR="00861CFF" w:rsidRPr="0061324A" w:rsidTr="00DA5475">
        <w:trPr>
          <w:trHeight w:val="3194"/>
          <w:jc w:val="center"/>
        </w:trPr>
        <w:tc>
          <w:tcPr>
            <w:tcW w:w="4560" w:type="dxa"/>
          </w:tcPr>
          <w:p w:rsidR="00861CFF" w:rsidRPr="0061324A" w:rsidRDefault="00861CFF" w:rsidP="00DA5475">
            <w:pPr>
              <w:jc w:val="both"/>
              <w:rPr>
                <w:rFonts w:ascii="Arial" w:hAnsi="Arial" w:cs="Arial"/>
                <w:szCs w:val="22"/>
                <w:lang w:bidi="ar-SA"/>
              </w:rPr>
            </w:pPr>
            <w:r>
              <w:rPr>
                <w:rFonts w:ascii="Arial" w:hAnsi="Arial" w:cs="Arial"/>
                <w:noProof/>
                <w:szCs w:val="22"/>
                <w:lang w:bidi="ar-SA"/>
              </w:rPr>
              <w:drawing>
                <wp:inline distT="0" distB="0" distL="0" distR="0" wp14:anchorId="1AD70767" wp14:editId="4643BAEE">
                  <wp:extent cx="3101543" cy="2419644"/>
                  <wp:effectExtent l="0" t="0" r="381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101543" cy="2419644"/>
                          </a:xfrm>
                          <a:prstGeom prst="rect">
                            <a:avLst/>
                          </a:prstGeom>
                          <a:noFill/>
                        </pic:spPr>
                      </pic:pic>
                    </a:graphicData>
                  </a:graphic>
                </wp:inline>
              </w:drawing>
            </w:r>
          </w:p>
        </w:tc>
        <w:tc>
          <w:tcPr>
            <w:tcW w:w="4591" w:type="dxa"/>
          </w:tcPr>
          <w:p w:rsidR="00861CFF" w:rsidRPr="0061324A" w:rsidRDefault="00861CFF" w:rsidP="00DA5475">
            <w:pPr>
              <w:jc w:val="both"/>
              <w:rPr>
                <w:rFonts w:ascii="Arial" w:hAnsi="Arial" w:cs="Arial"/>
                <w:szCs w:val="22"/>
                <w:lang w:bidi="ar-SA"/>
              </w:rPr>
            </w:pPr>
            <w:r>
              <w:rPr>
                <w:rFonts w:ascii="Arial" w:hAnsi="Arial" w:cs="Arial"/>
                <w:noProof/>
                <w:szCs w:val="22"/>
                <w:lang w:bidi="ar-SA"/>
              </w:rPr>
              <w:drawing>
                <wp:inline distT="0" distB="0" distL="0" distR="0" wp14:anchorId="2F67255D" wp14:editId="23111FA7">
                  <wp:extent cx="2827606" cy="2391117"/>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2832083" cy="2394903"/>
                          </a:xfrm>
                          <a:prstGeom prst="rect">
                            <a:avLst/>
                          </a:prstGeom>
                          <a:noFill/>
                        </pic:spPr>
                      </pic:pic>
                    </a:graphicData>
                  </a:graphic>
                </wp:inline>
              </w:drawing>
            </w:r>
          </w:p>
        </w:tc>
      </w:tr>
    </w:tbl>
    <w:p w:rsidR="00861CFF" w:rsidRDefault="00861CFF" w:rsidP="00861CFF">
      <w:pPr>
        <w:pStyle w:val="NumberedParaAR"/>
        <w:numPr>
          <w:ilvl w:val="0"/>
          <w:numId w:val="50"/>
        </w:numPr>
        <w:spacing w:before="120" w:after="120" w:line="340" w:lineRule="exact"/>
        <w:ind w:left="714" w:hanging="357"/>
        <w:rPr>
          <w:sz w:val="34"/>
          <w:szCs w:val="34"/>
        </w:rPr>
      </w:pPr>
      <w:r>
        <w:rPr>
          <w:rFonts w:hint="cs"/>
          <w:sz w:val="34"/>
          <w:szCs w:val="34"/>
          <w:rtl/>
        </w:rPr>
        <w:t>مقارنة بسنة 2013، ارتفع متوسط مدة المعالجة في 2014 بالنسبة للطلبات والتصحيحات والتغييرات والتعيينات اللاحقة. وظل متوسط توقيت معالجة التجديدات مستقرا، في حين انخفض ذلك المتوسط بالنسبة للقرارا</w:t>
      </w:r>
      <w:r>
        <w:rPr>
          <w:rFonts w:hint="eastAsia"/>
          <w:sz w:val="34"/>
          <w:szCs w:val="34"/>
          <w:rtl/>
        </w:rPr>
        <w:t>ت</w:t>
      </w:r>
      <w:r>
        <w:rPr>
          <w:rFonts w:hint="cs"/>
          <w:sz w:val="34"/>
          <w:szCs w:val="34"/>
          <w:rtl/>
        </w:rPr>
        <w:t xml:space="preserve"> للسنة الثانية على التوالي.</w:t>
      </w:r>
    </w:p>
    <w:p w:rsidR="00861CFF" w:rsidRDefault="00861CFF" w:rsidP="00861CFF">
      <w:pPr>
        <w:pStyle w:val="NumberedParaAR"/>
        <w:numPr>
          <w:ilvl w:val="0"/>
          <w:numId w:val="50"/>
        </w:numPr>
        <w:spacing w:before="120" w:after="120" w:line="340" w:lineRule="exact"/>
        <w:ind w:left="714" w:hanging="357"/>
        <w:rPr>
          <w:sz w:val="34"/>
          <w:szCs w:val="34"/>
          <w:rtl/>
        </w:rPr>
      </w:pPr>
      <w:r>
        <w:rPr>
          <w:rFonts w:hint="cs"/>
          <w:sz w:val="34"/>
          <w:szCs w:val="34"/>
          <w:rtl/>
        </w:rPr>
        <w:t>ومن أبرز أهداف المكتب الدولي تقليص مدة المعالجة والعمل على أن تكون مستقرة في جميع المعاملات.</w:t>
      </w:r>
    </w:p>
    <w:p w:rsidR="00861CFF" w:rsidRDefault="00861CFF" w:rsidP="00DA5475">
      <w:pPr>
        <w:pStyle w:val="NumberedParaAR"/>
        <w:numPr>
          <w:ilvl w:val="0"/>
          <w:numId w:val="0"/>
        </w:numPr>
        <w:spacing w:before="120" w:after="120" w:line="340" w:lineRule="exact"/>
        <w:rPr>
          <w:sz w:val="34"/>
          <w:szCs w:val="34"/>
          <w:rtl/>
        </w:rPr>
      </w:pPr>
    </w:p>
    <w:p w:rsidR="00861CFF" w:rsidRPr="0061324A" w:rsidRDefault="00861CFF" w:rsidP="00862268">
      <w:pPr>
        <w:pStyle w:val="NumberedParaAR"/>
        <w:numPr>
          <w:ilvl w:val="0"/>
          <w:numId w:val="0"/>
        </w:numPr>
        <w:rPr>
          <w:highlight w:val="yellow"/>
          <w:rtl/>
        </w:rPr>
        <w:sectPr w:rsidR="00861CFF" w:rsidRPr="0061324A" w:rsidSect="00861CFF">
          <w:pgSz w:w="11906" w:h="16838" w:code="9"/>
          <w:pgMar w:top="1418" w:right="1418" w:bottom="1418" w:left="1134" w:header="510" w:footer="1021" w:gutter="0"/>
          <w:cols w:space="720"/>
          <w:bidi/>
          <w:rtlGutter/>
          <w:docGrid w:linePitch="272"/>
        </w:sectPr>
      </w:pPr>
    </w:p>
    <w:p w:rsidR="00861CFF" w:rsidRPr="0015159A" w:rsidRDefault="00861CFF" w:rsidP="000700C6">
      <w:pPr>
        <w:keepNext/>
        <w:spacing w:before="240" w:after="60"/>
        <w:ind w:left="1699" w:hanging="1699"/>
        <w:outlineLvl w:val="2"/>
        <w:rPr>
          <w:rFonts w:ascii="Arabic Typesetting" w:hAnsi="Arabic Typesetting" w:cs="Arabic Typesetting"/>
          <w:sz w:val="38"/>
          <w:szCs w:val="38"/>
          <w:rtl/>
          <w:lang w:val="fr-CH" w:bidi="ar-SA"/>
        </w:rPr>
      </w:pPr>
      <w:bookmarkStart w:id="138" w:name="_Toc420595544"/>
      <w:r w:rsidRPr="0015159A">
        <w:rPr>
          <w:rFonts w:ascii="Arabic Typesetting" w:hAnsi="Arabic Typesetting" w:cs="Arabic Typesetting"/>
          <w:b/>
          <w:bCs/>
          <w:sz w:val="38"/>
          <w:szCs w:val="38"/>
          <w:rtl/>
          <w:lang w:val="fr-CH" w:bidi="ar-SA"/>
        </w:rPr>
        <w:lastRenderedPageBreak/>
        <w:t xml:space="preserve">المرفق </w:t>
      </w:r>
      <w:r w:rsidRPr="0015159A">
        <w:rPr>
          <w:rFonts w:ascii="Arabic Typesetting" w:hAnsi="Arabic Typesetting" w:cs="Arabic Typesetting" w:hint="cs"/>
          <w:b/>
          <w:bCs/>
          <w:sz w:val="38"/>
          <w:szCs w:val="38"/>
          <w:rtl/>
          <w:lang w:val="fr-CH" w:bidi="ar-SA"/>
        </w:rPr>
        <w:t>السابع</w:t>
      </w:r>
      <w:r w:rsidRPr="0015159A">
        <w:rPr>
          <w:rFonts w:ascii="Arabic Typesetting" w:hAnsi="Arabic Typesetting" w:cs="Arabic Typesetting" w:hint="cs"/>
          <w:b/>
          <w:bCs/>
          <w:sz w:val="38"/>
          <w:szCs w:val="38"/>
          <w:rtl/>
          <w:lang w:val="fr-CH" w:bidi="ar-SA"/>
        </w:rPr>
        <w:tab/>
        <w:t>مؤشرات عمليات نظام لاهاي</w:t>
      </w:r>
      <w:bookmarkEnd w:id="138"/>
    </w:p>
    <w:p w:rsidR="00861CFF" w:rsidRPr="000700C6" w:rsidRDefault="00861CFF" w:rsidP="00DA5475">
      <w:pPr>
        <w:keepNext/>
        <w:spacing w:after="240" w:line="380" w:lineRule="exact"/>
        <w:rPr>
          <w:rFonts w:ascii="Arabic Typesetting" w:hAnsi="Arabic Typesetting" w:cs="Arabic Typesetting"/>
          <w:sz w:val="38"/>
          <w:szCs w:val="38"/>
          <w:rtl/>
          <w:lang w:val="fr-CH"/>
        </w:rPr>
      </w:pPr>
      <w:r w:rsidRPr="000700C6">
        <w:rPr>
          <w:rFonts w:ascii="Arabic Typesetting" w:hAnsi="Arabic Typesetting" w:cs="Arabic Typesetting"/>
          <w:sz w:val="38"/>
          <w:szCs w:val="38"/>
          <w:rtl/>
          <w:lang w:val="fr-CH"/>
        </w:rPr>
        <w:t xml:space="preserve">مؤشرات </w:t>
      </w:r>
      <w:r w:rsidRPr="000700C6">
        <w:rPr>
          <w:rFonts w:ascii="Arabic Typesetting" w:hAnsi="Arabic Typesetting" w:cs="Arabic Typesetting" w:hint="cs"/>
          <w:sz w:val="38"/>
          <w:szCs w:val="38"/>
          <w:rtl/>
          <w:lang w:val="fr-CH"/>
        </w:rPr>
        <w:t>النتيجة المرتقبة "</w:t>
      </w:r>
      <w:r w:rsidRPr="000700C6">
        <w:rPr>
          <w:rFonts w:ascii="Arabic Typesetting" w:hAnsi="Arabic Typesetting" w:cs="Arabic Typesetting"/>
          <w:sz w:val="38"/>
          <w:szCs w:val="38"/>
          <w:rtl/>
          <w:lang w:val="fr-CH"/>
        </w:rPr>
        <w:t xml:space="preserve">إنتاجية وجودة خدمات محسّنة في عمليات </w:t>
      </w:r>
      <w:r w:rsidRPr="000700C6">
        <w:rPr>
          <w:rFonts w:ascii="Arabic Typesetting" w:hAnsi="Arabic Typesetting" w:cs="Arabic Typesetting" w:hint="cs"/>
          <w:sz w:val="38"/>
          <w:szCs w:val="38"/>
          <w:rtl/>
          <w:lang w:val="fr-CH" w:bidi="ar-SA"/>
        </w:rPr>
        <w:t>نظام لاهاي</w:t>
      </w:r>
      <w:r w:rsidRPr="000700C6">
        <w:rPr>
          <w:rFonts w:ascii="Arabic Typesetting" w:hAnsi="Arabic Typesetting" w:cs="Arabic Typesetting" w:hint="cs"/>
          <w:sz w:val="38"/>
          <w:szCs w:val="38"/>
          <w:rtl/>
          <w:lang w:val="fr-CH"/>
        </w:rPr>
        <w:t>"</w:t>
      </w:r>
    </w:p>
    <w:p w:rsidR="00861CFF" w:rsidRPr="0015159A" w:rsidRDefault="00861CFF" w:rsidP="00861CFF">
      <w:pPr>
        <w:numPr>
          <w:ilvl w:val="0"/>
          <w:numId w:val="46"/>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من المهم النظر في تطورات العوامل التالية، كمعلومات أساسية عن مؤشرات الأداء للنتيجة المرتقبة "</w:t>
      </w:r>
      <w:r w:rsidRPr="0015159A">
        <w:rPr>
          <w:rFonts w:ascii="Arabic Typesetting" w:hAnsi="Arabic Typesetting" w:cs="Arabic Typesetting"/>
          <w:sz w:val="34"/>
          <w:szCs w:val="34"/>
          <w:rtl/>
          <w:lang w:bidi="ar-SA"/>
        </w:rPr>
        <w:t xml:space="preserve">إنتاجية وجودة خدمات محسّنة في عمليات نظام </w:t>
      </w:r>
      <w:r w:rsidRPr="0015159A">
        <w:rPr>
          <w:rFonts w:ascii="Arabic Typesetting" w:hAnsi="Arabic Typesetting" w:cs="Arabic Typesetting" w:hint="cs"/>
          <w:sz w:val="34"/>
          <w:szCs w:val="34"/>
          <w:rtl/>
          <w:lang w:bidi="ar-SA"/>
        </w:rPr>
        <w:t>لاهاي</w:t>
      </w:r>
      <w:r w:rsidRPr="0015159A">
        <w:rPr>
          <w:rFonts w:ascii="Arabic Typesetting" w:hAnsi="Arabic Typesetting" w:cs="Arabic Typesetting"/>
          <w:sz w:val="34"/>
          <w:szCs w:val="34"/>
          <w:rtl/>
          <w:lang w:bidi="ar-SA"/>
        </w:rPr>
        <w:t>"</w:t>
      </w:r>
      <w:r w:rsidRPr="0015159A">
        <w:rPr>
          <w:rFonts w:ascii="Arabic Typesetting" w:hAnsi="Arabic Typesetting" w:cs="Arabic Typesetting" w:hint="cs"/>
          <w:sz w:val="34"/>
          <w:szCs w:val="34"/>
          <w:rtl/>
          <w:lang w:bidi="ar-SA"/>
        </w:rPr>
        <w:t xml:space="preserve"> </w:t>
      </w:r>
    </w:p>
    <w:p w:rsidR="00861CFF" w:rsidRPr="0015159A" w:rsidRDefault="00861CFF" w:rsidP="00861CFF">
      <w:pPr>
        <w:numPr>
          <w:ilvl w:val="0"/>
          <w:numId w:val="45"/>
        </w:numPr>
        <w:spacing w:after="120" w:line="340" w:lineRule="exact"/>
        <w:ind w:left="714" w:hanging="357"/>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أعباء عمل نظام لاهاي؛</w:t>
      </w:r>
    </w:p>
    <w:p w:rsidR="00861CFF" w:rsidRPr="0015159A" w:rsidRDefault="00861CFF" w:rsidP="00861CFF">
      <w:pPr>
        <w:numPr>
          <w:ilvl w:val="0"/>
          <w:numId w:val="45"/>
        </w:numPr>
        <w:spacing w:after="120" w:line="340" w:lineRule="exact"/>
        <w:ind w:left="714" w:hanging="357"/>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ومكونات تلك الأعباء؛</w:t>
      </w:r>
    </w:p>
    <w:p w:rsidR="00861CFF" w:rsidRPr="0015159A" w:rsidRDefault="00861CFF" w:rsidP="00861CFF">
      <w:pPr>
        <w:numPr>
          <w:ilvl w:val="0"/>
          <w:numId w:val="45"/>
        </w:numPr>
        <w:spacing w:after="120" w:line="340" w:lineRule="exact"/>
        <w:ind w:left="714" w:hanging="357"/>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ومستوى الأتمتة؛</w:t>
      </w:r>
    </w:p>
    <w:p w:rsidR="00861CFF" w:rsidRPr="0015159A" w:rsidRDefault="00861CFF" w:rsidP="00861CFF">
      <w:pPr>
        <w:numPr>
          <w:ilvl w:val="0"/>
          <w:numId w:val="45"/>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والموارد المخصصة لمواكبة تلك الأعباء.</w:t>
      </w:r>
    </w:p>
    <w:p w:rsidR="00861CFF" w:rsidRPr="0015159A" w:rsidRDefault="00861CFF" w:rsidP="00861CFF">
      <w:pPr>
        <w:numPr>
          <w:ilvl w:val="0"/>
          <w:numId w:val="46"/>
        </w:numPr>
        <w:spacing w:after="120" w:line="340" w:lineRule="exact"/>
        <w:rPr>
          <w:rFonts w:ascii="Arabic Typesetting" w:hAnsi="Arabic Typesetting" w:cs="Arabic Typesetting"/>
          <w:sz w:val="36"/>
          <w:szCs w:val="36"/>
          <w:lang w:val="fr-CH" w:bidi="ar-SA"/>
        </w:rPr>
      </w:pPr>
      <w:r w:rsidRPr="0015159A">
        <w:rPr>
          <w:rFonts w:ascii="Arabic Typesetting" w:hAnsi="Arabic Typesetting" w:cs="Arabic Typesetting" w:hint="cs"/>
          <w:sz w:val="36"/>
          <w:szCs w:val="36"/>
          <w:rtl/>
          <w:lang w:val="fr-CH" w:bidi="ar-SA"/>
        </w:rPr>
        <w:t>يستلم</w:t>
      </w:r>
      <w:r w:rsidRPr="0015159A">
        <w:rPr>
          <w:rFonts w:ascii="Arabic Typesetting" w:hAnsi="Arabic Typesetting" w:cs="Arabic Typesetting"/>
          <w:sz w:val="36"/>
          <w:szCs w:val="36"/>
          <w:rtl/>
          <w:lang w:val="fr-CH" w:bidi="ar-SA"/>
        </w:rPr>
        <w:t xml:space="preserve"> المكتب الدولي </w:t>
      </w:r>
      <w:r w:rsidRPr="0015159A">
        <w:rPr>
          <w:rFonts w:ascii="Arabic Typesetting" w:hAnsi="Arabic Typesetting" w:cs="Arabic Typesetting" w:hint="cs"/>
          <w:sz w:val="36"/>
          <w:szCs w:val="36"/>
          <w:rtl/>
          <w:lang w:val="fr-CH" w:bidi="ar-SA"/>
        </w:rPr>
        <w:t>أربع</w:t>
      </w:r>
      <w:r w:rsidRPr="0015159A">
        <w:rPr>
          <w:rFonts w:ascii="Arabic Typesetting" w:hAnsi="Arabic Typesetting" w:cs="Arabic Typesetting"/>
          <w:sz w:val="36"/>
          <w:szCs w:val="36"/>
          <w:rtl/>
          <w:lang w:val="fr-CH" w:bidi="ar-SA"/>
        </w:rPr>
        <w:t xml:space="preserve"> فئات </w:t>
      </w:r>
      <w:r w:rsidRPr="0015159A">
        <w:rPr>
          <w:rFonts w:ascii="Arabic Typesetting" w:hAnsi="Arabic Typesetting" w:cs="Arabic Typesetting" w:hint="cs"/>
          <w:sz w:val="36"/>
          <w:szCs w:val="36"/>
          <w:rtl/>
          <w:lang w:val="fr-CH" w:bidi="ar-SA"/>
        </w:rPr>
        <w:t>رئيسية</w:t>
      </w:r>
      <w:r w:rsidRPr="0015159A">
        <w:rPr>
          <w:rFonts w:ascii="Arabic Typesetting" w:hAnsi="Arabic Typesetting" w:cs="Arabic Typesetting"/>
          <w:sz w:val="36"/>
          <w:szCs w:val="36"/>
          <w:rtl/>
          <w:lang w:val="fr-CH" w:bidi="ar-SA"/>
        </w:rPr>
        <w:t xml:space="preserve"> من </w:t>
      </w:r>
      <w:r w:rsidRPr="0015159A">
        <w:rPr>
          <w:rFonts w:ascii="Arabic Typesetting" w:hAnsi="Arabic Typesetting" w:cs="Arabic Typesetting" w:hint="cs"/>
          <w:sz w:val="36"/>
          <w:szCs w:val="36"/>
          <w:rtl/>
          <w:lang w:val="fr-CH" w:bidi="ar-SA"/>
        </w:rPr>
        <w:t>الوثائق</w:t>
      </w:r>
      <w:r w:rsidRPr="0015159A">
        <w:rPr>
          <w:rFonts w:ascii="Arabic Typesetting" w:hAnsi="Arabic Typesetting" w:cs="Arabic Typesetting"/>
          <w:sz w:val="36"/>
          <w:szCs w:val="36"/>
          <w:rtl/>
          <w:lang w:val="fr-CH" w:bidi="ar-SA"/>
        </w:rPr>
        <w:t xml:space="preserve">، وهي الطلبات الدولية والتجديدات </w:t>
      </w:r>
      <w:r w:rsidRPr="0015159A">
        <w:rPr>
          <w:rFonts w:ascii="Arabic Typesetting" w:hAnsi="Arabic Typesetting" w:cs="Arabic Typesetting" w:hint="cs"/>
          <w:sz w:val="36"/>
          <w:szCs w:val="36"/>
          <w:rtl/>
          <w:lang w:val="fr-CH" w:bidi="ar-SA"/>
        </w:rPr>
        <w:t>والتغييرات</w:t>
      </w:r>
      <w:r w:rsidRPr="0015159A">
        <w:rPr>
          <w:rFonts w:ascii="Arabic Typesetting" w:hAnsi="Arabic Typesetting" w:cs="Arabic Typesetting"/>
          <w:sz w:val="36"/>
          <w:szCs w:val="36"/>
          <w:rtl/>
          <w:lang w:val="fr-CH" w:bidi="ar-SA"/>
        </w:rPr>
        <w:t xml:space="preserve"> والقرارات. وي</w:t>
      </w:r>
      <w:r w:rsidRPr="0015159A">
        <w:rPr>
          <w:rFonts w:ascii="Arabic Typesetting" w:hAnsi="Arabic Typesetting" w:cs="Arabic Typesetting" w:hint="cs"/>
          <w:sz w:val="36"/>
          <w:szCs w:val="36"/>
          <w:rtl/>
          <w:lang w:val="fr-CH" w:bidi="ar-SA"/>
        </w:rPr>
        <w:t>ُعرض</w:t>
      </w:r>
      <w:r w:rsidRPr="0015159A">
        <w:rPr>
          <w:rFonts w:ascii="Arabic Typesetting" w:hAnsi="Arabic Typesetting" w:cs="Arabic Typesetting"/>
          <w:sz w:val="36"/>
          <w:szCs w:val="36"/>
          <w:rtl/>
          <w:lang w:val="fr-CH" w:bidi="ar-SA"/>
        </w:rPr>
        <w:t xml:space="preserve"> أدناه</w:t>
      </w:r>
      <w:r w:rsidRPr="0015159A">
        <w:rPr>
          <w:rFonts w:ascii="Arabic Typesetting" w:hAnsi="Arabic Typesetting" w:cs="Arabic Typesetting" w:hint="cs"/>
          <w:sz w:val="36"/>
          <w:szCs w:val="36"/>
          <w:rtl/>
          <w:lang w:val="fr-CH" w:bidi="ar-SA"/>
        </w:rPr>
        <w:t xml:space="preserve"> آخر </w:t>
      </w:r>
      <w:r w:rsidRPr="0015159A">
        <w:rPr>
          <w:rFonts w:ascii="Arabic Typesetting" w:hAnsi="Arabic Typesetting" w:cs="Arabic Typesetting"/>
          <w:sz w:val="36"/>
          <w:szCs w:val="36"/>
          <w:rtl/>
          <w:lang w:val="fr-CH" w:bidi="ar-SA"/>
        </w:rPr>
        <w:t xml:space="preserve">اتجاه لكل من </w:t>
      </w:r>
      <w:r w:rsidRPr="0015159A">
        <w:rPr>
          <w:rFonts w:ascii="Arabic Typesetting" w:hAnsi="Arabic Typesetting" w:cs="Arabic Typesetting" w:hint="cs"/>
          <w:sz w:val="36"/>
          <w:szCs w:val="36"/>
          <w:rtl/>
          <w:lang w:val="fr-CH" w:bidi="ar-SA"/>
        </w:rPr>
        <w:t xml:space="preserve">تلك </w:t>
      </w:r>
      <w:r w:rsidRPr="0015159A">
        <w:rPr>
          <w:rFonts w:ascii="Arabic Typesetting" w:hAnsi="Arabic Typesetting" w:cs="Arabic Typesetting"/>
          <w:sz w:val="36"/>
          <w:szCs w:val="36"/>
          <w:rtl/>
          <w:lang w:val="fr-CH" w:bidi="ar-SA"/>
        </w:rPr>
        <w:t>الوثائق. و</w:t>
      </w:r>
      <w:r w:rsidRPr="0015159A">
        <w:rPr>
          <w:rFonts w:ascii="Arabic Typesetting" w:hAnsi="Arabic Typesetting" w:cs="Arabic Typesetting" w:hint="cs"/>
          <w:sz w:val="36"/>
          <w:szCs w:val="36"/>
          <w:rtl/>
          <w:lang w:val="fr-CH" w:bidi="ar-SA"/>
        </w:rPr>
        <w:t>ترد</w:t>
      </w:r>
      <w:r w:rsidRPr="0015159A">
        <w:rPr>
          <w:rFonts w:ascii="Arabic Typesetting" w:hAnsi="Arabic Typesetting" w:cs="Arabic Typesetting"/>
          <w:sz w:val="36"/>
          <w:szCs w:val="36"/>
          <w:rtl/>
          <w:lang w:val="fr-CH" w:bidi="ar-SA"/>
        </w:rPr>
        <w:t xml:space="preserve"> أيضا معلومات إضافية عن </w:t>
      </w:r>
      <w:r w:rsidRPr="0015159A">
        <w:rPr>
          <w:rFonts w:ascii="Arabic Typesetting" w:hAnsi="Arabic Typesetting" w:cs="Arabic Typesetting" w:hint="cs"/>
          <w:sz w:val="36"/>
          <w:szCs w:val="36"/>
          <w:rtl/>
          <w:lang w:val="fr-CH" w:bidi="ar-SA"/>
        </w:rPr>
        <w:t xml:space="preserve">الطلبات المستلمة </w:t>
      </w:r>
      <w:r w:rsidRPr="0015159A">
        <w:rPr>
          <w:rFonts w:ascii="Arabic Typesetting" w:hAnsi="Arabic Typesetting" w:cs="Arabic Typesetting"/>
          <w:sz w:val="36"/>
          <w:szCs w:val="36"/>
          <w:rtl/>
          <w:lang w:val="fr-CH" w:bidi="ar-SA"/>
        </w:rPr>
        <w:t>مثل متوسط عدد</w:t>
      </w:r>
      <w:r w:rsidRPr="0015159A">
        <w:rPr>
          <w:rFonts w:ascii="Arabic Typesetting" w:hAnsi="Arabic Typesetting" w:cs="Arabic Typesetting" w:hint="cs"/>
          <w:sz w:val="36"/>
          <w:szCs w:val="36"/>
          <w:rtl/>
          <w:lang w:val="fr-CH" w:bidi="ar-SA"/>
        </w:rPr>
        <w:t xml:space="preserve"> التصاميم</w:t>
      </w:r>
      <w:r w:rsidRPr="0015159A">
        <w:rPr>
          <w:rFonts w:ascii="Arabic Typesetting" w:hAnsi="Arabic Typesetting" w:cs="Arabic Typesetting"/>
          <w:sz w:val="36"/>
          <w:szCs w:val="36"/>
          <w:rtl/>
          <w:lang w:val="fr-CH" w:bidi="ar-SA"/>
        </w:rPr>
        <w:t xml:space="preserve">. </w:t>
      </w:r>
      <w:r w:rsidRPr="0015159A">
        <w:rPr>
          <w:rFonts w:ascii="Arabic Typesetting" w:hAnsi="Arabic Typesetting" w:cs="Arabic Typesetting" w:hint="cs"/>
          <w:sz w:val="36"/>
          <w:szCs w:val="36"/>
          <w:rtl/>
          <w:lang w:val="fr-CH" w:bidi="ar-SA"/>
        </w:rPr>
        <w:t>و</w:t>
      </w:r>
      <w:r w:rsidRPr="0015159A">
        <w:rPr>
          <w:rFonts w:ascii="Arabic Typesetting" w:hAnsi="Arabic Typesetting" w:cs="Arabic Typesetting"/>
          <w:sz w:val="36"/>
          <w:szCs w:val="36"/>
          <w:rtl/>
          <w:lang w:val="fr-CH" w:bidi="ar-SA"/>
        </w:rPr>
        <w:t xml:space="preserve">لأسباب </w:t>
      </w:r>
      <w:r w:rsidRPr="0015159A">
        <w:rPr>
          <w:rFonts w:ascii="Arabic Typesetting" w:hAnsi="Arabic Typesetting" w:cs="Arabic Typesetting" w:hint="cs"/>
          <w:sz w:val="36"/>
          <w:szCs w:val="36"/>
          <w:rtl/>
          <w:lang w:val="fr-CH" w:bidi="ar-SA"/>
        </w:rPr>
        <w:t>تقنية،</w:t>
      </w:r>
      <w:r w:rsidRPr="0015159A">
        <w:rPr>
          <w:rFonts w:ascii="Arabic Typesetting" w:hAnsi="Arabic Typesetting" w:cs="Arabic Typesetting"/>
          <w:sz w:val="36"/>
          <w:szCs w:val="36"/>
          <w:rtl/>
          <w:lang w:val="fr-CH" w:bidi="ar-SA"/>
        </w:rPr>
        <w:t xml:space="preserve"> </w:t>
      </w:r>
      <w:r w:rsidRPr="0015159A">
        <w:rPr>
          <w:rFonts w:ascii="Arabic Typesetting" w:hAnsi="Arabic Typesetting" w:cs="Arabic Typesetting" w:hint="cs"/>
          <w:sz w:val="36"/>
          <w:szCs w:val="36"/>
          <w:rtl/>
          <w:lang w:val="fr-CH" w:bidi="ar-SA"/>
        </w:rPr>
        <w:t>يبين مؤشر المخالفات الصادر</w:t>
      </w:r>
      <w:r w:rsidRPr="0015159A">
        <w:rPr>
          <w:rFonts w:ascii="Arabic Typesetting" w:hAnsi="Arabic Typesetting" w:cs="Arabic Typesetting"/>
          <w:sz w:val="36"/>
          <w:szCs w:val="36"/>
          <w:rtl/>
          <w:lang w:val="fr-CH" w:bidi="ar-SA"/>
        </w:rPr>
        <w:t xml:space="preserve"> </w:t>
      </w:r>
      <w:r w:rsidRPr="0015159A">
        <w:rPr>
          <w:rFonts w:ascii="Arabic Typesetting" w:hAnsi="Arabic Typesetting" w:cs="Arabic Typesetting" w:hint="cs"/>
          <w:sz w:val="36"/>
          <w:szCs w:val="36"/>
          <w:rtl/>
          <w:lang w:val="fr-CH" w:bidi="ar-SA"/>
        </w:rPr>
        <w:t>ال</w:t>
      </w:r>
      <w:r w:rsidRPr="0015159A">
        <w:rPr>
          <w:rFonts w:ascii="Arabic Typesetting" w:hAnsi="Arabic Typesetting" w:cs="Arabic Typesetting"/>
          <w:sz w:val="36"/>
          <w:szCs w:val="36"/>
          <w:rtl/>
          <w:lang w:val="fr-CH" w:bidi="ar-SA"/>
        </w:rPr>
        <w:t xml:space="preserve">بيانات بناء على </w:t>
      </w:r>
      <w:r w:rsidRPr="0015159A">
        <w:rPr>
          <w:rFonts w:ascii="Arabic Typesetting" w:hAnsi="Arabic Typesetting" w:cs="Arabic Typesetting" w:hint="cs"/>
          <w:sz w:val="36"/>
          <w:szCs w:val="36"/>
          <w:rtl/>
          <w:lang w:val="fr-CH" w:bidi="ar-SA"/>
        </w:rPr>
        <w:t>الوثائق المعالجة بد</w:t>
      </w:r>
      <w:r w:rsidRPr="0015159A">
        <w:rPr>
          <w:rFonts w:ascii="Arabic Typesetting" w:hAnsi="Arabic Typesetting" w:cs="Arabic Typesetting"/>
          <w:sz w:val="36"/>
          <w:szCs w:val="36"/>
          <w:rtl/>
          <w:lang w:val="fr-CH" w:bidi="ar-SA"/>
        </w:rPr>
        <w:t xml:space="preserve">لا من </w:t>
      </w:r>
      <w:r w:rsidRPr="0015159A">
        <w:rPr>
          <w:rFonts w:ascii="Arabic Typesetting" w:hAnsi="Arabic Typesetting" w:cs="Arabic Typesetting" w:hint="cs"/>
          <w:sz w:val="36"/>
          <w:szCs w:val="36"/>
          <w:rtl/>
          <w:lang w:val="fr-CH" w:bidi="ar-SA"/>
        </w:rPr>
        <w:t>ال</w:t>
      </w:r>
      <w:r w:rsidRPr="0015159A">
        <w:rPr>
          <w:rFonts w:ascii="Arabic Typesetting" w:hAnsi="Arabic Typesetting" w:cs="Arabic Typesetting"/>
          <w:sz w:val="36"/>
          <w:szCs w:val="36"/>
          <w:rtl/>
          <w:lang w:val="fr-CH" w:bidi="ar-SA"/>
        </w:rPr>
        <w:t xml:space="preserve">وثائق </w:t>
      </w:r>
      <w:r w:rsidRPr="0015159A">
        <w:rPr>
          <w:rFonts w:ascii="Arabic Typesetting" w:hAnsi="Arabic Typesetting" w:cs="Arabic Typesetting" w:hint="cs"/>
          <w:sz w:val="36"/>
          <w:szCs w:val="36"/>
          <w:rtl/>
          <w:lang w:val="fr-CH" w:bidi="ar-SA"/>
        </w:rPr>
        <w:t>ال</w:t>
      </w:r>
      <w:r w:rsidRPr="0015159A">
        <w:rPr>
          <w:rFonts w:ascii="Arabic Typesetting" w:hAnsi="Arabic Typesetting" w:cs="Arabic Typesetting"/>
          <w:sz w:val="36"/>
          <w:szCs w:val="36"/>
          <w:rtl/>
          <w:lang w:val="fr-CH" w:bidi="ar-SA"/>
        </w:rPr>
        <w:t>واردة.</w:t>
      </w:r>
    </w:p>
    <w:p w:rsidR="00861CFF" w:rsidRPr="0015159A" w:rsidRDefault="00861CFF" w:rsidP="00DA5475">
      <w:pPr>
        <w:keepNext/>
        <w:spacing w:after="240" w:line="380" w:lineRule="exact"/>
        <w:rPr>
          <w:rFonts w:ascii="Arabic Typesetting" w:hAnsi="Arabic Typesetting" w:cs="Arabic Typesetting"/>
          <w:b/>
          <w:bCs/>
          <w:sz w:val="36"/>
          <w:szCs w:val="36"/>
          <w:lang w:val="fr-CH"/>
        </w:rPr>
      </w:pPr>
      <w:r w:rsidRPr="0015159A">
        <w:rPr>
          <w:rFonts w:ascii="Arabic Typesetting" w:hAnsi="Arabic Typesetting" w:cs="Arabic Typesetting" w:hint="cs"/>
          <w:b/>
          <w:bCs/>
          <w:sz w:val="36"/>
          <w:szCs w:val="36"/>
          <w:rtl/>
          <w:lang w:val="fr-CH"/>
        </w:rPr>
        <w:t>أولا.</w:t>
      </w:r>
      <w:r w:rsidRPr="0015159A">
        <w:rPr>
          <w:rFonts w:ascii="Arabic Typesetting" w:hAnsi="Arabic Typesetting" w:cs="Arabic Typesetting" w:hint="cs"/>
          <w:b/>
          <w:bCs/>
          <w:sz w:val="36"/>
          <w:szCs w:val="36"/>
          <w:rtl/>
          <w:lang w:val="fr-CH"/>
        </w:rPr>
        <w:tab/>
        <w:t>الوثائق الواردة</w:t>
      </w:r>
    </w:p>
    <w:p w:rsidR="00861CFF" w:rsidRPr="0015159A" w:rsidRDefault="00861CFF" w:rsidP="00DA5475">
      <w:pPr>
        <w:keepNext/>
        <w:spacing w:after="120" w:line="340" w:lineRule="exact"/>
        <w:rPr>
          <w:rFonts w:ascii="Arabic Typesetting" w:hAnsi="Arabic Typesetting" w:cs="Arabic Typesetting"/>
          <w:sz w:val="36"/>
          <w:szCs w:val="36"/>
          <w:u w:val="single"/>
          <w:rtl/>
          <w:lang w:val="fr-CH" w:bidi="ar-SA"/>
        </w:rPr>
      </w:pPr>
      <w:r w:rsidRPr="0015159A">
        <w:rPr>
          <w:rFonts w:ascii="Arabic Typesetting" w:hAnsi="Arabic Typesetting" w:cs="Arabic Typesetting" w:hint="cs"/>
          <w:sz w:val="36"/>
          <w:szCs w:val="36"/>
          <w:u w:val="single"/>
          <w:rtl/>
          <w:lang w:val="fr-CH" w:bidi="ar-SA"/>
        </w:rPr>
        <w:t>الطلبات المستلمة</w:t>
      </w:r>
    </w:p>
    <w:p w:rsidR="00861CFF" w:rsidRPr="0015159A" w:rsidRDefault="00861CFF" w:rsidP="00DA5475">
      <w:pPr>
        <w:spacing w:after="120"/>
        <w:jc w:val="center"/>
        <w:rPr>
          <w:rFonts w:ascii="Arabic Typesetting" w:hAnsi="Arabic Typesetting" w:cs="Arabic Typesetting"/>
          <w:sz w:val="36"/>
          <w:szCs w:val="36"/>
          <w:u w:val="single"/>
          <w:lang w:val="fr-CH" w:bidi="ar-SA"/>
        </w:rPr>
      </w:pPr>
      <w:r w:rsidRPr="000E4A2F">
        <w:rPr>
          <w:rFonts w:ascii="Arabic Typesetting" w:hAnsi="Arabic Typesetting" w:cs="Arabic Typesetting"/>
          <w:noProof/>
          <w:sz w:val="36"/>
          <w:szCs w:val="36"/>
          <w:lang w:bidi="ar-SA"/>
        </w:rPr>
        <w:drawing>
          <wp:inline distT="0" distB="0" distL="0" distR="0" wp14:anchorId="62F80C5A" wp14:editId="60FECBDC">
            <wp:extent cx="4888522" cy="2941214"/>
            <wp:effectExtent l="0" t="0" r="762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897518" cy="2946626"/>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 xml:space="preserve">في سنة 2014 استلم المكتب الدولي </w:t>
      </w:r>
      <w:r w:rsidRPr="0015159A">
        <w:rPr>
          <w:rFonts w:ascii="Arabic Typesetting" w:hAnsi="Arabic Typesetting" w:cs="Arabic Typesetting"/>
          <w:sz w:val="34"/>
          <w:szCs w:val="34"/>
          <w:rtl/>
          <w:lang w:bidi="ar-SA"/>
        </w:rPr>
        <w:t xml:space="preserve">2,924 </w:t>
      </w:r>
      <w:r w:rsidRPr="0015159A">
        <w:rPr>
          <w:rFonts w:ascii="Arabic Typesetting" w:hAnsi="Arabic Typesetting" w:cs="Arabic Typesetting" w:hint="cs"/>
          <w:sz w:val="34"/>
          <w:szCs w:val="34"/>
          <w:rtl/>
          <w:lang w:bidi="ar-SA"/>
        </w:rPr>
        <w:t>طلبا، أي بانخفاض بنسبة 2.2</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بالمائة مقارنة بسنة 2013. وفي سنة 2013 زاد عدد الطلبات المستلمة زيادة حادة بنسبة 15 بالمائة.</w:t>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وفي سنة 2014 أودعت نسبة 89 بالمائة من الطلبات إلكترونيا. وبذلك زادت حصة الإيداعات الإلكترونية بنسبة 10 نقاط مئوية من سنة 2011 إلى سنة 2014، مرتفعة من نسبة 79 بالمائة في سنة 2011 إلى نسبة 89 بالمائة في سنة 2014.</w:t>
      </w:r>
    </w:p>
    <w:p w:rsidR="00861CFF" w:rsidRPr="0015159A" w:rsidRDefault="00861CFF" w:rsidP="00DA5475">
      <w:pPr>
        <w:keepNext/>
        <w:spacing w:before="120" w:after="120" w:line="340" w:lineRule="exact"/>
        <w:ind w:left="423"/>
        <w:rPr>
          <w:rFonts w:ascii="Arabic Typesetting" w:hAnsi="Arabic Typesetting" w:cs="Arabic Typesetting"/>
          <w:i/>
          <w:iCs/>
          <w:sz w:val="34"/>
          <w:szCs w:val="34"/>
          <w:rtl/>
          <w:lang w:bidi="ar-SA"/>
        </w:rPr>
      </w:pPr>
      <w:r w:rsidRPr="0015159A">
        <w:rPr>
          <w:rFonts w:ascii="Arabic Typesetting" w:hAnsi="Arabic Typesetting" w:cs="Arabic Typesetting" w:hint="cs"/>
          <w:i/>
          <w:iCs/>
          <w:sz w:val="34"/>
          <w:szCs w:val="34"/>
          <w:rtl/>
          <w:lang w:bidi="ar-SA"/>
        </w:rPr>
        <w:lastRenderedPageBreak/>
        <w:t>متوسط عدد التصاميم لكل طلب</w:t>
      </w:r>
    </w:p>
    <w:p w:rsidR="00861CFF" w:rsidRPr="0015159A" w:rsidRDefault="00861CFF" w:rsidP="00DA5475">
      <w:pPr>
        <w:spacing w:after="120"/>
        <w:jc w:val="center"/>
        <w:rPr>
          <w:rFonts w:ascii="Arabic Typesetting" w:hAnsi="Arabic Typesetting" w:cs="Arabic Typesetting"/>
          <w:sz w:val="36"/>
          <w:szCs w:val="36"/>
          <w:rtl/>
          <w:lang w:bidi="ar-SA"/>
        </w:rPr>
      </w:pPr>
      <w:r>
        <w:rPr>
          <w:rFonts w:ascii="Arabic Typesetting" w:hAnsi="Arabic Typesetting" w:cs="Arabic Typesetting"/>
          <w:noProof/>
          <w:sz w:val="36"/>
          <w:szCs w:val="36"/>
          <w:lang w:bidi="ar-SA"/>
        </w:rPr>
        <w:drawing>
          <wp:inline distT="0" distB="0" distL="0" distR="0" wp14:anchorId="29DF97BB" wp14:editId="01CCAE7D">
            <wp:extent cx="4731026" cy="286290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741307" cy="2869130"/>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6"/>
          <w:szCs w:val="36"/>
          <w:lang w:bidi="ar-SA"/>
        </w:rPr>
      </w:pPr>
      <w:r w:rsidRPr="0015159A">
        <w:rPr>
          <w:rFonts w:ascii="Arabic Typesetting" w:hAnsi="Arabic Typesetting" w:cs="Arabic Typesetting" w:hint="cs"/>
          <w:sz w:val="36"/>
          <w:szCs w:val="36"/>
          <w:rtl/>
          <w:lang w:bidi="ar-SA"/>
        </w:rPr>
        <w:t>في سنة 2014، احتوى الطلب الدولي في المتوسط على زهاء خمسة تصاميم. وبين سنة 2011 وسنة 2014 تراوح متوسط عدد التصاميم لكل طلب بين 4.5 و5 تصاميم.</w:t>
      </w:r>
    </w:p>
    <w:p w:rsidR="00861CFF" w:rsidRPr="0015159A" w:rsidRDefault="00861CFF" w:rsidP="00DA5475">
      <w:pPr>
        <w:keepNext/>
        <w:spacing w:before="120" w:after="120" w:line="340" w:lineRule="exact"/>
        <w:ind w:left="423"/>
        <w:rPr>
          <w:rFonts w:ascii="Arabic Typesetting" w:hAnsi="Arabic Typesetting" w:cs="Arabic Typesetting"/>
          <w:i/>
          <w:iCs/>
          <w:sz w:val="34"/>
          <w:szCs w:val="34"/>
          <w:rtl/>
          <w:lang w:bidi="ar-SA"/>
        </w:rPr>
      </w:pPr>
      <w:r w:rsidRPr="0015159A">
        <w:rPr>
          <w:rFonts w:ascii="Arabic Typesetting" w:hAnsi="Arabic Typesetting" w:cs="Arabic Typesetting" w:hint="cs"/>
          <w:i/>
          <w:iCs/>
          <w:sz w:val="34"/>
          <w:szCs w:val="34"/>
          <w:rtl/>
          <w:lang w:bidi="ar-SA"/>
        </w:rPr>
        <w:t>متوسط عدد التعيينات لكل تسجيل</w:t>
      </w:r>
    </w:p>
    <w:p w:rsidR="00861CFF" w:rsidRPr="0015159A" w:rsidRDefault="00861CFF" w:rsidP="00DA5475">
      <w:pPr>
        <w:spacing w:before="120" w:after="120"/>
        <w:jc w:val="center"/>
        <w:rPr>
          <w:rFonts w:ascii="Arabic Typesetting" w:hAnsi="Arabic Typesetting" w:cs="Arabic Typesetting"/>
          <w:i/>
          <w:iCs/>
          <w:sz w:val="34"/>
          <w:szCs w:val="34"/>
          <w:rtl/>
          <w:lang w:bidi="ar-SA"/>
        </w:rPr>
      </w:pPr>
      <w:r>
        <w:rPr>
          <w:rFonts w:ascii="Arabic Typesetting" w:hAnsi="Arabic Typesetting" w:cs="Arabic Typesetting"/>
          <w:i/>
          <w:iCs/>
          <w:noProof/>
          <w:sz w:val="34"/>
          <w:szCs w:val="34"/>
          <w:lang w:bidi="ar-SA"/>
        </w:rPr>
        <w:drawing>
          <wp:inline distT="0" distB="0" distL="0" distR="0" wp14:anchorId="244EA4D0" wp14:editId="78158A44">
            <wp:extent cx="5414856" cy="3272423"/>
            <wp:effectExtent l="0" t="0" r="0" b="444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430558" cy="3281913"/>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في سنة 2014 احتوى الطلب في المتوسط على زهاء خمسة تعيينات.</w:t>
      </w:r>
    </w:p>
    <w:p w:rsidR="00861CFF" w:rsidRPr="0015159A" w:rsidRDefault="00861CFF" w:rsidP="00DA5475">
      <w:pPr>
        <w:keepNext/>
        <w:spacing w:before="120" w:after="120" w:line="340" w:lineRule="exact"/>
        <w:ind w:left="423"/>
        <w:rPr>
          <w:rFonts w:ascii="Arabic Typesetting" w:hAnsi="Arabic Typesetting" w:cs="Arabic Typesetting"/>
          <w:i/>
          <w:iCs/>
          <w:sz w:val="34"/>
          <w:szCs w:val="34"/>
          <w:lang w:bidi="ar-SA"/>
        </w:rPr>
      </w:pPr>
      <w:r w:rsidRPr="0015159A">
        <w:rPr>
          <w:rFonts w:ascii="Arabic Typesetting" w:hAnsi="Arabic Typesetting" w:cs="Arabic Typesetting" w:hint="cs"/>
          <w:i/>
          <w:iCs/>
          <w:sz w:val="34"/>
          <w:szCs w:val="34"/>
          <w:rtl/>
          <w:lang w:bidi="ar-SA"/>
        </w:rPr>
        <w:lastRenderedPageBreak/>
        <w:t>توجهات المخالفات في الطلبات</w:t>
      </w:r>
    </w:p>
    <w:p w:rsidR="00861CFF" w:rsidRPr="0015159A" w:rsidRDefault="00861CFF" w:rsidP="000700C6">
      <w:pPr>
        <w:keepNext/>
        <w:numPr>
          <w:ilvl w:val="0"/>
          <w:numId w:val="46"/>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تنقسم المخالفات في الطلبات إلى عشر فئات مبينة في الشكل الوارد أدناه.</w:t>
      </w:r>
    </w:p>
    <w:p w:rsidR="00861CFF" w:rsidRPr="0015159A" w:rsidRDefault="00861CFF" w:rsidP="00DA5475">
      <w:pPr>
        <w:spacing w:after="120"/>
        <w:jc w:val="center"/>
        <w:rPr>
          <w:rFonts w:ascii="Arabic Typesetting" w:hAnsi="Arabic Typesetting" w:cs="Arabic Typesetting"/>
          <w:sz w:val="34"/>
          <w:szCs w:val="34"/>
          <w:lang w:bidi="ar-SA"/>
        </w:rPr>
      </w:pPr>
      <w:r>
        <w:rPr>
          <w:rFonts w:ascii="Arabic Typesetting" w:hAnsi="Arabic Typesetting" w:cs="Arabic Typesetting"/>
          <w:noProof/>
          <w:sz w:val="34"/>
          <w:szCs w:val="34"/>
          <w:lang w:bidi="ar-SA"/>
        </w:rPr>
        <w:drawing>
          <wp:inline distT="0" distB="0" distL="0" distR="0" wp14:anchorId="6D664737" wp14:editId="07C6F435">
            <wp:extent cx="4886325" cy="3080231"/>
            <wp:effectExtent l="0" t="0" r="0" b="635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886734" cy="3080489"/>
                    </a:xfrm>
                    <a:prstGeom prst="rect">
                      <a:avLst/>
                    </a:prstGeom>
                    <a:noFill/>
                  </pic:spPr>
                </pic:pic>
              </a:graphicData>
            </a:graphic>
          </wp:inline>
        </w:drawing>
      </w:r>
    </w:p>
    <w:p w:rsidR="00861CFF" w:rsidRPr="0015159A" w:rsidRDefault="00861CFF" w:rsidP="000700C6">
      <w:pPr>
        <w:keepNext/>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 xml:space="preserve">في سنة 2014، حدد المكتب الدولي </w:t>
      </w:r>
      <w:r w:rsidRPr="0015159A">
        <w:rPr>
          <w:rFonts w:ascii="Arabic Typesetting" w:hAnsi="Arabic Typesetting" w:cs="Arabic Typesetting"/>
          <w:sz w:val="34"/>
          <w:szCs w:val="34"/>
          <w:rtl/>
          <w:lang w:bidi="ar-SA"/>
        </w:rPr>
        <w:t xml:space="preserve">1,557 </w:t>
      </w:r>
      <w:r w:rsidRPr="0015159A">
        <w:rPr>
          <w:rFonts w:ascii="Arabic Typesetting" w:hAnsi="Arabic Typesetting" w:cs="Arabic Typesetting" w:hint="cs"/>
          <w:sz w:val="34"/>
          <w:szCs w:val="34"/>
          <w:rtl/>
          <w:lang w:bidi="ar-SA"/>
        </w:rPr>
        <w:t>مخالفة في الطلبات، أي بانخفاض بنسبة 14 بالمائة عن سنة 2013.</w:t>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وعلى الرغم من هذا الانخفاض الحاد، زادت المخالفات المتعلقة ببيانات المنتجات للسنة الثالثة على التوالي، وقد بلغ حجم هذه المخالفات، مقرونة بمخالفات السداد، زهاء نصف إجمالي المخالفات في سنة 2014.</w:t>
      </w:r>
    </w:p>
    <w:p w:rsidR="00861CFF" w:rsidRPr="0015159A" w:rsidRDefault="00861CFF" w:rsidP="00DA5475">
      <w:pPr>
        <w:keepNext/>
        <w:spacing w:after="120" w:line="340" w:lineRule="exact"/>
        <w:rPr>
          <w:rFonts w:ascii="Arabic Typesetting" w:hAnsi="Arabic Typesetting" w:cs="Arabic Typesetting"/>
          <w:sz w:val="36"/>
          <w:szCs w:val="36"/>
          <w:u w:val="single"/>
          <w:rtl/>
          <w:lang w:val="fr-CH" w:bidi="ar-SA"/>
        </w:rPr>
      </w:pPr>
      <w:r w:rsidRPr="0015159A">
        <w:rPr>
          <w:rFonts w:ascii="Arabic Typesetting" w:hAnsi="Arabic Typesetting" w:cs="Arabic Typesetting" w:hint="cs"/>
          <w:sz w:val="36"/>
          <w:szCs w:val="36"/>
          <w:u w:val="single"/>
          <w:rtl/>
          <w:lang w:val="fr-CH" w:bidi="ar-SA"/>
        </w:rPr>
        <w:t>التجديدات</w:t>
      </w:r>
    </w:p>
    <w:p w:rsidR="00861CFF" w:rsidRPr="0015159A" w:rsidRDefault="00861CFF" w:rsidP="00DA5475">
      <w:pPr>
        <w:spacing w:after="120"/>
        <w:jc w:val="center"/>
        <w:rPr>
          <w:rFonts w:ascii="Arabic Typesetting" w:hAnsi="Arabic Typesetting" w:cs="Arabic Typesetting"/>
          <w:sz w:val="34"/>
          <w:szCs w:val="34"/>
          <w:rtl/>
          <w:lang w:bidi="ar-SA"/>
        </w:rPr>
      </w:pPr>
      <w:r>
        <w:rPr>
          <w:rFonts w:ascii="Arabic Typesetting" w:hAnsi="Arabic Typesetting" w:cs="Arabic Typesetting"/>
          <w:noProof/>
          <w:sz w:val="34"/>
          <w:szCs w:val="34"/>
          <w:lang w:bidi="ar-SA"/>
        </w:rPr>
        <w:drawing>
          <wp:inline distT="0" distB="0" distL="0" distR="0" wp14:anchorId="76934607" wp14:editId="0AF28444">
            <wp:extent cx="4416989" cy="2699774"/>
            <wp:effectExtent l="0" t="0" r="3175" b="571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425596" cy="2705035"/>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 xml:space="preserve">انخفض عدد التجديدات للسنة الثانية على التوالي لتبلغ </w:t>
      </w:r>
      <w:r>
        <w:rPr>
          <w:rFonts w:ascii="Arabic Typesetting" w:hAnsi="Arabic Typesetting" w:cs="Arabic Typesetting" w:hint="cs"/>
          <w:sz w:val="34"/>
          <w:szCs w:val="34"/>
          <w:rtl/>
          <w:lang w:bidi="ar-SA"/>
        </w:rPr>
        <w:t>2</w:t>
      </w:r>
      <w:r w:rsidRPr="0015159A">
        <w:rPr>
          <w:rFonts w:ascii="Arabic Typesetting" w:hAnsi="Arabic Typesetting" w:cs="Arabic Typesetting"/>
          <w:sz w:val="34"/>
          <w:szCs w:val="34"/>
          <w:rtl/>
          <w:lang w:bidi="ar-SA"/>
        </w:rPr>
        <w:t>,</w:t>
      </w:r>
      <w:r>
        <w:rPr>
          <w:rFonts w:ascii="Arabic Typesetting" w:hAnsi="Arabic Typesetting" w:cs="Arabic Typesetting" w:hint="cs"/>
          <w:sz w:val="34"/>
          <w:szCs w:val="34"/>
          <w:rtl/>
          <w:lang w:bidi="ar-SA"/>
        </w:rPr>
        <w:t>703</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تجديدا</w:t>
      </w:r>
      <w:r>
        <w:rPr>
          <w:rFonts w:ascii="Arabic Typesetting" w:hAnsi="Arabic Typesetting" w:cs="Arabic Typesetting" w:hint="cs"/>
          <w:sz w:val="34"/>
          <w:szCs w:val="34"/>
          <w:rtl/>
          <w:lang w:bidi="ar-SA"/>
        </w:rPr>
        <w:t>ت</w:t>
      </w:r>
      <w:r w:rsidRPr="0015159A">
        <w:rPr>
          <w:rFonts w:ascii="Arabic Typesetting" w:hAnsi="Arabic Typesetting" w:cs="Arabic Typesetting" w:hint="cs"/>
          <w:sz w:val="34"/>
          <w:szCs w:val="34"/>
          <w:rtl/>
          <w:lang w:bidi="ar-SA"/>
        </w:rPr>
        <w:t xml:space="preserve"> في سنة 2014، ما يمثل انخفاضا بنسبة </w:t>
      </w:r>
      <w:r>
        <w:rPr>
          <w:rFonts w:ascii="Arabic Typesetting" w:hAnsi="Arabic Typesetting" w:cs="Arabic Typesetting" w:hint="cs"/>
          <w:sz w:val="34"/>
          <w:szCs w:val="34"/>
          <w:rtl/>
          <w:lang w:bidi="ar-SA"/>
        </w:rPr>
        <w:t>5</w:t>
      </w:r>
      <w:r w:rsidRPr="0015159A">
        <w:rPr>
          <w:rFonts w:ascii="Arabic Typesetting" w:hAnsi="Arabic Typesetting" w:cs="Arabic Typesetting" w:hint="cs"/>
          <w:sz w:val="34"/>
          <w:szCs w:val="34"/>
          <w:rtl/>
          <w:lang w:bidi="ar-SA"/>
        </w:rPr>
        <w:t xml:space="preserve"> بالمائة </w:t>
      </w:r>
      <w:r>
        <w:rPr>
          <w:rFonts w:ascii="Arabic Typesetting" w:hAnsi="Arabic Typesetting" w:cs="Arabic Typesetting" w:hint="cs"/>
          <w:sz w:val="34"/>
          <w:szCs w:val="34"/>
          <w:rtl/>
          <w:lang w:bidi="ar-SA"/>
        </w:rPr>
        <w:t>مقارنة</w:t>
      </w:r>
      <w:r w:rsidRPr="0015159A">
        <w:rPr>
          <w:rFonts w:ascii="Arabic Typesetting" w:hAnsi="Arabic Typesetting" w:cs="Arabic Typesetting" w:hint="cs"/>
          <w:sz w:val="34"/>
          <w:szCs w:val="34"/>
          <w:rtl/>
          <w:lang w:bidi="ar-SA"/>
        </w:rPr>
        <w:t xml:space="preserve"> </w:t>
      </w:r>
      <w:r>
        <w:rPr>
          <w:rFonts w:ascii="Arabic Typesetting" w:hAnsi="Arabic Typesetting" w:cs="Arabic Typesetting" w:hint="cs"/>
          <w:sz w:val="34"/>
          <w:szCs w:val="34"/>
          <w:rtl/>
          <w:lang w:bidi="ar-SA"/>
        </w:rPr>
        <w:t>ب</w:t>
      </w:r>
      <w:r w:rsidRPr="0015159A">
        <w:rPr>
          <w:rFonts w:ascii="Arabic Typesetting" w:hAnsi="Arabic Typesetting" w:cs="Arabic Typesetting" w:hint="cs"/>
          <w:sz w:val="34"/>
          <w:szCs w:val="34"/>
          <w:rtl/>
          <w:lang w:bidi="ar-SA"/>
        </w:rPr>
        <w:t>سنة 2013.</w:t>
      </w:r>
    </w:p>
    <w:p w:rsidR="00861CFF" w:rsidRPr="0015159A" w:rsidRDefault="00861CFF" w:rsidP="00861CFF">
      <w:pPr>
        <w:numPr>
          <w:ilvl w:val="0"/>
          <w:numId w:val="50"/>
        </w:numPr>
        <w:spacing w:after="120" w:line="340" w:lineRule="exact"/>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ومنذ سنة 2013 عولجت غالبية التجديدات إلكترونيا، وبلغت نسبة هذه التجديدات 60 بالمائة من إجمالي التجديدات في سنة 2014.</w:t>
      </w:r>
    </w:p>
    <w:p w:rsidR="00861CFF" w:rsidRPr="0015159A" w:rsidRDefault="00861CFF" w:rsidP="00DA5475">
      <w:pPr>
        <w:keepNext/>
        <w:spacing w:after="120" w:line="340" w:lineRule="exact"/>
        <w:rPr>
          <w:rFonts w:ascii="Arabic Typesetting" w:hAnsi="Arabic Typesetting" w:cs="Arabic Typesetting"/>
          <w:sz w:val="36"/>
          <w:szCs w:val="36"/>
          <w:u w:val="single"/>
          <w:rtl/>
          <w:lang w:val="fr-CH" w:bidi="ar-SA"/>
        </w:rPr>
      </w:pPr>
      <w:r w:rsidRPr="0015159A">
        <w:rPr>
          <w:rFonts w:ascii="Arabic Typesetting" w:hAnsi="Arabic Typesetting" w:cs="Arabic Typesetting" w:hint="cs"/>
          <w:sz w:val="36"/>
          <w:szCs w:val="36"/>
          <w:u w:val="single"/>
          <w:rtl/>
          <w:lang w:val="fr-CH" w:bidi="ar-SA"/>
        </w:rPr>
        <w:lastRenderedPageBreak/>
        <w:t>التغييرات</w:t>
      </w:r>
    </w:p>
    <w:p w:rsidR="00861CFF" w:rsidRPr="0015159A" w:rsidRDefault="00861CFF" w:rsidP="00DA5475">
      <w:pPr>
        <w:spacing w:after="120"/>
        <w:jc w:val="center"/>
        <w:rPr>
          <w:rFonts w:ascii="Arabic Typesetting" w:hAnsi="Arabic Typesetting" w:cs="Arabic Typesetting"/>
          <w:sz w:val="36"/>
          <w:szCs w:val="36"/>
          <w:u w:val="single"/>
          <w:rtl/>
          <w:lang w:val="fr-CH" w:bidi="ar-SA"/>
        </w:rPr>
      </w:pPr>
      <w:r w:rsidRPr="0066693F">
        <w:rPr>
          <w:rFonts w:ascii="Arabic Typesetting" w:hAnsi="Arabic Typesetting" w:cs="Arabic Typesetting"/>
          <w:noProof/>
          <w:sz w:val="36"/>
          <w:szCs w:val="36"/>
          <w:lang w:bidi="ar-SA"/>
        </w:rPr>
        <w:drawing>
          <wp:inline distT="0" distB="0" distL="0" distR="0" wp14:anchorId="14C8D2A3" wp14:editId="774577F3">
            <wp:extent cx="4331386" cy="2656703"/>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345282" cy="2665226"/>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 xml:space="preserve">التمس المودعون إجراء </w:t>
      </w:r>
      <w:r w:rsidRPr="0015159A">
        <w:rPr>
          <w:rFonts w:ascii="Arabic Typesetting" w:hAnsi="Arabic Typesetting" w:cs="Arabic Typesetting"/>
          <w:sz w:val="34"/>
          <w:szCs w:val="34"/>
          <w:rtl/>
          <w:lang w:bidi="ar-SA"/>
        </w:rPr>
        <w:t xml:space="preserve">1,063 </w:t>
      </w:r>
      <w:r w:rsidRPr="0015159A">
        <w:rPr>
          <w:rFonts w:ascii="Arabic Typesetting" w:hAnsi="Arabic Typesetting" w:cs="Arabic Typesetting" w:hint="cs"/>
          <w:sz w:val="34"/>
          <w:szCs w:val="34"/>
          <w:rtl/>
          <w:lang w:bidi="ar-SA"/>
        </w:rPr>
        <w:t>تغييرا في التسجيلات الدولية في سنة 2014، أي بزيادة بنسبة 8 بالمائة عن سنة</w:t>
      </w:r>
      <w:r w:rsidRPr="0015159A">
        <w:rPr>
          <w:rFonts w:ascii="Arabic Typesetting" w:hAnsi="Arabic Typesetting" w:cs="Arabic Typesetting" w:hint="eastAsia"/>
          <w:sz w:val="34"/>
          <w:szCs w:val="34"/>
          <w:rtl/>
          <w:lang w:bidi="ar-SA"/>
        </w:rPr>
        <w:t> </w:t>
      </w:r>
      <w:r w:rsidRPr="0015159A">
        <w:rPr>
          <w:rFonts w:ascii="Arabic Typesetting" w:hAnsi="Arabic Typesetting" w:cs="Arabic Typesetting" w:hint="cs"/>
          <w:sz w:val="34"/>
          <w:szCs w:val="34"/>
          <w:rtl/>
          <w:lang w:bidi="ar-SA"/>
        </w:rPr>
        <w:t>2013.</w:t>
      </w:r>
    </w:p>
    <w:p w:rsidR="00861CFF" w:rsidRPr="0015159A" w:rsidRDefault="00861CFF" w:rsidP="00DA5475">
      <w:pPr>
        <w:keepNext/>
        <w:spacing w:after="120" w:line="340" w:lineRule="exact"/>
        <w:rPr>
          <w:rFonts w:ascii="Arabic Typesetting" w:hAnsi="Arabic Typesetting" w:cs="Arabic Typesetting"/>
          <w:sz w:val="36"/>
          <w:szCs w:val="36"/>
          <w:u w:val="single"/>
          <w:rtl/>
          <w:lang w:val="fr-CH" w:bidi="ar-SA"/>
        </w:rPr>
      </w:pPr>
      <w:r w:rsidRPr="0015159A">
        <w:rPr>
          <w:rFonts w:ascii="Arabic Typesetting" w:hAnsi="Arabic Typesetting" w:cs="Arabic Typesetting" w:hint="cs"/>
          <w:sz w:val="36"/>
          <w:szCs w:val="36"/>
          <w:u w:val="single"/>
          <w:rtl/>
          <w:lang w:val="fr-CH" w:bidi="ar-SA"/>
        </w:rPr>
        <w:t>القرارات</w:t>
      </w:r>
    </w:p>
    <w:p w:rsidR="00861CFF" w:rsidRPr="0015159A" w:rsidRDefault="00861CFF" w:rsidP="00DA5475">
      <w:pPr>
        <w:spacing w:after="120"/>
        <w:jc w:val="center"/>
        <w:rPr>
          <w:rFonts w:ascii="Arabic Typesetting" w:hAnsi="Arabic Typesetting" w:cs="Arabic Typesetting"/>
          <w:sz w:val="36"/>
          <w:szCs w:val="36"/>
          <w:u w:val="single"/>
          <w:rtl/>
          <w:lang w:val="fr-CH" w:bidi="ar-SA"/>
        </w:rPr>
      </w:pPr>
      <w:r w:rsidRPr="00187B19">
        <w:rPr>
          <w:rFonts w:ascii="Arabic Typesetting" w:hAnsi="Arabic Typesetting" w:cs="Arabic Typesetting"/>
          <w:noProof/>
          <w:sz w:val="36"/>
          <w:szCs w:val="36"/>
          <w:lang w:bidi="ar-SA"/>
        </w:rPr>
        <w:drawing>
          <wp:inline distT="0" distB="0" distL="0" distR="0" wp14:anchorId="3F17A315" wp14:editId="08D83593">
            <wp:extent cx="4235702" cy="2557208"/>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240846" cy="2560314"/>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 xml:space="preserve">زاد عدد القرارات المستلمة في سنة 2014 بنسبة 10 بالمائة ليبلغ </w:t>
      </w:r>
      <w:r w:rsidRPr="0015159A">
        <w:rPr>
          <w:rFonts w:ascii="Arabic Typesetting" w:hAnsi="Arabic Typesetting" w:cs="Arabic Typesetting"/>
          <w:sz w:val="34"/>
          <w:szCs w:val="34"/>
          <w:rtl/>
          <w:lang w:bidi="ar-SA"/>
        </w:rPr>
        <w:t xml:space="preserve">3,169 </w:t>
      </w:r>
      <w:r w:rsidRPr="0015159A">
        <w:rPr>
          <w:rFonts w:ascii="Arabic Typesetting" w:hAnsi="Arabic Typesetting" w:cs="Arabic Typesetting" w:hint="cs"/>
          <w:sz w:val="34"/>
          <w:szCs w:val="34"/>
          <w:rtl/>
          <w:lang w:bidi="ar-SA"/>
        </w:rPr>
        <w:t>قرارا.</w:t>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وعُلج ما بين 68 بالمائة و72 بالمائة من القرارات إلكترونيا منذ سنة 2011.</w:t>
      </w:r>
    </w:p>
    <w:p w:rsidR="00861CFF" w:rsidRPr="0015159A" w:rsidRDefault="00861CFF" w:rsidP="00DA5475">
      <w:pPr>
        <w:keepNext/>
        <w:tabs>
          <w:tab w:val="left" w:pos="567"/>
          <w:tab w:val="left" w:pos="1134"/>
          <w:tab w:val="left" w:pos="1701"/>
          <w:tab w:val="left" w:pos="2268"/>
          <w:tab w:val="left" w:pos="3116"/>
        </w:tabs>
        <w:spacing w:after="240" w:line="380" w:lineRule="exact"/>
        <w:rPr>
          <w:rFonts w:ascii="Arabic Typesetting" w:hAnsi="Arabic Typesetting" w:cs="Arabic Typesetting"/>
          <w:b/>
          <w:bCs/>
          <w:sz w:val="36"/>
          <w:szCs w:val="36"/>
          <w:rtl/>
          <w:lang w:val="fr-CH"/>
        </w:rPr>
      </w:pPr>
      <w:r w:rsidRPr="0015159A">
        <w:rPr>
          <w:rFonts w:ascii="Arabic Typesetting" w:hAnsi="Arabic Typesetting" w:cs="Arabic Typesetting" w:hint="cs"/>
          <w:b/>
          <w:bCs/>
          <w:sz w:val="36"/>
          <w:szCs w:val="36"/>
          <w:rtl/>
          <w:lang w:val="fr-CH"/>
        </w:rPr>
        <w:t>ثانيا.</w:t>
      </w:r>
      <w:r w:rsidRPr="0015159A">
        <w:rPr>
          <w:rFonts w:ascii="Arabic Typesetting" w:hAnsi="Arabic Typesetting" w:cs="Arabic Typesetting" w:hint="cs"/>
          <w:b/>
          <w:bCs/>
          <w:sz w:val="36"/>
          <w:szCs w:val="36"/>
          <w:rtl/>
          <w:lang w:val="fr-CH"/>
        </w:rPr>
        <w:tab/>
        <w:t>عبء العمل الإجمالي</w:t>
      </w:r>
    </w:p>
    <w:p w:rsidR="00861CFF" w:rsidRPr="0015159A" w:rsidRDefault="00861CFF" w:rsidP="00861CFF">
      <w:pPr>
        <w:numPr>
          <w:ilvl w:val="0"/>
          <w:numId w:val="46"/>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يمثل عبء العمل الإجمالي العدد الإجمالي المرجح للوثائق التي يستلمها المكتب الدولي. ويشمل ذلك جميع فئات الوثائق الأربع (الطلبات والتجديدات والتغييرات والقرارات).</w:t>
      </w:r>
    </w:p>
    <w:p w:rsidR="00861CFF" w:rsidRPr="0015159A" w:rsidRDefault="00861CFF" w:rsidP="00861CFF">
      <w:pPr>
        <w:numPr>
          <w:ilvl w:val="0"/>
          <w:numId w:val="46"/>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ولأن معالجة تلك الأنواع من الوثائق لا يتطلب موارد متساوية، فكل نوع يرجح على حدة بشكل مختلف. ووفقا لهذا الترجيح، يمكن لفاحص ما، في الفترة المطلوبة لمعالجة طلب دولي، أن يعالج ثمانية تجديدات أو</w:t>
      </w:r>
      <w:r w:rsidRPr="0015159A">
        <w:rPr>
          <w:rFonts w:ascii="Arabic Typesetting" w:hAnsi="Arabic Typesetting" w:cs="Arabic Typesetting" w:hint="eastAsia"/>
          <w:sz w:val="34"/>
          <w:szCs w:val="34"/>
          <w:rtl/>
          <w:lang w:bidi="ar-SA"/>
        </w:rPr>
        <w:t> </w:t>
      </w:r>
      <w:r w:rsidRPr="0015159A">
        <w:rPr>
          <w:rFonts w:ascii="Arabic Typesetting" w:hAnsi="Arabic Typesetting" w:cs="Arabic Typesetting" w:hint="cs"/>
          <w:sz w:val="34"/>
          <w:szCs w:val="34"/>
          <w:rtl/>
          <w:lang w:bidi="ar-SA"/>
        </w:rPr>
        <w:t>أربعة تغييرات أو أربعة قرارات. وعلى نفس المنوال، يمكن لموظف في المعالجة الآلية أن يعالج، في الفترة المطلوبة لمعالجة طلب دولي، 13 وثيقة.</w:t>
      </w:r>
    </w:p>
    <w:p w:rsidR="00861CFF" w:rsidRPr="0015159A" w:rsidRDefault="00861CFF" w:rsidP="00DA5475">
      <w:pPr>
        <w:spacing w:after="120"/>
        <w:jc w:val="center"/>
        <w:rPr>
          <w:rFonts w:ascii="Arabic Typesetting" w:hAnsi="Arabic Typesetting" w:cs="Arabic Typesetting"/>
          <w:sz w:val="34"/>
          <w:szCs w:val="34"/>
          <w:rtl/>
          <w:lang w:bidi="ar-SA"/>
        </w:rPr>
      </w:pPr>
      <w:r>
        <w:rPr>
          <w:rFonts w:ascii="Arabic Typesetting" w:hAnsi="Arabic Typesetting" w:cs="Arabic Typesetting"/>
          <w:noProof/>
          <w:sz w:val="34"/>
          <w:szCs w:val="34"/>
          <w:lang w:bidi="ar-SA"/>
        </w:rPr>
        <w:lastRenderedPageBreak/>
        <w:drawing>
          <wp:inline distT="0" distB="0" distL="0" distR="0" wp14:anchorId="698BECD1" wp14:editId="3808F268">
            <wp:extent cx="5179952" cy="2172027"/>
            <wp:effectExtent l="0" t="0" r="190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186747" cy="2174876"/>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في سنة 2014، ظل عبء العمل الإجمالي مستقرا مقارنة بسنة 2013. وفي سنة 2014 بلغت نسبة الطلبات وحدها 76 بالمائة من عبء العمل الإجمالي.</w:t>
      </w:r>
    </w:p>
    <w:p w:rsidR="00861CFF" w:rsidRPr="0015159A" w:rsidRDefault="00861CFF" w:rsidP="00861CFF">
      <w:pPr>
        <w:numPr>
          <w:ilvl w:val="0"/>
          <w:numId w:val="50"/>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وبين سنتي 2011 و2013، ترجع زيادة عبء العمل بالأساس إلى زيادة عدد القرارات المستلمة.</w:t>
      </w:r>
    </w:p>
    <w:p w:rsidR="00861CFF" w:rsidRPr="0015159A" w:rsidRDefault="00861CFF" w:rsidP="00DA5475">
      <w:pPr>
        <w:keepNext/>
        <w:spacing w:after="240" w:line="380" w:lineRule="exact"/>
        <w:rPr>
          <w:rFonts w:ascii="Arabic Typesetting" w:hAnsi="Arabic Typesetting" w:cs="Arabic Typesetting"/>
          <w:b/>
          <w:bCs/>
          <w:sz w:val="36"/>
          <w:szCs w:val="36"/>
          <w:lang w:val="fr-CH"/>
        </w:rPr>
      </w:pPr>
      <w:r w:rsidRPr="0015159A">
        <w:rPr>
          <w:rFonts w:ascii="Arabic Typesetting" w:hAnsi="Arabic Typesetting" w:cs="Arabic Typesetting" w:hint="cs"/>
          <w:b/>
          <w:bCs/>
          <w:sz w:val="36"/>
          <w:szCs w:val="36"/>
          <w:rtl/>
          <w:lang w:val="fr-CH"/>
        </w:rPr>
        <w:t>ثالثا.</w:t>
      </w:r>
      <w:r w:rsidRPr="0015159A">
        <w:rPr>
          <w:rFonts w:ascii="Arabic Typesetting" w:hAnsi="Arabic Typesetting" w:cs="Arabic Typesetting" w:hint="cs"/>
          <w:b/>
          <w:bCs/>
          <w:sz w:val="36"/>
          <w:szCs w:val="36"/>
          <w:rtl/>
          <w:lang w:val="fr-CH"/>
        </w:rPr>
        <w:tab/>
        <w:t>تكلفة المعالجة</w:t>
      </w:r>
    </w:p>
    <w:p w:rsidR="00861CFF" w:rsidRPr="0015159A" w:rsidRDefault="00861CFF" w:rsidP="00DA5475">
      <w:pPr>
        <w:keepNext/>
        <w:spacing w:after="120" w:line="340" w:lineRule="exact"/>
        <w:rPr>
          <w:rFonts w:ascii="Arabic Typesetting" w:hAnsi="Arabic Typesetting" w:cs="Arabic Typesetting"/>
          <w:sz w:val="36"/>
          <w:szCs w:val="36"/>
          <w:u w:val="single"/>
          <w:rtl/>
          <w:lang w:val="fr-CH" w:bidi="ar-SA"/>
        </w:rPr>
      </w:pPr>
      <w:r>
        <w:rPr>
          <w:rFonts w:ascii="Arabic Typesetting" w:hAnsi="Arabic Typesetting" w:cs="Arabic Typesetting" w:hint="cs"/>
          <w:sz w:val="36"/>
          <w:szCs w:val="36"/>
          <w:u w:val="single"/>
          <w:rtl/>
          <w:lang w:val="fr-CH" w:bidi="ar-SA"/>
        </w:rPr>
        <w:t>تكلفة الإنتاج الإجمالية</w:t>
      </w:r>
    </w:p>
    <w:p w:rsidR="00861CFF" w:rsidRPr="0015159A" w:rsidRDefault="00861CFF" w:rsidP="00861CFF">
      <w:pPr>
        <w:numPr>
          <w:ilvl w:val="0"/>
          <w:numId w:val="46"/>
        </w:numPr>
        <w:spacing w:after="120" w:line="340" w:lineRule="exact"/>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 xml:space="preserve">تتألف </w:t>
      </w:r>
      <w:r>
        <w:rPr>
          <w:rFonts w:ascii="Arabic Typesetting" w:hAnsi="Arabic Typesetting" w:cs="Arabic Typesetting" w:hint="cs"/>
          <w:sz w:val="34"/>
          <w:szCs w:val="34"/>
          <w:rtl/>
          <w:lang w:bidi="ar-SA"/>
        </w:rPr>
        <w:t>تكلفة الإنتاج الإجمالية</w:t>
      </w:r>
      <w:r w:rsidRPr="0015159A">
        <w:rPr>
          <w:rFonts w:ascii="Arabic Typesetting" w:hAnsi="Arabic Typesetting" w:cs="Arabic Typesetting" w:hint="cs"/>
          <w:sz w:val="34"/>
          <w:szCs w:val="34"/>
          <w:rtl/>
          <w:lang w:bidi="ar-SA"/>
        </w:rPr>
        <w:t xml:space="preserve"> من نفقات نظام لاهاي الإجمالية إضافة إلى الجزء الخاص من النفقات على أنشطة الدعم والإدارة. وهي تتألف من تكاليف مباشرة وتكاليف غير مباشرة. والتكاليف المباشرة هي النفقات التي يتحملها المكتب الدولي في إدارة نظام لاهاي.</w:t>
      </w:r>
      <w:r w:rsidRPr="00944CDC">
        <w:rPr>
          <w:rFonts w:ascii="Arabic Typesetting" w:hAnsi="Arabic Typesetting" w:cs="Arabic Typesetting"/>
          <w:sz w:val="34"/>
          <w:vertAlign w:val="superscript"/>
          <w:rtl/>
          <w:lang w:bidi="ar-SA"/>
        </w:rPr>
        <w:footnoteReference w:id="29"/>
      </w:r>
      <w:r w:rsidRPr="0015159A">
        <w:rPr>
          <w:rFonts w:ascii="Arabic Typesetting" w:hAnsi="Arabic Typesetting" w:cs="Arabic Typesetting" w:hint="cs"/>
          <w:sz w:val="34"/>
          <w:szCs w:val="34"/>
          <w:rtl/>
          <w:lang w:bidi="ar-SA"/>
        </w:rPr>
        <w:t xml:space="preserve"> وأما التكاليف غير المباشرة فهي نفقات أنشطة الدعم (مثل المباني وتكنولوجيا المعلومات). وتُرجَّح التكاليف غير المباشرة لكي تأخذ في الحسبان الحصة المخصصة لنظام لاهاي فقط.</w:t>
      </w:r>
    </w:p>
    <w:p w:rsidR="00861CFF" w:rsidRPr="0015159A" w:rsidRDefault="00861CFF" w:rsidP="00DA5475">
      <w:pPr>
        <w:spacing w:after="120"/>
        <w:jc w:val="center"/>
        <w:rPr>
          <w:rFonts w:ascii="Arabic Typesetting" w:hAnsi="Arabic Typesetting" w:cs="Arabic Typesetting"/>
          <w:sz w:val="36"/>
          <w:szCs w:val="36"/>
          <w:rtl/>
          <w:lang w:bidi="ar-SA"/>
        </w:rPr>
      </w:pPr>
      <w:r>
        <w:rPr>
          <w:rFonts w:ascii="Arabic Typesetting" w:hAnsi="Arabic Typesetting" w:cs="Arabic Typesetting"/>
          <w:noProof/>
          <w:sz w:val="36"/>
          <w:szCs w:val="36"/>
          <w:lang w:bidi="ar-SA"/>
        </w:rPr>
        <w:drawing>
          <wp:inline distT="0" distB="0" distL="0" distR="0" wp14:anchorId="4A484983" wp14:editId="5238F63D">
            <wp:extent cx="4267200" cy="2536629"/>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276733" cy="2542296"/>
                    </a:xfrm>
                    <a:prstGeom prst="rect">
                      <a:avLst/>
                    </a:prstGeom>
                    <a:noFill/>
                  </pic:spPr>
                </pic:pic>
              </a:graphicData>
            </a:graphic>
          </wp:inline>
        </w:drawing>
      </w:r>
    </w:p>
    <w:p w:rsidR="00861CFF" w:rsidRPr="0015159A" w:rsidRDefault="00861CFF" w:rsidP="00861CFF">
      <w:pPr>
        <w:numPr>
          <w:ilvl w:val="0"/>
          <w:numId w:val="50"/>
        </w:numPr>
        <w:spacing w:after="120" w:line="340" w:lineRule="exact"/>
        <w:rPr>
          <w:rFonts w:ascii="Arabic Typesetting" w:hAnsi="Arabic Typesetting" w:cs="Arabic Typesetting"/>
          <w:sz w:val="36"/>
          <w:szCs w:val="36"/>
          <w:lang w:bidi="ar-SA"/>
        </w:rPr>
      </w:pPr>
      <w:r w:rsidRPr="0015159A">
        <w:rPr>
          <w:rFonts w:ascii="Arabic Typesetting" w:hAnsi="Arabic Typesetting" w:cs="Arabic Typesetting" w:hint="cs"/>
          <w:sz w:val="36"/>
          <w:szCs w:val="36"/>
          <w:rtl/>
          <w:lang w:bidi="ar-SA"/>
        </w:rPr>
        <w:t>تقدر النفقات الإجمالية المتعلقة بالمعالجة في نظام لاهاي بمبلغ 5.7 مليون فرنك سويسري في سنة 2014، ما يمثل انخفاضا بنسبة 5.7 بالمائة عن سنة 2013. وقد انخفضت التكاليف المباشرة والتكاليف غير المباشرة، بنسبة 8.1 و2 في المائة على التوالي.</w:t>
      </w:r>
    </w:p>
    <w:p w:rsidR="00861CFF" w:rsidRPr="0015159A" w:rsidRDefault="00861CFF" w:rsidP="00861CFF">
      <w:pPr>
        <w:numPr>
          <w:ilvl w:val="0"/>
          <w:numId w:val="50"/>
        </w:numPr>
        <w:spacing w:after="120" w:line="340" w:lineRule="exact"/>
        <w:rPr>
          <w:rFonts w:ascii="Arabic Typesetting" w:hAnsi="Arabic Typesetting" w:cs="Arabic Typesetting"/>
          <w:sz w:val="36"/>
          <w:szCs w:val="36"/>
          <w:rtl/>
          <w:lang w:bidi="ar-SA"/>
        </w:rPr>
      </w:pPr>
      <w:r w:rsidRPr="0015159A">
        <w:rPr>
          <w:rFonts w:ascii="Arabic Typesetting" w:hAnsi="Arabic Typesetting" w:cs="Arabic Typesetting" w:hint="cs"/>
          <w:sz w:val="36"/>
          <w:szCs w:val="36"/>
          <w:rtl/>
          <w:lang w:bidi="ar-SA"/>
        </w:rPr>
        <w:t>وفي سنة 2014، بلغت حصة التكاليف المباشرة 60 بالمائة من النفقات الإجمالية.</w:t>
      </w:r>
    </w:p>
    <w:p w:rsidR="00861CFF" w:rsidRPr="0015159A" w:rsidRDefault="00861CFF" w:rsidP="00DA5475">
      <w:pPr>
        <w:keepNext/>
        <w:spacing w:after="120" w:line="340" w:lineRule="exact"/>
        <w:rPr>
          <w:rFonts w:ascii="Arabic Typesetting" w:hAnsi="Arabic Typesetting" w:cs="Arabic Typesetting"/>
          <w:sz w:val="36"/>
          <w:szCs w:val="36"/>
          <w:u w:val="single"/>
          <w:rtl/>
          <w:lang w:val="fr-CH" w:bidi="ar-SA"/>
        </w:rPr>
      </w:pPr>
      <w:r w:rsidRPr="0015159A">
        <w:rPr>
          <w:rFonts w:ascii="Arabic Typesetting" w:hAnsi="Arabic Typesetting" w:cs="Arabic Typesetting" w:hint="cs"/>
          <w:sz w:val="36"/>
          <w:szCs w:val="36"/>
          <w:u w:val="single"/>
          <w:rtl/>
          <w:lang w:val="fr-CH" w:bidi="ar-SA"/>
        </w:rPr>
        <w:lastRenderedPageBreak/>
        <w:t>تكلفة الوحدة</w:t>
      </w:r>
    </w:p>
    <w:p w:rsidR="00861CFF" w:rsidRPr="0015159A" w:rsidRDefault="00861CFF" w:rsidP="00861CFF">
      <w:pPr>
        <w:numPr>
          <w:ilvl w:val="0"/>
          <w:numId w:val="46"/>
        </w:numPr>
        <w:spacing w:after="200" w:line="276" w:lineRule="auto"/>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 xml:space="preserve">يمكن حساب </w:t>
      </w:r>
      <w:r w:rsidRPr="0015159A">
        <w:rPr>
          <w:rFonts w:ascii="Arabic Typesetting" w:hAnsi="Arabic Typesetting" w:cs="Arabic Typesetting"/>
          <w:sz w:val="34"/>
          <w:szCs w:val="34"/>
          <w:rtl/>
          <w:lang w:bidi="ar-SA"/>
        </w:rPr>
        <w:t xml:space="preserve">كفاءة المكتب الدولي في معالجة المعاملات </w:t>
      </w:r>
      <w:r w:rsidRPr="0015159A">
        <w:rPr>
          <w:rFonts w:ascii="Arabic Typesetting" w:hAnsi="Arabic Typesetting" w:cs="Arabic Typesetting" w:hint="cs"/>
          <w:sz w:val="34"/>
          <w:szCs w:val="34"/>
          <w:rtl/>
          <w:lang w:bidi="ar-SA"/>
        </w:rPr>
        <w:t>ب</w:t>
      </w:r>
      <w:r w:rsidRPr="0015159A">
        <w:rPr>
          <w:rFonts w:ascii="Arabic Typesetting" w:hAnsi="Arabic Typesetting" w:cs="Arabic Typesetting"/>
          <w:sz w:val="34"/>
          <w:szCs w:val="34"/>
          <w:rtl/>
          <w:lang w:bidi="ar-SA"/>
        </w:rPr>
        <w:t>تكلفة الوحدة</w:t>
      </w:r>
      <w:r w:rsidRPr="0015159A">
        <w:rPr>
          <w:rFonts w:ascii="Arabic Typesetting" w:hAnsi="Arabic Typesetting" w:cs="Arabic Typesetting" w:hint="cs"/>
          <w:sz w:val="34"/>
          <w:szCs w:val="34"/>
          <w:rtl/>
          <w:lang w:bidi="ar-SA"/>
        </w:rPr>
        <w:t xml:space="preserve"> التي تعني متسوط</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التكلفة</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لإنتاج</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وحدة</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واحدة</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من</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المخرجات</w:t>
      </w:r>
      <w:r w:rsidRPr="0015159A">
        <w:rPr>
          <w:rFonts w:ascii="Arabic Typesetting" w:hAnsi="Arabic Typesetting" w:cs="Arabic Typesetting"/>
          <w:sz w:val="34"/>
          <w:szCs w:val="34"/>
          <w:lang w:bidi="ar-SA"/>
        </w:rPr>
        <w:t>.</w:t>
      </w:r>
    </w:p>
    <w:p w:rsidR="00861CFF" w:rsidRPr="0015159A" w:rsidRDefault="00861CFF" w:rsidP="00861CFF">
      <w:pPr>
        <w:numPr>
          <w:ilvl w:val="0"/>
          <w:numId w:val="46"/>
        </w:numPr>
        <w:spacing w:after="200" w:line="276" w:lineRule="auto"/>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 xml:space="preserve">وبما أن </w:t>
      </w:r>
      <w:r w:rsidRPr="0015159A">
        <w:rPr>
          <w:rFonts w:ascii="Arabic Typesetting" w:hAnsi="Arabic Typesetting" w:cs="Arabic Typesetting"/>
          <w:sz w:val="34"/>
          <w:szCs w:val="34"/>
          <w:rtl/>
          <w:lang w:bidi="ar-SA"/>
        </w:rPr>
        <w:t xml:space="preserve">المكتب الدولي يسجل </w:t>
      </w:r>
      <w:r w:rsidRPr="0015159A">
        <w:rPr>
          <w:rFonts w:ascii="Arabic Typesetting" w:hAnsi="Arabic Typesetting" w:cs="Arabic Typesetting" w:hint="cs"/>
          <w:sz w:val="34"/>
          <w:szCs w:val="34"/>
          <w:rtl/>
          <w:lang w:bidi="ar-SA"/>
        </w:rPr>
        <w:t xml:space="preserve">طلبات </w:t>
      </w:r>
      <w:r w:rsidRPr="0015159A">
        <w:rPr>
          <w:rFonts w:ascii="Arabic Typesetting" w:hAnsi="Arabic Typesetting" w:cs="Arabic Typesetting"/>
          <w:sz w:val="34"/>
          <w:szCs w:val="34"/>
          <w:rtl/>
          <w:lang w:bidi="ar-SA"/>
        </w:rPr>
        <w:t xml:space="preserve">جديدة ويحفظ التسجيلات </w:t>
      </w:r>
      <w:r w:rsidRPr="0015159A">
        <w:rPr>
          <w:rFonts w:ascii="Arabic Typesetting" w:hAnsi="Arabic Typesetting" w:cs="Arabic Typesetting" w:hint="cs"/>
          <w:sz w:val="34"/>
          <w:szCs w:val="34"/>
          <w:rtl/>
          <w:lang w:bidi="ar-SA"/>
        </w:rPr>
        <w:t>الموجودة</w:t>
      </w:r>
      <w:r w:rsidRPr="0015159A">
        <w:rPr>
          <w:rFonts w:ascii="Arabic Typesetting" w:hAnsi="Arabic Typesetting" w:cs="Arabic Typesetting"/>
          <w:sz w:val="34"/>
          <w:szCs w:val="34"/>
          <w:rtl/>
          <w:lang w:bidi="ar-SA"/>
        </w:rPr>
        <w:t xml:space="preserve">، فمن </w:t>
      </w:r>
      <w:r w:rsidRPr="0015159A">
        <w:rPr>
          <w:rFonts w:ascii="Arabic Typesetting" w:hAnsi="Arabic Typesetting" w:cs="Arabic Typesetting" w:hint="cs"/>
          <w:sz w:val="34"/>
          <w:szCs w:val="34"/>
          <w:rtl/>
          <w:lang w:bidi="ar-SA"/>
        </w:rPr>
        <w:t>الوجيه</w:t>
      </w:r>
      <w:r w:rsidRPr="0015159A">
        <w:rPr>
          <w:rFonts w:ascii="Arabic Typesetting" w:hAnsi="Arabic Typesetting" w:cs="Arabic Typesetting"/>
          <w:sz w:val="34"/>
          <w:szCs w:val="34"/>
          <w:rtl/>
          <w:lang w:bidi="ar-SA"/>
        </w:rPr>
        <w:t xml:space="preserve"> أن </w:t>
      </w:r>
      <w:r w:rsidRPr="0015159A">
        <w:rPr>
          <w:rFonts w:ascii="Arabic Typesetting" w:hAnsi="Arabic Typesetting" w:cs="Arabic Typesetting" w:hint="cs"/>
          <w:sz w:val="34"/>
          <w:szCs w:val="34"/>
          <w:rtl/>
          <w:lang w:bidi="ar-SA"/>
        </w:rPr>
        <w:t>ت</w:t>
      </w:r>
      <w:r w:rsidRPr="0015159A">
        <w:rPr>
          <w:rFonts w:ascii="Arabic Typesetting" w:hAnsi="Arabic Typesetting" w:cs="Arabic Typesetting"/>
          <w:sz w:val="34"/>
          <w:szCs w:val="34"/>
          <w:rtl/>
          <w:lang w:bidi="ar-SA"/>
        </w:rPr>
        <w:t xml:space="preserve">كون </w:t>
      </w:r>
      <w:r w:rsidRPr="0015159A">
        <w:rPr>
          <w:rFonts w:ascii="Arabic Typesetting" w:hAnsi="Arabic Typesetting" w:cs="Arabic Typesetting" w:hint="cs"/>
          <w:sz w:val="34"/>
          <w:szCs w:val="34"/>
          <w:rtl/>
          <w:lang w:bidi="ar-SA"/>
        </w:rPr>
        <w:t>هناك</w:t>
      </w:r>
      <w:r w:rsidRPr="0015159A">
        <w:rPr>
          <w:rFonts w:ascii="Arabic Typesetting" w:hAnsi="Arabic Typesetting" w:cs="Arabic Typesetting"/>
          <w:sz w:val="34"/>
          <w:szCs w:val="34"/>
          <w:rtl/>
          <w:lang w:bidi="ar-SA"/>
        </w:rPr>
        <w:t xml:space="preserve"> وحدة من </w:t>
      </w:r>
      <w:r w:rsidRPr="0015159A">
        <w:rPr>
          <w:rFonts w:ascii="Arabic Typesetting" w:hAnsi="Arabic Typesetting" w:cs="Arabic Typesetting" w:hint="cs"/>
          <w:sz w:val="34"/>
          <w:szCs w:val="34"/>
          <w:rtl/>
          <w:lang w:bidi="ar-SA"/>
        </w:rPr>
        <w:t>المخرجات</w:t>
      </w:r>
      <w:r w:rsidRPr="0015159A">
        <w:rPr>
          <w:rFonts w:ascii="Arabic Typesetting" w:hAnsi="Arabic Typesetting" w:cs="Arabic Typesetting"/>
          <w:sz w:val="34"/>
          <w:szCs w:val="34"/>
          <w:rtl/>
          <w:lang w:bidi="ar-SA"/>
        </w:rPr>
        <w:t xml:space="preserve"> ال</w:t>
      </w:r>
      <w:r w:rsidRPr="0015159A">
        <w:rPr>
          <w:rFonts w:ascii="Arabic Typesetting" w:hAnsi="Arabic Typesetting" w:cs="Arabic Typesetting" w:hint="cs"/>
          <w:sz w:val="34"/>
          <w:szCs w:val="34"/>
          <w:rtl/>
          <w:lang w:bidi="ar-SA"/>
        </w:rPr>
        <w:t>ت</w:t>
      </w:r>
      <w:r w:rsidRPr="0015159A">
        <w:rPr>
          <w:rFonts w:ascii="Arabic Typesetting" w:hAnsi="Arabic Typesetting" w:cs="Arabic Typesetting"/>
          <w:sz w:val="34"/>
          <w:szCs w:val="34"/>
          <w:rtl/>
          <w:lang w:bidi="ar-SA"/>
        </w:rPr>
        <w:t xml:space="preserve">ي </w:t>
      </w:r>
      <w:r w:rsidRPr="0015159A">
        <w:rPr>
          <w:rFonts w:ascii="Arabic Typesetting" w:hAnsi="Arabic Typesetting" w:cs="Arabic Typesetting" w:hint="cs"/>
          <w:sz w:val="34"/>
          <w:szCs w:val="34"/>
          <w:rtl/>
          <w:lang w:bidi="ar-SA"/>
        </w:rPr>
        <w:t>ت</w:t>
      </w:r>
      <w:r w:rsidRPr="0015159A">
        <w:rPr>
          <w:rFonts w:ascii="Arabic Typesetting" w:hAnsi="Arabic Typesetting" w:cs="Arabic Typesetting"/>
          <w:sz w:val="34"/>
          <w:szCs w:val="34"/>
          <w:rtl/>
          <w:lang w:bidi="ar-SA"/>
        </w:rPr>
        <w:t>تضمن مجموعة من المعاملات. و</w:t>
      </w:r>
      <w:r w:rsidRPr="0015159A">
        <w:rPr>
          <w:rFonts w:ascii="Arabic Typesetting" w:hAnsi="Arabic Typesetting" w:cs="Arabic Typesetting" w:hint="cs"/>
          <w:sz w:val="34"/>
          <w:szCs w:val="34"/>
          <w:rtl/>
          <w:lang w:bidi="ar-SA"/>
        </w:rPr>
        <w:t xml:space="preserve">يرد أدناه </w:t>
      </w:r>
      <w:r w:rsidRPr="0015159A">
        <w:rPr>
          <w:rFonts w:ascii="Arabic Typesetting" w:hAnsi="Arabic Typesetting" w:cs="Arabic Typesetting"/>
          <w:sz w:val="34"/>
          <w:szCs w:val="34"/>
          <w:rtl/>
          <w:lang w:bidi="ar-SA"/>
        </w:rPr>
        <w:t>مؤشرا</w:t>
      </w:r>
      <w:r w:rsidRPr="0015159A">
        <w:rPr>
          <w:rFonts w:ascii="Arabic Typesetting" w:hAnsi="Arabic Typesetting" w:cs="Arabic Typesetting" w:hint="cs"/>
          <w:sz w:val="34"/>
          <w:szCs w:val="34"/>
          <w:rtl/>
          <w:lang w:bidi="ar-SA"/>
        </w:rPr>
        <w:t>ن</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اثنان ل</w:t>
      </w:r>
      <w:r w:rsidRPr="0015159A">
        <w:rPr>
          <w:rFonts w:ascii="Arabic Typesetting" w:hAnsi="Arabic Typesetting" w:cs="Arabic Typesetting"/>
          <w:sz w:val="34"/>
          <w:szCs w:val="34"/>
          <w:rtl/>
          <w:lang w:bidi="ar-SA"/>
        </w:rPr>
        <w:t>تكلفة الوحدة</w:t>
      </w:r>
      <w:r w:rsidRPr="0015159A">
        <w:rPr>
          <w:rFonts w:ascii="Arabic Typesetting" w:hAnsi="Arabic Typesetting" w:cs="Arabic Typesetting" w:hint="cs"/>
          <w:sz w:val="34"/>
          <w:szCs w:val="34"/>
          <w:rtl/>
          <w:lang w:bidi="ar-SA"/>
        </w:rPr>
        <w:t xml:space="preserve"> </w:t>
      </w:r>
      <w:r w:rsidRPr="0015159A">
        <w:rPr>
          <w:rFonts w:ascii="Arabic Typesetting" w:hAnsi="Arabic Typesetting" w:cs="Arabic Typesetting"/>
          <w:sz w:val="34"/>
          <w:szCs w:val="34"/>
          <w:rtl/>
          <w:lang w:bidi="ar-SA"/>
        </w:rPr>
        <w:t>باستخدام وحد</w:t>
      </w:r>
      <w:r w:rsidRPr="0015159A">
        <w:rPr>
          <w:rFonts w:ascii="Arabic Typesetting" w:hAnsi="Arabic Typesetting" w:cs="Arabic Typesetting" w:hint="cs"/>
          <w:sz w:val="34"/>
          <w:szCs w:val="34"/>
          <w:rtl/>
          <w:lang w:bidi="ar-SA"/>
        </w:rPr>
        <w:t xml:space="preserve">تين </w:t>
      </w:r>
      <w:r w:rsidRPr="0015159A">
        <w:rPr>
          <w:rFonts w:ascii="Arabic Typesetting" w:hAnsi="Arabic Typesetting" w:cs="Arabic Typesetting"/>
          <w:sz w:val="34"/>
          <w:szCs w:val="34"/>
          <w:rtl/>
          <w:lang w:bidi="ar-SA"/>
        </w:rPr>
        <w:t>مختلف</w:t>
      </w:r>
      <w:r w:rsidRPr="0015159A">
        <w:rPr>
          <w:rFonts w:ascii="Arabic Typesetting" w:hAnsi="Arabic Typesetting" w:cs="Arabic Typesetting" w:hint="cs"/>
          <w:sz w:val="34"/>
          <w:szCs w:val="34"/>
          <w:rtl/>
          <w:lang w:bidi="ar-SA"/>
        </w:rPr>
        <w:t xml:space="preserve">تين </w:t>
      </w:r>
      <w:r w:rsidRPr="0015159A">
        <w:rPr>
          <w:rFonts w:ascii="Arabic Typesetting" w:hAnsi="Arabic Typesetting" w:cs="Arabic Typesetting"/>
          <w:sz w:val="34"/>
          <w:szCs w:val="34"/>
          <w:rtl/>
          <w:lang w:bidi="ar-SA"/>
        </w:rPr>
        <w:t xml:space="preserve">من </w:t>
      </w:r>
      <w:r w:rsidRPr="0015159A">
        <w:rPr>
          <w:rFonts w:ascii="Arabic Typesetting" w:hAnsi="Arabic Typesetting" w:cs="Arabic Typesetting" w:hint="cs"/>
          <w:sz w:val="34"/>
          <w:szCs w:val="34"/>
          <w:rtl/>
          <w:lang w:bidi="ar-SA"/>
        </w:rPr>
        <w:t>المخرجات.</w:t>
      </w:r>
    </w:p>
    <w:p w:rsidR="00861CFF" w:rsidRPr="0015159A" w:rsidRDefault="00861CFF" w:rsidP="00861CFF">
      <w:pPr>
        <w:numPr>
          <w:ilvl w:val="0"/>
          <w:numId w:val="46"/>
        </w:numPr>
        <w:spacing w:after="200" w:line="276" w:lineRule="auto"/>
        <w:rPr>
          <w:rFonts w:ascii="Arabic Typesetting" w:hAnsi="Arabic Typesetting" w:cs="Arabic Typesetting"/>
          <w:sz w:val="34"/>
          <w:szCs w:val="34"/>
          <w:lang w:bidi="ar-SA"/>
        </w:rPr>
      </w:pPr>
      <w:r w:rsidRPr="0015159A">
        <w:rPr>
          <w:rFonts w:ascii="Arabic Typesetting" w:hAnsi="Arabic Typesetting" w:cs="Arabic Typesetting"/>
          <w:sz w:val="34"/>
          <w:szCs w:val="34"/>
          <w:rtl/>
          <w:lang w:bidi="ar-SA"/>
        </w:rPr>
        <w:t>وكجزء من جهود</w:t>
      </w:r>
      <w:r w:rsidRPr="0015159A">
        <w:rPr>
          <w:rFonts w:ascii="Arabic Typesetting" w:hAnsi="Arabic Typesetting" w:cs="Arabic Typesetting"/>
          <w:sz w:val="34"/>
          <w:szCs w:val="34"/>
          <w:lang w:bidi="ar-SA"/>
        </w:rPr>
        <w:t xml:space="preserve"> </w:t>
      </w:r>
      <w:r w:rsidRPr="0015159A">
        <w:rPr>
          <w:rFonts w:ascii="Arabic Typesetting" w:hAnsi="Arabic Typesetting" w:cs="Arabic Typesetting"/>
          <w:sz w:val="34"/>
          <w:szCs w:val="34"/>
          <w:rtl/>
          <w:lang w:bidi="ar-SA"/>
        </w:rPr>
        <w:t>المكتب الدولي</w:t>
      </w:r>
      <w:r w:rsidRPr="0015159A">
        <w:rPr>
          <w:rFonts w:ascii="Arabic Typesetting" w:hAnsi="Arabic Typesetting" w:cs="Arabic Typesetting" w:hint="cs"/>
          <w:sz w:val="34"/>
          <w:szCs w:val="34"/>
          <w:rtl/>
          <w:lang w:bidi="ar-SA"/>
        </w:rPr>
        <w:t xml:space="preserve"> لمواصلة </w:t>
      </w:r>
      <w:r w:rsidRPr="0015159A">
        <w:rPr>
          <w:rFonts w:ascii="Arabic Typesetting" w:hAnsi="Arabic Typesetting" w:cs="Arabic Typesetting"/>
          <w:sz w:val="34"/>
          <w:szCs w:val="34"/>
          <w:rtl/>
          <w:lang w:bidi="ar-SA"/>
        </w:rPr>
        <w:t>صقل منهجية حساب تكاليف الوحدة، تم تنقيح المنهجية في</w:t>
      </w:r>
      <w:r w:rsidRPr="0015159A">
        <w:rPr>
          <w:rFonts w:ascii="Arabic Typesetting" w:hAnsi="Arabic Typesetting" w:cs="Arabic Typesetting" w:hint="cs"/>
          <w:sz w:val="34"/>
          <w:szCs w:val="34"/>
          <w:rtl/>
          <w:lang w:bidi="ar-SA"/>
        </w:rPr>
        <w:t xml:space="preserve"> وثيقة</w:t>
      </w:r>
      <w:r w:rsidRPr="0015159A">
        <w:rPr>
          <w:rFonts w:ascii="Arabic Typesetting" w:hAnsi="Arabic Typesetting" w:cs="Arabic Typesetting"/>
          <w:sz w:val="34"/>
          <w:szCs w:val="34"/>
          <w:rtl/>
          <w:lang w:bidi="ar-SA"/>
        </w:rPr>
        <w:t xml:space="preserve"> البرنامج والميزانية</w:t>
      </w:r>
      <w:r w:rsidRPr="0015159A">
        <w:rPr>
          <w:rFonts w:ascii="Arabic Typesetting" w:hAnsi="Arabic Typesetting" w:cs="Arabic Typesetting" w:hint="cs"/>
          <w:sz w:val="34"/>
          <w:szCs w:val="34"/>
          <w:rtl/>
          <w:lang w:bidi="ar-SA"/>
        </w:rPr>
        <w:t xml:space="preserve"> </w:t>
      </w:r>
      <w:r w:rsidRPr="0015159A">
        <w:rPr>
          <w:rFonts w:ascii="Arabic Typesetting" w:hAnsi="Arabic Typesetting" w:cs="Arabic Typesetting"/>
          <w:sz w:val="34"/>
          <w:szCs w:val="34"/>
          <w:rtl/>
          <w:lang w:bidi="ar-SA"/>
        </w:rPr>
        <w:t>ل</w:t>
      </w:r>
      <w:r w:rsidRPr="0015159A">
        <w:rPr>
          <w:rFonts w:ascii="Arabic Typesetting" w:hAnsi="Arabic Typesetting" w:cs="Arabic Typesetting" w:hint="cs"/>
          <w:sz w:val="34"/>
          <w:szCs w:val="34"/>
          <w:rtl/>
          <w:lang w:bidi="ar-SA"/>
        </w:rPr>
        <w:t>ت</w:t>
      </w:r>
      <w:r w:rsidRPr="0015159A">
        <w:rPr>
          <w:rFonts w:ascii="Arabic Typesetting" w:hAnsi="Arabic Typesetting" w:cs="Arabic Typesetting"/>
          <w:sz w:val="34"/>
          <w:szCs w:val="34"/>
          <w:rtl/>
          <w:lang w:bidi="ar-SA"/>
        </w:rPr>
        <w:t>عكس بشكل أدق تكلفة معالجة أعباء</w:t>
      </w:r>
      <w:r w:rsidRPr="0015159A">
        <w:rPr>
          <w:rFonts w:ascii="Arabic Typesetting" w:hAnsi="Arabic Typesetting" w:cs="Arabic Typesetting" w:hint="cs"/>
          <w:sz w:val="34"/>
          <w:szCs w:val="34"/>
          <w:rtl/>
          <w:lang w:bidi="ar-SA"/>
        </w:rPr>
        <w:t xml:space="preserve"> </w:t>
      </w:r>
      <w:r w:rsidRPr="0015159A">
        <w:rPr>
          <w:rFonts w:ascii="Arabic Typesetting" w:hAnsi="Arabic Typesetting" w:cs="Arabic Typesetting"/>
          <w:sz w:val="34"/>
          <w:szCs w:val="34"/>
          <w:rtl/>
          <w:lang w:bidi="ar-SA"/>
        </w:rPr>
        <w:t xml:space="preserve">عمل </w:t>
      </w:r>
      <w:r w:rsidRPr="0015159A">
        <w:rPr>
          <w:rFonts w:ascii="Arabic Typesetting" w:hAnsi="Arabic Typesetting" w:cs="Arabic Typesetting" w:hint="cs"/>
          <w:sz w:val="34"/>
          <w:szCs w:val="34"/>
          <w:rtl/>
          <w:lang w:bidi="ar-SA"/>
        </w:rPr>
        <w:t>نظام لاهاي</w:t>
      </w:r>
      <w:r w:rsidRPr="0015159A">
        <w:rPr>
          <w:rFonts w:ascii="Arabic Typesetting" w:hAnsi="Arabic Typesetting" w:cs="Arabic Typesetting"/>
          <w:sz w:val="34"/>
          <w:szCs w:val="34"/>
          <w:rtl/>
          <w:lang w:bidi="ar-SA"/>
        </w:rPr>
        <w:t xml:space="preserve"> في</w:t>
      </w:r>
      <w:r w:rsidRPr="0015159A">
        <w:rPr>
          <w:rFonts w:ascii="Arabic Typesetting" w:hAnsi="Arabic Typesetting" w:cs="Arabic Typesetting"/>
          <w:sz w:val="34"/>
          <w:szCs w:val="34"/>
          <w:lang w:bidi="ar-SA"/>
        </w:rPr>
        <w:t xml:space="preserve"> </w:t>
      </w:r>
      <w:r w:rsidRPr="0015159A">
        <w:rPr>
          <w:rFonts w:ascii="Arabic Typesetting" w:hAnsi="Arabic Typesetting" w:cs="Arabic Typesetting"/>
          <w:sz w:val="34"/>
          <w:szCs w:val="34"/>
          <w:rtl/>
          <w:lang w:bidi="ar-SA"/>
        </w:rPr>
        <w:t>المكتب الدولي</w:t>
      </w:r>
      <w:r w:rsidRPr="0015159A">
        <w:rPr>
          <w:rFonts w:ascii="Arabic Typesetting" w:hAnsi="Arabic Typesetting" w:cs="Arabic Typesetting" w:hint="cs"/>
          <w:sz w:val="34"/>
          <w:szCs w:val="34"/>
          <w:rtl/>
          <w:lang w:bidi="ar-SA"/>
        </w:rPr>
        <w:t>.</w:t>
      </w:r>
    </w:p>
    <w:p w:rsidR="00861CFF" w:rsidRPr="0015159A" w:rsidRDefault="00861CFF" w:rsidP="00861CFF">
      <w:pPr>
        <w:keepNext/>
        <w:numPr>
          <w:ilvl w:val="0"/>
          <w:numId w:val="46"/>
        </w:numPr>
        <w:spacing w:after="200" w:line="276" w:lineRule="auto"/>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وفيما يلي ترد النقاط المنقحة المعنية:</w:t>
      </w:r>
    </w:p>
    <w:p w:rsidR="00861CFF" w:rsidRPr="0015159A" w:rsidRDefault="00861CFF" w:rsidP="00861CFF">
      <w:pPr>
        <w:numPr>
          <w:ilvl w:val="0"/>
          <w:numId w:val="50"/>
        </w:numPr>
        <w:spacing w:after="120" w:line="340" w:lineRule="exact"/>
        <w:rPr>
          <w:rFonts w:ascii="Arabic Typesetting" w:hAnsi="Arabic Typesetting" w:cs="Arabic Typesetting"/>
          <w:sz w:val="34"/>
          <w:szCs w:val="34"/>
          <w:rtl/>
          <w:lang w:bidi="ar-SA"/>
        </w:rPr>
      </w:pPr>
      <w:r w:rsidRPr="0015159A">
        <w:rPr>
          <w:rFonts w:ascii="Arabic Typesetting" w:hAnsi="Arabic Typesetting" w:cs="Arabic Typesetting" w:hint="cs"/>
          <w:sz w:val="36"/>
          <w:szCs w:val="36"/>
          <w:rtl/>
          <w:lang w:bidi="ar-SA"/>
        </w:rPr>
        <w:t>تمت</w:t>
      </w:r>
      <w:r w:rsidRPr="0015159A">
        <w:rPr>
          <w:rFonts w:ascii="Arabic Typesetting" w:hAnsi="Arabic Typesetting" w:cs="Arabic Typesetting" w:hint="cs"/>
          <w:sz w:val="34"/>
          <w:szCs w:val="34"/>
          <w:rtl/>
          <w:lang w:bidi="ar-SA"/>
        </w:rPr>
        <w:t xml:space="preserve"> مواءمة</w:t>
      </w:r>
      <w:r w:rsidRPr="0015159A">
        <w:rPr>
          <w:rFonts w:ascii="Arabic Typesetting" w:hAnsi="Arabic Typesetting" w:cs="Arabic Typesetting"/>
          <w:sz w:val="34"/>
          <w:szCs w:val="34"/>
          <w:rtl/>
          <w:lang w:bidi="ar-SA"/>
        </w:rPr>
        <w:t xml:space="preserve"> منهجية حساب تكاليف</w:t>
      </w:r>
      <w:r w:rsidRPr="0015159A">
        <w:rPr>
          <w:rFonts w:ascii="Arabic Typesetting" w:hAnsi="Arabic Typesetting" w:cs="Arabic Typesetting" w:hint="cs"/>
          <w:sz w:val="34"/>
          <w:szCs w:val="34"/>
          <w:rtl/>
          <w:lang w:bidi="ar-SA"/>
        </w:rPr>
        <w:t xml:space="preserve"> نظام</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لاهاي</w:t>
      </w:r>
      <w:r w:rsidRPr="0015159A">
        <w:rPr>
          <w:rFonts w:ascii="Arabic Typesetting" w:hAnsi="Arabic Typesetting" w:cs="Arabic Typesetting"/>
          <w:sz w:val="34"/>
          <w:szCs w:val="34"/>
          <w:rtl/>
          <w:lang w:bidi="ar-SA"/>
        </w:rPr>
        <w:t xml:space="preserve"> المباشرة وغير المباشرة مع منهجيات حساب </w:t>
      </w:r>
      <w:r w:rsidRPr="0015159A">
        <w:rPr>
          <w:rFonts w:ascii="Arabic Typesetting" w:hAnsi="Arabic Typesetting" w:cs="Arabic Typesetting" w:hint="cs"/>
          <w:sz w:val="34"/>
          <w:szCs w:val="34"/>
          <w:rtl/>
          <w:lang w:bidi="ar-SA"/>
        </w:rPr>
        <w:t xml:space="preserve">تكاليف الوحدة في نظامي </w:t>
      </w:r>
      <w:r w:rsidRPr="0015159A">
        <w:rPr>
          <w:rFonts w:ascii="Arabic Typesetting" w:hAnsi="Arabic Typesetting" w:cs="Arabic Typesetting"/>
          <w:sz w:val="34"/>
          <w:szCs w:val="34"/>
          <w:rtl/>
          <w:lang w:bidi="ar-SA"/>
        </w:rPr>
        <w:t xml:space="preserve">معاهدة البراءات </w:t>
      </w:r>
      <w:r w:rsidRPr="0015159A">
        <w:rPr>
          <w:rFonts w:ascii="Arabic Typesetting" w:hAnsi="Arabic Typesetting" w:cs="Arabic Typesetting" w:hint="cs"/>
          <w:sz w:val="34"/>
          <w:szCs w:val="34"/>
          <w:rtl/>
          <w:lang w:bidi="ar-SA"/>
        </w:rPr>
        <w:t>ومدريد</w:t>
      </w:r>
      <w:r w:rsidRPr="0015159A">
        <w:rPr>
          <w:rFonts w:ascii="Arabic Typesetting" w:hAnsi="Arabic Typesetting" w:cs="Arabic Typesetting"/>
          <w:sz w:val="34"/>
          <w:szCs w:val="34"/>
          <w:lang w:bidi="ar-SA"/>
        </w:rPr>
        <w:t>.</w:t>
      </w:r>
    </w:p>
    <w:p w:rsidR="00861CFF" w:rsidRPr="0015159A" w:rsidRDefault="00861CFF" w:rsidP="00861CFF">
      <w:pPr>
        <w:numPr>
          <w:ilvl w:val="0"/>
          <w:numId w:val="50"/>
        </w:numPr>
        <w:spacing w:after="120" w:line="340" w:lineRule="exact"/>
        <w:rPr>
          <w:rFonts w:ascii="Arabic Typesetting" w:hAnsi="Arabic Typesetting" w:cs="Arabic Typesetting"/>
          <w:sz w:val="34"/>
          <w:szCs w:val="34"/>
          <w:rtl/>
          <w:lang w:bidi="ar-SA"/>
        </w:rPr>
      </w:pPr>
      <w:r w:rsidRPr="0015159A">
        <w:rPr>
          <w:rFonts w:ascii="Arabic Typesetting" w:hAnsi="Arabic Typesetting" w:cs="Arabic Typesetting"/>
          <w:sz w:val="36"/>
          <w:szCs w:val="36"/>
          <w:rtl/>
          <w:lang w:bidi="ar-SA"/>
        </w:rPr>
        <w:t>و</w:t>
      </w:r>
      <w:r w:rsidRPr="0015159A">
        <w:rPr>
          <w:rFonts w:ascii="Arabic Typesetting" w:hAnsi="Arabic Typesetting" w:cs="Arabic Typesetting" w:hint="cs"/>
          <w:sz w:val="36"/>
          <w:szCs w:val="36"/>
          <w:rtl/>
          <w:lang w:bidi="ar-SA"/>
        </w:rPr>
        <w:t>أُ</w:t>
      </w:r>
      <w:r w:rsidRPr="0015159A">
        <w:rPr>
          <w:rFonts w:ascii="Arabic Typesetting" w:hAnsi="Arabic Typesetting" w:cs="Arabic Typesetting"/>
          <w:sz w:val="36"/>
          <w:szCs w:val="36"/>
          <w:rtl/>
          <w:lang w:bidi="ar-SA"/>
        </w:rPr>
        <w:t>دخل</w:t>
      </w:r>
      <w:r w:rsidRPr="0015159A">
        <w:rPr>
          <w:rFonts w:ascii="Arabic Typesetting" w:hAnsi="Arabic Typesetting" w:cs="Arabic Typesetting"/>
          <w:sz w:val="34"/>
          <w:szCs w:val="34"/>
          <w:rtl/>
          <w:lang w:bidi="ar-SA"/>
        </w:rPr>
        <w:t xml:space="preserve"> نظام مرج</w:t>
      </w:r>
      <w:r w:rsidRPr="0015159A">
        <w:rPr>
          <w:rFonts w:ascii="Arabic Typesetting" w:hAnsi="Arabic Typesetting" w:cs="Arabic Typesetting" w:hint="cs"/>
          <w:sz w:val="34"/>
          <w:szCs w:val="34"/>
          <w:rtl/>
          <w:lang w:bidi="ar-SA"/>
        </w:rPr>
        <w:t>َّ</w:t>
      </w:r>
      <w:r w:rsidRPr="0015159A">
        <w:rPr>
          <w:rFonts w:ascii="Arabic Typesetting" w:hAnsi="Arabic Typesetting" w:cs="Arabic Typesetting"/>
          <w:sz w:val="34"/>
          <w:szCs w:val="34"/>
          <w:rtl/>
          <w:lang w:bidi="ar-SA"/>
        </w:rPr>
        <w:t xml:space="preserve">ح </w:t>
      </w:r>
      <w:r w:rsidRPr="0015159A">
        <w:rPr>
          <w:rFonts w:ascii="Arabic Typesetting" w:hAnsi="Arabic Typesetting" w:cs="Arabic Typesetting" w:hint="cs"/>
          <w:sz w:val="34"/>
          <w:szCs w:val="34"/>
          <w:rtl/>
          <w:lang w:bidi="ar-SA"/>
        </w:rPr>
        <w:t>لتقدير أفضل ل</w:t>
      </w:r>
      <w:r w:rsidRPr="0015159A">
        <w:rPr>
          <w:rFonts w:ascii="Arabic Typesetting" w:hAnsi="Arabic Typesetting" w:cs="Arabic Typesetting"/>
          <w:sz w:val="34"/>
          <w:szCs w:val="34"/>
          <w:rtl/>
          <w:lang w:bidi="ar-SA"/>
        </w:rPr>
        <w:t>لعمل الفعلي المطلوب لمعالجة فئات الوثائق</w:t>
      </w:r>
      <w:r w:rsidRPr="0015159A">
        <w:rPr>
          <w:rFonts w:ascii="Arabic Typesetting" w:hAnsi="Arabic Typesetting" w:cs="Arabic Typesetting" w:hint="cs"/>
          <w:sz w:val="34"/>
          <w:szCs w:val="34"/>
          <w:rtl/>
          <w:lang w:bidi="ar-SA"/>
        </w:rPr>
        <w:t xml:space="preserve"> الأربع</w:t>
      </w:r>
      <w:r w:rsidRPr="0015159A">
        <w:rPr>
          <w:rFonts w:ascii="Arabic Typesetting" w:hAnsi="Arabic Typesetting" w:cs="Arabic Typesetting"/>
          <w:sz w:val="34"/>
          <w:szCs w:val="34"/>
          <w:rtl/>
          <w:lang w:bidi="ar-SA"/>
        </w:rPr>
        <w:t xml:space="preserve">، مع </w:t>
      </w:r>
      <w:r w:rsidRPr="0015159A">
        <w:rPr>
          <w:rFonts w:ascii="Arabic Typesetting" w:hAnsi="Arabic Typesetting" w:cs="Arabic Typesetting" w:hint="cs"/>
          <w:sz w:val="34"/>
          <w:szCs w:val="34"/>
          <w:rtl/>
          <w:lang w:bidi="ar-SA"/>
        </w:rPr>
        <w:t>مراعاة</w:t>
      </w:r>
      <w:r w:rsidRPr="0015159A">
        <w:rPr>
          <w:rFonts w:ascii="Arabic Typesetting" w:hAnsi="Arabic Typesetting" w:cs="Arabic Typesetting"/>
          <w:sz w:val="34"/>
          <w:szCs w:val="34"/>
          <w:rtl/>
          <w:lang w:bidi="ar-SA"/>
        </w:rPr>
        <w:t xml:space="preserve"> أن </w:t>
      </w:r>
      <w:r w:rsidRPr="0015159A">
        <w:rPr>
          <w:rFonts w:ascii="Arabic Typesetting" w:hAnsi="Arabic Typesetting" w:cs="Arabic Typesetting" w:hint="cs"/>
          <w:sz w:val="34"/>
          <w:szCs w:val="34"/>
          <w:rtl/>
          <w:lang w:bidi="ar-SA"/>
        </w:rPr>
        <w:t>ال</w:t>
      </w:r>
      <w:r w:rsidRPr="0015159A">
        <w:rPr>
          <w:rFonts w:ascii="Arabic Typesetting" w:hAnsi="Arabic Typesetting" w:cs="Arabic Typesetting"/>
          <w:sz w:val="34"/>
          <w:szCs w:val="34"/>
          <w:rtl/>
          <w:lang w:bidi="ar-SA"/>
        </w:rPr>
        <w:t xml:space="preserve">بعض </w:t>
      </w:r>
      <w:r w:rsidRPr="0015159A">
        <w:rPr>
          <w:rFonts w:ascii="Arabic Typesetting" w:hAnsi="Arabic Typesetting" w:cs="Arabic Typesetting" w:hint="cs"/>
          <w:sz w:val="34"/>
          <w:szCs w:val="34"/>
          <w:rtl/>
          <w:lang w:bidi="ar-SA"/>
        </w:rPr>
        <w:t>من تلك</w:t>
      </w:r>
      <w:r w:rsidRPr="0015159A">
        <w:rPr>
          <w:rFonts w:ascii="Arabic Typesetting" w:hAnsi="Arabic Typesetting" w:cs="Arabic Typesetting"/>
          <w:sz w:val="34"/>
          <w:szCs w:val="34"/>
          <w:rtl/>
          <w:lang w:bidi="ar-SA"/>
        </w:rPr>
        <w:t xml:space="preserve"> الوثائق </w:t>
      </w:r>
      <w:r w:rsidRPr="0015159A">
        <w:rPr>
          <w:rFonts w:ascii="Arabic Typesetting" w:hAnsi="Arabic Typesetting" w:cs="Arabic Typesetting" w:hint="cs"/>
          <w:sz w:val="34"/>
          <w:szCs w:val="34"/>
          <w:rtl/>
          <w:lang w:bidi="ar-SA"/>
        </w:rPr>
        <w:t xml:space="preserve">يتطلب عملا </w:t>
      </w:r>
      <w:r w:rsidRPr="0015159A">
        <w:rPr>
          <w:rFonts w:ascii="Arabic Typesetting" w:hAnsi="Arabic Typesetting" w:cs="Arabic Typesetting"/>
          <w:sz w:val="34"/>
          <w:szCs w:val="34"/>
          <w:rtl/>
          <w:lang w:bidi="ar-SA"/>
        </w:rPr>
        <w:t>أكثر من غيرها</w:t>
      </w:r>
      <w:r w:rsidRPr="0015159A">
        <w:rPr>
          <w:rFonts w:ascii="Arabic Typesetting" w:hAnsi="Arabic Typesetting" w:cs="Arabic Typesetting" w:hint="cs"/>
          <w:sz w:val="34"/>
          <w:szCs w:val="34"/>
          <w:rtl/>
          <w:lang w:bidi="ar-SA"/>
        </w:rPr>
        <w:t>.</w:t>
      </w:r>
      <w:r w:rsidRPr="00944CDC">
        <w:rPr>
          <w:rFonts w:ascii="Arabic Typesetting" w:hAnsi="Arabic Typesetting" w:cs="Arabic Typesetting"/>
          <w:sz w:val="34"/>
          <w:vertAlign w:val="superscript"/>
          <w:rtl/>
          <w:lang w:bidi="ar-SA"/>
        </w:rPr>
        <w:footnoteReference w:id="30"/>
      </w:r>
    </w:p>
    <w:p w:rsidR="00861CFF" w:rsidRPr="0015159A" w:rsidRDefault="00861CFF" w:rsidP="00861CFF">
      <w:pPr>
        <w:numPr>
          <w:ilvl w:val="0"/>
          <w:numId w:val="50"/>
        </w:numPr>
        <w:spacing w:after="120" w:line="340" w:lineRule="exact"/>
        <w:rPr>
          <w:rFonts w:ascii="Arabic Typesetting" w:hAnsi="Arabic Typesetting" w:cs="Arabic Typesetting"/>
          <w:sz w:val="34"/>
          <w:szCs w:val="34"/>
          <w:rtl/>
          <w:lang w:bidi="ar-SA"/>
        </w:rPr>
      </w:pPr>
      <w:r w:rsidRPr="0015159A">
        <w:rPr>
          <w:rFonts w:ascii="Arabic Typesetting" w:hAnsi="Arabic Typesetting" w:cs="Arabic Typesetting" w:hint="cs"/>
          <w:sz w:val="36"/>
          <w:szCs w:val="36"/>
          <w:rtl/>
          <w:lang w:bidi="ar-SA"/>
        </w:rPr>
        <w:t>وأ</w:t>
      </w:r>
      <w:r w:rsidRPr="0015159A">
        <w:rPr>
          <w:rFonts w:ascii="Arabic Typesetting" w:hAnsi="Arabic Typesetting" w:cs="Arabic Typesetting"/>
          <w:sz w:val="36"/>
          <w:szCs w:val="36"/>
          <w:rtl/>
          <w:lang w:bidi="ar-SA"/>
        </w:rPr>
        <w:t>ع</w:t>
      </w:r>
      <w:r w:rsidRPr="0015159A">
        <w:rPr>
          <w:rFonts w:ascii="Arabic Typesetting" w:hAnsi="Arabic Typesetting" w:cs="Arabic Typesetting" w:hint="cs"/>
          <w:sz w:val="36"/>
          <w:szCs w:val="36"/>
          <w:rtl/>
          <w:lang w:bidi="ar-SA"/>
        </w:rPr>
        <w:t>ي</w:t>
      </w:r>
      <w:r w:rsidRPr="0015159A">
        <w:rPr>
          <w:rFonts w:ascii="Arabic Typesetting" w:hAnsi="Arabic Typesetting" w:cs="Arabic Typesetting"/>
          <w:sz w:val="36"/>
          <w:szCs w:val="36"/>
          <w:rtl/>
          <w:lang w:bidi="ar-SA"/>
        </w:rPr>
        <w:t>د</w:t>
      </w:r>
      <w:r w:rsidRPr="0015159A">
        <w:rPr>
          <w:rFonts w:ascii="Arabic Typesetting" w:hAnsi="Arabic Typesetting" w:cs="Arabic Typesetting" w:hint="cs"/>
          <w:sz w:val="34"/>
          <w:szCs w:val="34"/>
          <w:rtl/>
          <w:lang w:bidi="ar-SA"/>
        </w:rPr>
        <w:t xml:space="preserve"> تحديد</w:t>
      </w:r>
      <w:r w:rsidRPr="0015159A">
        <w:rPr>
          <w:rFonts w:ascii="Arabic Typesetting" w:hAnsi="Arabic Typesetting" w:cs="Arabic Typesetting"/>
          <w:sz w:val="34"/>
          <w:szCs w:val="34"/>
          <w:rtl/>
          <w:lang w:bidi="ar-SA"/>
        </w:rPr>
        <w:t xml:space="preserve"> تكلفة الوحدة الأولى لتشمل </w:t>
      </w:r>
      <w:r w:rsidRPr="0015159A">
        <w:rPr>
          <w:rFonts w:ascii="Arabic Typesetting" w:hAnsi="Arabic Typesetting" w:cs="Arabic Typesetting" w:hint="cs"/>
          <w:sz w:val="34"/>
          <w:szCs w:val="34"/>
          <w:rtl/>
          <w:lang w:bidi="ar-SA"/>
        </w:rPr>
        <w:t xml:space="preserve">التصاميم الواردة في </w:t>
      </w:r>
      <w:r w:rsidRPr="0015159A">
        <w:rPr>
          <w:rFonts w:ascii="Arabic Typesetting" w:hAnsi="Arabic Typesetting" w:cs="Arabic Typesetting"/>
          <w:sz w:val="34"/>
          <w:szCs w:val="34"/>
          <w:rtl/>
          <w:lang w:bidi="ar-SA"/>
        </w:rPr>
        <w:t xml:space="preserve">التسجيلات </w:t>
      </w:r>
      <w:r w:rsidRPr="0015159A">
        <w:rPr>
          <w:rFonts w:ascii="Arabic Typesetting" w:hAnsi="Arabic Typesetting" w:cs="Arabic Typesetting" w:hint="cs"/>
          <w:sz w:val="34"/>
          <w:szCs w:val="34"/>
          <w:rtl/>
          <w:lang w:bidi="ar-SA"/>
        </w:rPr>
        <w:t>ال</w:t>
      </w:r>
      <w:r w:rsidRPr="0015159A">
        <w:rPr>
          <w:rFonts w:ascii="Arabic Typesetting" w:hAnsi="Arabic Typesetting" w:cs="Arabic Typesetting"/>
          <w:sz w:val="34"/>
          <w:szCs w:val="34"/>
          <w:rtl/>
          <w:lang w:bidi="ar-SA"/>
        </w:rPr>
        <w:t xml:space="preserve">دولية </w:t>
      </w:r>
      <w:r w:rsidRPr="0015159A">
        <w:rPr>
          <w:rFonts w:ascii="Arabic Typesetting" w:hAnsi="Arabic Typesetting" w:cs="Arabic Typesetting" w:hint="cs"/>
          <w:sz w:val="34"/>
          <w:szCs w:val="34"/>
          <w:rtl/>
          <w:lang w:bidi="ar-SA"/>
        </w:rPr>
        <w:t>ال</w:t>
      </w:r>
      <w:r w:rsidRPr="0015159A">
        <w:rPr>
          <w:rFonts w:ascii="Arabic Typesetting" w:hAnsi="Arabic Typesetting" w:cs="Arabic Typesetting"/>
          <w:sz w:val="34"/>
          <w:szCs w:val="34"/>
          <w:rtl/>
          <w:lang w:bidi="ar-SA"/>
        </w:rPr>
        <w:t>جديدة</w:t>
      </w:r>
      <w:r w:rsidRPr="0015159A">
        <w:rPr>
          <w:rFonts w:ascii="Arabic Typesetting" w:hAnsi="Arabic Typesetting" w:cs="Arabic Typesetting" w:hint="cs"/>
          <w:sz w:val="34"/>
          <w:szCs w:val="34"/>
          <w:rtl/>
          <w:lang w:bidi="ar-SA"/>
        </w:rPr>
        <w:t xml:space="preserve"> وفي</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ال</w:t>
      </w:r>
      <w:r w:rsidRPr="0015159A">
        <w:rPr>
          <w:rFonts w:ascii="Arabic Typesetting" w:hAnsi="Arabic Typesetting" w:cs="Arabic Typesetting"/>
          <w:sz w:val="34"/>
          <w:szCs w:val="34"/>
          <w:rtl/>
          <w:lang w:bidi="ar-SA"/>
        </w:rPr>
        <w:t>تجديد</w:t>
      </w:r>
      <w:r w:rsidRPr="0015159A">
        <w:rPr>
          <w:rFonts w:ascii="Arabic Typesetting" w:hAnsi="Arabic Typesetting" w:cs="Arabic Typesetting" w:hint="cs"/>
          <w:sz w:val="34"/>
          <w:szCs w:val="34"/>
          <w:rtl/>
          <w:lang w:bidi="ar-SA"/>
        </w:rPr>
        <w:t>ات</w:t>
      </w:r>
      <w:r w:rsidRPr="0015159A">
        <w:rPr>
          <w:rFonts w:ascii="Arabic Typesetting" w:hAnsi="Arabic Typesetting" w:cs="Arabic Typesetting"/>
          <w:sz w:val="34"/>
          <w:szCs w:val="34"/>
          <w:rtl/>
          <w:lang w:bidi="ar-SA"/>
        </w:rPr>
        <w:t xml:space="preserve"> (شملت تكلفة الوحدة في </w:t>
      </w:r>
      <w:r w:rsidRPr="0015159A">
        <w:rPr>
          <w:rFonts w:ascii="Arabic Typesetting" w:hAnsi="Arabic Typesetting" w:cs="Arabic Typesetting" w:hint="cs"/>
          <w:sz w:val="34"/>
          <w:szCs w:val="34"/>
          <w:rtl/>
          <w:lang w:bidi="ar-SA"/>
        </w:rPr>
        <w:t xml:space="preserve">وثيقة </w:t>
      </w:r>
      <w:r w:rsidRPr="0015159A">
        <w:rPr>
          <w:rFonts w:ascii="Arabic Typesetting" w:hAnsi="Arabic Typesetting" w:cs="Arabic Typesetting"/>
          <w:sz w:val="34"/>
          <w:szCs w:val="34"/>
          <w:rtl/>
          <w:lang w:bidi="ar-SA"/>
        </w:rPr>
        <w:t>البرنامج والميزانية</w:t>
      </w:r>
      <w:r w:rsidRPr="0015159A">
        <w:rPr>
          <w:rFonts w:ascii="Arabic Typesetting" w:hAnsi="Arabic Typesetting" w:cs="Arabic Typesetting" w:hint="cs"/>
          <w:sz w:val="34"/>
          <w:szCs w:val="34"/>
          <w:rtl/>
          <w:lang w:bidi="ar-SA"/>
        </w:rPr>
        <w:t xml:space="preserve"> للثنائية</w:t>
      </w:r>
      <w:r w:rsidRPr="0015159A">
        <w:rPr>
          <w:rFonts w:ascii="Arabic Typesetting" w:hAnsi="Arabic Typesetting" w:cs="Arabic Typesetting"/>
          <w:sz w:val="34"/>
          <w:szCs w:val="34"/>
          <w:rtl/>
          <w:lang w:bidi="ar-SA"/>
        </w:rPr>
        <w:t xml:space="preserve"> 2014/15 </w:t>
      </w:r>
      <w:r w:rsidRPr="0015159A">
        <w:rPr>
          <w:rFonts w:ascii="Arabic Typesetting" w:hAnsi="Arabic Typesetting" w:cs="Arabic Typesetting" w:hint="cs"/>
          <w:sz w:val="34"/>
          <w:szCs w:val="34"/>
          <w:rtl/>
          <w:lang w:bidi="ar-SA"/>
        </w:rPr>
        <w:t>التصاميم الواردة في التسجيلات الدولية الجديدة فقط</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 xml:space="preserve">والأساس </w:t>
      </w:r>
      <w:r w:rsidRPr="0015159A">
        <w:rPr>
          <w:rFonts w:ascii="Arabic Typesetting" w:hAnsi="Arabic Typesetting" w:cs="Arabic Typesetting"/>
          <w:sz w:val="34"/>
          <w:szCs w:val="34"/>
          <w:rtl/>
          <w:lang w:bidi="ar-SA"/>
        </w:rPr>
        <w:t>المنطق</w:t>
      </w:r>
      <w:r w:rsidRPr="0015159A">
        <w:rPr>
          <w:rFonts w:ascii="Arabic Typesetting" w:hAnsi="Arabic Typesetting" w:cs="Arabic Typesetting" w:hint="cs"/>
          <w:sz w:val="34"/>
          <w:szCs w:val="34"/>
          <w:rtl/>
          <w:lang w:bidi="ar-SA"/>
        </w:rPr>
        <w:t>ي</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لإضافة التصاميم الواردة في التجديدات</w:t>
      </w:r>
      <w:r w:rsidRPr="0015159A">
        <w:rPr>
          <w:rFonts w:ascii="Arabic Typesetting" w:hAnsi="Arabic Typesetting" w:cs="Arabic Typesetting"/>
          <w:sz w:val="34"/>
          <w:szCs w:val="34"/>
          <w:rtl/>
          <w:lang w:bidi="ar-SA"/>
        </w:rPr>
        <w:t xml:space="preserve"> كعنصر من عناصر تكلفة الوحدة هو </w:t>
      </w:r>
      <w:r w:rsidRPr="0015159A">
        <w:rPr>
          <w:rFonts w:ascii="Arabic Typesetting" w:hAnsi="Arabic Typesetting" w:cs="Arabic Typesetting" w:hint="cs"/>
          <w:sz w:val="34"/>
          <w:szCs w:val="34"/>
          <w:rtl/>
          <w:lang w:bidi="ar-SA"/>
        </w:rPr>
        <w:t xml:space="preserve">من أجل </w:t>
      </w:r>
      <w:r w:rsidRPr="0015159A">
        <w:rPr>
          <w:rFonts w:ascii="Arabic Typesetting" w:hAnsi="Arabic Typesetting" w:cs="Arabic Typesetting"/>
          <w:sz w:val="34"/>
          <w:szCs w:val="34"/>
          <w:rtl/>
          <w:lang w:bidi="ar-SA"/>
        </w:rPr>
        <w:t xml:space="preserve">تركيز </w:t>
      </w:r>
      <w:r w:rsidRPr="0015159A">
        <w:rPr>
          <w:rFonts w:ascii="Arabic Typesetting" w:hAnsi="Arabic Typesetting" w:cs="Arabic Typesetting" w:hint="cs"/>
          <w:sz w:val="34"/>
          <w:szCs w:val="34"/>
          <w:rtl/>
          <w:lang w:bidi="ar-SA"/>
        </w:rPr>
        <w:t xml:space="preserve">أكبر </w:t>
      </w:r>
      <w:r w:rsidRPr="0015159A">
        <w:rPr>
          <w:rFonts w:ascii="Arabic Typesetting" w:hAnsi="Arabic Typesetting" w:cs="Arabic Typesetting"/>
          <w:sz w:val="34"/>
          <w:szCs w:val="34"/>
          <w:rtl/>
          <w:lang w:bidi="ar-SA"/>
        </w:rPr>
        <w:t xml:space="preserve">على </w:t>
      </w:r>
      <w:r w:rsidRPr="0015159A">
        <w:rPr>
          <w:rFonts w:ascii="Arabic Typesetting" w:hAnsi="Arabic Typesetting" w:cs="Arabic Typesetting" w:hint="cs"/>
          <w:sz w:val="34"/>
          <w:szCs w:val="34"/>
          <w:rtl/>
          <w:lang w:bidi="ar-SA"/>
        </w:rPr>
        <w:t>مخرجات لاهاي الرئيسية</w:t>
      </w:r>
      <w:r w:rsidRPr="0015159A">
        <w:rPr>
          <w:rFonts w:ascii="Arabic Typesetting" w:hAnsi="Arabic Typesetting" w:cs="Arabic Typesetting"/>
          <w:sz w:val="34"/>
          <w:szCs w:val="34"/>
          <w:rtl/>
          <w:lang w:bidi="ar-SA"/>
        </w:rPr>
        <w:t>، وهي التسجيل الدولي وتجديده.</w:t>
      </w:r>
    </w:p>
    <w:p w:rsidR="00861CFF" w:rsidRPr="0015159A" w:rsidRDefault="00861CFF" w:rsidP="00861CFF">
      <w:pPr>
        <w:numPr>
          <w:ilvl w:val="0"/>
          <w:numId w:val="50"/>
        </w:numPr>
        <w:spacing w:after="120" w:line="340" w:lineRule="exact"/>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وت</w:t>
      </w:r>
      <w:r w:rsidRPr="0015159A">
        <w:rPr>
          <w:rFonts w:ascii="Arabic Typesetting" w:hAnsi="Arabic Typesetting" w:cs="Arabic Typesetting"/>
          <w:sz w:val="34"/>
          <w:szCs w:val="34"/>
          <w:rtl/>
          <w:lang w:bidi="ar-SA"/>
        </w:rPr>
        <w:t xml:space="preserve">ستند تكلفة الوحدة الثانية </w:t>
      </w:r>
      <w:r w:rsidRPr="0015159A">
        <w:rPr>
          <w:rFonts w:ascii="Arabic Typesetting" w:hAnsi="Arabic Typesetting" w:cs="Arabic Typesetting" w:hint="cs"/>
          <w:sz w:val="34"/>
          <w:szCs w:val="34"/>
          <w:rtl/>
          <w:lang w:bidi="ar-SA"/>
        </w:rPr>
        <w:t>إلى</w:t>
      </w:r>
      <w:r w:rsidRPr="0015159A">
        <w:rPr>
          <w:rFonts w:ascii="Arabic Typesetting" w:hAnsi="Arabic Typesetting" w:cs="Arabic Typesetting"/>
          <w:sz w:val="34"/>
          <w:szCs w:val="34"/>
          <w:rtl/>
          <w:lang w:bidi="ar-SA"/>
        </w:rPr>
        <w:t xml:space="preserve"> عدد الوثائق </w:t>
      </w:r>
      <w:r w:rsidRPr="0015159A">
        <w:rPr>
          <w:rFonts w:ascii="Arabic Typesetting" w:hAnsi="Arabic Typesetting" w:cs="Arabic Typesetting" w:hint="cs"/>
          <w:sz w:val="34"/>
          <w:szCs w:val="34"/>
          <w:rtl/>
          <w:lang w:bidi="ar-SA"/>
        </w:rPr>
        <w:t>المعالجة والمدونة</w:t>
      </w:r>
      <w:r w:rsidRPr="0015159A">
        <w:rPr>
          <w:rFonts w:ascii="Arabic Typesetting" w:hAnsi="Arabic Typesetting" w:cs="Arabic Typesetting"/>
          <w:sz w:val="34"/>
          <w:szCs w:val="34"/>
          <w:rtl/>
          <w:lang w:bidi="ar-SA"/>
        </w:rPr>
        <w:t xml:space="preserve"> في السجل بدلا من عدد </w:t>
      </w:r>
      <w:r w:rsidRPr="0015159A">
        <w:rPr>
          <w:rFonts w:ascii="Arabic Typesetting" w:hAnsi="Arabic Typesetting" w:cs="Arabic Typesetting" w:hint="cs"/>
          <w:sz w:val="34"/>
          <w:szCs w:val="34"/>
          <w:rtl/>
          <w:lang w:bidi="ar-SA"/>
        </w:rPr>
        <w:t>التدوينات</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بسبب اختلاف</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درجات</w:t>
      </w:r>
      <w:r w:rsidRPr="0015159A">
        <w:rPr>
          <w:rFonts w:ascii="Arabic Typesetting" w:hAnsi="Arabic Typesetting" w:cs="Arabic Typesetting"/>
          <w:sz w:val="34"/>
          <w:szCs w:val="34"/>
          <w:rtl/>
          <w:lang w:bidi="ar-SA"/>
        </w:rPr>
        <w:t xml:space="preserve"> الجهود اللازمة لمعالجة </w:t>
      </w:r>
      <w:r w:rsidRPr="0015159A">
        <w:rPr>
          <w:rFonts w:ascii="Arabic Typesetting" w:hAnsi="Arabic Typesetting" w:cs="Arabic Typesetting" w:hint="cs"/>
          <w:sz w:val="34"/>
          <w:szCs w:val="34"/>
          <w:rtl/>
          <w:lang w:bidi="ar-SA"/>
        </w:rPr>
        <w:t>ال</w:t>
      </w:r>
      <w:r w:rsidRPr="0015159A">
        <w:rPr>
          <w:rFonts w:ascii="Arabic Typesetting" w:hAnsi="Arabic Typesetting" w:cs="Arabic Typesetting"/>
          <w:sz w:val="34"/>
          <w:szCs w:val="34"/>
          <w:rtl/>
          <w:lang w:bidi="ar-SA"/>
        </w:rPr>
        <w:t xml:space="preserve">وثائق </w:t>
      </w:r>
      <w:r w:rsidRPr="0015159A">
        <w:rPr>
          <w:rFonts w:ascii="Arabic Typesetting" w:hAnsi="Arabic Typesetting" w:cs="Arabic Typesetting" w:hint="cs"/>
          <w:sz w:val="34"/>
          <w:szCs w:val="34"/>
          <w:rtl/>
          <w:lang w:bidi="ar-SA"/>
        </w:rPr>
        <w:t>ال</w:t>
      </w:r>
      <w:r w:rsidRPr="0015159A">
        <w:rPr>
          <w:rFonts w:ascii="Arabic Typesetting" w:hAnsi="Arabic Typesetting" w:cs="Arabic Typesetting"/>
          <w:sz w:val="34"/>
          <w:szCs w:val="34"/>
          <w:rtl/>
          <w:lang w:bidi="ar-SA"/>
        </w:rPr>
        <w:t>مختلفة</w:t>
      </w:r>
      <w:r w:rsidRPr="0015159A">
        <w:rPr>
          <w:rFonts w:ascii="Arabic Typesetting" w:hAnsi="Arabic Typesetting" w:cs="Arabic Typesetting"/>
          <w:sz w:val="34"/>
          <w:szCs w:val="34"/>
          <w:lang w:bidi="ar-SA"/>
        </w:rPr>
        <w:t>.</w:t>
      </w:r>
    </w:p>
    <w:p w:rsidR="00861CFF" w:rsidRPr="0015159A" w:rsidRDefault="00861CFF" w:rsidP="00861CFF">
      <w:pPr>
        <w:numPr>
          <w:ilvl w:val="0"/>
          <w:numId w:val="46"/>
        </w:numPr>
        <w:spacing w:after="200" w:line="276" w:lineRule="auto"/>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 xml:space="preserve">وتسهيلا </w:t>
      </w:r>
      <w:r w:rsidRPr="0015159A">
        <w:rPr>
          <w:rFonts w:ascii="Arabic Typesetting" w:hAnsi="Arabic Typesetting" w:cs="Arabic Typesetting"/>
          <w:sz w:val="34"/>
          <w:szCs w:val="34"/>
          <w:rtl/>
          <w:lang w:bidi="ar-SA"/>
        </w:rPr>
        <w:t>لمقارنة</w:t>
      </w:r>
      <w:r w:rsidRPr="0015159A">
        <w:rPr>
          <w:rFonts w:ascii="Arabic Typesetting" w:hAnsi="Arabic Typesetting" w:cs="Arabic Typesetting" w:hint="cs"/>
          <w:sz w:val="34"/>
          <w:szCs w:val="34"/>
          <w:rtl/>
          <w:lang w:bidi="ar-SA"/>
        </w:rPr>
        <w:t xml:space="preserve"> البيانات</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تعرض الأشكال</w:t>
      </w:r>
      <w:r w:rsidRPr="0015159A">
        <w:rPr>
          <w:rFonts w:ascii="Arabic Typesetting" w:hAnsi="Arabic Typesetting" w:cs="Arabic Typesetting"/>
          <w:sz w:val="34"/>
          <w:szCs w:val="34"/>
          <w:rtl/>
          <w:lang w:bidi="ar-SA"/>
        </w:rPr>
        <w:t xml:space="preserve"> البيانية أدناه تطور تكاليف وحد</w:t>
      </w:r>
      <w:r w:rsidRPr="0015159A">
        <w:rPr>
          <w:rFonts w:ascii="Arabic Typesetting" w:hAnsi="Arabic Typesetting" w:cs="Arabic Typesetting" w:hint="cs"/>
          <w:sz w:val="34"/>
          <w:szCs w:val="34"/>
          <w:rtl/>
          <w:lang w:bidi="ar-SA"/>
        </w:rPr>
        <w:t xml:space="preserve">تين </w:t>
      </w:r>
      <w:r w:rsidRPr="0015159A">
        <w:rPr>
          <w:rFonts w:ascii="Arabic Typesetting" w:hAnsi="Arabic Typesetting" w:cs="Arabic Typesetting"/>
          <w:sz w:val="34"/>
          <w:szCs w:val="34"/>
          <w:rtl/>
          <w:lang w:bidi="ar-SA"/>
        </w:rPr>
        <w:t>اثن</w:t>
      </w:r>
      <w:r w:rsidRPr="0015159A">
        <w:rPr>
          <w:rFonts w:ascii="Arabic Typesetting" w:hAnsi="Arabic Typesetting" w:cs="Arabic Typesetting" w:hint="cs"/>
          <w:sz w:val="34"/>
          <w:szCs w:val="34"/>
          <w:rtl/>
          <w:lang w:bidi="ar-SA"/>
        </w:rPr>
        <w:t>ت</w:t>
      </w:r>
      <w:r w:rsidRPr="0015159A">
        <w:rPr>
          <w:rFonts w:ascii="Arabic Typesetting" w:hAnsi="Arabic Typesetting" w:cs="Arabic Typesetting"/>
          <w:sz w:val="34"/>
          <w:szCs w:val="34"/>
          <w:rtl/>
          <w:lang w:bidi="ar-SA"/>
        </w:rPr>
        <w:t>ين</w:t>
      </w:r>
      <w:r w:rsidRPr="0015159A">
        <w:rPr>
          <w:rFonts w:ascii="Arabic Typesetting" w:hAnsi="Arabic Typesetting" w:cs="Arabic Typesetting" w:hint="cs"/>
          <w:sz w:val="34"/>
          <w:szCs w:val="34"/>
          <w:rtl/>
          <w:lang w:bidi="ar-SA"/>
        </w:rPr>
        <w:t xml:space="preserve"> من سنة </w:t>
      </w:r>
      <w:r w:rsidRPr="0015159A">
        <w:rPr>
          <w:rFonts w:ascii="Arabic Typesetting" w:hAnsi="Arabic Typesetting" w:cs="Arabic Typesetting"/>
          <w:sz w:val="34"/>
          <w:szCs w:val="34"/>
          <w:rtl/>
          <w:lang w:bidi="ar-SA"/>
        </w:rPr>
        <w:t>2008</w:t>
      </w:r>
      <w:r w:rsidRPr="0015159A">
        <w:rPr>
          <w:rFonts w:ascii="Arabic Typesetting" w:hAnsi="Arabic Typesetting" w:cs="Arabic Typesetting" w:hint="cs"/>
          <w:sz w:val="34"/>
          <w:szCs w:val="34"/>
          <w:rtl/>
          <w:lang w:bidi="ar-SA"/>
        </w:rPr>
        <w:t xml:space="preserve"> إلى سنة </w:t>
      </w:r>
      <w:r w:rsidRPr="0015159A">
        <w:rPr>
          <w:rFonts w:ascii="Arabic Typesetting" w:hAnsi="Arabic Typesetting" w:cs="Arabic Typesetting"/>
          <w:sz w:val="34"/>
          <w:szCs w:val="34"/>
          <w:rtl/>
          <w:lang w:bidi="ar-SA"/>
        </w:rPr>
        <w:t xml:space="preserve">2014 باستخدام المنهجية القديمة </w:t>
      </w:r>
      <w:r w:rsidRPr="0015159A">
        <w:rPr>
          <w:rFonts w:ascii="Arabic Typesetting" w:hAnsi="Arabic Typesetting" w:cs="Arabic Typesetting" w:hint="cs"/>
          <w:sz w:val="34"/>
          <w:szCs w:val="34"/>
          <w:rtl/>
          <w:lang w:bidi="ar-SA"/>
        </w:rPr>
        <w:t>ومن سنة</w:t>
      </w:r>
      <w:r w:rsidRPr="0015159A">
        <w:rPr>
          <w:rFonts w:ascii="Arabic Typesetting" w:hAnsi="Arabic Typesetting" w:cs="Arabic Typesetting" w:hint="eastAsia"/>
          <w:sz w:val="34"/>
          <w:szCs w:val="34"/>
          <w:rtl/>
          <w:lang w:bidi="ar-SA"/>
        </w:rPr>
        <w:t> </w:t>
      </w:r>
      <w:r w:rsidRPr="0015159A">
        <w:rPr>
          <w:rFonts w:ascii="Arabic Typesetting" w:hAnsi="Arabic Typesetting" w:cs="Arabic Typesetting"/>
          <w:sz w:val="34"/>
          <w:szCs w:val="34"/>
          <w:rtl/>
          <w:lang w:bidi="ar-SA"/>
        </w:rPr>
        <w:t>2012</w:t>
      </w:r>
      <w:r w:rsidRPr="0015159A">
        <w:rPr>
          <w:rFonts w:ascii="Arabic Typesetting" w:hAnsi="Arabic Typesetting" w:cs="Arabic Typesetting" w:hint="cs"/>
          <w:sz w:val="34"/>
          <w:szCs w:val="34"/>
          <w:rtl/>
          <w:lang w:bidi="ar-SA"/>
        </w:rPr>
        <w:t xml:space="preserve"> إلى سنة </w:t>
      </w:r>
      <w:r w:rsidRPr="0015159A">
        <w:rPr>
          <w:rFonts w:ascii="Arabic Typesetting" w:hAnsi="Arabic Typesetting" w:cs="Arabic Typesetting"/>
          <w:sz w:val="34"/>
          <w:szCs w:val="34"/>
          <w:rtl/>
          <w:lang w:bidi="ar-SA"/>
        </w:rPr>
        <w:t xml:space="preserve">2014 باستخدام المنهجية الجديدة، بما في ذلك </w:t>
      </w:r>
      <w:r w:rsidRPr="0015159A">
        <w:rPr>
          <w:rFonts w:ascii="Arabic Typesetting" w:hAnsi="Arabic Typesetting" w:cs="Arabic Typesetting" w:hint="cs"/>
          <w:sz w:val="34"/>
          <w:szCs w:val="34"/>
          <w:rtl/>
          <w:lang w:bidi="ar-SA"/>
        </w:rPr>
        <w:t xml:space="preserve">تفصيل </w:t>
      </w:r>
      <w:r w:rsidRPr="0015159A">
        <w:rPr>
          <w:rFonts w:ascii="Arabic Typesetting" w:hAnsi="Arabic Typesetting" w:cs="Arabic Typesetting"/>
          <w:sz w:val="34"/>
          <w:szCs w:val="34"/>
          <w:rtl/>
          <w:lang w:bidi="ar-SA"/>
        </w:rPr>
        <w:t>لمساهمة التكاليف المباشرة وغير المباشرة</w:t>
      </w:r>
      <w:r w:rsidRPr="0015159A">
        <w:rPr>
          <w:rFonts w:ascii="Arabic Typesetting" w:hAnsi="Arabic Typesetting" w:cs="Arabic Typesetting"/>
          <w:sz w:val="34"/>
          <w:szCs w:val="34"/>
          <w:lang w:bidi="ar-SA"/>
        </w:rPr>
        <w:t>.</w:t>
      </w:r>
    </w:p>
    <w:p w:rsidR="00861CFF" w:rsidRPr="0015159A" w:rsidRDefault="00861CFF" w:rsidP="00DA5475">
      <w:pPr>
        <w:keepNext/>
        <w:spacing w:before="120" w:after="120" w:line="340" w:lineRule="exact"/>
        <w:ind w:left="-17"/>
        <w:rPr>
          <w:rFonts w:ascii="Arabic Typesetting" w:hAnsi="Arabic Typesetting" w:cs="Arabic Typesetting"/>
          <w:i/>
          <w:iCs/>
          <w:sz w:val="34"/>
          <w:szCs w:val="34"/>
          <w:rtl/>
          <w:lang w:bidi="ar-SA"/>
        </w:rPr>
      </w:pPr>
      <w:r w:rsidRPr="0015159A">
        <w:rPr>
          <w:rFonts w:ascii="Arabic Typesetting" w:hAnsi="Arabic Typesetting" w:cs="Arabic Typesetting"/>
          <w:i/>
          <w:iCs/>
          <w:sz w:val="34"/>
          <w:szCs w:val="34"/>
          <w:rtl/>
          <w:lang w:bidi="ar-SA"/>
        </w:rPr>
        <w:t>تكلفة الوحدة لكل</w:t>
      </w:r>
      <w:r w:rsidRPr="0015159A">
        <w:rPr>
          <w:rFonts w:ascii="Arabic Typesetting" w:hAnsi="Arabic Typesetting" w:cs="Arabic Typesetting" w:hint="cs"/>
          <w:i/>
          <w:iCs/>
          <w:sz w:val="34"/>
          <w:szCs w:val="34"/>
          <w:rtl/>
          <w:lang w:bidi="ar-SA"/>
        </w:rPr>
        <w:t xml:space="preserve"> تصميم</w:t>
      </w:r>
      <w:r w:rsidRPr="0015159A">
        <w:rPr>
          <w:rFonts w:ascii="Arabic Typesetting" w:hAnsi="Arabic Typesetting" w:cs="Arabic Typesetting"/>
          <w:i/>
          <w:iCs/>
          <w:sz w:val="34"/>
          <w:szCs w:val="34"/>
          <w:rtl/>
          <w:lang w:bidi="ar-SA"/>
        </w:rPr>
        <w:t xml:space="preserve"> جديد/</w:t>
      </w:r>
      <w:r w:rsidRPr="0015159A">
        <w:rPr>
          <w:rFonts w:ascii="Arabic Typesetting" w:hAnsi="Arabic Typesetting" w:cs="Arabic Typesetting" w:hint="cs"/>
          <w:i/>
          <w:iCs/>
          <w:sz w:val="34"/>
          <w:szCs w:val="34"/>
          <w:rtl/>
          <w:lang w:bidi="ar-SA"/>
        </w:rPr>
        <w:t>م</w:t>
      </w:r>
      <w:r w:rsidRPr="0015159A">
        <w:rPr>
          <w:rFonts w:ascii="Arabic Typesetting" w:hAnsi="Arabic Typesetting" w:cs="Arabic Typesetting"/>
          <w:i/>
          <w:iCs/>
          <w:sz w:val="34"/>
          <w:szCs w:val="34"/>
          <w:rtl/>
          <w:lang w:bidi="ar-SA"/>
        </w:rPr>
        <w:t>جد</w:t>
      </w:r>
      <w:r w:rsidRPr="0015159A">
        <w:rPr>
          <w:rFonts w:ascii="Arabic Typesetting" w:hAnsi="Arabic Typesetting" w:cs="Arabic Typesetting" w:hint="cs"/>
          <w:i/>
          <w:iCs/>
          <w:sz w:val="34"/>
          <w:szCs w:val="34"/>
          <w:rtl/>
          <w:lang w:bidi="ar-SA"/>
        </w:rPr>
        <w:t>ّ</w:t>
      </w:r>
      <w:r w:rsidRPr="0015159A">
        <w:rPr>
          <w:rFonts w:ascii="Arabic Typesetting" w:hAnsi="Arabic Typesetting" w:cs="Arabic Typesetting"/>
          <w:i/>
          <w:iCs/>
          <w:sz w:val="34"/>
          <w:szCs w:val="34"/>
          <w:rtl/>
          <w:lang w:bidi="ar-SA"/>
        </w:rPr>
        <w:t>د</w:t>
      </w:r>
    </w:p>
    <w:p w:rsidR="00861CFF" w:rsidRPr="0015159A" w:rsidRDefault="00861CFF" w:rsidP="00861CFF">
      <w:pPr>
        <w:numPr>
          <w:ilvl w:val="0"/>
          <w:numId w:val="46"/>
        </w:numPr>
        <w:spacing w:after="200" w:line="276" w:lineRule="auto"/>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تتألف التصاميم الجديدة من التصاميم الواردة في الطلبات</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ال</w:t>
      </w:r>
      <w:r w:rsidRPr="0015159A">
        <w:rPr>
          <w:rFonts w:ascii="Arabic Typesetting" w:hAnsi="Arabic Typesetting" w:cs="Arabic Typesetting"/>
          <w:sz w:val="34"/>
          <w:szCs w:val="34"/>
          <w:rtl/>
          <w:lang w:bidi="ar-SA"/>
        </w:rPr>
        <w:t xml:space="preserve">دولية </w:t>
      </w:r>
      <w:r w:rsidRPr="0015159A">
        <w:rPr>
          <w:rFonts w:ascii="Arabic Typesetting" w:hAnsi="Arabic Typesetting" w:cs="Arabic Typesetting" w:hint="cs"/>
          <w:sz w:val="34"/>
          <w:szCs w:val="34"/>
          <w:rtl/>
          <w:lang w:bidi="ar-SA"/>
        </w:rPr>
        <w:t>المسجلة</w:t>
      </w:r>
      <w:r w:rsidRPr="0015159A">
        <w:rPr>
          <w:rFonts w:ascii="Arabic Typesetting" w:hAnsi="Arabic Typesetting" w:cs="Arabic Typesetting"/>
          <w:sz w:val="34"/>
          <w:szCs w:val="34"/>
          <w:rtl/>
          <w:lang w:bidi="ar-SA"/>
        </w:rPr>
        <w:t xml:space="preserve"> خلال سنة معينة، </w:t>
      </w:r>
      <w:r w:rsidRPr="0015159A">
        <w:rPr>
          <w:rFonts w:ascii="Arabic Typesetting" w:hAnsi="Arabic Typesetting" w:cs="Arabic Typesetting" w:hint="cs"/>
          <w:sz w:val="34"/>
          <w:szCs w:val="34"/>
          <w:rtl/>
          <w:lang w:bidi="ar-SA"/>
        </w:rPr>
        <w:t xml:space="preserve">وتتألف التصاميم المجددة من التصاميم الموجودة في </w:t>
      </w:r>
      <w:r w:rsidRPr="0015159A">
        <w:rPr>
          <w:rFonts w:ascii="Arabic Typesetting" w:hAnsi="Arabic Typesetting" w:cs="Arabic Typesetting"/>
          <w:sz w:val="34"/>
          <w:szCs w:val="34"/>
          <w:rtl/>
          <w:lang w:bidi="ar-SA"/>
        </w:rPr>
        <w:t xml:space="preserve">التسجيلات الدولية التي يتم تجديدها خلال سنة معينة. </w:t>
      </w:r>
      <w:r w:rsidRPr="0015159A">
        <w:rPr>
          <w:rFonts w:ascii="Arabic Typesetting" w:hAnsi="Arabic Typesetting" w:cs="Arabic Typesetting" w:hint="cs"/>
          <w:sz w:val="34"/>
          <w:szCs w:val="34"/>
          <w:rtl/>
          <w:lang w:bidi="ar-SA"/>
        </w:rPr>
        <w:t>وتعكس التصاميم الواردة في</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 xml:space="preserve">هذين النوعين من </w:t>
      </w:r>
      <w:r w:rsidRPr="0015159A">
        <w:rPr>
          <w:rFonts w:ascii="Arabic Typesetting" w:hAnsi="Arabic Typesetting" w:cs="Arabic Typesetting"/>
          <w:sz w:val="34"/>
          <w:szCs w:val="34"/>
          <w:rtl/>
          <w:lang w:bidi="ar-SA"/>
        </w:rPr>
        <w:t>المعاملات</w:t>
      </w:r>
      <w:r w:rsidRPr="0015159A">
        <w:rPr>
          <w:rFonts w:ascii="Arabic Typesetting" w:hAnsi="Arabic Typesetting" w:cs="Arabic Typesetting" w:hint="cs"/>
          <w:sz w:val="34"/>
          <w:szCs w:val="34"/>
          <w:rtl/>
          <w:lang w:bidi="ar-SA"/>
        </w:rPr>
        <w:t>، مجمّعةً،</w:t>
      </w:r>
      <w:r w:rsidRPr="0015159A">
        <w:rPr>
          <w:rFonts w:ascii="Arabic Typesetting" w:hAnsi="Arabic Typesetting" w:cs="Arabic Typesetting"/>
          <w:sz w:val="34"/>
          <w:szCs w:val="34"/>
          <w:rtl/>
          <w:lang w:bidi="ar-SA"/>
        </w:rPr>
        <w:t xml:space="preserve"> العمل الأساسي </w:t>
      </w:r>
      <w:r w:rsidRPr="0015159A">
        <w:rPr>
          <w:rFonts w:ascii="Arabic Typesetting" w:hAnsi="Arabic Typesetting" w:cs="Arabic Typesetting" w:hint="cs"/>
          <w:sz w:val="34"/>
          <w:szCs w:val="34"/>
          <w:rtl/>
          <w:lang w:bidi="ar-SA"/>
        </w:rPr>
        <w:t>ل</w:t>
      </w:r>
      <w:r w:rsidRPr="0015159A">
        <w:rPr>
          <w:rFonts w:ascii="Arabic Typesetting" w:hAnsi="Arabic Typesetting" w:cs="Arabic Typesetting"/>
          <w:sz w:val="34"/>
          <w:szCs w:val="34"/>
          <w:rtl/>
          <w:lang w:bidi="ar-SA"/>
        </w:rPr>
        <w:t>لمكتب الدولي</w:t>
      </w:r>
      <w:r w:rsidRPr="0015159A">
        <w:rPr>
          <w:rFonts w:ascii="Arabic Typesetting" w:hAnsi="Arabic Typesetting" w:cs="Arabic Typesetting"/>
          <w:sz w:val="34"/>
          <w:szCs w:val="34"/>
          <w:lang w:bidi="ar-SA"/>
        </w:rPr>
        <w:t>.</w:t>
      </w:r>
    </w:p>
    <w:p w:rsidR="00861CFF" w:rsidRDefault="00861CFF" w:rsidP="00861CFF">
      <w:pPr>
        <w:numPr>
          <w:ilvl w:val="0"/>
          <w:numId w:val="46"/>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وبما أن معالجة التصاميم الواردة في هذين النوعين من الوثائق ل</w:t>
      </w:r>
      <w:r w:rsidRPr="0015159A">
        <w:rPr>
          <w:rFonts w:ascii="Arabic Typesetting" w:hAnsi="Arabic Typesetting" w:cs="Arabic Typesetting"/>
          <w:sz w:val="34"/>
          <w:szCs w:val="34"/>
          <w:rtl/>
          <w:lang w:bidi="ar-SA"/>
        </w:rPr>
        <w:t xml:space="preserve">ا </w:t>
      </w:r>
      <w:r w:rsidRPr="0015159A">
        <w:rPr>
          <w:rFonts w:ascii="Arabic Typesetting" w:hAnsi="Arabic Typesetting" w:cs="Arabic Typesetting" w:hint="cs"/>
          <w:sz w:val="34"/>
          <w:szCs w:val="34"/>
          <w:rtl/>
          <w:lang w:bidi="ar-SA"/>
        </w:rPr>
        <w:t>ي</w:t>
      </w:r>
      <w:r w:rsidRPr="0015159A">
        <w:rPr>
          <w:rFonts w:ascii="Arabic Typesetting" w:hAnsi="Arabic Typesetting" w:cs="Arabic Typesetting"/>
          <w:sz w:val="34"/>
          <w:szCs w:val="34"/>
          <w:rtl/>
          <w:lang w:bidi="ar-SA"/>
        </w:rPr>
        <w:t xml:space="preserve">تطلب موارد متساوية، </w:t>
      </w:r>
      <w:r w:rsidRPr="0015159A">
        <w:rPr>
          <w:rFonts w:ascii="Arabic Typesetting" w:hAnsi="Arabic Typesetting" w:cs="Arabic Typesetting" w:hint="cs"/>
          <w:sz w:val="34"/>
          <w:szCs w:val="34"/>
          <w:rtl/>
          <w:lang w:bidi="ar-SA"/>
        </w:rPr>
        <w:t>فكل</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نوع</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يُرجّح</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بشكل</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مختلف</w:t>
      </w:r>
      <w:r w:rsidRPr="0015159A">
        <w:rPr>
          <w:rFonts w:ascii="Arabic Typesetting" w:hAnsi="Arabic Typesetting" w:cs="Arabic Typesetting"/>
          <w:sz w:val="34"/>
          <w:szCs w:val="34"/>
          <w:rtl/>
          <w:lang w:bidi="ar-SA"/>
        </w:rPr>
        <w:t>.</w:t>
      </w:r>
      <w:r w:rsidRPr="00944CDC">
        <w:rPr>
          <w:rFonts w:ascii="Arabic Typesetting" w:hAnsi="Arabic Typesetting" w:cs="Arabic Typesetting"/>
          <w:sz w:val="34"/>
          <w:vertAlign w:val="superscript"/>
          <w:rtl/>
          <w:lang w:bidi="ar-SA"/>
        </w:rPr>
        <w:footnoteReference w:id="31"/>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وتُ</w:t>
      </w:r>
      <w:r w:rsidRPr="0015159A">
        <w:rPr>
          <w:rFonts w:ascii="Arabic Typesetting" w:hAnsi="Arabic Typesetting" w:cs="Arabic Typesetting"/>
          <w:sz w:val="34"/>
          <w:szCs w:val="34"/>
          <w:rtl/>
          <w:lang w:bidi="ar-SA"/>
        </w:rPr>
        <w:t xml:space="preserve">حسب تكلفة الوحدة بقسمة </w:t>
      </w:r>
      <w:r>
        <w:rPr>
          <w:rFonts w:ascii="Arabic Typesetting" w:hAnsi="Arabic Typesetting" w:cs="Arabic Typesetting" w:hint="cs"/>
          <w:sz w:val="34"/>
          <w:szCs w:val="34"/>
          <w:rtl/>
          <w:lang w:bidi="ar-SA"/>
        </w:rPr>
        <w:t>تكلفة الإنتاج الإجمالية</w:t>
      </w:r>
      <w:r w:rsidRPr="0015159A">
        <w:rPr>
          <w:rFonts w:ascii="Arabic Typesetting" w:hAnsi="Arabic Typesetting" w:cs="Arabic Typesetting"/>
          <w:sz w:val="34"/>
          <w:szCs w:val="34"/>
          <w:rtl/>
          <w:lang w:bidi="ar-SA"/>
        </w:rPr>
        <w:t xml:space="preserve"> </w:t>
      </w:r>
      <w:r w:rsidRPr="0015159A">
        <w:rPr>
          <w:rFonts w:ascii="Arabic Typesetting" w:hAnsi="Arabic Typesetting" w:cs="Arabic Typesetting" w:hint="cs"/>
          <w:sz w:val="34"/>
          <w:szCs w:val="34"/>
          <w:rtl/>
          <w:lang w:bidi="ar-SA"/>
        </w:rPr>
        <w:t>على ع</w:t>
      </w:r>
      <w:r w:rsidRPr="0015159A">
        <w:rPr>
          <w:rFonts w:ascii="Arabic Typesetting" w:hAnsi="Arabic Typesetting" w:cs="Arabic Typesetting"/>
          <w:sz w:val="34"/>
          <w:szCs w:val="34"/>
          <w:rtl/>
          <w:lang w:bidi="ar-SA"/>
        </w:rPr>
        <w:t>دد</w:t>
      </w:r>
      <w:r w:rsidRPr="0015159A">
        <w:rPr>
          <w:rFonts w:ascii="Arabic Typesetting" w:hAnsi="Arabic Typesetting" w:cs="Arabic Typesetting" w:hint="cs"/>
          <w:sz w:val="34"/>
          <w:szCs w:val="34"/>
          <w:rtl/>
          <w:lang w:bidi="ar-SA"/>
        </w:rPr>
        <w:t xml:space="preserve"> التصاميم الجديدة</w:t>
      </w:r>
      <w:r w:rsidRPr="0015159A">
        <w:rPr>
          <w:rFonts w:ascii="Arabic Typesetting" w:hAnsi="Arabic Typesetting" w:cs="Arabic Typesetting"/>
          <w:sz w:val="34"/>
          <w:szCs w:val="34"/>
          <w:rtl/>
          <w:lang w:bidi="ar-SA"/>
        </w:rPr>
        <w:t>/</w:t>
      </w:r>
      <w:r w:rsidRPr="0015159A">
        <w:rPr>
          <w:rFonts w:ascii="Arabic Typesetting" w:hAnsi="Arabic Typesetting" w:cs="Arabic Typesetting" w:hint="cs"/>
          <w:sz w:val="34"/>
          <w:szCs w:val="34"/>
          <w:rtl/>
          <w:lang w:bidi="ar-SA"/>
        </w:rPr>
        <w:t xml:space="preserve"> المجدَّدة</w:t>
      </w:r>
      <w:r w:rsidRPr="0015159A">
        <w:rPr>
          <w:rFonts w:ascii="Arabic Typesetting" w:hAnsi="Arabic Typesetting" w:cs="Arabic Typesetting"/>
          <w:sz w:val="34"/>
          <w:szCs w:val="34"/>
          <w:rtl/>
          <w:lang w:bidi="ar-SA"/>
        </w:rPr>
        <w:t>.</w:t>
      </w:r>
    </w:p>
    <w:p w:rsidR="002B7CA6" w:rsidRPr="0015159A" w:rsidRDefault="002B7CA6" w:rsidP="002B7CA6">
      <w:pPr>
        <w:spacing w:after="120" w:line="340" w:lineRule="exact"/>
        <w:rPr>
          <w:rFonts w:ascii="Arabic Typesetting" w:hAnsi="Arabic Typesetting" w:cs="Arabic Typesetting"/>
          <w:sz w:val="34"/>
          <w:szCs w:val="34"/>
          <w:lang w:bidi="ar-SA"/>
        </w:rPr>
      </w:pPr>
    </w:p>
    <w:tbl>
      <w:tblPr>
        <w:tblStyle w:val="TableGrid1"/>
        <w:bidiVisual/>
        <w:tblW w:w="0" w:type="auto"/>
        <w:tblLook w:val="04A0" w:firstRow="1" w:lastRow="0" w:firstColumn="1" w:lastColumn="0" w:noHBand="0" w:noVBand="1"/>
      </w:tblPr>
      <w:tblGrid>
        <w:gridCol w:w="4528"/>
        <w:gridCol w:w="5042"/>
      </w:tblGrid>
      <w:tr w:rsidR="00861CFF" w:rsidRPr="0015159A" w:rsidTr="00DA5475">
        <w:trPr>
          <w:cantSplit/>
        </w:trPr>
        <w:tc>
          <w:tcPr>
            <w:tcW w:w="4788" w:type="dxa"/>
          </w:tcPr>
          <w:p w:rsidR="00861CFF" w:rsidRPr="0015159A" w:rsidRDefault="00861CFF" w:rsidP="00DA5475">
            <w:pPr>
              <w:bidi w:val="0"/>
              <w:jc w:val="center"/>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lastRenderedPageBreak/>
              <w:t>الطريقة</w:t>
            </w:r>
            <w:r w:rsidRPr="0015159A">
              <w:rPr>
                <w:rFonts w:ascii="Arabic Typesetting" w:hAnsi="Arabic Typesetting" w:cs="Arabic Typesetting"/>
                <w:sz w:val="34"/>
                <w:szCs w:val="34"/>
                <w:rtl/>
                <w:lang w:bidi="ar-SA"/>
              </w:rPr>
              <w:t xml:space="preserve"> القديمة</w:t>
            </w:r>
          </w:p>
        </w:tc>
        <w:tc>
          <w:tcPr>
            <w:tcW w:w="4788" w:type="dxa"/>
          </w:tcPr>
          <w:p w:rsidR="00861CFF" w:rsidRPr="0015159A" w:rsidRDefault="00861CFF" w:rsidP="00DA5475">
            <w:pPr>
              <w:bidi w:val="0"/>
              <w:jc w:val="center"/>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الطريقة</w:t>
            </w:r>
            <w:r w:rsidRPr="0015159A">
              <w:rPr>
                <w:rFonts w:ascii="Arabic Typesetting" w:hAnsi="Arabic Typesetting" w:cs="Arabic Typesetting"/>
                <w:sz w:val="34"/>
                <w:szCs w:val="34"/>
                <w:rtl/>
                <w:lang w:bidi="ar-SA"/>
              </w:rPr>
              <w:t xml:space="preserve"> الجديدة</w:t>
            </w:r>
          </w:p>
        </w:tc>
      </w:tr>
      <w:tr w:rsidR="00861CFF" w:rsidRPr="0015159A" w:rsidTr="00DA5475">
        <w:trPr>
          <w:cantSplit/>
        </w:trPr>
        <w:tc>
          <w:tcPr>
            <w:tcW w:w="4788" w:type="dxa"/>
          </w:tcPr>
          <w:p w:rsidR="00861CFF" w:rsidRDefault="00861CFF" w:rsidP="00DA5475">
            <w:pPr>
              <w:jc w:val="center"/>
              <w:rPr>
                <w:rFonts w:ascii="Arabic Typesetting" w:hAnsi="Arabic Typesetting" w:cs="Arabic Typesetting"/>
                <w:sz w:val="34"/>
                <w:szCs w:val="34"/>
                <w:rtl/>
                <w:lang w:bidi="ar-SA"/>
              </w:rPr>
            </w:pPr>
            <w:r>
              <w:rPr>
                <w:rFonts w:ascii="Arabic Typesetting" w:hAnsi="Arabic Typesetting" w:cs="Arabic Typesetting"/>
                <w:noProof/>
                <w:sz w:val="34"/>
                <w:szCs w:val="34"/>
                <w:lang w:bidi="ar-SA"/>
              </w:rPr>
              <w:drawing>
                <wp:inline distT="0" distB="0" distL="0" distR="0" wp14:anchorId="6E4B5F38" wp14:editId="5C90D81C">
                  <wp:extent cx="2826327" cy="1970524"/>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831066" cy="1973828"/>
                          </a:xfrm>
                          <a:prstGeom prst="rect">
                            <a:avLst/>
                          </a:prstGeom>
                          <a:noFill/>
                        </pic:spPr>
                      </pic:pic>
                    </a:graphicData>
                  </a:graphic>
                </wp:inline>
              </w:drawing>
            </w:r>
          </w:p>
          <w:p w:rsidR="00861CFF" w:rsidRPr="0015159A" w:rsidRDefault="00861CFF" w:rsidP="00DA5475">
            <w:pPr>
              <w:jc w:val="center"/>
              <w:rPr>
                <w:rFonts w:ascii="Arabic Typesetting" w:hAnsi="Arabic Typesetting" w:cs="Arabic Typesetting"/>
                <w:sz w:val="34"/>
                <w:szCs w:val="34"/>
                <w:lang w:bidi="ar-SA"/>
              </w:rPr>
            </w:pPr>
          </w:p>
        </w:tc>
        <w:tc>
          <w:tcPr>
            <w:tcW w:w="4788" w:type="dxa"/>
          </w:tcPr>
          <w:p w:rsidR="00861CFF" w:rsidRDefault="00861CFF" w:rsidP="00DA5475">
            <w:pPr>
              <w:jc w:val="center"/>
              <w:rPr>
                <w:rFonts w:ascii="Arabic Typesetting" w:hAnsi="Arabic Typesetting" w:cs="Arabic Typesetting"/>
                <w:sz w:val="34"/>
                <w:szCs w:val="34"/>
                <w:rtl/>
                <w:lang w:bidi="ar-SA"/>
              </w:rPr>
            </w:pPr>
            <w:r>
              <w:rPr>
                <w:rFonts w:ascii="Arabic Typesetting" w:hAnsi="Arabic Typesetting" w:cs="Arabic Typesetting"/>
                <w:noProof/>
                <w:sz w:val="34"/>
                <w:szCs w:val="34"/>
                <w:lang w:bidi="ar-SA"/>
              </w:rPr>
              <w:drawing>
                <wp:inline distT="0" distB="0" distL="0" distR="0" wp14:anchorId="3BBF923F" wp14:editId="3F5A6031">
                  <wp:extent cx="3158836" cy="1903614"/>
                  <wp:effectExtent l="0" t="0" r="3810" b="190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3160521" cy="1904629"/>
                          </a:xfrm>
                          <a:prstGeom prst="rect">
                            <a:avLst/>
                          </a:prstGeom>
                          <a:noFill/>
                        </pic:spPr>
                      </pic:pic>
                    </a:graphicData>
                  </a:graphic>
                </wp:inline>
              </w:drawing>
            </w:r>
          </w:p>
          <w:p w:rsidR="00861CFF" w:rsidRPr="0015159A" w:rsidRDefault="00861CFF" w:rsidP="00DA5475">
            <w:pPr>
              <w:jc w:val="center"/>
              <w:rPr>
                <w:rFonts w:ascii="Arabic Typesetting" w:hAnsi="Arabic Typesetting" w:cs="Arabic Typesetting"/>
                <w:sz w:val="34"/>
                <w:szCs w:val="34"/>
                <w:lang w:bidi="ar-SA"/>
              </w:rPr>
            </w:pPr>
          </w:p>
        </w:tc>
      </w:tr>
    </w:tbl>
    <w:p w:rsidR="00861CFF" w:rsidRPr="0015159A" w:rsidRDefault="00861CFF" w:rsidP="00861CFF">
      <w:pPr>
        <w:numPr>
          <w:ilvl w:val="0"/>
          <w:numId w:val="50"/>
        </w:numPr>
        <w:spacing w:before="120" w:after="120" w:line="340" w:lineRule="exact"/>
        <w:ind w:left="714" w:hanging="357"/>
        <w:rPr>
          <w:rFonts w:ascii="Arabic Typesetting" w:hAnsi="Arabic Typesetting" w:cs="Arabic Typesetting"/>
          <w:sz w:val="34"/>
          <w:szCs w:val="34"/>
          <w:rtl/>
          <w:lang w:bidi="ar-SA"/>
        </w:rPr>
      </w:pPr>
      <w:r w:rsidRPr="0015159A">
        <w:rPr>
          <w:rFonts w:ascii="Arabic Typesetting" w:hAnsi="Arabic Typesetting" w:cs="Arabic Typesetting" w:hint="cs"/>
          <w:sz w:val="34"/>
          <w:szCs w:val="34"/>
          <w:rtl/>
          <w:lang w:bidi="ar-SA"/>
        </w:rPr>
        <w:t xml:space="preserve">بلغ متوسط تكلفة معالجة تصميم جديد/مجدَّد 366 فرنكا سويسريا في سنة 2014، أي بانخفاض قدره 12.8 بالمائة عن سنة 2013. ويرجع هذا الانخفاض بالأساس إلى انخفاض تكلفة الإنتاج بنسبة 5.7 بالمائة، مقرونا بزيادة عدد التصاميم الجديدة/المجددة بنسبة 8.2 بالمائة </w:t>
      </w:r>
    </w:p>
    <w:p w:rsidR="00861CFF" w:rsidRPr="0015159A" w:rsidRDefault="00861CFF" w:rsidP="00DA5475">
      <w:pPr>
        <w:keepNext/>
        <w:spacing w:before="120" w:after="120" w:line="340" w:lineRule="exact"/>
        <w:ind w:left="-17"/>
        <w:rPr>
          <w:rFonts w:ascii="Arabic Typesetting" w:hAnsi="Arabic Typesetting" w:cs="Arabic Typesetting"/>
          <w:i/>
          <w:iCs/>
          <w:sz w:val="34"/>
          <w:szCs w:val="34"/>
          <w:rtl/>
          <w:lang w:bidi="ar-SA"/>
        </w:rPr>
      </w:pPr>
      <w:r w:rsidRPr="0015159A">
        <w:rPr>
          <w:rFonts w:ascii="Arabic Typesetting" w:hAnsi="Arabic Typesetting" w:cs="Arabic Typesetting" w:hint="cs"/>
          <w:i/>
          <w:iCs/>
          <w:sz w:val="34"/>
          <w:szCs w:val="34"/>
          <w:rtl/>
          <w:lang w:bidi="ar-SA"/>
        </w:rPr>
        <w:t>تكلفة الوحدة لكل وثيقة مدونة في السجل</w:t>
      </w:r>
    </w:p>
    <w:p w:rsidR="00861CFF" w:rsidRPr="0015159A" w:rsidRDefault="00861CFF" w:rsidP="00861CFF">
      <w:pPr>
        <w:keepNext/>
        <w:numPr>
          <w:ilvl w:val="0"/>
          <w:numId w:val="46"/>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تشكل الوثائق المدونة في السجل إجمالي عبء العمل (انظر "عبء العمل الإجمالي" أعلاه).</w:t>
      </w:r>
    </w:p>
    <w:tbl>
      <w:tblPr>
        <w:tblStyle w:val="TableGrid1"/>
        <w:bidiVisual/>
        <w:tblW w:w="0" w:type="auto"/>
        <w:tblLook w:val="04A0" w:firstRow="1" w:lastRow="0" w:firstColumn="1" w:lastColumn="0" w:noHBand="0" w:noVBand="1"/>
      </w:tblPr>
      <w:tblGrid>
        <w:gridCol w:w="4956"/>
        <w:gridCol w:w="4614"/>
      </w:tblGrid>
      <w:tr w:rsidR="00861CFF" w:rsidRPr="0015159A" w:rsidTr="00DA5475">
        <w:trPr>
          <w:cantSplit/>
        </w:trPr>
        <w:tc>
          <w:tcPr>
            <w:tcW w:w="4788" w:type="dxa"/>
          </w:tcPr>
          <w:p w:rsidR="00861CFF" w:rsidRPr="0015159A" w:rsidRDefault="00861CFF" w:rsidP="00DA5475">
            <w:pPr>
              <w:bidi w:val="0"/>
              <w:jc w:val="center"/>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الطريقة</w:t>
            </w:r>
            <w:r w:rsidRPr="0015159A">
              <w:rPr>
                <w:rFonts w:ascii="Arabic Typesetting" w:hAnsi="Arabic Typesetting" w:cs="Arabic Typesetting"/>
                <w:sz w:val="34"/>
                <w:szCs w:val="34"/>
                <w:rtl/>
                <w:lang w:bidi="ar-SA"/>
              </w:rPr>
              <w:t xml:space="preserve"> القديمة</w:t>
            </w:r>
          </w:p>
        </w:tc>
        <w:tc>
          <w:tcPr>
            <w:tcW w:w="4788" w:type="dxa"/>
          </w:tcPr>
          <w:p w:rsidR="00861CFF" w:rsidRPr="0015159A" w:rsidRDefault="00861CFF" w:rsidP="00DA5475">
            <w:pPr>
              <w:bidi w:val="0"/>
              <w:jc w:val="center"/>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الطريقة</w:t>
            </w:r>
            <w:r w:rsidRPr="0015159A">
              <w:rPr>
                <w:rFonts w:ascii="Arabic Typesetting" w:hAnsi="Arabic Typesetting" w:cs="Arabic Typesetting"/>
                <w:sz w:val="34"/>
                <w:szCs w:val="34"/>
                <w:rtl/>
                <w:lang w:bidi="ar-SA"/>
              </w:rPr>
              <w:t xml:space="preserve"> الجديدة</w:t>
            </w:r>
          </w:p>
        </w:tc>
      </w:tr>
      <w:tr w:rsidR="00861CFF" w:rsidRPr="0015159A" w:rsidTr="00DA5475">
        <w:trPr>
          <w:cantSplit/>
        </w:trPr>
        <w:tc>
          <w:tcPr>
            <w:tcW w:w="4788" w:type="dxa"/>
          </w:tcPr>
          <w:p w:rsidR="00861CFF" w:rsidRPr="0015159A" w:rsidRDefault="00861CFF" w:rsidP="00DA5475">
            <w:pPr>
              <w:jc w:val="center"/>
              <w:rPr>
                <w:rFonts w:ascii="Arabic Typesetting" w:hAnsi="Arabic Typesetting" w:cs="Arabic Typesetting"/>
                <w:sz w:val="34"/>
                <w:szCs w:val="34"/>
                <w:rtl/>
                <w:lang w:bidi="ar-SA"/>
              </w:rPr>
            </w:pPr>
            <w:r>
              <w:rPr>
                <w:rFonts w:ascii="Arabic Typesetting" w:hAnsi="Arabic Typesetting" w:cs="Arabic Typesetting"/>
                <w:noProof/>
                <w:sz w:val="34"/>
                <w:szCs w:val="34"/>
                <w:lang w:bidi="ar-SA"/>
              </w:rPr>
              <w:drawing>
                <wp:inline distT="0" distB="0" distL="0" distR="0" wp14:anchorId="09290175" wp14:editId="0529AE30">
                  <wp:extent cx="3009208" cy="2332801"/>
                  <wp:effectExtent l="0" t="0" r="127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3023636" cy="2343986"/>
                          </a:xfrm>
                          <a:prstGeom prst="rect">
                            <a:avLst/>
                          </a:prstGeom>
                          <a:noFill/>
                        </pic:spPr>
                      </pic:pic>
                    </a:graphicData>
                  </a:graphic>
                </wp:inline>
              </w:drawing>
            </w:r>
          </w:p>
        </w:tc>
        <w:tc>
          <w:tcPr>
            <w:tcW w:w="4788" w:type="dxa"/>
          </w:tcPr>
          <w:p w:rsidR="00861CFF" w:rsidRPr="0015159A" w:rsidRDefault="00861CFF" w:rsidP="00DA5475">
            <w:pPr>
              <w:jc w:val="center"/>
              <w:rPr>
                <w:rFonts w:ascii="Arabic Typesetting" w:hAnsi="Arabic Typesetting" w:cs="Arabic Typesetting"/>
                <w:sz w:val="34"/>
                <w:szCs w:val="34"/>
                <w:rtl/>
                <w:lang w:bidi="ar-SA"/>
              </w:rPr>
            </w:pPr>
            <w:r>
              <w:rPr>
                <w:rFonts w:ascii="Arabic Typesetting" w:hAnsi="Arabic Typesetting" w:cs="Arabic Typesetting"/>
                <w:noProof/>
                <w:sz w:val="34"/>
                <w:szCs w:val="34"/>
                <w:lang w:bidi="ar-SA"/>
              </w:rPr>
              <w:drawing>
                <wp:inline distT="0" distB="0" distL="0" distR="0" wp14:anchorId="2B0C2242" wp14:editId="0B8B0802">
                  <wp:extent cx="2635134" cy="2244436"/>
                  <wp:effectExtent l="0" t="0" r="0" b="381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641943" cy="2250235"/>
                          </a:xfrm>
                          <a:prstGeom prst="rect">
                            <a:avLst/>
                          </a:prstGeom>
                          <a:noFill/>
                        </pic:spPr>
                      </pic:pic>
                    </a:graphicData>
                  </a:graphic>
                </wp:inline>
              </w:drawing>
            </w:r>
          </w:p>
        </w:tc>
      </w:tr>
    </w:tbl>
    <w:p w:rsidR="00861CFF" w:rsidRPr="0015159A" w:rsidRDefault="00861CFF" w:rsidP="00DA5475">
      <w:pPr>
        <w:keepNext/>
        <w:spacing w:after="120" w:line="340" w:lineRule="exact"/>
        <w:jc w:val="center"/>
        <w:rPr>
          <w:rFonts w:ascii="Arabic Typesetting" w:hAnsi="Arabic Typesetting" w:cs="Arabic Typesetting"/>
          <w:sz w:val="34"/>
          <w:szCs w:val="34"/>
          <w:lang w:bidi="ar-SA"/>
        </w:rPr>
      </w:pPr>
    </w:p>
    <w:p w:rsidR="00861CFF" w:rsidRPr="0015159A" w:rsidRDefault="00861CFF" w:rsidP="00861CFF">
      <w:pPr>
        <w:numPr>
          <w:ilvl w:val="0"/>
          <w:numId w:val="50"/>
        </w:numPr>
        <w:spacing w:before="120"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 xml:space="preserve">انخفض متوسط تكلفة تدوين وثيقة في السجل ليبلغ </w:t>
      </w:r>
      <w:r w:rsidRPr="0015159A">
        <w:rPr>
          <w:rFonts w:ascii="Arabic Typesetting" w:hAnsi="Arabic Typesetting" w:cs="Arabic Typesetting"/>
          <w:sz w:val="34"/>
          <w:szCs w:val="34"/>
          <w:rtl/>
          <w:lang w:bidi="ar-SA"/>
        </w:rPr>
        <w:t xml:space="preserve">1,483 </w:t>
      </w:r>
      <w:r w:rsidRPr="0015159A">
        <w:rPr>
          <w:rFonts w:ascii="Arabic Typesetting" w:hAnsi="Arabic Typesetting" w:cs="Arabic Typesetting" w:hint="cs"/>
          <w:sz w:val="34"/>
          <w:szCs w:val="34"/>
          <w:rtl/>
          <w:lang w:bidi="ar-SA"/>
        </w:rPr>
        <w:t>فرنكا سويسريا في سنة 2014. ويعزى ذلك إلى انخفاض تكلفة الإنتاج بنسبة 5.7 بالمائة.</w:t>
      </w:r>
    </w:p>
    <w:p w:rsidR="00861CFF" w:rsidRPr="0015159A" w:rsidRDefault="00861CFF" w:rsidP="00DA5475">
      <w:pPr>
        <w:keepNext/>
        <w:spacing w:after="240" w:line="380" w:lineRule="exact"/>
        <w:rPr>
          <w:rFonts w:ascii="Arabic Typesetting" w:hAnsi="Arabic Typesetting" w:cs="Arabic Typesetting"/>
          <w:b/>
          <w:bCs/>
          <w:sz w:val="36"/>
          <w:szCs w:val="36"/>
          <w:rtl/>
          <w:lang w:val="fr-CH"/>
        </w:rPr>
      </w:pPr>
      <w:r w:rsidRPr="0015159A">
        <w:rPr>
          <w:rFonts w:ascii="Arabic Typesetting" w:hAnsi="Arabic Typesetting" w:cs="Arabic Typesetting" w:hint="cs"/>
          <w:b/>
          <w:bCs/>
          <w:sz w:val="36"/>
          <w:szCs w:val="36"/>
          <w:rtl/>
          <w:lang w:val="fr-CH"/>
        </w:rPr>
        <w:lastRenderedPageBreak/>
        <w:t>ثالثا.</w:t>
      </w:r>
      <w:r w:rsidRPr="0015159A">
        <w:rPr>
          <w:rFonts w:ascii="Arabic Typesetting" w:hAnsi="Arabic Typesetting" w:cs="Arabic Typesetting" w:hint="cs"/>
          <w:b/>
          <w:bCs/>
          <w:sz w:val="36"/>
          <w:szCs w:val="36"/>
          <w:rtl/>
          <w:lang w:val="fr-CH"/>
        </w:rPr>
        <w:tab/>
      </w:r>
      <w:r>
        <w:rPr>
          <w:rFonts w:ascii="Arabic Typesetting" w:hAnsi="Arabic Typesetting" w:cs="Arabic Typesetting" w:hint="cs"/>
          <w:b/>
          <w:bCs/>
          <w:sz w:val="36"/>
          <w:szCs w:val="36"/>
          <w:rtl/>
          <w:lang w:val="fr-CH"/>
        </w:rPr>
        <w:t xml:space="preserve">توقيت معالجة </w:t>
      </w:r>
      <w:r w:rsidRPr="0015159A">
        <w:rPr>
          <w:rFonts w:ascii="Arabic Typesetting" w:hAnsi="Arabic Typesetting" w:cs="Arabic Typesetting" w:hint="cs"/>
          <w:b/>
          <w:bCs/>
          <w:sz w:val="36"/>
          <w:szCs w:val="36"/>
          <w:rtl/>
          <w:lang w:val="fr-CH"/>
        </w:rPr>
        <w:t>الطلبات الدولية</w:t>
      </w:r>
    </w:p>
    <w:p w:rsidR="00861CFF" w:rsidRPr="0015159A" w:rsidRDefault="00861CFF" w:rsidP="00861CFF">
      <w:pPr>
        <w:keepNext/>
        <w:numPr>
          <w:ilvl w:val="0"/>
          <w:numId w:val="46"/>
        </w:numPr>
        <w:spacing w:after="120" w:line="340" w:lineRule="exact"/>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يبين هذا المؤشر الوقت اللازم للمكتب الدولي كي يعالج الطلبات العادية. وتحدد المدة بحساب الوقت المستغرق من تاريخ استلام الطلب إلى تاريخ تسجيله.</w:t>
      </w:r>
    </w:p>
    <w:p w:rsidR="00861CFF" w:rsidRPr="0015159A" w:rsidRDefault="00861CFF" w:rsidP="000700C6">
      <w:pPr>
        <w:spacing w:after="120"/>
        <w:jc w:val="center"/>
        <w:rPr>
          <w:rFonts w:ascii="Arabic Typesetting" w:hAnsi="Arabic Typesetting" w:cs="Arabic Typesetting"/>
          <w:sz w:val="34"/>
          <w:szCs w:val="34"/>
          <w:rtl/>
          <w:lang w:bidi="ar-SA"/>
        </w:rPr>
      </w:pPr>
      <w:r>
        <w:rPr>
          <w:rFonts w:ascii="Arabic Typesetting" w:hAnsi="Arabic Typesetting" w:cs="Arabic Typesetting"/>
          <w:noProof/>
          <w:sz w:val="34"/>
          <w:szCs w:val="34"/>
          <w:lang w:bidi="ar-SA"/>
        </w:rPr>
        <w:drawing>
          <wp:inline distT="0" distB="0" distL="0" distR="0" wp14:anchorId="6FBEF9E2" wp14:editId="0C85460C">
            <wp:extent cx="4911987" cy="2917600"/>
            <wp:effectExtent l="0" t="0" r="317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914468" cy="2919074"/>
                    </a:xfrm>
                    <a:prstGeom prst="rect">
                      <a:avLst/>
                    </a:prstGeom>
                    <a:noFill/>
                  </pic:spPr>
                </pic:pic>
              </a:graphicData>
            </a:graphic>
          </wp:inline>
        </w:drawing>
      </w:r>
    </w:p>
    <w:p w:rsidR="00861CFF" w:rsidRPr="0015159A" w:rsidRDefault="00861CFF" w:rsidP="00861CFF">
      <w:pPr>
        <w:numPr>
          <w:ilvl w:val="0"/>
          <w:numId w:val="50"/>
        </w:numPr>
        <w:spacing w:before="120" w:after="120" w:line="340" w:lineRule="exact"/>
        <w:ind w:left="714" w:hanging="357"/>
        <w:rPr>
          <w:rFonts w:ascii="Arabic Typesetting" w:hAnsi="Arabic Typesetting" w:cs="Arabic Typesetting"/>
          <w:sz w:val="34"/>
          <w:szCs w:val="34"/>
          <w:lang w:bidi="ar-SA"/>
        </w:rPr>
      </w:pPr>
      <w:r w:rsidRPr="0015159A">
        <w:rPr>
          <w:rFonts w:ascii="Arabic Typesetting" w:hAnsi="Arabic Typesetting" w:cs="Arabic Typesetting" w:hint="cs"/>
          <w:sz w:val="34"/>
          <w:szCs w:val="34"/>
          <w:rtl/>
          <w:lang w:bidi="ar-SA"/>
        </w:rPr>
        <w:t>زادت حصة الطلبات المعالجة في أقل من أسبوع باستمرار منذ سنة 2011، لتبلغ نسبة 45 بالمائة من الطلبات في سنة 2014.</w:t>
      </w:r>
    </w:p>
    <w:p w:rsidR="00861CFF" w:rsidRPr="00663A46" w:rsidRDefault="00861CFF" w:rsidP="00861CFF">
      <w:pPr>
        <w:numPr>
          <w:ilvl w:val="0"/>
          <w:numId w:val="50"/>
        </w:numPr>
        <w:spacing w:before="120" w:after="120" w:line="340" w:lineRule="exact"/>
        <w:ind w:left="714" w:hanging="357"/>
        <w:rPr>
          <w:rFonts w:ascii="Arabic Typesetting" w:hAnsi="Arabic Typesetting" w:cs="Arabic Typesetting"/>
          <w:sz w:val="34"/>
          <w:szCs w:val="34"/>
          <w:rtl/>
          <w:lang w:bidi="ar-SA"/>
        </w:rPr>
      </w:pPr>
      <w:r w:rsidRPr="00AF54E1">
        <w:rPr>
          <w:rFonts w:ascii="Arabic Typesetting" w:hAnsi="Arabic Typesetting" w:cs="Arabic Typesetting" w:hint="cs"/>
          <w:sz w:val="34"/>
          <w:szCs w:val="34"/>
          <w:rtl/>
          <w:lang w:bidi="ar-SA"/>
        </w:rPr>
        <w:t>وفي</w:t>
      </w:r>
      <w:r w:rsidRPr="00663A46">
        <w:rPr>
          <w:rFonts w:ascii="Arabic Typesetting" w:hAnsi="Arabic Typesetting" w:cs="Arabic Typesetting" w:hint="cs"/>
          <w:sz w:val="34"/>
          <w:szCs w:val="34"/>
          <w:rtl/>
          <w:lang w:bidi="ar-SA"/>
        </w:rPr>
        <w:t xml:space="preserve"> سنة 2014، عُلجت نسبة 85 بالمائة من الطلبات خلال أسبوعين من تاريخ استلامها في المكتب الدولي.</w:t>
      </w:r>
    </w:p>
    <w:p w:rsidR="00861CFF" w:rsidRPr="005A5327" w:rsidRDefault="00861CFF" w:rsidP="00DA5475">
      <w:pPr>
        <w:pStyle w:val="NumberedParaAR"/>
        <w:numPr>
          <w:ilvl w:val="0"/>
          <w:numId w:val="0"/>
        </w:numPr>
        <w:spacing w:after="120" w:line="340" w:lineRule="exact"/>
        <w:rPr>
          <w:sz w:val="34"/>
          <w:szCs w:val="34"/>
          <w:highlight w:val="yellow"/>
          <w:rtl/>
        </w:rPr>
      </w:pPr>
    </w:p>
    <w:p w:rsidR="00861CFF" w:rsidRPr="00C16521" w:rsidRDefault="00861CFF" w:rsidP="00DA5475">
      <w:pPr>
        <w:pStyle w:val="NumberedParaAR"/>
        <w:numPr>
          <w:ilvl w:val="0"/>
          <w:numId w:val="0"/>
        </w:numPr>
        <w:spacing w:after="120" w:line="340" w:lineRule="exact"/>
        <w:rPr>
          <w:highlight w:val="yellow"/>
          <w:rtl/>
        </w:rPr>
        <w:sectPr w:rsidR="00861CFF" w:rsidRPr="00C16521" w:rsidSect="00861CFF">
          <w:pgSz w:w="11906" w:h="16838" w:code="9"/>
          <w:pgMar w:top="1418" w:right="1418" w:bottom="1418" w:left="1134" w:header="510" w:footer="1021" w:gutter="0"/>
          <w:cols w:space="720"/>
          <w:bidi/>
          <w:rtlGutter/>
          <w:docGrid w:linePitch="272"/>
        </w:sectPr>
      </w:pPr>
    </w:p>
    <w:p w:rsidR="00861CFF" w:rsidRPr="0005580C" w:rsidRDefault="00861CFF" w:rsidP="0033077D">
      <w:pPr>
        <w:pStyle w:val="Heading3"/>
        <w:rPr>
          <w:rFonts w:ascii="Arabic Typesetting" w:hAnsi="Arabic Typesetting" w:cs="Arabic Typesetting"/>
          <w:b w:val="0"/>
          <w:bCs w:val="0"/>
          <w:sz w:val="38"/>
          <w:szCs w:val="38"/>
          <w:rtl/>
          <w:lang w:val="fr-CH" w:bidi="ar-SA"/>
        </w:rPr>
      </w:pPr>
      <w:bookmarkStart w:id="139" w:name="_Toc364355426"/>
      <w:bookmarkStart w:id="140" w:name="_Toc420595545"/>
      <w:r w:rsidRPr="00AE1FB4">
        <w:rPr>
          <w:rFonts w:ascii="Arabic Typesetting" w:hAnsi="Arabic Typesetting" w:cs="Arabic Typesetting" w:hint="cs"/>
          <w:sz w:val="38"/>
          <w:szCs w:val="38"/>
          <w:rtl/>
          <w:lang w:val="fr-CH" w:bidi="ar-SA"/>
        </w:rPr>
        <w:lastRenderedPageBreak/>
        <w:t>المرفق الثامن</w:t>
      </w:r>
      <w:r w:rsidRPr="00AE1FB4">
        <w:rPr>
          <w:rFonts w:ascii="Arabic Typesetting" w:hAnsi="Arabic Typesetting" w:cs="Arabic Typesetting" w:hint="cs"/>
          <w:sz w:val="38"/>
          <w:szCs w:val="38"/>
          <w:rtl/>
          <w:lang w:val="fr-CH" w:bidi="ar-SA"/>
        </w:rPr>
        <w:tab/>
        <w:t>موارد الصناديق الاستئمانية الممكن توافرها لأغراض البرامج</w:t>
      </w:r>
      <w:bookmarkEnd w:id="139"/>
      <w:bookmarkEnd w:id="140"/>
    </w:p>
    <w:p w:rsidR="00861CFF" w:rsidRPr="0005580C" w:rsidRDefault="00861CFF" w:rsidP="00DA5475">
      <w:pPr>
        <w:keepNext/>
        <w:spacing w:line="300" w:lineRule="exact"/>
        <w:jc w:val="center"/>
        <w:rPr>
          <w:rFonts w:ascii="Arabic Typesetting" w:hAnsi="Arabic Typesetting" w:cs="Arabic Typesetting"/>
          <w:b/>
          <w:bCs/>
          <w:sz w:val="34"/>
          <w:szCs w:val="34"/>
          <w:rtl/>
          <w:lang w:val="fr-CH" w:bidi="ar-SA"/>
        </w:rPr>
      </w:pPr>
      <w:r w:rsidRPr="0005580C">
        <w:rPr>
          <w:rFonts w:ascii="Arabic Typesetting" w:hAnsi="Arabic Typesetting" w:cs="Arabic Typesetting"/>
          <w:b/>
          <w:bCs/>
          <w:sz w:val="34"/>
          <w:szCs w:val="34"/>
          <w:rtl/>
          <w:lang w:val="fr-CH" w:bidi="ar-SA"/>
        </w:rPr>
        <w:t xml:space="preserve">الجدول </w:t>
      </w:r>
      <w:r w:rsidRPr="0005580C">
        <w:rPr>
          <w:rFonts w:ascii="Arabic Typesetting" w:hAnsi="Arabic Typesetting" w:cs="Arabic Typesetting" w:hint="cs"/>
          <w:b/>
          <w:bCs/>
          <w:sz w:val="34"/>
          <w:szCs w:val="34"/>
          <w:rtl/>
          <w:lang w:val="fr-CH" w:bidi="ar-SA"/>
        </w:rPr>
        <w:t>19</w:t>
      </w:r>
      <w:r w:rsidRPr="0005580C">
        <w:rPr>
          <w:rFonts w:ascii="Arabic Typesetting" w:hAnsi="Arabic Typesetting" w:cs="Arabic Typesetting"/>
          <w:b/>
          <w:bCs/>
          <w:sz w:val="34"/>
          <w:szCs w:val="34"/>
          <w:rtl/>
          <w:lang w:val="fr-CH" w:bidi="ar-SA"/>
        </w:rPr>
        <w:t xml:space="preserve"> – </w:t>
      </w:r>
      <w:r w:rsidRPr="0005580C">
        <w:rPr>
          <w:rFonts w:ascii="Arabic Typesetting" w:hAnsi="Arabic Typesetting" w:cs="Arabic Typesetting" w:hint="cs"/>
          <w:b/>
          <w:bCs/>
          <w:sz w:val="34"/>
          <w:szCs w:val="34"/>
          <w:rtl/>
          <w:lang w:val="fr-CH" w:bidi="ar-SA"/>
        </w:rPr>
        <w:t>الموارد</w:t>
      </w:r>
      <w:r w:rsidRPr="0005580C">
        <w:rPr>
          <w:rFonts w:ascii="Arabic Typesetting" w:hAnsi="Arabic Typesetting" w:cs="Arabic Typesetting"/>
          <w:b/>
          <w:bCs/>
          <w:sz w:val="34"/>
          <w:szCs w:val="34"/>
          <w:rtl/>
          <w:lang w:val="fr-CH" w:bidi="ar-SA"/>
        </w:rPr>
        <w:t xml:space="preserve"> الاستئمانية </w:t>
      </w:r>
      <w:r w:rsidRPr="0005580C">
        <w:rPr>
          <w:rFonts w:ascii="Arabic Typesetting" w:hAnsi="Arabic Typesetting" w:cs="Arabic Typesetting" w:hint="cs"/>
          <w:b/>
          <w:bCs/>
          <w:sz w:val="34"/>
          <w:szCs w:val="34"/>
          <w:rtl/>
          <w:lang w:val="fr-CH" w:bidi="ar-SA"/>
        </w:rPr>
        <w:t>المحتمل</w:t>
      </w:r>
      <w:r w:rsidRPr="0005580C">
        <w:rPr>
          <w:rFonts w:ascii="Arabic Typesetting" w:hAnsi="Arabic Typesetting" w:cs="Arabic Typesetting"/>
          <w:b/>
          <w:bCs/>
          <w:sz w:val="34"/>
          <w:szCs w:val="34"/>
          <w:rtl/>
          <w:lang w:val="fr-CH" w:bidi="ar-SA"/>
        </w:rPr>
        <w:t xml:space="preserve"> توافرها لأغراض البرامج في الثنائية </w:t>
      </w:r>
      <w:r w:rsidRPr="0005580C">
        <w:rPr>
          <w:rFonts w:ascii="Arabic Typesetting" w:hAnsi="Arabic Typesetting" w:cs="Arabic Typesetting" w:hint="cs"/>
          <w:b/>
          <w:bCs/>
          <w:sz w:val="34"/>
          <w:szCs w:val="34"/>
          <w:rtl/>
          <w:lang w:val="fr-CH" w:bidi="ar-SA"/>
        </w:rPr>
        <w:t>2016/17</w:t>
      </w:r>
      <w:r>
        <w:rPr>
          <w:rFonts w:ascii="Arabic Typesetting" w:hAnsi="Arabic Typesetting" w:cs="Arabic Typesetting" w:hint="cs"/>
          <w:b/>
          <w:bCs/>
          <w:sz w:val="34"/>
          <w:szCs w:val="34"/>
          <w:rtl/>
          <w:lang w:val="fr-CH" w:bidi="ar-SA"/>
        </w:rPr>
        <w:t xml:space="preserve"> </w:t>
      </w:r>
      <w:r w:rsidRPr="004D30C6">
        <w:rPr>
          <w:rFonts w:ascii="Arabic Typesetting" w:hAnsi="Arabic Typesetting" w:cs="Arabic Typesetting" w:hint="cs"/>
          <w:b/>
          <w:bCs/>
          <w:sz w:val="34"/>
          <w:szCs w:val="34"/>
          <w:vertAlign w:val="superscript"/>
          <w:rtl/>
          <w:lang w:val="fr-CH" w:bidi="ar-SA"/>
        </w:rPr>
        <w:t>1</w:t>
      </w:r>
    </w:p>
    <w:p w:rsidR="00861CFF" w:rsidRPr="00094CBA" w:rsidRDefault="00861CFF" w:rsidP="00DA5475">
      <w:pPr>
        <w:spacing w:after="120" w:line="300" w:lineRule="exact"/>
        <w:jc w:val="center"/>
        <w:rPr>
          <w:rFonts w:ascii="Arabic Typesetting" w:hAnsi="Arabic Typesetting" w:cs="Arabic Typesetting"/>
          <w:i/>
          <w:iCs/>
          <w:sz w:val="34"/>
          <w:szCs w:val="34"/>
          <w:rtl/>
          <w:lang w:val="fr-CH" w:bidi="ar-SA"/>
        </w:rPr>
      </w:pPr>
      <w:r w:rsidRPr="00094CBA">
        <w:rPr>
          <w:rFonts w:ascii="Arabic Typesetting" w:hAnsi="Arabic Typesetting" w:cs="Arabic Typesetting"/>
          <w:i/>
          <w:iCs/>
          <w:sz w:val="34"/>
          <w:szCs w:val="34"/>
          <w:rtl/>
          <w:lang w:val="fr-CH" w:bidi="ar-SA"/>
        </w:rPr>
        <w:t>(بآلاف الفرنكات السويسرية)</w:t>
      </w:r>
    </w:p>
    <w:p w:rsidR="00861CFF" w:rsidRPr="00C16521" w:rsidRDefault="00861CFF" w:rsidP="00862268">
      <w:pPr>
        <w:pStyle w:val="NumberedParaAR"/>
        <w:numPr>
          <w:ilvl w:val="0"/>
          <w:numId w:val="0"/>
        </w:numPr>
        <w:spacing w:after="120" w:line="240" w:lineRule="auto"/>
        <w:jc w:val="center"/>
        <w:rPr>
          <w:highlight w:val="yellow"/>
          <w:rtl/>
        </w:rPr>
      </w:pPr>
      <w:r w:rsidRPr="00AE1FB4">
        <w:rPr>
          <w:noProof/>
          <w:rtl/>
        </w:rPr>
        <w:drawing>
          <wp:inline distT="0" distB="0" distL="0" distR="0" wp14:anchorId="6FDCDFE5" wp14:editId="07865479">
            <wp:extent cx="6293145" cy="3869635"/>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6293087" cy="3869599"/>
                    </a:xfrm>
                    <a:prstGeom prst="rect">
                      <a:avLst/>
                    </a:prstGeom>
                    <a:noFill/>
                    <a:ln>
                      <a:noFill/>
                    </a:ln>
                  </pic:spPr>
                </pic:pic>
              </a:graphicData>
            </a:graphic>
          </wp:inline>
        </w:drawing>
      </w:r>
    </w:p>
    <w:p w:rsidR="00861CFF" w:rsidRPr="004D30C6" w:rsidRDefault="00861CFF" w:rsidP="00DA5475">
      <w:pPr>
        <w:adjustRightInd w:val="0"/>
        <w:snapToGrid w:val="0"/>
        <w:jc w:val="both"/>
        <w:rPr>
          <w:rFonts w:ascii="Arabic Typesetting" w:hAnsi="Arabic Typesetting" w:cs="Arabic Typesetting"/>
          <w:sz w:val="24"/>
          <w:rtl/>
        </w:rPr>
      </w:pPr>
      <w:r w:rsidRPr="004D30C6">
        <w:rPr>
          <w:rFonts w:ascii="Arabic Typesetting" w:hAnsi="Arabic Typesetting" w:cs="Arabic Typesetting" w:hint="cs"/>
          <w:i/>
          <w:iCs/>
          <w:sz w:val="24"/>
          <w:vertAlign w:val="superscript"/>
          <w:rtl/>
        </w:rPr>
        <w:t>1</w:t>
      </w:r>
      <w:r w:rsidRPr="004D30C6">
        <w:rPr>
          <w:rFonts w:ascii="Arabic Typesetting" w:hAnsi="Arabic Typesetting" w:cs="Arabic Typesetting" w:hint="cs"/>
          <w:i/>
          <w:iCs/>
          <w:sz w:val="24"/>
          <w:rtl/>
        </w:rPr>
        <w:t xml:space="preserve"> </w:t>
      </w:r>
      <w:r w:rsidRPr="004D30C6">
        <w:rPr>
          <w:rFonts w:ascii="Arabic Typesetting" w:hAnsi="Arabic Typesetting" w:cs="Arabic Typesetting"/>
          <w:i/>
          <w:iCs/>
          <w:sz w:val="24"/>
          <w:rtl/>
        </w:rPr>
        <w:t>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4D30C6">
        <w:rPr>
          <w:rFonts w:ascii="Arabic Typesetting" w:hAnsi="Arabic Typesetting" w:cs="Arabic Typesetting"/>
          <w:sz w:val="24"/>
        </w:rPr>
        <w:t>.</w:t>
      </w:r>
    </w:p>
    <w:p w:rsidR="00861CFF" w:rsidRPr="004D30C6" w:rsidRDefault="00861CFF" w:rsidP="00DA5475">
      <w:pPr>
        <w:adjustRightInd w:val="0"/>
        <w:snapToGrid w:val="0"/>
        <w:jc w:val="both"/>
        <w:rPr>
          <w:rFonts w:ascii="Arabic Typesetting" w:hAnsi="Arabic Typesetting" w:cs="Arabic Typesetting"/>
          <w:i/>
          <w:iCs/>
          <w:sz w:val="24"/>
          <w:rtl/>
        </w:rPr>
      </w:pPr>
      <w:r w:rsidRPr="004D30C6">
        <w:rPr>
          <w:rFonts w:ascii="Arabic Typesetting" w:hAnsi="Arabic Typesetting" w:cs="Arabic Typesetting" w:hint="cs"/>
          <w:i/>
          <w:iCs/>
          <w:sz w:val="24"/>
          <w:vertAlign w:val="superscript"/>
          <w:rtl/>
        </w:rPr>
        <w:t>2</w:t>
      </w:r>
      <w:r w:rsidRPr="004D30C6">
        <w:rPr>
          <w:rFonts w:ascii="Arabic Typesetting" w:hAnsi="Arabic Typesetting" w:cs="Arabic Typesetting" w:hint="cs"/>
          <w:i/>
          <w:iCs/>
          <w:sz w:val="24"/>
          <w:rtl/>
        </w:rPr>
        <w:t xml:space="preserve"> </w:t>
      </w:r>
      <w:r w:rsidRPr="004D30C6">
        <w:rPr>
          <w:rFonts w:ascii="Arabic Typesetting" w:hAnsi="Arabic Typesetting" w:cs="Arabic Typesetting"/>
          <w:i/>
          <w:iCs/>
          <w:sz w:val="24"/>
          <w:rtl/>
        </w:rPr>
        <w:t xml:space="preserve">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D30C6">
        <w:rPr>
          <w:rFonts w:ascii="Arabic Typesetting" w:hAnsi="Arabic Typesetting" w:cs="Arabic Typesetting"/>
          <w:i/>
          <w:iCs/>
          <w:sz w:val="24"/>
          <w:rtl/>
        </w:rPr>
        <w:t>الاستئماني</w:t>
      </w:r>
      <w:proofErr w:type="spellEnd"/>
      <w:r w:rsidRPr="004D30C6">
        <w:rPr>
          <w:rFonts w:ascii="Arabic Typesetting" w:hAnsi="Arabic Typesetting" w:cs="Arabic Typesetting"/>
          <w:i/>
          <w:iCs/>
          <w:sz w:val="24"/>
          <w:rtl/>
        </w:rPr>
        <w:t xml:space="preserve"> التزاما من هذا القبيل</w:t>
      </w:r>
      <w:r w:rsidRPr="004D30C6">
        <w:rPr>
          <w:rFonts w:ascii="Arabic Typesetting" w:hAnsi="Arabic Typesetting" w:cs="Arabic Typesetting"/>
          <w:i/>
          <w:iCs/>
          <w:sz w:val="24"/>
        </w:rPr>
        <w:t>.</w:t>
      </w:r>
    </w:p>
    <w:p w:rsidR="00861CFF" w:rsidRPr="004D30C6" w:rsidRDefault="00861CFF" w:rsidP="00DA5475">
      <w:pPr>
        <w:adjustRightInd w:val="0"/>
        <w:snapToGrid w:val="0"/>
        <w:spacing w:after="120"/>
        <w:ind w:left="-2"/>
        <w:jc w:val="both"/>
        <w:rPr>
          <w:rFonts w:ascii="Arabic Typesetting" w:hAnsi="Arabic Typesetting" w:cs="Arabic Typesetting"/>
          <w:i/>
          <w:iCs/>
          <w:sz w:val="24"/>
          <w:rtl/>
        </w:rPr>
      </w:pPr>
      <w:r w:rsidRPr="001D14C5">
        <w:rPr>
          <w:rFonts w:ascii="Arabic Typesetting" w:hAnsi="Arabic Typesetting" w:cs="Arabic Typesetting" w:hint="cs"/>
          <w:i/>
          <w:iCs/>
          <w:sz w:val="24"/>
          <w:vertAlign w:val="superscript"/>
          <w:rtl/>
        </w:rPr>
        <w:t>3</w:t>
      </w:r>
      <w:r w:rsidRPr="004D30C6">
        <w:rPr>
          <w:rFonts w:ascii="Arabic Typesetting" w:hAnsi="Arabic Typesetting" w:cs="Arabic Typesetting" w:hint="cs"/>
          <w:i/>
          <w:iCs/>
          <w:sz w:val="24"/>
          <w:rtl/>
        </w:rPr>
        <w:t xml:space="preserve"> </w:t>
      </w:r>
      <w:r w:rsidRPr="004D30C6">
        <w:rPr>
          <w:rFonts w:ascii="Arabic Typesetting" w:hAnsi="Arabic Typesetting" w:cs="Arabic Typesetting"/>
          <w:i/>
          <w:iCs/>
          <w:sz w:val="24"/>
          <w:rtl/>
        </w:rPr>
        <w:t>تتفاوت المساهمات السنوية وقد لوحظت بعض التقلبات من سنة إلى أخرى</w:t>
      </w:r>
      <w:r w:rsidRPr="004D30C6">
        <w:rPr>
          <w:rFonts w:ascii="Arabic Typesetting" w:hAnsi="Arabic Typesetting" w:cs="Arabic Typesetting" w:hint="cs"/>
          <w:i/>
          <w:iCs/>
          <w:sz w:val="24"/>
          <w:rtl/>
        </w:rPr>
        <w:t>.</w:t>
      </w:r>
    </w:p>
    <w:p w:rsidR="00861CFF" w:rsidRDefault="00861CFF" w:rsidP="00862268">
      <w:pPr>
        <w:keepNext/>
        <w:spacing w:line="300" w:lineRule="exact"/>
        <w:jc w:val="center"/>
        <w:rPr>
          <w:rFonts w:ascii="Tahoma" w:hAnsi="Tahoma" w:cs="Tahoma"/>
          <w:sz w:val="18"/>
          <w:szCs w:val="18"/>
          <w:highlight w:val="yellow"/>
          <w:rtl/>
          <w:lang w:val="fr-CH"/>
        </w:rPr>
        <w:sectPr w:rsidR="00861CFF" w:rsidSect="00861CFF">
          <w:pgSz w:w="11906" w:h="16838" w:code="9"/>
          <w:pgMar w:top="1418" w:right="1418" w:bottom="1418" w:left="1134" w:header="510" w:footer="1021" w:gutter="0"/>
          <w:cols w:space="720"/>
          <w:bidi/>
          <w:rtlGutter/>
          <w:docGrid w:linePitch="272"/>
        </w:sectPr>
      </w:pPr>
    </w:p>
    <w:p w:rsidR="00861CFF" w:rsidRPr="00914010" w:rsidRDefault="00861CFF" w:rsidP="0033077D">
      <w:pPr>
        <w:pStyle w:val="Heading3"/>
        <w:rPr>
          <w:rFonts w:ascii="Arabic Typesetting" w:hAnsi="Arabic Typesetting" w:cs="Arabic Typesetting"/>
          <w:b w:val="0"/>
          <w:bCs w:val="0"/>
          <w:sz w:val="38"/>
          <w:szCs w:val="38"/>
          <w:lang w:val="fr-CH" w:bidi="ar-SA"/>
        </w:rPr>
      </w:pPr>
      <w:bookmarkStart w:id="141" w:name="_Toc364355427"/>
      <w:bookmarkStart w:id="142" w:name="_Toc420595546"/>
      <w:r w:rsidRPr="00914010">
        <w:rPr>
          <w:rFonts w:ascii="Arabic Typesetting" w:hAnsi="Arabic Typesetting" w:cs="Arabic Typesetting"/>
          <w:sz w:val="38"/>
          <w:szCs w:val="38"/>
          <w:rtl/>
          <w:lang w:val="fr-CH" w:bidi="ar-SA"/>
        </w:rPr>
        <w:lastRenderedPageBreak/>
        <w:t xml:space="preserve">المرفق </w:t>
      </w:r>
      <w:r w:rsidRPr="00914010">
        <w:rPr>
          <w:rFonts w:ascii="Arabic Typesetting" w:hAnsi="Arabic Typesetting" w:cs="Arabic Typesetting" w:hint="cs"/>
          <w:sz w:val="38"/>
          <w:szCs w:val="38"/>
          <w:rtl/>
          <w:lang w:val="fr-CH" w:bidi="ar-SA"/>
        </w:rPr>
        <w:t>التاسع</w:t>
      </w:r>
      <w:r w:rsidRPr="00914010">
        <w:rPr>
          <w:rFonts w:ascii="Arabic Typesetting" w:hAnsi="Arabic Typesetting" w:cs="Arabic Typesetting" w:hint="cs"/>
          <w:sz w:val="38"/>
          <w:szCs w:val="38"/>
          <w:rtl/>
          <w:lang w:val="fr-CH" w:bidi="ar-SA"/>
        </w:rPr>
        <w:tab/>
        <w:t>جداول الميزانيات السنوية لأغراض الإبلاغ المال</w:t>
      </w:r>
      <w:bookmarkEnd w:id="141"/>
      <w:bookmarkEnd w:id="142"/>
      <w:r w:rsidR="000F1036">
        <w:rPr>
          <w:rFonts w:ascii="Arabic Typesetting" w:hAnsi="Arabic Typesetting" w:cs="Arabic Typesetting" w:hint="cs"/>
          <w:sz w:val="38"/>
          <w:szCs w:val="38"/>
          <w:rtl/>
          <w:lang w:val="fr-CH" w:bidi="ar-SA"/>
        </w:rPr>
        <w:t>ي</w:t>
      </w:r>
    </w:p>
    <w:p w:rsidR="00861CFF" w:rsidRPr="00914010" w:rsidRDefault="00861CFF" w:rsidP="00861CFF">
      <w:pPr>
        <w:pStyle w:val="NumberedParaAR"/>
        <w:numPr>
          <w:ilvl w:val="0"/>
          <w:numId w:val="49"/>
        </w:numPr>
        <w:spacing w:after="120" w:line="340" w:lineRule="exact"/>
        <w:rPr>
          <w:sz w:val="34"/>
          <w:szCs w:val="34"/>
          <w:rtl/>
        </w:rPr>
      </w:pPr>
      <w:r w:rsidRPr="00914010">
        <w:rPr>
          <w:rFonts w:hint="cs"/>
          <w:sz w:val="34"/>
          <w:szCs w:val="34"/>
          <w:rtl/>
        </w:rPr>
        <w:t xml:space="preserve">في الدورة الثالثة والأربعين للجمعيات التي انعقدت في الفترة من 24 سبتمبر إلى 3 أكتوبر 2007، وافقت الدول الأعضاء </w:t>
      </w:r>
      <w:r>
        <w:rPr>
          <w:rFonts w:hint="cs"/>
          <w:sz w:val="34"/>
          <w:szCs w:val="34"/>
          <w:rtl/>
        </w:rPr>
        <w:t>على مبدأ</w:t>
      </w:r>
      <w:r w:rsidRPr="00914010">
        <w:rPr>
          <w:rFonts w:hint="cs"/>
          <w:sz w:val="34"/>
          <w:szCs w:val="34"/>
          <w:rtl/>
        </w:rPr>
        <w:t xml:space="preserve"> اعتماد المعايير المحاسبية الدولية للقطاع العام </w:t>
      </w:r>
      <w:r w:rsidRPr="00914010">
        <w:rPr>
          <w:sz w:val="34"/>
          <w:szCs w:val="34"/>
        </w:rPr>
        <w:t>(IPSAS)</w:t>
      </w:r>
      <w:r w:rsidRPr="00914010">
        <w:rPr>
          <w:rFonts w:hint="cs"/>
          <w:sz w:val="34"/>
          <w:szCs w:val="34"/>
          <w:rtl/>
        </w:rPr>
        <w:t xml:space="preserve"> وتطبيقها في الويبو بحلول 2010 (انظر الوثيق</w:t>
      </w:r>
      <w:r>
        <w:rPr>
          <w:rFonts w:hint="cs"/>
          <w:sz w:val="34"/>
          <w:szCs w:val="34"/>
          <w:rtl/>
        </w:rPr>
        <w:t>تين</w:t>
      </w:r>
      <w:r w:rsidRPr="00914010">
        <w:rPr>
          <w:rFonts w:hint="cs"/>
          <w:sz w:val="34"/>
          <w:szCs w:val="34"/>
          <w:rtl/>
        </w:rPr>
        <w:t xml:space="preserve"> </w:t>
      </w:r>
      <w:r w:rsidRPr="00914010">
        <w:rPr>
          <w:sz w:val="34"/>
          <w:szCs w:val="34"/>
        </w:rPr>
        <w:t>A/43/5</w:t>
      </w:r>
      <w:r>
        <w:rPr>
          <w:rFonts w:hint="cs"/>
          <w:sz w:val="34"/>
          <w:szCs w:val="34"/>
          <w:rtl/>
        </w:rPr>
        <w:t xml:space="preserve"> و</w:t>
      </w:r>
      <w:r>
        <w:rPr>
          <w:rFonts w:hint="eastAsia"/>
          <w:sz w:val="34"/>
          <w:szCs w:val="34"/>
          <w:rtl/>
        </w:rPr>
        <w:t> </w:t>
      </w:r>
      <w:r w:rsidRPr="00914010">
        <w:rPr>
          <w:sz w:val="34"/>
          <w:szCs w:val="34"/>
        </w:rPr>
        <w:t>A/43/16</w:t>
      </w:r>
      <w:r w:rsidRPr="00914010">
        <w:rPr>
          <w:rFonts w:hint="cs"/>
          <w:sz w:val="34"/>
          <w:szCs w:val="34"/>
          <w:rtl/>
        </w:rPr>
        <w:t>). وكان</w:t>
      </w:r>
      <w:r>
        <w:rPr>
          <w:rFonts w:hint="cs"/>
          <w:sz w:val="34"/>
          <w:szCs w:val="34"/>
          <w:rtl/>
        </w:rPr>
        <w:t>ت تلك الموافقة مرتبطة</w:t>
      </w:r>
      <w:r w:rsidRPr="00914010">
        <w:rPr>
          <w:rFonts w:hint="cs"/>
          <w:sz w:val="34"/>
          <w:szCs w:val="34"/>
          <w:rtl/>
        </w:rPr>
        <w:t xml:space="preserve"> </w:t>
      </w:r>
      <w:r>
        <w:rPr>
          <w:rFonts w:hint="cs"/>
          <w:sz w:val="34"/>
          <w:szCs w:val="34"/>
          <w:rtl/>
        </w:rPr>
        <w:t>ب</w:t>
      </w:r>
      <w:r w:rsidRPr="00914010">
        <w:rPr>
          <w:rFonts w:hint="cs"/>
          <w:sz w:val="34"/>
          <w:szCs w:val="34"/>
          <w:rtl/>
        </w:rPr>
        <w:t xml:space="preserve">مبادرة اتخذت على مستوى منظومة الأمم المتحدة بإقرار من الجمعية العامة (القرار </w:t>
      </w:r>
      <w:r w:rsidRPr="00914010">
        <w:rPr>
          <w:sz w:val="34"/>
          <w:szCs w:val="34"/>
        </w:rPr>
        <w:t>A/RES/60/283(IV)I</w:t>
      </w:r>
      <w:r w:rsidRPr="00914010">
        <w:rPr>
          <w:rFonts w:hint="cs"/>
          <w:sz w:val="34"/>
          <w:szCs w:val="34"/>
          <w:rtl/>
        </w:rPr>
        <w:t xml:space="preserve">) وهدفها الاستعاضة عن المعايير المحاسبية للأمم المتحدة </w:t>
      </w:r>
      <w:r w:rsidRPr="00914010">
        <w:rPr>
          <w:sz w:val="34"/>
          <w:szCs w:val="34"/>
        </w:rPr>
        <w:t>(UNSAS)</w:t>
      </w:r>
      <w:r w:rsidRPr="00914010">
        <w:rPr>
          <w:rFonts w:hint="cs"/>
          <w:sz w:val="34"/>
          <w:szCs w:val="34"/>
          <w:rtl/>
        </w:rPr>
        <w:t xml:space="preserve"> بالمعايير المحاسبية الدولية للقطاع العام، وهي معايير معترف بها دوليا. وعليه، أعدّت بيانات الويبو المالية لسنة 2010 وفقا لمقتضيات المعايير المحاسبية الدولية.</w:t>
      </w:r>
    </w:p>
    <w:p w:rsidR="00861CFF" w:rsidRPr="00914010" w:rsidRDefault="00861CFF" w:rsidP="00861CFF">
      <w:pPr>
        <w:pStyle w:val="NumberedParaAR"/>
        <w:numPr>
          <w:ilvl w:val="0"/>
          <w:numId w:val="55"/>
        </w:numPr>
        <w:spacing w:after="120" w:line="340" w:lineRule="exact"/>
        <w:rPr>
          <w:sz w:val="34"/>
          <w:szCs w:val="34"/>
          <w:rtl/>
        </w:rPr>
      </w:pPr>
      <w:r w:rsidRPr="00914010">
        <w:rPr>
          <w:rFonts w:hint="cs"/>
          <w:sz w:val="34"/>
          <w:szCs w:val="34"/>
          <w:rtl/>
        </w:rPr>
        <w:t>ولا تزال الويبو تعتمد ميزانيتها في الجمعيات لفترة مالية تدوم سنتين اثنتين. وامتثالا للمعايير المحاسبية الدولية، يتعين على المنظمة أن تقدّم بياناتها المالية سنويا. ولذلك الغرض، تقدَّم مبالغ الميزانية السنوية بالنسبة إلى الإيرادات والنفقات.</w:t>
      </w:r>
    </w:p>
    <w:p w:rsidR="00861CFF" w:rsidRPr="00914010" w:rsidRDefault="00861CFF" w:rsidP="00861CFF">
      <w:pPr>
        <w:pStyle w:val="NumberedParaAR"/>
        <w:numPr>
          <w:ilvl w:val="0"/>
          <w:numId w:val="55"/>
        </w:numPr>
        <w:spacing w:after="120" w:line="340" w:lineRule="exact"/>
        <w:rPr>
          <w:sz w:val="34"/>
          <w:szCs w:val="34"/>
          <w:rtl/>
        </w:rPr>
      </w:pPr>
      <w:r w:rsidRPr="00914010">
        <w:rPr>
          <w:rFonts w:hint="cs"/>
          <w:sz w:val="34"/>
          <w:szCs w:val="34"/>
          <w:rtl/>
        </w:rPr>
        <w:t xml:space="preserve">ويجدر التذكير في سياق اعتماد البرنامج والميزانية للثنائية 2010-2011، بأن الدول الأعضاء وافقت على منهجية لعرض البيانات المالية السنوية لميزانية الويبو التي تتم الموافقة عليها للثنائية. ويحتوي الجدول الوارد أدناه على مبالغ الإيرادات السنوية المقدرة بتطبيق تلك المنهجية للبرنامج والميزانية للثنائية </w:t>
      </w:r>
      <w:r>
        <w:rPr>
          <w:rFonts w:hint="cs"/>
          <w:sz w:val="34"/>
          <w:szCs w:val="34"/>
          <w:rtl/>
        </w:rPr>
        <w:t>2016</w:t>
      </w:r>
      <w:r w:rsidRPr="00914010">
        <w:rPr>
          <w:rFonts w:hint="cs"/>
          <w:sz w:val="34"/>
          <w:szCs w:val="34"/>
          <w:rtl/>
        </w:rPr>
        <w:t>/</w:t>
      </w:r>
      <w:r>
        <w:rPr>
          <w:rFonts w:hint="cs"/>
          <w:sz w:val="34"/>
          <w:szCs w:val="34"/>
          <w:rtl/>
        </w:rPr>
        <w:t>17</w:t>
      </w:r>
      <w:r w:rsidRPr="00914010">
        <w:rPr>
          <w:rFonts w:hint="cs"/>
          <w:sz w:val="34"/>
          <w:szCs w:val="34"/>
          <w:rtl/>
        </w:rPr>
        <w:t>.</w:t>
      </w:r>
    </w:p>
    <w:p w:rsidR="00861CFF" w:rsidRPr="00883720" w:rsidRDefault="00861CFF" w:rsidP="00DA5475">
      <w:pPr>
        <w:keepNext/>
        <w:spacing w:line="300" w:lineRule="exact"/>
        <w:jc w:val="center"/>
        <w:rPr>
          <w:rFonts w:ascii="Arabic Typesetting" w:hAnsi="Arabic Typesetting" w:cs="Arabic Typesetting"/>
          <w:b/>
          <w:bCs/>
          <w:sz w:val="34"/>
          <w:szCs w:val="34"/>
          <w:rtl/>
          <w:lang w:val="fr-CH" w:bidi="ar-SA"/>
        </w:rPr>
      </w:pPr>
      <w:r w:rsidRPr="00883720">
        <w:rPr>
          <w:rFonts w:ascii="Arabic Typesetting" w:hAnsi="Arabic Typesetting" w:cs="Arabic Typesetting"/>
          <w:b/>
          <w:bCs/>
          <w:sz w:val="34"/>
          <w:szCs w:val="34"/>
          <w:rtl/>
          <w:lang w:val="fr-CH" w:bidi="ar-SA"/>
        </w:rPr>
        <w:t xml:space="preserve">الجدول </w:t>
      </w:r>
      <w:r w:rsidRPr="00883720">
        <w:rPr>
          <w:rFonts w:ascii="Arabic Typesetting" w:hAnsi="Arabic Typesetting" w:cs="Arabic Typesetting" w:hint="cs"/>
          <w:b/>
          <w:bCs/>
          <w:sz w:val="34"/>
          <w:szCs w:val="34"/>
          <w:rtl/>
          <w:lang w:val="fr-CH" w:bidi="ar-SA"/>
        </w:rPr>
        <w:t>20</w:t>
      </w:r>
      <w:r w:rsidRPr="00883720">
        <w:rPr>
          <w:rFonts w:ascii="Arabic Typesetting" w:hAnsi="Arabic Typesetting" w:cs="Arabic Typesetting"/>
          <w:b/>
          <w:bCs/>
          <w:sz w:val="34"/>
          <w:szCs w:val="34"/>
          <w:rtl/>
          <w:lang w:val="fr-CH" w:bidi="ar-SA"/>
        </w:rPr>
        <w:t xml:space="preserve"> - الإيرادات السنوية في </w:t>
      </w:r>
      <w:r w:rsidRPr="00883720">
        <w:rPr>
          <w:rFonts w:ascii="Arabic Typesetting" w:hAnsi="Arabic Typesetting" w:cs="Arabic Typesetting" w:hint="cs"/>
          <w:b/>
          <w:bCs/>
          <w:sz w:val="34"/>
          <w:szCs w:val="34"/>
          <w:rtl/>
          <w:lang w:val="fr-CH" w:bidi="ar-SA"/>
        </w:rPr>
        <w:t>الفترة</w:t>
      </w:r>
      <w:r w:rsidRPr="00883720">
        <w:rPr>
          <w:rFonts w:ascii="Arabic Typesetting" w:hAnsi="Arabic Typesetting" w:cs="Arabic Typesetting"/>
          <w:b/>
          <w:bCs/>
          <w:sz w:val="34"/>
          <w:szCs w:val="34"/>
          <w:rtl/>
          <w:lang w:val="fr-CH" w:bidi="ar-SA"/>
        </w:rPr>
        <w:t xml:space="preserve"> </w:t>
      </w:r>
      <w:r w:rsidRPr="00883720">
        <w:rPr>
          <w:rFonts w:ascii="Arabic Typesetting" w:hAnsi="Arabic Typesetting" w:cs="Arabic Typesetting" w:hint="cs"/>
          <w:b/>
          <w:bCs/>
          <w:sz w:val="34"/>
          <w:szCs w:val="34"/>
          <w:rtl/>
          <w:lang w:val="fr-CH" w:bidi="ar-SA"/>
        </w:rPr>
        <w:t>2006</w:t>
      </w:r>
      <w:r w:rsidRPr="00883720">
        <w:rPr>
          <w:rFonts w:ascii="Arabic Typesetting" w:hAnsi="Arabic Typesetting" w:cs="Arabic Typesetting"/>
          <w:b/>
          <w:bCs/>
          <w:sz w:val="34"/>
          <w:szCs w:val="34"/>
          <w:rtl/>
          <w:lang w:val="fr-CH" w:bidi="ar-SA"/>
        </w:rPr>
        <w:t>-</w:t>
      </w:r>
      <w:r w:rsidRPr="00883720">
        <w:rPr>
          <w:rFonts w:ascii="Arabic Typesetting" w:hAnsi="Arabic Typesetting" w:cs="Arabic Typesetting" w:hint="cs"/>
          <w:b/>
          <w:bCs/>
          <w:sz w:val="34"/>
          <w:szCs w:val="34"/>
          <w:rtl/>
          <w:lang w:val="fr-CH" w:bidi="ar-SA"/>
        </w:rPr>
        <w:t>2017</w:t>
      </w:r>
    </w:p>
    <w:p w:rsidR="00861CFF" w:rsidRPr="00094CBA" w:rsidRDefault="00861CFF" w:rsidP="00DA5475">
      <w:pPr>
        <w:spacing w:after="120" w:line="300" w:lineRule="exact"/>
        <w:jc w:val="center"/>
        <w:rPr>
          <w:rFonts w:ascii="Arabic Typesetting" w:hAnsi="Arabic Typesetting" w:cs="Arabic Typesetting"/>
          <w:i/>
          <w:iCs/>
          <w:sz w:val="34"/>
          <w:szCs w:val="34"/>
          <w:rtl/>
          <w:lang w:val="fr-CH" w:bidi="ar-SA"/>
        </w:rPr>
      </w:pPr>
      <w:r w:rsidRPr="00094CBA">
        <w:rPr>
          <w:rFonts w:ascii="Arabic Typesetting" w:hAnsi="Arabic Typesetting" w:cs="Arabic Typesetting"/>
          <w:i/>
          <w:iCs/>
          <w:sz w:val="34"/>
          <w:szCs w:val="34"/>
          <w:rtl/>
          <w:lang w:val="fr-CH" w:bidi="ar-SA"/>
        </w:rPr>
        <w:t>(بملايين الفرنكات السويسرية)</w:t>
      </w:r>
    </w:p>
    <w:p w:rsidR="00861CFF" w:rsidRDefault="00861CFF" w:rsidP="00862268">
      <w:pPr>
        <w:pStyle w:val="NormalParaAR"/>
        <w:spacing w:after="120" w:line="240" w:lineRule="auto"/>
        <w:jc w:val="center"/>
        <w:rPr>
          <w:noProof/>
          <w:rtl/>
        </w:rPr>
      </w:pPr>
      <w:r w:rsidRPr="00094CBA">
        <w:rPr>
          <w:noProof/>
          <w:rtl/>
        </w:rPr>
        <w:drawing>
          <wp:inline distT="0" distB="0" distL="0" distR="0" wp14:anchorId="4763583C" wp14:editId="493CCB11">
            <wp:extent cx="6440417" cy="2014331"/>
            <wp:effectExtent l="0" t="0" r="0" b="508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6448915" cy="2016989"/>
                    </a:xfrm>
                    <a:prstGeom prst="rect">
                      <a:avLst/>
                    </a:prstGeom>
                    <a:noFill/>
                    <a:ln>
                      <a:noFill/>
                    </a:ln>
                  </pic:spPr>
                </pic:pic>
              </a:graphicData>
            </a:graphic>
          </wp:inline>
        </w:drawing>
      </w:r>
    </w:p>
    <w:p w:rsidR="00861CFF" w:rsidRDefault="00861CFF" w:rsidP="00EF1E1F">
      <w:pPr>
        <w:pStyle w:val="NumberedParaAR"/>
        <w:numPr>
          <w:ilvl w:val="0"/>
          <w:numId w:val="0"/>
        </w:numPr>
        <w:spacing w:after="0" w:line="340" w:lineRule="exact"/>
        <w:rPr>
          <w:i/>
          <w:iCs/>
          <w:sz w:val="24"/>
          <w:szCs w:val="24"/>
          <w:rtl/>
          <w:lang w:val="fr-CH"/>
        </w:rPr>
      </w:pPr>
      <w:r w:rsidRPr="00883720">
        <w:rPr>
          <w:rFonts w:hint="cs"/>
          <w:i/>
          <w:iCs/>
          <w:sz w:val="24"/>
          <w:szCs w:val="24"/>
          <w:rtl/>
          <w:lang w:val="fr-CH"/>
        </w:rPr>
        <w:t>* إيرادات الفوائد سابقا (إلى غاية الثنائية 2014/15)</w:t>
      </w:r>
    </w:p>
    <w:p w:rsidR="00EF1E1F" w:rsidRPr="00883720" w:rsidRDefault="00453837" w:rsidP="009F107E">
      <w:pPr>
        <w:pStyle w:val="NumberedParaAR"/>
        <w:numPr>
          <w:ilvl w:val="0"/>
          <w:numId w:val="0"/>
        </w:numPr>
        <w:spacing w:line="340" w:lineRule="exact"/>
        <w:rPr>
          <w:i/>
          <w:iCs/>
          <w:sz w:val="24"/>
          <w:szCs w:val="24"/>
          <w:rtl/>
          <w:lang w:val="fr-CH"/>
        </w:rPr>
      </w:pPr>
      <w:r w:rsidRPr="00453837">
        <w:rPr>
          <w:i/>
          <w:iCs/>
          <w:sz w:val="24"/>
          <w:szCs w:val="24"/>
          <w:rtl/>
          <w:lang w:val="fr-CH"/>
        </w:rPr>
        <w:t>ملاحظة: الإيرادات المتأتية من رسوم لشبونة (تبلغ الإيرادات المقدرة في ميزانية الثنائية 2014/15: 8,000 فرنك سويسري؛ وفي ميزانية الثنائية 2016/17: 30,000 فرنك سويسري)</w:t>
      </w:r>
    </w:p>
    <w:p w:rsidR="00861CFF" w:rsidRPr="00914010" w:rsidRDefault="00861CFF" w:rsidP="00861CFF">
      <w:pPr>
        <w:pStyle w:val="NumberedParaAR"/>
        <w:numPr>
          <w:ilvl w:val="0"/>
          <w:numId w:val="49"/>
        </w:numPr>
        <w:spacing w:after="120" w:line="340" w:lineRule="exact"/>
        <w:rPr>
          <w:sz w:val="34"/>
          <w:szCs w:val="34"/>
        </w:rPr>
      </w:pPr>
      <w:r w:rsidRPr="00914010">
        <w:rPr>
          <w:rFonts w:hint="cs"/>
          <w:sz w:val="34"/>
          <w:szCs w:val="34"/>
          <w:rtl/>
        </w:rPr>
        <w:t>وبالنسبة إلى ميزانية نفقات الويبو</w:t>
      </w:r>
      <w:r>
        <w:rPr>
          <w:rFonts w:hint="cs"/>
          <w:sz w:val="34"/>
          <w:szCs w:val="34"/>
          <w:rtl/>
        </w:rPr>
        <w:t xml:space="preserve"> للثنائية 2016/17</w:t>
      </w:r>
      <w:r w:rsidRPr="00914010">
        <w:rPr>
          <w:rFonts w:hint="cs"/>
          <w:sz w:val="34"/>
          <w:szCs w:val="34"/>
          <w:rtl/>
        </w:rPr>
        <w:t xml:space="preserve">، </w:t>
      </w:r>
      <w:r>
        <w:rPr>
          <w:rFonts w:hint="cs"/>
          <w:sz w:val="34"/>
          <w:szCs w:val="34"/>
          <w:rtl/>
        </w:rPr>
        <w:t>طُبقت</w:t>
      </w:r>
      <w:r w:rsidRPr="00914010">
        <w:rPr>
          <w:rFonts w:hint="cs"/>
          <w:sz w:val="34"/>
          <w:szCs w:val="34"/>
          <w:rtl/>
        </w:rPr>
        <w:t xml:space="preserve"> قسمة 50/50 على مبالغ ميزانية</w:t>
      </w:r>
      <w:r>
        <w:rPr>
          <w:rFonts w:hint="cs"/>
          <w:sz w:val="34"/>
          <w:szCs w:val="34"/>
          <w:rtl/>
        </w:rPr>
        <w:t xml:space="preserve"> خلاف موارد الموظفين</w:t>
      </w:r>
      <w:r w:rsidRPr="00914010">
        <w:rPr>
          <w:rFonts w:hint="cs"/>
          <w:sz w:val="34"/>
          <w:szCs w:val="34"/>
          <w:rtl/>
        </w:rPr>
        <w:t xml:space="preserve"> </w:t>
      </w:r>
      <w:r>
        <w:rPr>
          <w:rFonts w:hint="cs"/>
          <w:sz w:val="34"/>
          <w:szCs w:val="34"/>
          <w:rtl/>
        </w:rPr>
        <w:t>ل</w:t>
      </w:r>
      <w:r w:rsidRPr="00914010">
        <w:rPr>
          <w:rFonts w:hint="cs"/>
          <w:sz w:val="34"/>
          <w:szCs w:val="34"/>
          <w:rtl/>
        </w:rPr>
        <w:t xml:space="preserve">لثنائية لعرض تلك المبالغ في ميزانية سنوية. </w:t>
      </w:r>
      <w:r>
        <w:rPr>
          <w:rFonts w:hint="cs"/>
          <w:sz w:val="34"/>
          <w:szCs w:val="34"/>
          <w:rtl/>
        </w:rPr>
        <w:t xml:space="preserve">وقُسمت </w:t>
      </w:r>
      <w:r w:rsidRPr="00914010">
        <w:rPr>
          <w:rFonts w:hint="cs"/>
          <w:sz w:val="34"/>
          <w:szCs w:val="34"/>
          <w:rtl/>
        </w:rPr>
        <w:t xml:space="preserve">ميزانية </w:t>
      </w:r>
      <w:r>
        <w:rPr>
          <w:rFonts w:hint="cs"/>
          <w:sz w:val="34"/>
          <w:szCs w:val="34"/>
          <w:rtl/>
        </w:rPr>
        <w:t>موارد</w:t>
      </w:r>
      <w:r w:rsidRPr="00914010">
        <w:rPr>
          <w:rFonts w:hint="cs"/>
          <w:sz w:val="34"/>
          <w:szCs w:val="34"/>
          <w:rtl/>
        </w:rPr>
        <w:t xml:space="preserve"> الموظفين على أساس </w:t>
      </w:r>
      <w:r>
        <w:rPr>
          <w:rFonts w:hint="cs"/>
          <w:sz w:val="34"/>
          <w:szCs w:val="34"/>
          <w:rtl/>
        </w:rPr>
        <w:t xml:space="preserve">سنوي استنادا إلى </w:t>
      </w:r>
      <w:r w:rsidRPr="00914010">
        <w:rPr>
          <w:rFonts w:hint="cs"/>
          <w:sz w:val="34"/>
          <w:szCs w:val="34"/>
          <w:rtl/>
        </w:rPr>
        <w:t xml:space="preserve">التكاليف </w:t>
      </w:r>
      <w:r>
        <w:rPr>
          <w:rFonts w:hint="cs"/>
          <w:sz w:val="34"/>
          <w:szCs w:val="34"/>
          <w:rtl/>
        </w:rPr>
        <w:t>المحسوبة للسنتين على التوالي</w:t>
      </w:r>
      <w:r w:rsidRPr="00914010">
        <w:rPr>
          <w:rFonts w:hint="cs"/>
          <w:sz w:val="34"/>
          <w:szCs w:val="34"/>
          <w:rtl/>
        </w:rPr>
        <w:t>. وعليه، يحتوي الجدول الوارد أدناه على مبالغ النفقات السنوية.</w:t>
      </w:r>
    </w:p>
    <w:p w:rsidR="00861CFF" w:rsidRPr="00F442A2" w:rsidRDefault="00861CFF" w:rsidP="00DA5475">
      <w:pPr>
        <w:keepNext/>
        <w:spacing w:line="300" w:lineRule="exact"/>
        <w:jc w:val="center"/>
        <w:rPr>
          <w:rFonts w:ascii="Arabic Typesetting" w:hAnsi="Arabic Typesetting" w:cs="Arabic Typesetting"/>
          <w:b/>
          <w:bCs/>
          <w:sz w:val="34"/>
          <w:szCs w:val="34"/>
          <w:rtl/>
          <w:lang w:val="fr-CH" w:bidi="ar-SA"/>
        </w:rPr>
      </w:pPr>
      <w:r w:rsidRPr="00F442A2">
        <w:rPr>
          <w:rFonts w:ascii="Arabic Typesetting" w:hAnsi="Arabic Typesetting" w:cs="Arabic Typesetting"/>
          <w:b/>
          <w:bCs/>
          <w:sz w:val="34"/>
          <w:szCs w:val="34"/>
          <w:rtl/>
          <w:lang w:val="fr-CH" w:bidi="ar-SA"/>
        </w:rPr>
        <w:lastRenderedPageBreak/>
        <w:t xml:space="preserve">الجدول </w:t>
      </w:r>
      <w:r w:rsidRPr="00F442A2">
        <w:rPr>
          <w:rFonts w:ascii="Arabic Typesetting" w:hAnsi="Arabic Typesetting" w:cs="Arabic Typesetting" w:hint="cs"/>
          <w:b/>
          <w:bCs/>
          <w:sz w:val="34"/>
          <w:szCs w:val="34"/>
          <w:rtl/>
          <w:lang w:val="fr-CH" w:bidi="ar-SA"/>
        </w:rPr>
        <w:t>21</w:t>
      </w:r>
      <w:r w:rsidRPr="00F442A2">
        <w:rPr>
          <w:rFonts w:ascii="Arabic Typesetting" w:hAnsi="Arabic Typesetting" w:cs="Arabic Typesetting"/>
          <w:b/>
          <w:bCs/>
          <w:sz w:val="34"/>
          <w:szCs w:val="34"/>
          <w:rtl/>
          <w:lang w:val="fr-CH" w:bidi="ar-SA"/>
        </w:rPr>
        <w:t xml:space="preserve"> - </w:t>
      </w:r>
      <w:r w:rsidRPr="00F442A2">
        <w:rPr>
          <w:rFonts w:ascii="Arabic Typesetting" w:hAnsi="Arabic Typesetting" w:cs="Arabic Typesetting" w:hint="cs"/>
          <w:b/>
          <w:bCs/>
          <w:sz w:val="34"/>
          <w:szCs w:val="34"/>
          <w:rtl/>
          <w:lang w:val="fr-CH" w:bidi="ar-SA"/>
        </w:rPr>
        <w:t>النفقات</w:t>
      </w:r>
      <w:r w:rsidRPr="00F442A2">
        <w:rPr>
          <w:rFonts w:ascii="Arabic Typesetting" w:hAnsi="Arabic Typesetting" w:cs="Arabic Typesetting"/>
          <w:b/>
          <w:bCs/>
          <w:sz w:val="34"/>
          <w:szCs w:val="34"/>
          <w:rtl/>
          <w:lang w:val="fr-CH" w:bidi="ar-SA"/>
        </w:rPr>
        <w:t xml:space="preserve"> السنوية في </w:t>
      </w:r>
      <w:r w:rsidRPr="00F442A2">
        <w:rPr>
          <w:rFonts w:ascii="Arabic Typesetting" w:hAnsi="Arabic Typesetting" w:cs="Arabic Typesetting" w:hint="cs"/>
          <w:b/>
          <w:bCs/>
          <w:sz w:val="34"/>
          <w:szCs w:val="34"/>
          <w:rtl/>
          <w:lang w:val="fr-CH" w:bidi="ar-SA"/>
        </w:rPr>
        <w:t>الفترة</w:t>
      </w:r>
      <w:r w:rsidRPr="00F442A2">
        <w:rPr>
          <w:rFonts w:ascii="Arabic Typesetting" w:hAnsi="Arabic Typesetting" w:cs="Arabic Typesetting"/>
          <w:b/>
          <w:bCs/>
          <w:sz w:val="34"/>
          <w:szCs w:val="34"/>
          <w:rtl/>
          <w:lang w:val="fr-CH" w:bidi="ar-SA"/>
        </w:rPr>
        <w:t xml:space="preserve"> </w:t>
      </w:r>
      <w:r w:rsidRPr="00F442A2">
        <w:rPr>
          <w:rFonts w:ascii="Arabic Typesetting" w:hAnsi="Arabic Typesetting" w:cs="Arabic Typesetting" w:hint="cs"/>
          <w:b/>
          <w:bCs/>
          <w:sz w:val="34"/>
          <w:szCs w:val="34"/>
          <w:rtl/>
          <w:lang w:val="fr-CH" w:bidi="ar-SA"/>
        </w:rPr>
        <w:t>2006</w:t>
      </w:r>
      <w:r w:rsidRPr="00F442A2">
        <w:rPr>
          <w:rFonts w:ascii="Arabic Typesetting" w:hAnsi="Arabic Typesetting" w:cs="Arabic Typesetting"/>
          <w:b/>
          <w:bCs/>
          <w:sz w:val="34"/>
          <w:szCs w:val="34"/>
          <w:rtl/>
          <w:lang w:val="fr-CH" w:bidi="ar-SA"/>
        </w:rPr>
        <w:t>-</w:t>
      </w:r>
      <w:r w:rsidRPr="00F442A2">
        <w:rPr>
          <w:rFonts w:ascii="Arabic Typesetting" w:hAnsi="Arabic Typesetting" w:cs="Arabic Typesetting" w:hint="cs"/>
          <w:b/>
          <w:bCs/>
          <w:sz w:val="34"/>
          <w:szCs w:val="34"/>
          <w:rtl/>
          <w:lang w:val="fr-CH" w:bidi="ar-SA"/>
        </w:rPr>
        <w:t>2017</w:t>
      </w:r>
    </w:p>
    <w:p w:rsidR="00861CFF" w:rsidRPr="00094CBA" w:rsidRDefault="00861CFF" w:rsidP="00DA5475">
      <w:pPr>
        <w:keepNext/>
        <w:spacing w:after="120" w:line="300" w:lineRule="exact"/>
        <w:jc w:val="center"/>
        <w:rPr>
          <w:rFonts w:ascii="Arabic Typesetting" w:hAnsi="Arabic Typesetting" w:cs="Arabic Typesetting"/>
          <w:i/>
          <w:iCs/>
          <w:sz w:val="34"/>
          <w:szCs w:val="34"/>
          <w:rtl/>
          <w:lang w:val="fr-CH" w:bidi="ar-SA"/>
        </w:rPr>
      </w:pPr>
      <w:r w:rsidRPr="00094CBA">
        <w:rPr>
          <w:rFonts w:ascii="Arabic Typesetting" w:hAnsi="Arabic Typesetting" w:cs="Arabic Typesetting"/>
          <w:i/>
          <w:iCs/>
          <w:sz w:val="34"/>
          <w:szCs w:val="34"/>
          <w:rtl/>
          <w:lang w:val="fr-CH" w:bidi="ar-SA"/>
        </w:rPr>
        <w:t>(بملايين الفرنكات السويسرية)</w:t>
      </w:r>
    </w:p>
    <w:p w:rsidR="00861CFF" w:rsidRDefault="00861CFF" w:rsidP="00DA5475">
      <w:pPr>
        <w:spacing w:after="120"/>
        <w:jc w:val="center"/>
        <w:rPr>
          <w:rFonts w:ascii="Arabic Typesetting" w:hAnsi="Arabic Typesetting" w:cs="Arabic Typesetting"/>
          <w:sz w:val="34"/>
          <w:szCs w:val="34"/>
          <w:highlight w:val="yellow"/>
          <w:rtl/>
          <w:lang w:bidi="ar-SA"/>
        </w:rPr>
      </w:pPr>
      <w:r w:rsidRPr="00094CBA">
        <w:rPr>
          <w:noProof/>
          <w:szCs w:val="20"/>
          <w:rtl/>
          <w:lang w:bidi="ar-SA"/>
        </w:rPr>
        <w:drawing>
          <wp:inline distT="0" distB="0" distL="0" distR="0" wp14:anchorId="3C4719C7" wp14:editId="0EB4AF87">
            <wp:extent cx="6296578" cy="2796208"/>
            <wp:effectExtent l="0" t="0" r="0" b="444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6297968" cy="2796825"/>
                    </a:xfrm>
                    <a:prstGeom prst="rect">
                      <a:avLst/>
                    </a:prstGeom>
                    <a:noFill/>
                    <a:ln>
                      <a:noFill/>
                    </a:ln>
                  </pic:spPr>
                </pic:pic>
              </a:graphicData>
            </a:graphic>
          </wp:inline>
        </w:drawing>
      </w:r>
    </w:p>
    <w:p w:rsidR="00861CFF" w:rsidRPr="009E6E94" w:rsidRDefault="00861CFF" w:rsidP="00DA5475">
      <w:pPr>
        <w:pStyle w:val="NumberedParaAR"/>
        <w:numPr>
          <w:ilvl w:val="0"/>
          <w:numId w:val="0"/>
        </w:numPr>
        <w:spacing w:after="0" w:line="340" w:lineRule="exact"/>
        <w:rPr>
          <w:i/>
          <w:iCs/>
          <w:sz w:val="24"/>
          <w:szCs w:val="24"/>
          <w:rtl/>
          <w:lang w:val="fr-CH"/>
        </w:rPr>
      </w:pPr>
      <w:r w:rsidRPr="009E6E94">
        <w:rPr>
          <w:i/>
          <w:iCs/>
          <w:sz w:val="24"/>
          <w:szCs w:val="24"/>
          <w:rtl/>
          <w:lang w:val="fr-CH"/>
        </w:rPr>
        <w:t>* الأسفار والمنح الدراسية سابقا (إلى غاية الثنائية 15/2014)</w:t>
      </w:r>
    </w:p>
    <w:p w:rsidR="00861CFF" w:rsidRPr="009E6E94" w:rsidRDefault="00861CFF" w:rsidP="00DA5475">
      <w:pPr>
        <w:pStyle w:val="NumberedParaAR"/>
        <w:numPr>
          <w:ilvl w:val="0"/>
          <w:numId w:val="0"/>
        </w:numPr>
        <w:spacing w:after="0" w:line="340" w:lineRule="exact"/>
        <w:rPr>
          <w:i/>
          <w:iCs/>
          <w:sz w:val="24"/>
          <w:szCs w:val="24"/>
          <w:rtl/>
          <w:lang w:val="fr-CH"/>
        </w:rPr>
      </w:pPr>
      <w:r w:rsidRPr="009E6E94">
        <w:rPr>
          <w:i/>
          <w:iCs/>
          <w:sz w:val="24"/>
          <w:szCs w:val="24"/>
          <w:rtl/>
          <w:lang w:val="fr-CH"/>
        </w:rPr>
        <w:t>** أعدَّت صيغة جديدة لبند "الخدمات التعاقدية" للسنوات 2004-2009 كي يشمل اتفاقات الخدمات الخاصة بسبب تغيير نُفّذ في أبريل 2010.</w:t>
      </w:r>
    </w:p>
    <w:p w:rsidR="00861CFF" w:rsidRDefault="00861CFF" w:rsidP="00DA5475">
      <w:pPr>
        <w:pStyle w:val="NumberedParaAR"/>
        <w:numPr>
          <w:ilvl w:val="0"/>
          <w:numId w:val="0"/>
        </w:numPr>
        <w:spacing w:after="120" w:line="340" w:lineRule="exact"/>
        <w:rPr>
          <w:i/>
          <w:iCs/>
          <w:sz w:val="24"/>
          <w:szCs w:val="24"/>
          <w:rtl/>
          <w:lang w:val="fr-CH"/>
        </w:rPr>
      </w:pPr>
      <w:r w:rsidRPr="009E6E94">
        <w:rPr>
          <w:i/>
          <w:iCs/>
          <w:sz w:val="24"/>
          <w:szCs w:val="24"/>
          <w:rtl/>
          <w:lang w:val="fr-CH"/>
        </w:rPr>
        <w:t>*** أٌدرجت سابقا تحت بند مصروفات التشغيل (إلى غاية الثنائية 15/2014)</w:t>
      </w:r>
    </w:p>
    <w:p w:rsidR="00861CFF" w:rsidRPr="00C16521" w:rsidRDefault="00861CFF" w:rsidP="00DA5475">
      <w:pPr>
        <w:pStyle w:val="NumberedParaAR"/>
        <w:numPr>
          <w:ilvl w:val="0"/>
          <w:numId w:val="0"/>
        </w:numPr>
        <w:spacing w:after="120" w:line="340" w:lineRule="exact"/>
        <w:rPr>
          <w:sz w:val="34"/>
          <w:szCs w:val="34"/>
          <w:highlight w:val="yellow"/>
          <w:rtl/>
        </w:rPr>
      </w:pPr>
    </w:p>
    <w:p w:rsidR="00861CFF" w:rsidRPr="00C16521" w:rsidRDefault="00861CFF" w:rsidP="00557BA4">
      <w:pPr>
        <w:spacing w:after="120"/>
        <w:jc w:val="both"/>
        <w:rPr>
          <w:rFonts w:ascii="Arabic Typesetting" w:hAnsi="Arabic Typesetting" w:cs="Arabic Typesetting"/>
          <w:sz w:val="34"/>
          <w:szCs w:val="34"/>
          <w:highlight w:val="yellow"/>
          <w:rtl/>
          <w:lang w:bidi="ar-SA"/>
        </w:rPr>
        <w:sectPr w:rsidR="00861CFF" w:rsidRPr="00C16521" w:rsidSect="00861CFF">
          <w:pgSz w:w="11906" w:h="16838" w:code="9"/>
          <w:pgMar w:top="1418" w:right="1418" w:bottom="1418" w:left="1134" w:header="510" w:footer="1021" w:gutter="0"/>
          <w:cols w:space="720"/>
          <w:bidi/>
          <w:rtlGutter/>
          <w:docGrid w:linePitch="272"/>
        </w:sectPr>
      </w:pPr>
    </w:p>
    <w:p w:rsidR="00861CFF" w:rsidRPr="00807A22" w:rsidRDefault="00861CFF" w:rsidP="00A9397F">
      <w:pPr>
        <w:pStyle w:val="Heading3"/>
        <w:ind w:left="1701" w:hanging="1701"/>
        <w:rPr>
          <w:rFonts w:ascii="Arabic Typesetting" w:hAnsi="Arabic Typesetting" w:cs="Arabic Typesetting"/>
          <w:b w:val="0"/>
          <w:bCs w:val="0"/>
          <w:sz w:val="38"/>
          <w:szCs w:val="38"/>
          <w:lang w:val="fr-CH" w:bidi="ar-SA"/>
        </w:rPr>
      </w:pPr>
      <w:bookmarkStart w:id="143" w:name="_Toc364355428"/>
      <w:bookmarkStart w:id="144" w:name="_Toc420595547"/>
      <w:r w:rsidRPr="00807A22">
        <w:rPr>
          <w:rFonts w:ascii="Arabic Typesetting" w:hAnsi="Arabic Typesetting" w:cs="Arabic Typesetting"/>
          <w:sz w:val="38"/>
          <w:szCs w:val="38"/>
          <w:rtl/>
          <w:lang w:val="fr-CH" w:bidi="ar-SA"/>
        </w:rPr>
        <w:lastRenderedPageBreak/>
        <w:t xml:space="preserve">المرفق </w:t>
      </w:r>
      <w:r w:rsidRPr="00807A22">
        <w:rPr>
          <w:rFonts w:ascii="Arabic Typesetting" w:hAnsi="Arabic Typesetting" w:cs="Arabic Typesetting" w:hint="cs"/>
          <w:sz w:val="38"/>
          <w:szCs w:val="38"/>
          <w:rtl/>
          <w:lang w:val="fr-CH" w:bidi="ar-SA"/>
        </w:rPr>
        <w:t>العاشر</w:t>
      </w:r>
      <w:r w:rsidRPr="00807A22">
        <w:rPr>
          <w:rFonts w:ascii="Arabic Typesetting" w:hAnsi="Arabic Typesetting" w:cs="Arabic Typesetting" w:hint="cs"/>
          <w:sz w:val="38"/>
          <w:szCs w:val="38"/>
          <w:rtl/>
          <w:lang w:val="fr-CH" w:bidi="ar-SA"/>
        </w:rPr>
        <w:tab/>
        <w:t xml:space="preserve">ميزانية الثنائية </w:t>
      </w:r>
      <w:r>
        <w:rPr>
          <w:rFonts w:ascii="Arabic Typesetting" w:hAnsi="Arabic Typesetting" w:cs="Arabic Typesetting" w:hint="cs"/>
          <w:sz w:val="38"/>
          <w:szCs w:val="38"/>
          <w:rtl/>
          <w:lang w:val="fr-CH" w:bidi="ar-SA"/>
        </w:rPr>
        <w:t>2016</w:t>
      </w:r>
      <w:r w:rsidRPr="00807A22">
        <w:rPr>
          <w:rFonts w:ascii="Arabic Typesetting" w:hAnsi="Arabic Typesetting" w:cs="Arabic Typesetting" w:hint="cs"/>
          <w:sz w:val="38"/>
          <w:szCs w:val="38"/>
          <w:rtl/>
          <w:lang w:val="fr-CH" w:bidi="ar-SA"/>
        </w:rPr>
        <w:t>/</w:t>
      </w:r>
      <w:r>
        <w:rPr>
          <w:rFonts w:ascii="Arabic Typesetting" w:hAnsi="Arabic Typesetting" w:cs="Arabic Typesetting" w:hint="cs"/>
          <w:sz w:val="38"/>
          <w:szCs w:val="38"/>
          <w:rtl/>
          <w:lang w:val="fr-CH" w:bidi="ar-SA"/>
        </w:rPr>
        <w:t>17</w:t>
      </w:r>
      <w:r w:rsidRPr="00807A22">
        <w:rPr>
          <w:rFonts w:ascii="Arabic Typesetting" w:hAnsi="Arabic Typesetting" w:cs="Arabic Typesetting" w:hint="cs"/>
          <w:sz w:val="38"/>
          <w:szCs w:val="38"/>
          <w:rtl/>
          <w:lang w:val="fr-CH" w:bidi="ar-SA"/>
        </w:rPr>
        <w:t xml:space="preserve"> بحسب كل نتيجة مرتقبة وكل وبرنامج</w:t>
      </w:r>
      <w:bookmarkEnd w:id="143"/>
      <w:bookmarkEnd w:id="144"/>
    </w:p>
    <w:p w:rsidR="00861CFF" w:rsidRPr="00C16521" w:rsidRDefault="00B9375E" w:rsidP="00862268">
      <w:pPr>
        <w:spacing w:after="120"/>
        <w:jc w:val="both"/>
        <w:rPr>
          <w:rFonts w:ascii="Arabic Typesetting" w:hAnsi="Arabic Typesetting" w:cs="Arabic Typesetting"/>
          <w:sz w:val="34"/>
          <w:szCs w:val="34"/>
          <w:highlight w:val="yellow"/>
          <w:rtl/>
        </w:rPr>
      </w:pPr>
      <w:r w:rsidRPr="00B9375E">
        <w:rPr>
          <w:noProof/>
          <w:szCs w:val="20"/>
          <w:rtl/>
          <w:lang w:bidi="ar-SA"/>
        </w:rPr>
        <w:drawing>
          <wp:inline distT="0" distB="0" distL="0" distR="0" wp14:anchorId="062C4AD8" wp14:editId="6C3FEE19">
            <wp:extent cx="13984234" cy="5213268"/>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3985600" cy="5213777"/>
                    </a:xfrm>
                    <a:prstGeom prst="rect">
                      <a:avLst/>
                    </a:prstGeom>
                    <a:noFill/>
                    <a:ln>
                      <a:noFill/>
                    </a:ln>
                  </pic:spPr>
                </pic:pic>
              </a:graphicData>
            </a:graphic>
          </wp:inline>
        </w:drawing>
      </w:r>
    </w:p>
    <w:p w:rsidR="00861CFF" w:rsidRDefault="00861CFF" w:rsidP="00862268">
      <w:pPr>
        <w:spacing w:after="120"/>
        <w:jc w:val="both"/>
        <w:rPr>
          <w:rFonts w:ascii="Arabic Typesetting" w:hAnsi="Arabic Typesetting" w:cs="Arabic Typesetting"/>
          <w:sz w:val="34"/>
          <w:szCs w:val="34"/>
          <w:highlight w:val="yellow"/>
          <w:rtl/>
        </w:rPr>
      </w:pPr>
    </w:p>
    <w:p w:rsidR="006C1D3D" w:rsidRDefault="006C1D3D" w:rsidP="00862268">
      <w:pPr>
        <w:spacing w:after="120"/>
        <w:jc w:val="both"/>
        <w:rPr>
          <w:rFonts w:ascii="Arabic Typesetting" w:hAnsi="Arabic Typesetting" w:cs="Arabic Typesetting"/>
          <w:sz w:val="34"/>
          <w:szCs w:val="34"/>
          <w:highlight w:val="yellow"/>
          <w:rtl/>
        </w:rPr>
        <w:sectPr w:rsidR="006C1D3D" w:rsidSect="00861CFF">
          <w:pgSz w:w="23814" w:h="16839" w:orient="landscape" w:code="8"/>
          <w:pgMar w:top="1134" w:right="1134" w:bottom="1134" w:left="1134" w:header="510" w:footer="1021" w:gutter="0"/>
          <w:cols w:space="720"/>
          <w:bidi/>
          <w:rtlGutter/>
          <w:docGrid w:linePitch="272"/>
        </w:sectPr>
      </w:pPr>
    </w:p>
    <w:p w:rsidR="00861CFF" w:rsidRPr="00753744" w:rsidRDefault="00861CFF" w:rsidP="00EA5693">
      <w:pPr>
        <w:rPr>
          <w:rFonts w:ascii="Arabic Typesetting" w:hAnsi="Arabic Typesetting" w:cs="Arabic Typesetting"/>
          <w:sz w:val="38"/>
          <w:szCs w:val="38"/>
          <w:rtl/>
          <w:lang w:val="fr-CH" w:bidi="ar-SA"/>
        </w:rPr>
      </w:pPr>
      <w:r w:rsidRPr="00807A22">
        <w:rPr>
          <w:rFonts w:ascii="Arabic Typesetting" w:hAnsi="Arabic Typesetting" w:cs="Arabic Typesetting"/>
          <w:sz w:val="38"/>
          <w:szCs w:val="38"/>
          <w:rtl/>
          <w:lang w:val="fr-CH" w:bidi="ar-SA"/>
        </w:rPr>
        <w:lastRenderedPageBreak/>
        <w:t xml:space="preserve">المرفق </w:t>
      </w:r>
      <w:r w:rsidRPr="00807A22">
        <w:rPr>
          <w:rFonts w:ascii="Arabic Typesetting" w:hAnsi="Arabic Typesetting" w:cs="Arabic Typesetting" w:hint="cs"/>
          <w:sz w:val="38"/>
          <w:szCs w:val="38"/>
          <w:rtl/>
          <w:lang w:val="fr-CH" w:bidi="ar-SA"/>
        </w:rPr>
        <w:t>العاشر</w:t>
      </w:r>
      <w:r w:rsidR="00A9397F">
        <w:rPr>
          <w:rFonts w:ascii="Arabic Typesetting" w:hAnsi="Arabic Typesetting" w:cs="Arabic Typesetting" w:hint="cs"/>
          <w:sz w:val="38"/>
          <w:szCs w:val="38"/>
          <w:rtl/>
          <w:lang w:val="fr-CH" w:bidi="ar-SA"/>
        </w:rPr>
        <w:t xml:space="preserve"> (تتمة)</w:t>
      </w:r>
    </w:p>
    <w:p w:rsidR="00861CFF" w:rsidRPr="00C16521" w:rsidRDefault="00B9375E" w:rsidP="00DA5475">
      <w:pPr>
        <w:spacing w:after="120"/>
        <w:jc w:val="both"/>
        <w:rPr>
          <w:rFonts w:ascii="Arabic Typesetting" w:hAnsi="Arabic Typesetting" w:cs="Arabic Typesetting"/>
          <w:sz w:val="34"/>
          <w:szCs w:val="34"/>
          <w:highlight w:val="yellow"/>
          <w:rtl/>
          <w:lang w:bidi="ar-SA"/>
        </w:rPr>
      </w:pPr>
      <w:r w:rsidRPr="00B9375E">
        <w:rPr>
          <w:noProof/>
          <w:szCs w:val="20"/>
          <w:rtl/>
          <w:lang w:bidi="ar-SA"/>
        </w:rPr>
        <w:drawing>
          <wp:inline distT="0" distB="0" distL="0" distR="0" wp14:anchorId="69B81F33" wp14:editId="5791DDFD">
            <wp:extent cx="13680374" cy="6400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3681710" cy="6401425"/>
                    </a:xfrm>
                    <a:prstGeom prst="rect">
                      <a:avLst/>
                    </a:prstGeom>
                    <a:noFill/>
                    <a:ln>
                      <a:noFill/>
                    </a:ln>
                  </pic:spPr>
                </pic:pic>
              </a:graphicData>
            </a:graphic>
          </wp:inline>
        </w:drawing>
      </w:r>
    </w:p>
    <w:p w:rsidR="00861CFF" w:rsidRPr="00C16521" w:rsidRDefault="00861CFF" w:rsidP="00862268">
      <w:pPr>
        <w:spacing w:after="120" w:line="340" w:lineRule="exact"/>
        <w:ind w:left="11309"/>
        <w:jc w:val="both"/>
        <w:rPr>
          <w:rFonts w:ascii="Arabic Typesetting" w:hAnsi="Arabic Typesetting" w:cs="Arabic Typesetting"/>
          <w:sz w:val="34"/>
          <w:szCs w:val="34"/>
          <w:highlight w:val="yellow"/>
          <w:rtl/>
          <w:lang w:bidi="ar-SA"/>
        </w:rPr>
      </w:pPr>
    </w:p>
    <w:p w:rsidR="00861CFF" w:rsidRPr="00C16521" w:rsidRDefault="00861CFF" w:rsidP="00862268">
      <w:pPr>
        <w:spacing w:after="120" w:line="340" w:lineRule="exact"/>
        <w:jc w:val="both"/>
        <w:rPr>
          <w:rFonts w:ascii="Arabic Typesetting" w:hAnsi="Arabic Typesetting" w:cs="Arabic Typesetting"/>
          <w:sz w:val="34"/>
          <w:szCs w:val="34"/>
          <w:highlight w:val="yellow"/>
          <w:rtl/>
          <w:lang w:bidi="ar-SA"/>
        </w:rPr>
        <w:sectPr w:rsidR="00861CFF" w:rsidRPr="00C16521" w:rsidSect="00861CFF">
          <w:pgSz w:w="23814" w:h="16839" w:orient="landscape" w:code="8"/>
          <w:pgMar w:top="1134" w:right="1134" w:bottom="1134" w:left="1134" w:header="510" w:footer="1021" w:gutter="0"/>
          <w:cols w:space="720"/>
          <w:bidi/>
          <w:rtlGutter/>
          <w:docGrid w:linePitch="272"/>
        </w:sectPr>
      </w:pPr>
    </w:p>
    <w:p w:rsidR="00861CFF" w:rsidRPr="00807A22" w:rsidRDefault="00861CFF" w:rsidP="00A9397F">
      <w:pPr>
        <w:pStyle w:val="Heading3"/>
        <w:spacing w:before="0" w:after="0"/>
        <w:ind w:left="2124" w:hanging="2124"/>
        <w:rPr>
          <w:rFonts w:ascii="Arabic Typesetting" w:hAnsi="Arabic Typesetting" w:cs="Arabic Typesetting"/>
          <w:sz w:val="38"/>
          <w:szCs w:val="38"/>
          <w:rtl/>
          <w:lang w:val="fr-CH" w:bidi="ar-SA"/>
        </w:rPr>
      </w:pPr>
      <w:bookmarkStart w:id="145" w:name="_Toc364355429"/>
      <w:bookmarkStart w:id="146" w:name="_Toc420595548"/>
      <w:r w:rsidRPr="00807A22">
        <w:rPr>
          <w:rFonts w:ascii="Arabic Typesetting" w:hAnsi="Arabic Typesetting" w:cs="Arabic Typesetting" w:hint="cs"/>
          <w:sz w:val="38"/>
          <w:szCs w:val="38"/>
          <w:rtl/>
          <w:lang w:val="fr-CH" w:bidi="ar-SA"/>
        </w:rPr>
        <w:lastRenderedPageBreak/>
        <w:t>المرفق الحادي عشر</w:t>
      </w:r>
      <w:r w:rsidRPr="00807A22">
        <w:rPr>
          <w:rFonts w:ascii="Arabic Typesetting" w:hAnsi="Arabic Typesetting" w:cs="Arabic Typesetting" w:hint="cs"/>
          <w:sz w:val="38"/>
          <w:szCs w:val="38"/>
          <w:rtl/>
          <w:lang w:val="fr-CH" w:bidi="ar-SA"/>
        </w:rPr>
        <w:tab/>
        <w:t xml:space="preserve">ميزانية الثنائية </w:t>
      </w:r>
      <w:r>
        <w:rPr>
          <w:rFonts w:ascii="Arabic Typesetting" w:hAnsi="Arabic Typesetting" w:cs="Arabic Typesetting" w:hint="cs"/>
          <w:sz w:val="38"/>
          <w:szCs w:val="38"/>
          <w:rtl/>
          <w:lang w:val="fr-CH" w:bidi="ar-SA"/>
        </w:rPr>
        <w:t>2016</w:t>
      </w:r>
      <w:r w:rsidRPr="00807A22">
        <w:rPr>
          <w:rFonts w:ascii="Arabic Typesetting" w:hAnsi="Arabic Typesetting" w:cs="Arabic Typesetting" w:hint="cs"/>
          <w:sz w:val="38"/>
          <w:szCs w:val="38"/>
          <w:rtl/>
          <w:lang w:val="fr-CH" w:bidi="ar-SA"/>
        </w:rPr>
        <w:t>/</w:t>
      </w:r>
      <w:r>
        <w:rPr>
          <w:rFonts w:ascii="Arabic Typesetting" w:hAnsi="Arabic Typesetting" w:cs="Arabic Typesetting" w:hint="cs"/>
          <w:sz w:val="38"/>
          <w:szCs w:val="38"/>
          <w:rtl/>
          <w:lang w:val="fr-CH" w:bidi="ar-SA"/>
        </w:rPr>
        <w:t>17</w:t>
      </w:r>
      <w:r w:rsidRPr="00807A22">
        <w:rPr>
          <w:rFonts w:ascii="Arabic Typesetting" w:hAnsi="Arabic Typesetting" w:cs="Arabic Typesetting" w:hint="cs"/>
          <w:sz w:val="38"/>
          <w:szCs w:val="38"/>
          <w:rtl/>
          <w:lang w:val="fr-CH" w:bidi="ar-SA"/>
        </w:rPr>
        <w:t xml:space="preserve"> بحسب كل نتيجة مرتقبة</w:t>
      </w:r>
      <w:bookmarkEnd w:id="145"/>
      <w:bookmarkEnd w:id="146"/>
    </w:p>
    <w:p w:rsidR="00861CFF" w:rsidRPr="00807A22" w:rsidRDefault="00861CFF" w:rsidP="00A9397F">
      <w:pPr>
        <w:pStyle w:val="NormalAR"/>
        <w:ind w:left="2124"/>
        <w:rPr>
          <w:rtl/>
          <w:lang w:val="fr-CH" w:bidi="ar-SA"/>
        </w:rPr>
      </w:pPr>
      <w:r w:rsidRPr="00807A22">
        <w:rPr>
          <w:rFonts w:hint="cs"/>
          <w:rtl/>
          <w:lang w:val="fr-CH" w:bidi="ar-SA"/>
        </w:rPr>
        <w:t>(بآلاف الفرنكات السويسرية)</w:t>
      </w:r>
    </w:p>
    <w:p w:rsidR="00861CFF" w:rsidRDefault="00B9375E" w:rsidP="00DA5475">
      <w:pPr>
        <w:spacing w:after="120"/>
        <w:jc w:val="both"/>
        <w:rPr>
          <w:rFonts w:ascii="Arabic Typesetting" w:hAnsi="Arabic Typesetting" w:cs="Arabic Typesetting"/>
          <w:sz w:val="34"/>
          <w:szCs w:val="34"/>
          <w:highlight w:val="yellow"/>
          <w:rtl/>
          <w:lang w:bidi="ar-SA"/>
        </w:rPr>
      </w:pPr>
      <w:r w:rsidRPr="00B9375E">
        <w:rPr>
          <w:noProof/>
          <w:szCs w:val="20"/>
          <w:rtl/>
          <w:lang w:bidi="ar-SA"/>
        </w:rPr>
        <w:drawing>
          <wp:inline distT="0" distB="0" distL="0" distR="0" wp14:anchorId="72427D0A" wp14:editId="7BC3D4C0">
            <wp:extent cx="5939790" cy="7014471"/>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939790" cy="7014471"/>
                    </a:xfrm>
                    <a:prstGeom prst="rect">
                      <a:avLst/>
                    </a:prstGeom>
                    <a:noFill/>
                    <a:ln>
                      <a:noFill/>
                    </a:ln>
                  </pic:spPr>
                </pic:pic>
              </a:graphicData>
            </a:graphic>
          </wp:inline>
        </w:drawing>
      </w:r>
    </w:p>
    <w:p w:rsidR="00861CFF" w:rsidRDefault="00861CFF" w:rsidP="00DA5475">
      <w:pPr>
        <w:spacing w:after="120"/>
        <w:jc w:val="both"/>
        <w:rPr>
          <w:rFonts w:ascii="Arabic Typesetting" w:hAnsi="Arabic Typesetting" w:cs="Arabic Typesetting"/>
          <w:sz w:val="34"/>
          <w:szCs w:val="34"/>
          <w:highlight w:val="yellow"/>
          <w:rtl/>
          <w:lang w:bidi="ar-SA"/>
        </w:rPr>
        <w:sectPr w:rsidR="00861CFF" w:rsidSect="00861CFF">
          <w:headerReference w:type="first" r:id="rId330"/>
          <w:pgSz w:w="11906" w:h="16838" w:code="9"/>
          <w:pgMar w:top="1418" w:right="1418" w:bottom="1418" w:left="1134" w:header="510" w:footer="1021" w:gutter="0"/>
          <w:cols w:space="720"/>
          <w:bidi/>
          <w:rtlGutter/>
        </w:sectPr>
      </w:pPr>
    </w:p>
    <w:p w:rsidR="00861CFF" w:rsidRPr="00E65297" w:rsidRDefault="00861CFF" w:rsidP="008F12DE">
      <w:pPr>
        <w:rPr>
          <w:rFonts w:ascii="Arabic Typesetting" w:hAnsi="Arabic Typesetting" w:cs="Arabic Typesetting"/>
          <w:sz w:val="38"/>
          <w:szCs w:val="38"/>
          <w:rtl/>
          <w:lang w:val="fr-CH" w:bidi="ar-SA"/>
        </w:rPr>
      </w:pPr>
      <w:r w:rsidRPr="00807A22">
        <w:rPr>
          <w:rFonts w:ascii="Arabic Typesetting" w:hAnsi="Arabic Typesetting" w:cs="Arabic Typesetting" w:hint="cs"/>
          <w:sz w:val="38"/>
          <w:szCs w:val="38"/>
          <w:rtl/>
          <w:lang w:val="fr-CH" w:bidi="ar-SA"/>
        </w:rPr>
        <w:lastRenderedPageBreak/>
        <w:t>المرفق الحادي عشر</w:t>
      </w:r>
      <w:r w:rsidR="00A9397F">
        <w:rPr>
          <w:rFonts w:ascii="Arabic Typesetting" w:hAnsi="Arabic Typesetting" w:cs="Arabic Typesetting" w:hint="cs"/>
          <w:sz w:val="38"/>
          <w:szCs w:val="38"/>
          <w:rtl/>
          <w:lang w:val="fr-CH" w:bidi="ar-SA"/>
        </w:rPr>
        <w:t xml:space="preserve"> (</w:t>
      </w:r>
      <w:r w:rsidR="008F12DE">
        <w:rPr>
          <w:rFonts w:ascii="Arabic Typesetting" w:hAnsi="Arabic Typesetting" w:cs="Arabic Typesetting" w:hint="cs"/>
          <w:sz w:val="38"/>
          <w:szCs w:val="38"/>
          <w:rtl/>
          <w:lang w:val="fr-CH" w:bidi="ar-SA"/>
        </w:rPr>
        <w:t>تابع</w:t>
      </w:r>
      <w:r w:rsidR="00A9397F">
        <w:rPr>
          <w:rFonts w:ascii="Arabic Typesetting" w:hAnsi="Arabic Typesetting" w:cs="Arabic Typesetting" w:hint="cs"/>
          <w:sz w:val="38"/>
          <w:szCs w:val="38"/>
          <w:rtl/>
          <w:lang w:val="fr-CH" w:bidi="ar-SA"/>
        </w:rPr>
        <w:t>)</w:t>
      </w:r>
    </w:p>
    <w:p w:rsidR="00861CFF" w:rsidRDefault="008F12DE" w:rsidP="00DA5475">
      <w:pPr>
        <w:spacing w:after="120"/>
        <w:jc w:val="both"/>
        <w:rPr>
          <w:rFonts w:ascii="Arabic Typesetting" w:hAnsi="Arabic Typesetting" w:cs="Arabic Typesetting"/>
          <w:sz w:val="34"/>
          <w:szCs w:val="34"/>
          <w:highlight w:val="yellow"/>
          <w:lang w:bidi="ar-SA"/>
        </w:rPr>
      </w:pPr>
      <w:r w:rsidRPr="008F12DE">
        <w:rPr>
          <w:noProof/>
          <w:szCs w:val="20"/>
          <w:rtl/>
          <w:lang w:bidi="ar-SA"/>
        </w:rPr>
        <w:drawing>
          <wp:inline distT="0" distB="0" distL="0" distR="0" wp14:anchorId="31C8A2D2" wp14:editId="791B1F16">
            <wp:extent cx="5939790" cy="5975150"/>
            <wp:effectExtent l="0" t="0" r="381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939790" cy="5975150"/>
                    </a:xfrm>
                    <a:prstGeom prst="rect">
                      <a:avLst/>
                    </a:prstGeom>
                    <a:noFill/>
                    <a:ln>
                      <a:noFill/>
                    </a:ln>
                  </pic:spPr>
                </pic:pic>
              </a:graphicData>
            </a:graphic>
          </wp:inline>
        </w:drawing>
      </w:r>
    </w:p>
    <w:p w:rsidR="008F12DE" w:rsidRDefault="008F12DE" w:rsidP="00DA5475">
      <w:pPr>
        <w:spacing w:after="120"/>
        <w:jc w:val="both"/>
        <w:rPr>
          <w:rFonts w:ascii="Arabic Typesetting" w:hAnsi="Arabic Typesetting" w:cs="Arabic Typesetting"/>
          <w:sz w:val="34"/>
          <w:szCs w:val="34"/>
          <w:highlight w:val="yellow"/>
          <w:lang w:bidi="ar-SA"/>
        </w:rPr>
      </w:pPr>
    </w:p>
    <w:p w:rsidR="008F12DE" w:rsidRPr="008F12DE" w:rsidRDefault="008F12DE">
      <w:pPr>
        <w:bidi w:val="0"/>
        <w:rPr>
          <w:rFonts w:ascii="Arabic Typesetting" w:hAnsi="Arabic Typesetting" w:cs="Arabic Typesetting"/>
          <w:sz w:val="34"/>
          <w:szCs w:val="34"/>
          <w:rtl/>
          <w:lang w:bidi="ar-SA"/>
        </w:rPr>
      </w:pPr>
      <w:r w:rsidRPr="008F12DE">
        <w:rPr>
          <w:rFonts w:ascii="Arabic Typesetting" w:hAnsi="Arabic Typesetting" w:cs="Arabic Typesetting"/>
          <w:sz w:val="34"/>
          <w:szCs w:val="34"/>
          <w:rtl/>
          <w:lang w:bidi="ar-SA"/>
        </w:rPr>
        <w:br w:type="page"/>
      </w:r>
    </w:p>
    <w:p w:rsidR="008F12DE" w:rsidRPr="00E65297" w:rsidRDefault="008F12DE" w:rsidP="008F12DE">
      <w:pPr>
        <w:rPr>
          <w:rFonts w:ascii="Arabic Typesetting" w:hAnsi="Arabic Typesetting" w:cs="Arabic Typesetting"/>
          <w:sz w:val="38"/>
          <w:szCs w:val="38"/>
          <w:rtl/>
          <w:lang w:val="fr-CH" w:bidi="ar-SA"/>
        </w:rPr>
      </w:pPr>
      <w:r w:rsidRPr="00807A22">
        <w:rPr>
          <w:rFonts w:ascii="Arabic Typesetting" w:hAnsi="Arabic Typesetting" w:cs="Arabic Typesetting" w:hint="cs"/>
          <w:sz w:val="38"/>
          <w:szCs w:val="38"/>
          <w:rtl/>
          <w:lang w:val="fr-CH" w:bidi="ar-SA"/>
        </w:rPr>
        <w:lastRenderedPageBreak/>
        <w:t>المرفق الحادي عشر</w:t>
      </w:r>
      <w:r>
        <w:rPr>
          <w:rFonts w:ascii="Arabic Typesetting" w:hAnsi="Arabic Typesetting" w:cs="Arabic Typesetting" w:hint="cs"/>
          <w:sz w:val="38"/>
          <w:szCs w:val="38"/>
          <w:rtl/>
          <w:lang w:val="fr-CH" w:bidi="ar-SA"/>
        </w:rPr>
        <w:t xml:space="preserve"> (تتمة)</w:t>
      </w:r>
    </w:p>
    <w:p w:rsidR="008F12DE" w:rsidRDefault="008F12DE" w:rsidP="00DA5475">
      <w:pPr>
        <w:spacing w:after="120"/>
        <w:jc w:val="both"/>
        <w:rPr>
          <w:rFonts w:ascii="Arabic Typesetting" w:hAnsi="Arabic Typesetting" w:cs="Arabic Typesetting"/>
          <w:sz w:val="34"/>
          <w:szCs w:val="34"/>
          <w:highlight w:val="yellow"/>
          <w:lang w:bidi="ar-SA"/>
        </w:rPr>
      </w:pPr>
      <w:r w:rsidRPr="008F12DE">
        <w:rPr>
          <w:noProof/>
          <w:szCs w:val="20"/>
          <w:rtl/>
          <w:lang w:bidi="ar-SA"/>
        </w:rPr>
        <w:drawing>
          <wp:inline distT="0" distB="0" distL="0" distR="0" wp14:anchorId="428A7B10" wp14:editId="559FE4FC">
            <wp:extent cx="5939790" cy="2609669"/>
            <wp:effectExtent l="0" t="0" r="381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939790" cy="2609669"/>
                    </a:xfrm>
                    <a:prstGeom prst="rect">
                      <a:avLst/>
                    </a:prstGeom>
                    <a:noFill/>
                    <a:ln>
                      <a:noFill/>
                    </a:ln>
                  </pic:spPr>
                </pic:pic>
              </a:graphicData>
            </a:graphic>
          </wp:inline>
        </w:drawing>
      </w:r>
    </w:p>
    <w:p w:rsidR="008F12DE" w:rsidRDefault="008F12DE" w:rsidP="00DA5475">
      <w:pPr>
        <w:spacing w:after="120"/>
        <w:jc w:val="both"/>
        <w:rPr>
          <w:rFonts w:ascii="Arabic Typesetting" w:hAnsi="Arabic Typesetting" w:cs="Arabic Typesetting"/>
          <w:sz w:val="34"/>
          <w:szCs w:val="34"/>
          <w:highlight w:val="yellow"/>
          <w:rtl/>
          <w:lang w:bidi="ar-SA"/>
        </w:rPr>
      </w:pPr>
    </w:p>
    <w:p w:rsidR="00861CFF" w:rsidRPr="00C16521" w:rsidRDefault="00861CFF" w:rsidP="00DA5475">
      <w:pPr>
        <w:spacing w:after="120"/>
        <w:jc w:val="both"/>
        <w:rPr>
          <w:rFonts w:ascii="Arabic Typesetting" w:hAnsi="Arabic Typesetting" w:cs="Arabic Typesetting"/>
          <w:sz w:val="34"/>
          <w:szCs w:val="34"/>
          <w:highlight w:val="yellow"/>
          <w:rtl/>
          <w:lang w:bidi="ar-SA"/>
        </w:rPr>
      </w:pPr>
    </w:p>
    <w:p w:rsidR="00861CFF" w:rsidRPr="00C16521" w:rsidRDefault="00861CFF" w:rsidP="00862268">
      <w:pPr>
        <w:spacing w:after="120" w:line="340" w:lineRule="exact"/>
        <w:jc w:val="both"/>
        <w:rPr>
          <w:rFonts w:ascii="Arabic Typesetting" w:hAnsi="Arabic Typesetting" w:cs="Arabic Typesetting"/>
          <w:sz w:val="34"/>
          <w:szCs w:val="34"/>
          <w:highlight w:val="yellow"/>
          <w:rtl/>
          <w:lang w:bidi="ar-SA"/>
        </w:rPr>
        <w:sectPr w:rsidR="00861CFF" w:rsidRPr="00C16521" w:rsidSect="00861CFF">
          <w:pgSz w:w="11906" w:h="16838" w:code="9"/>
          <w:pgMar w:top="1418" w:right="1418" w:bottom="1418" w:left="1134" w:header="510" w:footer="1021" w:gutter="0"/>
          <w:cols w:space="720"/>
          <w:bidi/>
          <w:rtlGutter/>
        </w:sectPr>
      </w:pPr>
    </w:p>
    <w:p w:rsidR="00861CFF" w:rsidRPr="00C16521" w:rsidRDefault="00861CFF" w:rsidP="0033077D">
      <w:pPr>
        <w:pStyle w:val="Heading3"/>
        <w:jc w:val="center"/>
        <w:rPr>
          <w:rFonts w:ascii="Arabic Typesetting" w:hAnsi="Arabic Typesetting" w:cs="Arabic Typesetting"/>
          <w:b w:val="0"/>
          <w:bCs w:val="0"/>
          <w:sz w:val="38"/>
          <w:szCs w:val="38"/>
          <w:highlight w:val="yellow"/>
          <w:rtl/>
          <w:lang w:val="fr-CH" w:bidi="ar-SA"/>
        </w:rPr>
      </w:pPr>
      <w:bookmarkStart w:id="147" w:name="_Toc364355430"/>
      <w:bookmarkStart w:id="148" w:name="_Toc420595549"/>
      <w:r w:rsidRPr="00894277">
        <w:rPr>
          <w:rFonts w:ascii="Arabic Typesetting" w:hAnsi="Arabic Typesetting" w:cs="Arabic Typesetting" w:hint="cs"/>
          <w:sz w:val="38"/>
          <w:szCs w:val="38"/>
          <w:rtl/>
          <w:lang w:val="fr-CH" w:bidi="ar-SA"/>
        </w:rPr>
        <w:lastRenderedPageBreak/>
        <w:t>المرفق الثاني عشر</w:t>
      </w:r>
      <w:r w:rsidRPr="00894277">
        <w:rPr>
          <w:rFonts w:ascii="Arabic Typesetting" w:hAnsi="Arabic Typesetting" w:cs="Arabic Typesetting" w:hint="cs"/>
          <w:sz w:val="38"/>
          <w:szCs w:val="38"/>
          <w:rtl/>
          <w:lang w:val="fr-CH" w:bidi="ar-SA"/>
        </w:rPr>
        <w:tab/>
        <w:t>البنية الهيكلية للويبو</w:t>
      </w:r>
      <w:bookmarkEnd w:id="147"/>
      <w:bookmarkEnd w:id="148"/>
    </w:p>
    <w:p w:rsidR="00861CFF" w:rsidRDefault="00894277" w:rsidP="00894277">
      <w:pPr>
        <w:jc w:val="center"/>
        <w:rPr>
          <w:rFonts w:ascii="Arabic Typesetting" w:hAnsi="Arabic Typesetting" w:cs="Arabic Typesetting"/>
          <w:sz w:val="34"/>
          <w:szCs w:val="34"/>
          <w:highlight w:val="yellow"/>
          <w:rtl/>
          <w:lang w:bidi="ar-SA"/>
        </w:rPr>
      </w:pPr>
      <w:r w:rsidRPr="00894277">
        <w:rPr>
          <w:noProof/>
          <w:szCs w:val="20"/>
          <w:rtl/>
          <w:lang w:bidi="ar-SA"/>
        </w:rPr>
        <w:drawing>
          <wp:inline distT="0" distB="0" distL="0" distR="0" wp14:anchorId="7C40FE80" wp14:editId="64705D19">
            <wp:extent cx="8823366" cy="529053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8835867" cy="5298033"/>
                    </a:xfrm>
                    <a:prstGeom prst="rect">
                      <a:avLst/>
                    </a:prstGeom>
                    <a:noFill/>
                    <a:ln>
                      <a:noFill/>
                    </a:ln>
                  </pic:spPr>
                </pic:pic>
              </a:graphicData>
            </a:graphic>
          </wp:inline>
        </w:drawing>
      </w:r>
    </w:p>
    <w:p w:rsidR="00861CFF" w:rsidRPr="00425FBC" w:rsidRDefault="00861CFF" w:rsidP="00DA5475">
      <w:pPr>
        <w:rPr>
          <w:rFonts w:ascii="Arabic Typesetting" w:hAnsi="Arabic Typesetting" w:cs="Arabic Typesetting"/>
          <w:sz w:val="34"/>
          <w:szCs w:val="34"/>
          <w:highlight w:val="yellow"/>
          <w:lang w:bidi="ar-SA"/>
        </w:rPr>
        <w:sectPr w:rsidR="00861CFF" w:rsidRPr="00425FBC" w:rsidSect="00861CFF">
          <w:pgSz w:w="16838" w:h="11906" w:orient="landscape" w:code="9"/>
          <w:pgMar w:top="1418" w:right="1418" w:bottom="851" w:left="567" w:header="510" w:footer="1021" w:gutter="0"/>
          <w:cols w:space="720"/>
          <w:bidi/>
          <w:rtlGutter/>
          <w:docGrid w:linePitch="272"/>
        </w:sectPr>
      </w:pPr>
    </w:p>
    <w:p w:rsidR="000332F2" w:rsidRPr="007A2331" w:rsidRDefault="000332F2" w:rsidP="001E56EC">
      <w:pPr>
        <w:pStyle w:val="Heading1"/>
        <w:spacing w:after="480"/>
        <w:rPr>
          <w:rFonts w:ascii="Arabic Typesetting" w:hAnsi="Arabic Typesetting" w:cs="Arabic Typesetting"/>
          <w:b w:val="0"/>
          <w:bCs w:val="0"/>
          <w:color w:val="auto"/>
          <w:sz w:val="46"/>
          <w:szCs w:val="46"/>
          <w:rtl/>
          <w:lang w:val="fr-CH" w:bidi="ar-SA"/>
        </w:rPr>
      </w:pPr>
      <w:bookmarkStart w:id="149" w:name="_Toc364355431"/>
      <w:bookmarkStart w:id="150" w:name="_Toc420595550"/>
      <w:r w:rsidRPr="007A2331">
        <w:rPr>
          <w:rFonts w:ascii="Arabic Typesetting" w:hAnsi="Arabic Typesetting" w:cs="Arabic Typesetting" w:hint="cs"/>
          <w:color w:val="auto"/>
          <w:sz w:val="46"/>
          <w:szCs w:val="46"/>
          <w:rtl/>
          <w:lang w:val="fr-CH" w:bidi="ar-SA"/>
        </w:rPr>
        <w:lastRenderedPageBreak/>
        <w:t>رابعا.</w:t>
      </w:r>
      <w:r w:rsidRPr="007A2331">
        <w:rPr>
          <w:rFonts w:ascii="Arabic Typesetting" w:hAnsi="Arabic Typesetting" w:cs="Arabic Typesetting" w:hint="cs"/>
          <w:color w:val="auto"/>
          <w:sz w:val="46"/>
          <w:szCs w:val="46"/>
          <w:rtl/>
          <w:lang w:val="fr-CH" w:bidi="ar-SA"/>
        </w:rPr>
        <w:tab/>
        <w:t>الملحقات</w:t>
      </w:r>
      <w:bookmarkEnd w:id="149"/>
      <w:bookmarkEnd w:id="150"/>
    </w:p>
    <w:p w:rsidR="000332F2" w:rsidRPr="009B7070" w:rsidRDefault="000332F2" w:rsidP="00EA5693">
      <w:pPr>
        <w:pStyle w:val="StyleHeading3ComplexItalic"/>
        <w:tabs>
          <w:tab w:val="clear" w:pos="1985"/>
          <w:tab w:val="left" w:pos="0"/>
        </w:tabs>
        <w:bidi/>
        <w:spacing w:after="120" w:line="420" w:lineRule="exact"/>
        <w:outlineLvl w:val="0"/>
        <w:rPr>
          <w:rFonts w:ascii="Arabic Typesetting" w:hAnsi="Arabic Typesetting" w:cs="Arabic Typesetting"/>
          <w:b w:val="0"/>
          <w:bCs/>
          <w:i/>
          <w:iCs w:val="0"/>
          <w:caps w:val="0"/>
          <w:sz w:val="42"/>
          <w:szCs w:val="42"/>
          <w:rtl/>
        </w:rPr>
      </w:pPr>
      <w:bookmarkStart w:id="151" w:name="_Toc358744820"/>
      <w:bookmarkStart w:id="152" w:name="_Toc358745266"/>
      <w:bookmarkStart w:id="153" w:name="_Toc364355432"/>
      <w:bookmarkStart w:id="154" w:name="_Toc420595551"/>
      <w:r w:rsidRPr="009B7070">
        <w:rPr>
          <w:rFonts w:ascii="Arabic Typesetting" w:hAnsi="Arabic Typesetting" w:cs="Arabic Typesetting"/>
          <w:b w:val="0"/>
          <w:bCs/>
          <w:i/>
          <w:iCs w:val="0"/>
          <w:caps w:val="0"/>
          <w:sz w:val="42"/>
          <w:szCs w:val="42"/>
          <w:rtl/>
        </w:rPr>
        <w:t>الملحق ألف</w:t>
      </w:r>
      <w:bookmarkEnd w:id="151"/>
      <w:bookmarkEnd w:id="152"/>
      <w:bookmarkEnd w:id="153"/>
      <w:bookmarkEnd w:id="154"/>
    </w:p>
    <w:p w:rsidR="000332F2" w:rsidRPr="009B7070" w:rsidRDefault="000332F2" w:rsidP="00EA5693">
      <w:pPr>
        <w:pStyle w:val="StyleHeading3ComplexItalic"/>
        <w:tabs>
          <w:tab w:val="clear" w:pos="1985"/>
          <w:tab w:val="left" w:pos="0"/>
        </w:tabs>
        <w:bidi/>
        <w:spacing w:after="120" w:line="380" w:lineRule="exact"/>
        <w:outlineLvl w:val="9"/>
        <w:rPr>
          <w:rFonts w:ascii="Arabic Typesetting" w:hAnsi="Arabic Typesetting" w:cs="Arabic Typesetting"/>
          <w:b w:val="0"/>
          <w:bCs/>
          <w:sz w:val="38"/>
          <w:szCs w:val="38"/>
        </w:rPr>
      </w:pPr>
      <w:bookmarkStart w:id="155" w:name="_Toc364355433"/>
      <w:r w:rsidRPr="009B7070">
        <w:rPr>
          <w:rFonts w:ascii="Arabic Typesetting" w:hAnsi="Arabic Typesetting" w:cs="Arabic Typesetting"/>
          <w:b w:val="0"/>
          <w:bCs/>
          <w:i/>
          <w:iCs w:val="0"/>
          <w:caps w:val="0"/>
          <w:sz w:val="38"/>
          <w:szCs w:val="38"/>
          <w:rtl/>
        </w:rPr>
        <w:t>اشتراكات الدول الأعضاء</w:t>
      </w:r>
      <w:bookmarkEnd w:id="155"/>
    </w:p>
    <w:p w:rsidR="000332F2" w:rsidRPr="009B7070" w:rsidRDefault="000332F2" w:rsidP="00862268">
      <w:pPr>
        <w:rPr>
          <w:rFonts w:ascii="Arabic Typesetting" w:hAnsi="Arabic Typesetting" w:cs="Arabic Typesetting"/>
          <w:sz w:val="28"/>
          <w:szCs w:val="28"/>
        </w:rPr>
      </w:pPr>
      <w:r w:rsidRPr="009B7070">
        <w:rPr>
          <w:rFonts w:ascii="Arabic Typesetting" w:hAnsi="Arabic Typesetting" w:cs="Arabic Typesetting"/>
          <w:sz w:val="28"/>
          <w:szCs w:val="28"/>
          <w:rtl/>
        </w:rPr>
        <w:t>(بالفرنكات السويسرية)</w:t>
      </w:r>
    </w:p>
    <w:p w:rsidR="000332F2" w:rsidRPr="009B7070" w:rsidRDefault="000332F2" w:rsidP="00862268">
      <w:pPr>
        <w:pStyle w:val="NormalArial"/>
      </w:pPr>
    </w:p>
    <w:tbl>
      <w:tblPr>
        <w:bidiVisual/>
        <w:tblW w:w="9460" w:type="dxa"/>
        <w:tblInd w:w="-190" w:type="dxa"/>
        <w:tblLayout w:type="fixed"/>
        <w:tblCellMar>
          <w:left w:w="30" w:type="dxa"/>
          <w:right w:w="30" w:type="dxa"/>
        </w:tblCellMar>
        <w:tblLook w:val="0000" w:firstRow="0" w:lastRow="0" w:firstColumn="0" w:lastColumn="0" w:noHBand="0" w:noVBand="0"/>
      </w:tblPr>
      <w:tblGrid>
        <w:gridCol w:w="2750"/>
        <w:gridCol w:w="1430"/>
        <w:gridCol w:w="1210"/>
        <w:gridCol w:w="1320"/>
        <w:gridCol w:w="1430"/>
        <w:gridCol w:w="1320"/>
      </w:tblGrid>
      <w:tr w:rsidR="000332F2" w:rsidRPr="009640F7" w:rsidTr="00DA5475">
        <w:trPr>
          <w:trHeight w:val="200"/>
          <w:tblHeader/>
        </w:trPr>
        <w:tc>
          <w:tcPr>
            <w:tcW w:w="2750" w:type="dxa"/>
            <w:shd w:val="pct15" w:color="auto" w:fill="FFFFFF"/>
          </w:tcPr>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bCs/>
                <w:snapToGrid w:val="0"/>
                <w:sz w:val="28"/>
                <w:szCs w:val="28"/>
                <w:rtl/>
                <w:lang w:eastAsia="ja-JP" w:bidi="ar-SA"/>
              </w:rPr>
              <w:t>الدول الأعضاء في واحد أو أكثر من الاتحادات الممولة من الاشتراكات</w:t>
            </w:r>
          </w:p>
        </w:tc>
        <w:tc>
          <w:tcPr>
            <w:tcW w:w="1430" w:type="dxa"/>
            <w:vMerge w:val="restart"/>
            <w:shd w:val="pct15" w:color="auto" w:fill="FFFFFF"/>
            <w:vAlign w:val="center"/>
          </w:tcPr>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bCs/>
                <w:snapToGrid w:val="0"/>
                <w:sz w:val="28"/>
                <w:szCs w:val="28"/>
                <w:rtl/>
                <w:lang w:eastAsia="ja-JP" w:bidi="ar-SA"/>
              </w:rPr>
              <w:t>فئة الاشتراك</w:t>
            </w:r>
          </w:p>
        </w:tc>
        <w:tc>
          <w:tcPr>
            <w:tcW w:w="1210" w:type="dxa"/>
            <w:vMerge w:val="restart"/>
            <w:shd w:val="pct15" w:color="auto" w:fill="FFFFFF"/>
            <w:vAlign w:val="center"/>
          </w:tcPr>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bCs/>
                <w:snapToGrid w:val="0"/>
                <w:sz w:val="28"/>
                <w:szCs w:val="28"/>
                <w:rtl/>
                <w:lang w:eastAsia="ja-JP" w:bidi="ar-SA"/>
              </w:rPr>
              <w:t>وحدة الاشتراك</w:t>
            </w:r>
          </w:p>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hint="cs"/>
                <w:bCs/>
                <w:snapToGrid w:val="0"/>
                <w:color w:val="000000"/>
                <w:sz w:val="28"/>
                <w:szCs w:val="28"/>
                <w:rtl/>
                <w:lang w:eastAsia="ja-JP" w:bidi="ar-SA"/>
              </w:rPr>
              <w:t>2016/17</w:t>
            </w:r>
          </w:p>
        </w:tc>
        <w:tc>
          <w:tcPr>
            <w:tcW w:w="1320" w:type="dxa"/>
            <w:vMerge w:val="restart"/>
            <w:shd w:val="pct15" w:color="auto" w:fill="FFFFFF"/>
            <w:vAlign w:val="center"/>
          </w:tcPr>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bCs/>
                <w:snapToGrid w:val="0"/>
                <w:sz w:val="28"/>
                <w:szCs w:val="28"/>
                <w:rtl/>
                <w:lang w:eastAsia="ja-JP" w:bidi="ar-SA"/>
              </w:rPr>
              <w:t xml:space="preserve">الاشتراك </w:t>
            </w:r>
            <w:r w:rsidRPr="009640F7">
              <w:rPr>
                <w:rFonts w:ascii="Arabic Typesetting" w:eastAsiaTheme="minorEastAsia" w:hAnsi="Arabic Typesetting" w:cs="Arabic Typesetting"/>
                <w:bCs/>
                <w:snapToGrid w:val="0"/>
                <w:sz w:val="28"/>
                <w:szCs w:val="28"/>
                <w:vertAlign w:val="superscript"/>
                <w:rtl/>
                <w:lang w:eastAsia="ja-JP" w:bidi="ar-SA"/>
              </w:rPr>
              <w:t>1</w:t>
            </w:r>
          </w:p>
          <w:p w:rsidR="000332F2" w:rsidRPr="009640F7" w:rsidRDefault="000332F2" w:rsidP="00DA5475">
            <w:pPr>
              <w:bidi w:val="0"/>
              <w:spacing w:before="60"/>
              <w:jc w:val="center"/>
              <w:rPr>
                <w:rFonts w:ascii="Arabic Typesetting" w:eastAsiaTheme="minorEastAsia" w:hAnsi="Arabic Typesetting" w:cs="Arabic Typesetting"/>
                <w:b/>
                <w:snapToGrid w:val="0"/>
                <w:sz w:val="28"/>
                <w:szCs w:val="28"/>
                <w:lang w:eastAsia="ja-JP" w:bidi="ar-SA"/>
              </w:rPr>
            </w:pPr>
            <w:r w:rsidRPr="009640F7">
              <w:rPr>
                <w:rFonts w:ascii="Arabic Typesetting" w:eastAsiaTheme="minorEastAsia" w:hAnsi="Arabic Typesetting" w:cs="Arabic Typesetting"/>
                <w:b/>
                <w:snapToGrid w:val="0"/>
                <w:sz w:val="28"/>
                <w:szCs w:val="28"/>
                <w:lang w:eastAsia="ja-JP" w:bidi="ar-SA"/>
              </w:rPr>
              <w:t>2016</w:t>
            </w:r>
          </w:p>
        </w:tc>
        <w:tc>
          <w:tcPr>
            <w:tcW w:w="1430" w:type="dxa"/>
            <w:vMerge w:val="restart"/>
            <w:shd w:val="pct15" w:color="auto" w:fill="FFFFFF"/>
            <w:vAlign w:val="center"/>
          </w:tcPr>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bCs/>
                <w:snapToGrid w:val="0"/>
                <w:sz w:val="28"/>
                <w:szCs w:val="28"/>
                <w:rtl/>
                <w:lang w:eastAsia="ja-JP" w:bidi="ar-SA"/>
              </w:rPr>
              <w:t xml:space="preserve">الاشتراك </w:t>
            </w:r>
            <w:r w:rsidRPr="009640F7">
              <w:rPr>
                <w:rFonts w:ascii="Arabic Typesetting" w:eastAsiaTheme="minorEastAsia" w:hAnsi="Arabic Typesetting" w:cs="Arabic Typesetting"/>
                <w:bCs/>
                <w:snapToGrid w:val="0"/>
                <w:sz w:val="28"/>
                <w:szCs w:val="28"/>
                <w:vertAlign w:val="superscript"/>
                <w:rtl/>
                <w:lang w:eastAsia="ja-JP" w:bidi="ar-SA"/>
              </w:rPr>
              <w:t>1</w:t>
            </w:r>
          </w:p>
          <w:p w:rsidR="000332F2" w:rsidRPr="009640F7" w:rsidRDefault="000332F2" w:rsidP="00DA5475">
            <w:pPr>
              <w:bidi w:val="0"/>
              <w:spacing w:before="60"/>
              <w:jc w:val="center"/>
              <w:rPr>
                <w:rFonts w:ascii="Arabic Typesetting" w:eastAsiaTheme="minorEastAsia" w:hAnsi="Arabic Typesetting" w:cs="Arabic Typesetting"/>
                <w:b/>
                <w:snapToGrid w:val="0"/>
                <w:sz w:val="28"/>
                <w:szCs w:val="28"/>
                <w:lang w:eastAsia="ja-JP" w:bidi="ar-SA"/>
              </w:rPr>
            </w:pPr>
            <w:r w:rsidRPr="009640F7">
              <w:rPr>
                <w:rFonts w:ascii="Arabic Typesetting" w:eastAsiaTheme="minorEastAsia" w:hAnsi="Arabic Typesetting" w:cs="Arabic Typesetting"/>
                <w:b/>
                <w:snapToGrid w:val="0"/>
                <w:sz w:val="28"/>
                <w:szCs w:val="28"/>
                <w:lang w:eastAsia="ja-JP" w:bidi="ar-SA"/>
              </w:rPr>
              <w:t>2017</w:t>
            </w:r>
          </w:p>
        </w:tc>
        <w:tc>
          <w:tcPr>
            <w:tcW w:w="1320" w:type="dxa"/>
            <w:vMerge w:val="restart"/>
            <w:shd w:val="pct15" w:color="auto" w:fill="FFFFFF"/>
            <w:vAlign w:val="center"/>
          </w:tcPr>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bCs/>
                <w:snapToGrid w:val="0"/>
                <w:sz w:val="28"/>
                <w:szCs w:val="28"/>
                <w:rtl/>
                <w:lang w:eastAsia="ja-JP" w:bidi="ar-SA"/>
              </w:rPr>
              <w:t>الاشتراكات</w:t>
            </w:r>
          </w:p>
          <w:p w:rsidR="000332F2" w:rsidRPr="009640F7" w:rsidRDefault="000332F2" w:rsidP="00DA5475">
            <w:pPr>
              <w:spacing w:before="60"/>
              <w:jc w:val="center"/>
              <w:rPr>
                <w:rFonts w:ascii="Arabic Typesetting" w:eastAsiaTheme="minorEastAsia" w:hAnsi="Arabic Typesetting" w:cs="Arabic Typesetting"/>
                <w:bCs/>
                <w:snapToGrid w:val="0"/>
                <w:sz w:val="28"/>
                <w:szCs w:val="28"/>
                <w:lang w:eastAsia="ja-JP" w:bidi="ar-SA"/>
              </w:rPr>
            </w:pPr>
            <w:r w:rsidRPr="009640F7">
              <w:rPr>
                <w:rFonts w:ascii="Arabic Typesetting" w:eastAsiaTheme="minorEastAsia" w:hAnsi="Arabic Typesetting" w:cs="Arabic Typesetting" w:hint="cs"/>
                <w:bCs/>
                <w:snapToGrid w:val="0"/>
                <w:color w:val="000000"/>
                <w:sz w:val="28"/>
                <w:szCs w:val="28"/>
                <w:rtl/>
                <w:lang w:eastAsia="ja-JP" w:bidi="ar-SA"/>
              </w:rPr>
              <w:t>2016/17</w:t>
            </w:r>
          </w:p>
        </w:tc>
      </w:tr>
      <w:tr w:rsidR="000332F2" w:rsidRPr="009640F7" w:rsidTr="00DA5475">
        <w:trPr>
          <w:trHeight w:val="200"/>
          <w:tblHeader/>
        </w:trPr>
        <w:tc>
          <w:tcPr>
            <w:tcW w:w="2750" w:type="dxa"/>
            <w:shd w:val="pct15" w:color="auto" w:fill="FFFFFF"/>
          </w:tcPr>
          <w:p w:rsidR="000332F2" w:rsidRPr="009640F7" w:rsidRDefault="000332F2" w:rsidP="00EA5693">
            <w:pPr>
              <w:jc w:val="center"/>
              <w:rPr>
                <w:rFonts w:ascii="Arabic Typesetting" w:eastAsiaTheme="majorEastAsia" w:hAnsi="Arabic Typesetting" w:cs="Arabic Typesetting"/>
                <w:b/>
                <w:i/>
                <w:iCs/>
                <w:color w:val="0F243E" w:themeColor="text2" w:themeShade="80"/>
                <w:sz w:val="28"/>
                <w:szCs w:val="28"/>
                <w:lang w:eastAsia="ja-JP" w:bidi="ar-SA"/>
              </w:rPr>
            </w:pPr>
            <w:r w:rsidRPr="009640F7">
              <w:rPr>
                <w:rFonts w:ascii="Arabic Typesetting" w:eastAsiaTheme="majorEastAsia" w:hAnsi="Arabic Typesetting" w:cs="Arabic Typesetting"/>
                <w:b/>
                <w:i/>
                <w:iCs/>
                <w:color w:val="0F243E" w:themeColor="text2" w:themeShade="80"/>
                <w:sz w:val="28"/>
                <w:szCs w:val="28"/>
                <w:rtl/>
                <w:lang w:eastAsia="ja-JP" w:bidi="ar-SA"/>
              </w:rPr>
              <w:t>الاتحادات الممولة من الاشتراكات</w:t>
            </w:r>
          </w:p>
        </w:tc>
        <w:tc>
          <w:tcPr>
            <w:tcW w:w="1430" w:type="dxa"/>
            <w:vMerge/>
            <w:shd w:val="pct15" w:color="auto" w:fill="FFFFFF"/>
          </w:tcPr>
          <w:p w:rsidR="000332F2" w:rsidRPr="009640F7" w:rsidRDefault="000332F2" w:rsidP="00EA5693">
            <w:pPr>
              <w:rPr>
                <w:rFonts w:ascii="Arabic Typesetting" w:eastAsiaTheme="minorEastAsia" w:hAnsi="Arabic Typesetting" w:cs="Arabic Typesetting"/>
                <w:bCs/>
                <w:snapToGrid w:val="0"/>
                <w:sz w:val="28"/>
                <w:szCs w:val="28"/>
                <w:lang w:eastAsia="ja-JP" w:bidi="ar-SA"/>
              </w:rPr>
            </w:pPr>
          </w:p>
        </w:tc>
        <w:tc>
          <w:tcPr>
            <w:tcW w:w="1210" w:type="dxa"/>
            <w:vMerge/>
            <w:shd w:val="pct15" w:color="auto" w:fill="FFFFFF"/>
            <w:vAlign w:val="center"/>
          </w:tcPr>
          <w:p w:rsidR="000332F2" w:rsidRPr="009640F7" w:rsidRDefault="000332F2" w:rsidP="00EA5693">
            <w:pPr>
              <w:bidi w:val="0"/>
              <w:rPr>
                <w:rFonts w:ascii="Arial" w:eastAsiaTheme="minorEastAsia" w:hAnsi="Arial" w:cs="Arial"/>
                <w:bCs/>
                <w:snapToGrid w:val="0"/>
                <w:sz w:val="18"/>
                <w:szCs w:val="18"/>
                <w:lang w:eastAsia="ja-JP" w:bidi="ar-SA"/>
              </w:rPr>
            </w:pPr>
          </w:p>
        </w:tc>
        <w:tc>
          <w:tcPr>
            <w:tcW w:w="1320" w:type="dxa"/>
            <w:vMerge/>
            <w:shd w:val="pct15" w:color="auto" w:fill="FFFFFF"/>
            <w:vAlign w:val="center"/>
          </w:tcPr>
          <w:p w:rsidR="000332F2" w:rsidRPr="009640F7" w:rsidRDefault="000332F2" w:rsidP="00EA5693">
            <w:pPr>
              <w:bidi w:val="0"/>
              <w:rPr>
                <w:rFonts w:ascii="Arial" w:eastAsiaTheme="minorEastAsia" w:hAnsi="Arial" w:cs="Arial"/>
                <w:bCs/>
                <w:snapToGrid w:val="0"/>
                <w:sz w:val="18"/>
                <w:szCs w:val="18"/>
                <w:lang w:eastAsia="ja-JP" w:bidi="ar-SA"/>
              </w:rPr>
            </w:pPr>
          </w:p>
        </w:tc>
        <w:tc>
          <w:tcPr>
            <w:tcW w:w="1430" w:type="dxa"/>
            <w:vMerge/>
            <w:shd w:val="pct15" w:color="auto" w:fill="FFFFFF"/>
            <w:vAlign w:val="center"/>
          </w:tcPr>
          <w:p w:rsidR="000332F2" w:rsidRPr="009640F7" w:rsidRDefault="000332F2" w:rsidP="00EA5693">
            <w:pPr>
              <w:bidi w:val="0"/>
              <w:rPr>
                <w:rFonts w:ascii="Arial" w:eastAsiaTheme="minorEastAsia" w:hAnsi="Arial" w:cs="Arial"/>
                <w:bCs/>
                <w:snapToGrid w:val="0"/>
                <w:sz w:val="18"/>
                <w:szCs w:val="18"/>
                <w:lang w:eastAsia="ja-JP" w:bidi="ar-SA"/>
              </w:rPr>
            </w:pPr>
          </w:p>
        </w:tc>
        <w:tc>
          <w:tcPr>
            <w:tcW w:w="1320" w:type="dxa"/>
            <w:vMerge/>
            <w:shd w:val="pct15" w:color="auto" w:fill="FFFFFF"/>
            <w:vAlign w:val="center"/>
          </w:tcPr>
          <w:p w:rsidR="000332F2" w:rsidRPr="009640F7" w:rsidRDefault="000332F2" w:rsidP="00EA5693">
            <w:pPr>
              <w:bidi w:val="0"/>
              <w:rPr>
                <w:rFonts w:ascii="Arial" w:eastAsiaTheme="minorEastAsia" w:hAnsi="Arial" w:cs="Arial"/>
                <w:bCs/>
                <w:snapToGrid w:val="0"/>
                <w:sz w:val="18"/>
                <w:szCs w:val="18"/>
                <w:lang w:eastAsia="ja-JP" w:bidi="ar-SA"/>
              </w:rPr>
            </w:pPr>
          </w:p>
        </w:tc>
      </w:tr>
      <w:tr w:rsidR="000332F2" w:rsidRPr="009640F7" w:rsidTr="00DA5475">
        <w:trPr>
          <w:trHeight w:val="100"/>
          <w:tblHeader/>
        </w:trPr>
        <w:tc>
          <w:tcPr>
            <w:tcW w:w="2750" w:type="dxa"/>
          </w:tcPr>
          <w:p w:rsidR="000332F2" w:rsidRPr="009640F7" w:rsidRDefault="000332F2" w:rsidP="00DA5475">
            <w:pPr>
              <w:jc w:val="right"/>
              <w:rPr>
                <w:rFonts w:ascii="Arabic Typesetting" w:eastAsiaTheme="minorEastAsia" w:hAnsi="Arabic Typesetting" w:cs="Arabic Typesetting"/>
                <w:snapToGrid w:val="0"/>
                <w:color w:val="000000"/>
                <w:sz w:val="28"/>
                <w:szCs w:val="28"/>
                <w:lang w:eastAsia="ja-JP" w:bidi="ar-SA"/>
              </w:rPr>
            </w:pPr>
          </w:p>
        </w:tc>
        <w:tc>
          <w:tcPr>
            <w:tcW w:w="1430" w:type="dxa"/>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p>
        </w:tc>
        <w:tc>
          <w:tcPr>
            <w:tcW w:w="1210" w:type="dxa"/>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p>
        </w:tc>
        <w:tc>
          <w:tcPr>
            <w:tcW w:w="1320" w:type="dxa"/>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p>
        </w:tc>
        <w:tc>
          <w:tcPr>
            <w:tcW w:w="1430" w:type="dxa"/>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p>
        </w:tc>
        <w:tc>
          <w:tcPr>
            <w:tcW w:w="1320" w:type="dxa"/>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أفغانستان</w:t>
            </w:r>
            <w:r w:rsidRPr="009640F7">
              <w:rPr>
                <w:rFonts w:ascii="Arabic Typesetting" w:eastAsiaTheme="minorEastAsia" w:hAnsi="Arabic Typesetting" w:cs="Arabic Typesetting"/>
                <w:snapToGrid w:val="0"/>
                <w:sz w:val="28"/>
                <w:szCs w:val="28"/>
                <w:vertAlign w:val="superscript"/>
                <w:rtl/>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ألبانيا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الجزائر</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vertAlign w:val="superscript"/>
                <w:rtl/>
                <w:lang w:eastAsia="ja-JP" w:bidi="ar-SA"/>
              </w:rPr>
              <w:t>أندورا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أنغولا</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 xml:space="preserve">أنتيغوا </w:t>
            </w:r>
            <w:proofErr w:type="spellStart"/>
            <w:r w:rsidRPr="009640F7">
              <w:rPr>
                <w:rFonts w:ascii="Arabic Typesetting" w:eastAsiaTheme="minorEastAsia" w:hAnsi="Arabic Typesetting" w:cs="Arabic Typesetting"/>
                <w:snapToGrid w:val="0"/>
                <w:sz w:val="28"/>
                <w:szCs w:val="28"/>
                <w:rtl/>
                <w:lang w:eastAsia="ja-JP" w:bidi="ar-SA"/>
              </w:rPr>
              <w:t>وبربودا</w:t>
            </w:r>
            <w:proofErr w:type="spellEnd"/>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الأرجنتين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6(ثانيا)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182,316</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أرمينيا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أستراليا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3</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النمسا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4(ثانيا)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أذربيجان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b/>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جزر البهاما</w:t>
            </w:r>
            <w:r w:rsidRPr="009640F7">
              <w:rPr>
                <w:rFonts w:ascii="Arabic Typesetting" w:eastAsiaTheme="minorEastAsia" w:hAnsi="Arabic Typesetting" w:cs="Arabic Typesetting"/>
                <w:b/>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البحرين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بنغلاديش</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بربادوس</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بيلاروس</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بلجيكا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بليز</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بنن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بوتان</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بوليفيا (دولة - المتعددة القوميات)</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البوسنة والهرسك</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بوتسوانا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البرازيل</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6(ثانيا)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182,316</w:t>
            </w:r>
          </w:p>
        </w:tc>
      </w:tr>
      <w:tr w:rsidR="000332F2" w:rsidRPr="009640F7" w:rsidTr="00DA5475">
        <w:tc>
          <w:tcPr>
            <w:tcW w:w="2750" w:type="dxa"/>
            <w:shd w:val="clear" w:color="auto" w:fill="auto"/>
            <w:vAlign w:val="center"/>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بروني دار السلام</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vAlign w:val="center"/>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خاء</w:t>
            </w:r>
          </w:p>
        </w:tc>
        <w:tc>
          <w:tcPr>
            <w:tcW w:w="1210" w:type="dxa"/>
            <w:shd w:val="clear" w:color="auto" w:fill="auto"/>
            <w:vAlign w:val="center"/>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vAlign w:val="center"/>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vAlign w:val="center"/>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vAlign w:val="center"/>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بلغاريا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6(ثانيا)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182,316</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بوركينا فاسو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بوروندي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proofErr w:type="spellStart"/>
            <w:r w:rsidRPr="009640F7">
              <w:rPr>
                <w:rFonts w:ascii="Arabic Typesetting" w:eastAsiaTheme="minorEastAsia" w:hAnsi="Arabic Typesetting" w:cs="Arabic Typesetting"/>
                <w:snapToGrid w:val="0"/>
                <w:sz w:val="28"/>
                <w:szCs w:val="28"/>
                <w:rtl/>
                <w:lang w:eastAsia="ja-JP" w:bidi="ar-SA"/>
              </w:rPr>
              <w:t>كابو</w:t>
            </w:r>
            <w:proofErr w:type="spellEnd"/>
            <w:r w:rsidRPr="009640F7">
              <w:rPr>
                <w:rFonts w:ascii="Arabic Typesetting" w:eastAsiaTheme="minorEastAsia" w:hAnsi="Arabic Typesetting" w:cs="Arabic Typesetting"/>
                <w:snapToGrid w:val="0"/>
                <w:sz w:val="28"/>
                <w:szCs w:val="28"/>
                <w:rtl/>
                <w:lang w:eastAsia="ja-JP" w:bidi="ar-SA"/>
              </w:rPr>
              <w:t xml:space="preserve"> فيردي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lastRenderedPageBreak/>
              <w:t>كمبوديا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الكاميرون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أفريقيا الوسطى</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تشاد</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شيلي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الصين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4(ثانيا)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كولومبيا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جزر القمر</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الكونغو</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كوستاريكا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كوت ديفوار</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كرواتيا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8</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كوبا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قبرص</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الجمهورية التشيكية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6</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273,474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b/>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كوريا الشعبية الديمقراطية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الكونغو الديمقراطية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الدانمرك</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جيبوتي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دومينيكا</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الجمهورية الدومينيكية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إكوادور</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مصر</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السلفادور</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غينيا الاستوائية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إريتريا</w:t>
            </w:r>
            <w:r w:rsidRPr="009640F7">
              <w:rPr>
                <w:rFonts w:ascii="Arabic Typesetting" w:eastAsiaTheme="minorEastAsia" w:hAnsi="Arabic Typesetting" w:cs="Arabic Typesetting"/>
                <w:snapToGrid w:val="0"/>
                <w:color w:val="000000"/>
                <w:sz w:val="28"/>
                <w:szCs w:val="28"/>
                <w:lang w:eastAsia="ja-JP" w:bidi="ar-SA"/>
              </w:rPr>
              <w:t xml:space="preserve"> </w:t>
            </w:r>
            <w:r w:rsidRPr="009640F7">
              <w:rPr>
                <w:rFonts w:ascii="Arabic Typesetting" w:eastAsiaTheme="minorEastAsia" w:hAnsi="Arabic Typesetting" w:cs="Arabic Typesetting"/>
                <w:snapToGrid w:val="0"/>
                <w:color w:val="000000"/>
                <w:sz w:val="28"/>
                <w:szCs w:val="28"/>
                <w:vertAlign w:val="superscript"/>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إستونيا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إثيوبيا</w:t>
            </w:r>
            <w:r w:rsidRPr="009640F7">
              <w:rPr>
                <w:rFonts w:ascii="Arabic Typesetting" w:eastAsiaTheme="minorEastAsia" w:hAnsi="Arabic Typesetting" w:cs="Arabic Typesetting"/>
                <w:snapToGrid w:val="0"/>
                <w:color w:val="000000"/>
                <w:sz w:val="28"/>
                <w:szCs w:val="28"/>
                <w:lang w:eastAsia="ja-JP" w:bidi="ar-SA"/>
              </w:rPr>
              <w:t xml:space="preserve"> </w:t>
            </w:r>
            <w:r w:rsidRPr="009640F7">
              <w:rPr>
                <w:rFonts w:ascii="Arabic Typesetting" w:eastAsiaTheme="minorEastAsia" w:hAnsi="Arabic Typesetting" w:cs="Arabic Typesetting"/>
                <w:snapToGrid w:val="0"/>
                <w:color w:val="000000"/>
                <w:sz w:val="28"/>
                <w:szCs w:val="28"/>
                <w:vertAlign w:val="superscript"/>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فيجي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فنلندا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فرنسا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1</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2,278,950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غابون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غامبيا</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جورجيا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ألمانيا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1</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2,278,950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غانا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اليونان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6</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273,474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غرينادا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lastRenderedPageBreak/>
              <w:t>غواتيمالا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غينيا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غينيا - بيساو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غيانا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هايتي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الكرسي الرسولي</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هندوراس</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هنغاريا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6</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273,474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آيسلندا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8</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الهند</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6(ثانيا)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182,316</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إندونيسيا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7</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إيران (جمهورية - الإسلامية)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7</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العراق</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آيرلندا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إسرائيل</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6(ثانيا)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182,316</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إيطاليا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3</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جامايكا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اليابان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1</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2,278,950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الأردن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كازاخستان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كينيا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كيريباس</w:t>
            </w:r>
            <w:r w:rsidRPr="009640F7">
              <w:rPr>
                <w:rFonts w:ascii="Arabic Typesetting" w:eastAsiaTheme="minorEastAsia" w:hAnsi="Arabic Typesetting" w:cs="Arabic Typesetting"/>
                <w:snapToGrid w:val="0"/>
                <w:color w:val="000000"/>
                <w:sz w:val="28"/>
                <w:szCs w:val="28"/>
                <w:vertAlign w:val="superscript"/>
                <w:rtl/>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الكويت</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قيرغيزستان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لاو الديمقراطية الشعبية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لاتفيا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لبنان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ليسوتو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ليبريا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ليبيا</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ليختنشتاين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8</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ليتوانيا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لكسمبرغ</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7</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مدغشقر</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ملاوي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ماليزيا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8</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ملديف</w:t>
            </w:r>
            <w:r w:rsidRPr="009640F7">
              <w:rPr>
                <w:rFonts w:ascii="Arabic Typesetting" w:eastAsiaTheme="minorEastAsia" w:hAnsi="Arabic Typesetting" w:cs="Arabic Typesetting"/>
                <w:snapToGrid w:val="0"/>
                <w:color w:val="000000"/>
                <w:sz w:val="28"/>
                <w:szCs w:val="28"/>
                <w:lang w:eastAsia="ja-JP" w:bidi="ar-SA"/>
              </w:rPr>
              <w:t xml:space="preserve"> </w:t>
            </w:r>
            <w:r w:rsidRPr="009640F7">
              <w:rPr>
                <w:rFonts w:ascii="Arabic Typesetting" w:eastAsiaTheme="minorEastAsia" w:hAnsi="Arabic Typesetting" w:cs="Arabic Typesetting"/>
                <w:snapToGrid w:val="0"/>
                <w:color w:val="000000"/>
                <w:sz w:val="28"/>
                <w:szCs w:val="28"/>
                <w:vertAlign w:val="superscript"/>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مالي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مالطة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lastRenderedPageBreak/>
              <w:t>موريتانيا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موريشيوس</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المكسيك</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4(ثانيا)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ميكرونيزيا (ولايات - الموحدة)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موناكو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7</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منغوليا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الجبل الأسود</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المغرب</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موزامبيق</w:t>
            </w:r>
            <w:r w:rsidRPr="009640F7">
              <w:rPr>
                <w:rFonts w:ascii="Arabic Typesetting" w:eastAsiaTheme="minorEastAsia" w:hAnsi="Arabic Typesetting" w:cs="Arabic Typesetting"/>
                <w:snapToGrid w:val="0"/>
                <w:color w:val="000000"/>
                <w:sz w:val="28"/>
                <w:szCs w:val="28"/>
                <w:vertAlign w:val="superscript"/>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ميانمار</w:t>
            </w:r>
            <w:r w:rsidRPr="009640F7">
              <w:rPr>
                <w:rFonts w:ascii="Arabic Typesetting" w:eastAsiaTheme="minorEastAsia" w:hAnsi="Arabic Typesetting" w:cs="Arabic Typesetting"/>
                <w:snapToGrid w:val="0"/>
                <w:color w:val="000000"/>
                <w:sz w:val="28"/>
                <w:szCs w:val="28"/>
                <w:lang w:eastAsia="ja-JP" w:bidi="ar-SA"/>
              </w:rPr>
              <w:t xml:space="preserve"> </w:t>
            </w:r>
            <w:r w:rsidRPr="009640F7">
              <w:rPr>
                <w:rFonts w:ascii="Arabic Typesetting" w:eastAsiaTheme="minorEastAsia" w:hAnsi="Arabic Typesetting" w:cs="Arabic Typesetting"/>
                <w:snapToGrid w:val="0"/>
                <w:color w:val="000000"/>
                <w:sz w:val="28"/>
                <w:szCs w:val="28"/>
                <w:vertAlign w:val="superscript"/>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ناميبيا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نيبال</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هولندا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3</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نيوزيلندا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6</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273,474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نيكاراغوا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النيجر</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نيجيريا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نيوي</w:t>
            </w:r>
            <w:r w:rsidRPr="009640F7">
              <w:rPr>
                <w:rFonts w:ascii="Arabic Typesetting" w:eastAsiaTheme="minorEastAsia" w:hAnsi="Arabic Typesetting" w:cs="Arabic Typesetting"/>
                <w:snapToGrid w:val="0"/>
                <w:color w:val="000000"/>
                <w:sz w:val="28"/>
                <w:szCs w:val="28"/>
                <w:vertAlign w:val="superscript"/>
                <w:rtl/>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النرويج</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عمان</w:t>
            </w:r>
            <w:r w:rsidRPr="009640F7">
              <w:rPr>
                <w:rFonts w:ascii="Arabic Typesetting" w:eastAsiaTheme="minorEastAsia" w:hAnsi="Arabic Typesetting" w:cs="Arabic Typesetting"/>
                <w:snapToGrid w:val="0"/>
                <w:color w:val="000000"/>
                <w:sz w:val="28"/>
                <w:szCs w:val="28"/>
                <w:vertAlign w:val="superscript"/>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باكستان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بنما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بابوا غينيا الجديدة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باراغواي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بيرو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الفلبين</w:t>
            </w:r>
            <w:r w:rsidRPr="009640F7">
              <w:rPr>
                <w:rFonts w:ascii="Arabic Typesetting" w:eastAsiaTheme="minorEastAsia" w:hAnsi="Arabic Typesetting" w:cs="Arabic Typesetting"/>
                <w:snapToGrid w:val="0"/>
                <w:color w:val="000000"/>
                <w:sz w:val="28"/>
                <w:szCs w:val="28"/>
                <w:vertAlign w:val="superscript"/>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بولندا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6</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273,474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البرتغال</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4(ثانيا)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قطر</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كوريا</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4(ثانيا)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مولدوفا</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رومانيا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6(ثانيا)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182,316</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الاتحاد الروسي</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رواندا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سانت كيتس ونيفس</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سانت لوسيا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سانت فنسنت وجزر غرينادين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ساموا</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سان مارينو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lastRenderedPageBreak/>
              <w:t>سان تومي وبرينسيبي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المملكة العربية السعودية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7</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السنغال</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iCs/>
                <w:snapToGrid w:val="0"/>
                <w:color w:val="000000"/>
                <w:sz w:val="28"/>
                <w:szCs w:val="28"/>
                <w:lang w:eastAsia="ja-JP" w:bidi="ar-SA"/>
              </w:rPr>
            </w:pPr>
            <w:r w:rsidRPr="009640F7">
              <w:rPr>
                <w:rFonts w:ascii="Arabic Typesetting" w:eastAsiaTheme="minorEastAsia" w:hAnsi="Arabic Typesetting" w:cs="Arabic Typesetting"/>
                <w:i/>
                <w:iCs/>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صربيا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8</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سيشيل</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سيراليون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سنغافورة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سلوفاكيا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6</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273,474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سلوفينيا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7</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الصومال</w:t>
            </w:r>
            <w:r w:rsidRPr="009640F7">
              <w:rPr>
                <w:rFonts w:ascii="Arabic Typesetting" w:eastAsiaTheme="minorEastAsia" w:hAnsi="Arabic Typesetting" w:cs="Arabic Typesetting"/>
                <w:snapToGrid w:val="0"/>
                <w:color w:val="000000"/>
                <w:sz w:val="28"/>
                <w:szCs w:val="28"/>
                <w:lang w:eastAsia="ja-JP" w:bidi="ar-SA"/>
              </w:rPr>
              <w:t xml:space="preserve"> </w:t>
            </w:r>
            <w:r w:rsidRPr="009640F7">
              <w:rPr>
                <w:rFonts w:ascii="Arabic Typesetting" w:eastAsiaTheme="minorEastAsia" w:hAnsi="Arabic Typesetting" w:cs="Arabic Typesetting"/>
                <w:snapToGrid w:val="0"/>
                <w:color w:val="000000"/>
                <w:sz w:val="28"/>
                <w:szCs w:val="28"/>
                <w:vertAlign w:val="superscript"/>
                <w:lang w:eastAsia="ja-JP" w:bidi="ar-SA"/>
              </w:rPr>
              <w:t>2</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جنوب أفريقيا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4(ثانيا)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341,842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إسبانيا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4</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455,790</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سري لانكا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السودان</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سورينام</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سوازيلند</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السويد</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3</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سويسرا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3</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683,685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1,367,370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الجمهورية العربية السورية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طاجيكستان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تايلند</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مقدونيا اليوغوسلافية سابقاً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8</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45,578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توغو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تونغا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ترينيداد وتوباغو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تونس</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تركيا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6(ثانيا)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91,158</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182,316</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تركمانستان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keepNext/>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توفالو</w:t>
            </w:r>
            <w:r w:rsidRPr="009640F7">
              <w:rPr>
                <w:rFonts w:ascii="Arabic Typesetting" w:eastAsiaTheme="minorEastAsia" w:hAnsi="Arabic Typesetting" w:cs="Arabic Typesetting"/>
                <w:snapToGrid w:val="0"/>
                <w:color w:val="000000"/>
                <w:sz w:val="28"/>
                <w:szCs w:val="28"/>
                <w:vertAlign w:val="superscript"/>
                <w:rtl/>
                <w:lang w:eastAsia="ja-JP" w:bidi="ar-SA"/>
              </w:rPr>
              <w:t>2</w:t>
            </w:r>
          </w:p>
        </w:tc>
        <w:tc>
          <w:tcPr>
            <w:tcW w:w="1430" w:type="dxa"/>
            <w:shd w:val="clear" w:color="auto" w:fill="auto"/>
          </w:tcPr>
          <w:p w:rsidR="000332F2" w:rsidRPr="009640F7" w:rsidRDefault="000332F2" w:rsidP="00DA5475">
            <w:pPr>
              <w:keepNext/>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keepNext/>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أوغندا</w:t>
            </w:r>
          </w:p>
        </w:tc>
        <w:tc>
          <w:tcPr>
            <w:tcW w:w="1430" w:type="dxa"/>
            <w:shd w:val="clear" w:color="auto" w:fill="auto"/>
          </w:tcPr>
          <w:p w:rsidR="000332F2" w:rsidRPr="009640F7" w:rsidRDefault="000332F2" w:rsidP="00DA5475">
            <w:pPr>
              <w:keepNext/>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keepNext/>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أوكرانيا</w:t>
            </w:r>
          </w:p>
        </w:tc>
        <w:tc>
          <w:tcPr>
            <w:tcW w:w="1430" w:type="dxa"/>
            <w:shd w:val="clear" w:color="auto" w:fill="auto"/>
          </w:tcPr>
          <w:p w:rsidR="000332F2" w:rsidRPr="009640F7" w:rsidRDefault="000332F2" w:rsidP="00DA5475">
            <w:pPr>
              <w:keepNext/>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الإمارات العربية المتحدة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المملكة المتحدة</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1</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2,278,950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جمهورية تنزانيا المتحدة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الولايات المتحدة الأمريكية</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1</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1,139,475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2,278,950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أوروغواي</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أوزبكستان</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فانواتو</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 xml:space="preserve">فنزويلا (جمهورية - </w:t>
            </w:r>
            <w:proofErr w:type="spellStart"/>
            <w:r w:rsidRPr="009640F7">
              <w:rPr>
                <w:rFonts w:ascii="Arabic Typesetting" w:eastAsiaTheme="minorEastAsia" w:hAnsi="Arabic Typesetting" w:cs="Arabic Typesetting"/>
                <w:snapToGrid w:val="0"/>
                <w:sz w:val="28"/>
                <w:szCs w:val="28"/>
                <w:rtl/>
                <w:lang w:eastAsia="ja-JP" w:bidi="ar-SA"/>
              </w:rPr>
              <w:t>البوليفارية</w:t>
            </w:r>
            <w:proofErr w:type="spellEnd"/>
            <w:r w:rsidRPr="009640F7">
              <w:rPr>
                <w:rFonts w:ascii="Arabic Typesetting" w:eastAsiaTheme="minorEastAsia" w:hAnsi="Arabic Typesetting" w:cs="Arabic Typesetting"/>
                <w:snapToGrid w:val="0"/>
                <w:sz w:val="28"/>
                <w:szCs w:val="28"/>
                <w:rtl/>
                <w:lang w:eastAsia="ja-JP" w:bidi="ar-SA"/>
              </w:rPr>
              <w:t>)</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color w:val="000000"/>
                <w:sz w:val="28"/>
                <w:szCs w:val="28"/>
                <w:lang w:eastAsia="ja-JP" w:bidi="ar-SA"/>
              </w:rPr>
              <w:t>9</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22,790</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lastRenderedPageBreak/>
              <w:t>فييت نام</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5,697</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11,394</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vertAlign w:val="superscript"/>
                <w:lang w:eastAsia="ja-JP" w:bidi="ar-SA"/>
              </w:rPr>
            </w:pPr>
            <w:r w:rsidRPr="009640F7">
              <w:rPr>
                <w:rFonts w:ascii="Arabic Typesetting" w:eastAsiaTheme="minorEastAsia" w:hAnsi="Arabic Typesetting" w:cs="Arabic Typesetting"/>
                <w:snapToGrid w:val="0"/>
                <w:sz w:val="28"/>
                <w:szCs w:val="28"/>
                <w:rtl/>
                <w:lang w:eastAsia="ja-JP" w:bidi="ar-SA"/>
              </w:rPr>
              <w:t>اليمن</w:t>
            </w:r>
            <w:r w:rsidRPr="009640F7">
              <w:rPr>
                <w:rFonts w:ascii="Arabic Typesetting" w:eastAsiaTheme="minorEastAsia" w:hAnsi="Arabic Typesetting" w:cs="Arabic Typesetting"/>
                <w:snapToGrid w:val="0"/>
                <w:color w:val="000000"/>
                <w:sz w:val="28"/>
                <w:szCs w:val="28"/>
                <w:lang w:eastAsia="ja-JP" w:bidi="ar-SA"/>
              </w:rPr>
              <w:t xml:space="preserve"> </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auto"/>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زامبيا</w:t>
            </w:r>
          </w:p>
        </w:tc>
        <w:tc>
          <w:tcPr>
            <w:tcW w:w="1430" w:type="dxa"/>
            <w:shd w:val="clear" w:color="auto" w:fill="auto"/>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خاء(ثالثا)</w:t>
            </w:r>
          </w:p>
        </w:tc>
        <w:tc>
          <w:tcPr>
            <w:tcW w:w="121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0.03125</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43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1,424</w:t>
            </w:r>
          </w:p>
        </w:tc>
        <w:tc>
          <w:tcPr>
            <w:tcW w:w="1320" w:type="dxa"/>
            <w:shd w:val="clear" w:color="auto" w:fill="auto"/>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2,848</w:t>
            </w:r>
          </w:p>
        </w:tc>
      </w:tr>
      <w:tr w:rsidR="000332F2" w:rsidRPr="009640F7" w:rsidTr="00DA5475">
        <w:tc>
          <w:tcPr>
            <w:tcW w:w="2750" w:type="dxa"/>
            <w:shd w:val="clear" w:color="auto" w:fill="FFFFFF"/>
          </w:tcPr>
          <w:p w:rsidR="000332F2" w:rsidRPr="009640F7" w:rsidRDefault="000332F2" w:rsidP="00DA5475">
            <w:pPr>
              <w:rPr>
                <w:rFonts w:ascii="Arabic Typesetting" w:eastAsiaTheme="minorEastAsia" w:hAnsi="Arabic Typesetting" w:cs="Arabic Typesetting"/>
                <w:snapToGrid w:val="0"/>
                <w:color w:val="000000"/>
                <w:sz w:val="28"/>
                <w:szCs w:val="28"/>
                <w:lang w:eastAsia="ja-JP" w:bidi="ar-SA"/>
              </w:rPr>
            </w:pPr>
            <w:r w:rsidRPr="009640F7">
              <w:rPr>
                <w:rFonts w:ascii="Arabic Typesetting" w:eastAsiaTheme="minorEastAsia" w:hAnsi="Arabic Typesetting" w:cs="Arabic Typesetting"/>
                <w:snapToGrid w:val="0"/>
                <w:sz w:val="28"/>
                <w:szCs w:val="28"/>
                <w:rtl/>
                <w:lang w:eastAsia="ja-JP" w:bidi="ar-SA"/>
              </w:rPr>
              <w:t>زمبابوي</w:t>
            </w:r>
          </w:p>
        </w:tc>
        <w:tc>
          <w:tcPr>
            <w:tcW w:w="1430" w:type="dxa"/>
            <w:shd w:val="clear" w:color="auto" w:fill="FFFFFF"/>
          </w:tcPr>
          <w:p w:rsidR="000332F2" w:rsidRPr="009640F7" w:rsidRDefault="000332F2" w:rsidP="00DA5475">
            <w:pPr>
              <w:jc w:val="center"/>
              <w:rPr>
                <w:rFonts w:ascii="Arabic Typesetting" w:eastAsiaTheme="minorEastAsia" w:hAnsi="Arabic Typesetting" w:cs="Arabic Typesetting"/>
                <w:i/>
                <w:snapToGrid w:val="0"/>
                <w:color w:val="000000"/>
                <w:sz w:val="28"/>
                <w:szCs w:val="28"/>
                <w:lang w:eastAsia="ja-JP" w:bidi="ar-SA"/>
              </w:rPr>
            </w:pPr>
            <w:r w:rsidRPr="009640F7">
              <w:rPr>
                <w:rFonts w:ascii="Arabic Typesetting" w:eastAsiaTheme="minorEastAsia" w:hAnsi="Arabic Typesetting" w:cs="Arabic Typesetting"/>
                <w:i/>
                <w:snapToGrid w:val="0"/>
                <w:color w:val="000000"/>
                <w:sz w:val="28"/>
                <w:szCs w:val="28"/>
                <w:rtl/>
                <w:lang w:eastAsia="ja-JP" w:bidi="ar-SA"/>
              </w:rPr>
              <w:t>خاء(ثانيا)</w:t>
            </w:r>
          </w:p>
        </w:tc>
        <w:tc>
          <w:tcPr>
            <w:tcW w:w="1210" w:type="dxa"/>
            <w:shd w:val="clear" w:color="auto" w:fill="FFFFFF"/>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0.0625</w:t>
            </w:r>
          </w:p>
        </w:tc>
        <w:tc>
          <w:tcPr>
            <w:tcW w:w="1320" w:type="dxa"/>
            <w:shd w:val="clear" w:color="auto" w:fill="FFFFFF"/>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430" w:type="dxa"/>
            <w:shd w:val="clear" w:color="auto" w:fill="FFFFFF"/>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2,849</w:t>
            </w:r>
          </w:p>
        </w:tc>
        <w:tc>
          <w:tcPr>
            <w:tcW w:w="1320" w:type="dxa"/>
            <w:shd w:val="clear" w:color="auto" w:fill="FFFFFF"/>
          </w:tcPr>
          <w:p w:rsidR="000332F2" w:rsidRPr="009640F7" w:rsidRDefault="000332F2" w:rsidP="00DA5475">
            <w:pPr>
              <w:bidi w:val="0"/>
              <w:jc w:val="center"/>
              <w:rPr>
                <w:rFonts w:ascii="Arial" w:eastAsiaTheme="minorEastAsia" w:hAnsi="Arial" w:cs="Arial"/>
                <w:snapToGrid w:val="0"/>
                <w:color w:val="000000"/>
                <w:sz w:val="18"/>
                <w:szCs w:val="18"/>
                <w:lang w:eastAsia="ja-JP" w:bidi="ar-SA"/>
              </w:rPr>
            </w:pPr>
            <w:r w:rsidRPr="009640F7">
              <w:rPr>
                <w:rFonts w:ascii="Arial" w:eastAsiaTheme="minorEastAsia" w:hAnsi="Arial" w:cs="Arial"/>
                <w:snapToGrid w:val="0"/>
                <w:color w:val="000000"/>
                <w:sz w:val="18"/>
                <w:szCs w:val="18"/>
                <w:lang w:eastAsia="ja-JP" w:bidi="ar-SA"/>
              </w:rPr>
              <w:t>5,698</w:t>
            </w:r>
          </w:p>
        </w:tc>
      </w:tr>
      <w:tr w:rsidR="000332F2" w:rsidRPr="009640F7" w:rsidTr="00DA5475">
        <w:tc>
          <w:tcPr>
            <w:tcW w:w="2750" w:type="dxa"/>
            <w:shd w:val="pct15" w:color="auto" w:fill="FFFFFF"/>
          </w:tcPr>
          <w:p w:rsidR="000332F2" w:rsidRPr="009640F7" w:rsidRDefault="000332F2" w:rsidP="00DA5475">
            <w:pPr>
              <w:rPr>
                <w:rFonts w:ascii="Arabic Typesetting" w:eastAsiaTheme="minorEastAsia" w:hAnsi="Arabic Typesetting" w:cs="Arabic Typesetting"/>
                <w:bCs/>
                <w:snapToGrid w:val="0"/>
                <w:sz w:val="28"/>
                <w:szCs w:val="28"/>
                <w:vertAlign w:val="superscript"/>
                <w:lang w:eastAsia="ja-JP" w:bidi="ar-SA"/>
              </w:rPr>
            </w:pPr>
            <w:r w:rsidRPr="009640F7">
              <w:rPr>
                <w:rFonts w:ascii="Arabic Typesetting" w:eastAsiaTheme="minorEastAsia" w:hAnsi="Arabic Typesetting" w:cs="Arabic Typesetting"/>
                <w:bCs/>
                <w:snapToGrid w:val="0"/>
                <w:sz w:val="28"/>
                <w:szCs w:val="28"/>
                <w:rtl/>
                <w:lang w:eastAsia="ja-JP" w:bidi="ar-SA"/>
              </w:rPr>
              <w:t>مجموع الاشتراكات</w:t>
            </w:r>
            <w:r w:rsidRPr="009640F7">
              <w:rPr>
                <w:rFonts w:ascii="Arabic Typesetting" w:eastAsiaTheme="minorEastAsia" w:hAnsi="Arabic Typesetting" w:cs="Arabic Typesetting"/>
                <w:bCs/>
                <w:snapToGrid w:val="0"/>
                <w:sz w:val="28"/>
                <w:szCs w:val="28"/>
                <w:lang w:eastAsia="ja-JP" w:bidi="ar-SA"/>
              </w:rPr>
              <w:t xml:space="preserve"> </w:t>
            </w:r>
          </w:p>
        </w:tc>
        <w:tc>
          <w:tcPr>
            <w:tcW w:w="1430" w:type="dxa"/>
            <w:shd w:val="pct15" w:color="auto" w:fill="FFFFFF"/>
          </w:tcPr>
          <w:p w:rsidR="000332F2" w:rsidRPr="009640F7" w:rsidRDefault="000332F2" w:rsidP="00DA5475">
            <w:pPr>
              <w:jc w:val="center"/>
              <w:rPr>
                <w:rFonts w:ascii="Arabic Typesetting" w:eastAsiaTheme="minorEastAsia" w:hAnsi="Arabic Typesetting" w:cs="Arabic Typesetting"/>
                <w:b/>
                <w:snapToGrid w:val="0"/>
                <w:sz w:val="28"/>
                <w:szCs w:val="28"/>
                <w:lang w:eastAsia="ja-JP" w:bidi="ar-SA"/>
              </w:rPr>
            </w:pPr>
          </w:p>
        </w:tc>
        <w:tc>
          <w:tcPr>
            <w:tcW w:w="1210" w:type="dxa"/>
            <w:shd w:val="pct15" w:color="auto" w:fill="FFFFFF"/>
          </w:tcPr>
          <w:p w:rsidR="000332F2" w:rsidRPr="009640F7" w:rsidRDefault="000332F2" w:rsidP="00DA5475">
            <w:pPr>
              <w:bidi w:val="0"/>
              <w:jc w:val="center"/>
              <w:rPr>
                <w:rFonts w:ascii="Arial" w:eastAsiaTheme="minorEastAsia" w:hAnsi="Arial" w:cs="Arial"/>
                <w:b/>
                <w:snapToGrid w:val="0"/>
                <w:sz w:val="18"/>
                <w:szCs w:val="18"/>
                <w:lang w:eastAsia="ja-JP" w:bidi="ar-SA"/>
              </w:rPr>
            </w:pPr>
          </w:p>
        </w:tc>
        <w:tc>
          <w:tcPr>
            <w:tcW w:w="1320" w:type="dxa"/>
            <w:shd w:val="pct15" w:color="auto" w:fill="FFFFFF"/>
          </w:tcPr>
          <w:p w:rsidR="000332F2" w:rsidRPr="009640F7" w:rsidRDefault="000332F2" w:rsidP="00DA5475">
            <w:pPr>
              <w:bidi w:val="0"/>
              <w:jc w:val="center"/>
              <w:rPr>
                <w:rFonts w:ascii="Arial" w:eastAsiaTheme="minorEastAsia" w:hAnsi="Arial" w:cs="Arial"/>
                <w:b/>
                <w:snapToGrid w:val="0"/>
                <w:sz w:val="18"/>
                <w:szCs w:val="18"/>
                <w:lang w:eastAsia="ja-JP" w:bidi="ar-SA"/>
              </w:rPr>
            </w:pPr>
            <w:r w:rsidRPr="009640F7">
              <w:rPr>
                <w:rFonts w:ascii="Arial" w:eastAsiaTheme="minorEastAsia" w:hAnsi="Arial" w:cs="Arial"/>
                <w:b/>
                <w:snapToGrid w:val="0"/>
                <w:sz w:val="18"/>
                <w:szCs w:val="18"/>
                <w:lang w:eastAsia="ja-JP" w:bidi="ar-SA"/>
              </w:rPr>
              <w:t>17,361,317</w:t>
            </w:r>
          </w:p>
        </w:tc>
        <w:tc>
          <w:tcPr>
            <w:tcW w:w="1430" w:type="dxa"/>
            <w:shd w:val="pct15" w:color="auto" w:fill="FFFFFF"/>
          </w:tcPr>
          <w:p w:rsidR="000332F2" w:rsidRPr="009640F7" w:rsidRDefault="000332F2" w:rsidP="00DA5475">
            <w:pPr>
              <w:bidi w:val="0"/>
              <w:jc w:val="center"/>
              <w:rPr>
                <w:rFonts w:ascii="Arial" w:eastAsiaTheme="minorEastAsia" w:hAnsi="Arial" w:cs="Arial"/>
                <w:b/>
                <w:snapToGrid w:val="0"/>
                <w:sz w:val="18"/>
                <w:szCs w:val="18"/>
                <w:lang w:eastAsia="ja-JP" w:bidi="ar-SA"/>
              </w:rPr>
            </w:pPr>
            <w:r w:rsidRPr="009640F7">
              <w:rPr>
                <w:rFonts w:ascii="Arial" w:eastAsiaTheme="minorEastAsia" w:hAnsi="Arial" w:cs="Arial"/>
                <w:b/>
                <w:snapToGrid w:val="0"/>
                <w:sz w:val="18"/>
                <w:szCs w:val="18"/>
                <w:lang w:eastAsia="ja-JP" w:bidi="ar-SA"/>
              </w:rPr>
              <w:t>17,361,317</w:t>
            </w:r>
          </w:p>
        </w:tc>
        <w:tc>
          <w:tcPr>
            <w:tcW w:w="1320" w:type="dxa"/>
            <w:shd w:val="pct15" w:color="auto" w:fill="FFFFFF"/>
          </w:tcPr>
          <w:p w:rsidR="000332F2" w:rsidRPr="009640F7" w:rsidRDefault="000332F2" w:rsidP="00DA5475">
            <w:pPr>
              <w:bidi w:val="0"/>
              <w:jc w:val="center"/>
              <w:rPr>
                <w:rFonts w:ascii="Arial" w:eastAsiaTheme="minorEastAsia" w:hAnsi="Arial" w:cs="Arial"/>
                <w:b/>
                <w:snapToGrid w:val="0"/>
                <w:sz w:val="18"/>
                <w:szCs w:val="18"/>
                <w:lang w:eastAsia="ja-JP" w:bidi="ar-SA"/>
              </w:rPr>
            </w:pPr>
            <w:r w:rsidRPr="009640F7">
              <w:rPr>
                <w:rFonts w:ascii="Arial" w:eastAsiaTheme="minorEastAsia" w:hAnsi="Arial" w:cs="Arial"/>
                <w:b/>
                <w:snapToGrid w:val="0"/>
                <w:sz w:val="18"/>
                <w:szCs w:val="18"/>
                <w:lang w:eastAsia="ja-JP" w:bidi="ar-SA"/>
              </w:rPr>
              <w:t>34,722,634</w:t>
            </w:r>
          </w:p>
        </w:tc>
      </w:tr>
    </w:tbl>
    <w:p w:rsidR="000332F2" w:rsidRPr="009640F7" w:rsidRDefault="000332F2" w:rsidP="00DA5475">
      <w:pPr>
        <w:spacing w:line="300" w:lineRule="exact"/>
        <w:ind w:left="425" w:hanging="425"/>
        <w:jc w:val="both"/>
        <w:rPr>
          <w:rFonts w:ascii="Arabic Typesetting" w:hAnsi="Arabic Typesetting" w:cs="Arabic Typesetting"/>
          <w:sz w:val="30"/>
          <w:szCs w:val="30"/>
          <w:rtl/>
          <w:lang w:bidi="ar-SA"/>
        </w:rPr>
      </w:pPr>
      <w:r w:rsidRPr="009640F7">
        <w:rPr>
          <w:rFonts w:ascii="Arabic Typesetting" w:hAnsi="Arabic Typesetting" w:cs="Arabic Typesetting" w:hint="cs"/>
          <w:sz w:val="30"/>
          <w:szCs w:val="30"/>
          <w:vertAlign w:val="superscript"/>
          <w:rtl/>
          <w:lang w:bidi="ar-SA"/>
        </w:rPr>
        <w:t>1</w:t>
      </w:r>
      <w:r w:rsidRPr="009640F7">
        <w:rPr>
          <w:rFonts w:ascii="Arabic Typesetting" w:hAnsi="Arabic Typesetting" w:cs="Arabic Typesetting" w:hint="cs"/>
          <w:sz w:val="30"/>
          <w:szCs w:val="30"/>
          <w:vertAlign w:val="superscript"/>
          <w:rtl/>
          <w:lang w:bidi="ar-SA"/>
        </w:rPr>
        <w:tab/>
      </w:r>
      <w:r w:rsidRPr="009640F7">
        <w:rPr>
          <w:rFonts w:ascii="Arabic Typesetting" w:hAnsi="Arabic Typesetting" w:cs="Arabic Typesetting" w:hint="cs"/>
          <w:sz w:val="30"/>
          <w:szCs w:val="30"/>
          <w:rtl/>
          <w:lang w:bidi="ar-SA"/>
        </w:rPr>
        <w:t>تظل قيمة الوحدة لسنتي</w:t>
      </w:r>
      <w:r w:rsidRPr="009640F7">
        <w:rPr>
          <w:rFonts w:ascii="Arabic Typesetting" w:hAnsi="Arabic Typesetting" w:cs="Arabic Typesetting"/>
          <w:sz w:val="30"/>
          <w:szCs w:val="30"/>
          <w:rtl/>
          <w:lang w:bidi="ar-SA"/>
        </w:rPr>
        <w:t xml:space="preserve"> </w:t>
      </w:r>
      <w:r w:rsidRPr="009640F7">
        <w:rPr>
          <w:rFonts w:ascii="Arabic Typesetting" w:hAnsi="Arabic Typesetting" w:cs="Arabic Typesetting" w:hint="cs"/>
          <w:sz w:val="30"/>
          <w:szCs w:val="30"/>
          <w:rtl/>
          <w:lang w:bidi="ar-SA"/>
        </w:rPr>
        <w:t>2016</w:t>
      </w:r>
      <w:r w:rsidRPr="009640F7">
        <w:rPr>
          <w:rFonts w:ascii="Arabic Typesetting" w:hAnsi="Arabic Typesetting" w:cs="Arabic Typesetting"/>
          <w:sz w:val="30"/>
          <w:szCs w:val="30"/>
          <w:rtl/>
          <w:lang w:bidi="ar-SA"/>
        </w:rPr>
        <w:t xml:space="preserve"> و</w:t>
      </w:r>
      <w:r w:rsidRPr="009640F7">
        <w:rPr>
          <w:rFonts w:ascii="Arabic Typesetting" w:hAnsi="Arabic Typesetting" w:cs="Arabic Typesetting" w:hint="cs"/>
          <w:sz w:val="30"/>
          <w:szCs w:val="30"/>
          <w:rtl/>
          <w:lang w:bidi="ar-SA"/>
        </w:rPr>
        <w:t xml:space="preserve">2017 </w:t>
      </w:r>
      <w:r w:rsidRPr="009640F7">
        <w:rPr>
          <w:rFonts w:ascii="Arabic Typesetting" w:hAnsi="Arabic Typesetting" w:cs="Arabic Typesetting"/>
          <w:sz w:val="30"/>
          <w:szCs w:val="30"/>
          <w:rtl/>
          <w:lang w:bidi="ar-SA"/>
        </w:rPr>
        <w:t xml:space="preserve">دون تغيير مقارنة بسنتي </w:t>
      </w:r>
      <w:r w:rsidRPr="009640F7">
        <w:rPr>
          <w:rFonts w:ascii="Arabic Typesetting" w:hAnsi="Arabic Typesetting" w:cs="Arabic Typesetting" w:hint="cs"/>
          <w:sz w:val="30"/>
          <w:szCs w:val="30"/>
          <w:rtl/>
          <w:lang w:bidi="ar-SA"/>
        </w:rPr>
        <w:t>2014</w:t>
      </w:r>
      <w:r w:rsidRPr="009640F7">
        <w:rPr>
          <w:rFonts w:ascii="Arabic Typesetting" w:hAnsi="Arabic Typesetting" w:cs="Arabic Typesetting"/>
          <w:sz w:val="30"/>
          <w:szCs w:val="30"/>
          <w:rtl/>
          <w:lang w:bidi="ar-SA"/>
        </w:rPr>
        <w:t xml:space="preserve"> </w:t>
      </w:r>
      <w:r w:rsidRPr="009640F7">
        <w:rPr>
          <w:rFonts w:ascii="Arabic Typesetting" w:hAnsi="Arabic Typesetting" w:cs="Arabic Typesetting" w:hint="cs"/>
          <w:sz w:val="30"/>
          <w:szCs w:val="30"/>
          <w:rtl/>
          <w:lang w:bidi="ar-SA"/>
        </w:rPr>
        <w:t>و2015</w:t>
      </w:r>
      <w:r w:rsidRPr="009640F7">
        <w:rPr>
          <w:rFonts w:ascii="Arabic Typesetting" w:hAnsi="Arabic Typesetting" w:cs="Arabic Typesetting"/>
          <w:sz w:val="30"/>
          <w:szCs w:val="30"/>
          <w:rtl/>
          <w:lang w:bidi="ar-SA"/>
        </w:rPr>
        <w:t xml:space="preserve"> و</w:t>
      </w:r>
      <w:r w:rsidRPr="009640F7">
        <w:rPr>
          <w:rFonts w:ascii="Arabic Typesetting" w:hAnsi="Arabic Typesetting" w:cs="Arabic Typesetting" w:hint="cs"/>
          <w:sz w:val="30"/>
          <w:szCs w:val="30"/>
          <w:rtl/>
          <w:lang w:bidi="ar-SA"/>
        </w:rPr>
        <w:t>قدرها</w:t>
      </w:r>
      <w:r w:rsidRPr="009640F7">
        <w:rPr>
          <w:rFonts w:ascii="Arabic Typesetting" w:hAnsi="Arabic Typesetting" w:cs="Arabic Typesetting"/>
          <w:sz w:val="30"/>
          <w:szCs w:val="30"/>
          <w:rtl/>
          <w:lang w:bidi="ar-SA"/>
        </w:rPr>
        <w:t xml:space="preserve"> 45,579</w:t>
      </w:r>
      <w:r w:rsidRPr="009640F7">
        <w:rPr>
          <w:rFonts w:ascii="Arabic Typesetting" w:hAnsi="Arabic Typesetting" w:cs="Arabic Typesetting" w:hint="cs"/>
          <w:sz w:val="30"/>
          <w:szCs w:val="30"/>
          <w:rtl/>
          <w:lang w:bidi="ar-SA"/>
        </w:rPr>
        <w:t xml:space="preserve"> </w:t>
      </w:r>
      <w:r w:rsidRPr="009640F7">
        <w:rPr>
          <w:rFonts w:ascii="Arabic Typesetting" w:hAnsi="Arabic Typesetting" w:cs="Arabic Typesetting"/>
          <w:sz w:val="30"/>
          <w:szCs w:val="30"/>
          <w:rtl/>
          <w:lang w:bidi="ar-SA"/>
        </w:rPr>
        <w:t>فرنكا سويسريا</w:t>
      </w:r>
      <w:r w:rsidRPr="009640F7">
        <w:rPr>
          <w:rFonts w:ascii="Arabic Typesetting" w:hAnsi="Arabic Typesetting" w:cs="Arabic Typesetting" w:hint="cs"/>
          <w:sz w:val="30"/>
          <w:szCs w:val="30"/>
          <w:rtl/>
          <w:lang w:bidi="ar-SA"/>
        </w:rPr>
        <w:t>.</w:t>
      </w:r>
    </w:p>
    <w:p w:rsidR="000332F2" w:rsidRPr="009640F7" w:rsidRDefault="000332F2" w:rsidP="00DA5475">
      <w:pPr>
        <w:spacing w:line="300" w:lineRule="exact"/>
        <w:ind w:left="423" w:hanging="423"/>
        <w:jc w:val="both"/>
        <w:rPr>
          <w:rFonts w:ascii="Arabic Typesetting" w:hAnsi="Arabic Typesetting" w:cs="Arabic Typesetting"/>
          <w:sz w:val="34"/>
          <w:szCs w:val="34"/>
          <w:rtl/>
          <w:lang w:bidi="ar-SA"/>
        </w:rPr>
      </w:pPr>
      <w:r w:rsidRPr="009640F7">
        <w:rPr>
          <w:rFonts w:ascii="Arabic Typesetting" w:hAnsi="Arabic Typesetting" w:cs="Arabic Typesetting"/>
          <w:sz w:val="30"/>
          <w:szCs w:val="30"/>
          <w:vertAlign w:val="superscript"/>
          <w:rtl/>
          <w:lang w:bidi="ar-SA"/>
        </w:rPr>
        <w:t>2</w:t>
      </w:r>
      <w:r w:rsidRPr="009640F7">
        <w:rPr>
          <w:rFonts w:ascii="Arabic Typesetting" w:hAnsi="Arabic Typesetting" w:cs="Arabic Typesetting"/>
          <w:sz w:val="30"/>
          <w:szCs w:val="30"/>
          <w:rtl/>
          <w:lang w:bidi="ar-SA"/>
        </w:rPr>
        <w:tab/>
        <w:t>الدول الأعضاء في الويبو وغير الأعضاء في أيٍّ من الاتحادات.</w:t>
      </w:r>
    </w:p>
    <w:p w:rsidR="000332F2" w:rsidRPr="009B7070" w:rsidRDefault="000332F2" w:rsidP="00DA5475">
      <w:pPr>
        <w:spacing w:line="300" w:lineRule="exact"/>
        <w:ind w:left="425" w:hanging="425"/>
        <w:jc w:val="both"/>
        <w:rPr>
          <w:rFonts w:ascii="Arabic Typesetting" w:hAnsi="Arabic Typesetting" w:cs="Arabic Typesetting"/>
          <w:sz w:val="34"/>
          <w:szCs w:val="34"/>
          <w:rtl/>
          <w:lang w:bidi="ar-SA"/>
        </w:rPr>
      </w:pPr>
    </w:p>
    <w:p w:rsidR="000332F2" w:rsidRPr="009B7070" w:rsidRDefault="000332F2" w:rsidP="00862268">
      <w:pPr>
        <w:spacing w:after="120" w:line="340" w:lineRule="exact"/>
        <w:jc w:val="both"/>
        <w:rPr>
          <w:rFonts w:ascii="Arabic Typesetting" w:hAnsi="Arabic Typesetting" w:cs="Arabic Typesetting"/>
          <w:sz w:val="34"/>
          <w:szCs w:val="34"/>
          <w:rtl/>
          <w:lang w:bidi="ar-SA"/>
        </w:rPr>
        <w:sectPr w:rsidR="000332F2" w:rsidRPr="009B7070" w:rsidSect="00DA5475">
          <w:footerReference w:type="first" r:id="rId334"/>
          <w:pgSz w:w="11906" w:h="16838" w:code="9"/>
          <w:pgMar w:top="1134" w:right="1418" w:bottom="1418" w:left="1134" w:header="510" w:footer="1021" w:gutter="0"/>
          <w:cols w:space="720"/>
          <w:bidi/>
          <w:rtlGutter/>
        </w:sectPr>
      </w:pPr>
    </w:p>
    <w:p w:rsidR="000332F2" w:rsidRPr="006444FA" w:rsidRDefault="000332F2" w:rsidP="00EA5693">
      <w:pPr>
        <w:pStyle w:val="StyleHeading3ComplexItalic"/>
        <w:tabs>
          <w:tab w:val="clear" w:pos="1985"/>
          <w:tab w:val="left" w:pos="0"/>
        </w:tabs>
        <w:bidi/>
        <w:spacing w:after="120" w:line="420" w:lineRule="exact"/>
        <w:outlineLvl w:val="0"/>
        <w:rPr>
          <w:rFonts w:ascii="Arabic Typesetting" w:hAnsi="Arabic Typesetting" w:cs="Arabic Typesetting"/>
          <w:b w:val="0"/>
          <w:bCs/>
          <w:i/>
          <w:iCs w:val="0"/>
          <w:caps w:val="0"/>
          <w:sz w:val="42"/>
          <w:szCs w:val="42"/>
          <w:rtl/>
        </w:rPr>
      </w:pPr>
      <w:bookmarkStart w:id="156" w:name="_Toc358744822"/>
      <w:bookmarkStart w:id="157" w:name="_Toc358745268"/>
      <w:bookmarkStart w:id="158" w:name="_Toc364355434"/>
      <w:bookmarkStart w:id="159" w:name="_Toc420595552"/>
      <w:r w:rsidRPr="006444FA">
        <w:rPr>
          <w:rFonts w:ascii="Arabic Typesetting" w:hAnsi="Arabic Typesetting" w:cs="Arabic Typesetting"/>
          <w:b w:val="0"/>
          <w:bCs/>
          <w:i/>
          <w:iCs w:val="0"/>
          <w:caps w:val="0"/>
          <w:sz w:val="42"/>
          <w:szCs w:val="42"/>
          <w:rtl/>
        </w:rPr>
        <w:lastRenderedPageBreak/>
        <w:t>الملحق باء</w:t>
      </w:r>
      <w:bookmarkEnd w:id="156"/>
      <w:bookmarkEnd w:id="157"/>
      <w:bookmarkEnd w:id="158"/>
      <w:bookmarkEnd w:id="159"/>
    </w:p>
    <w:p w:rsidR="000332F2" w:rsidRPr="008F20D9" w:rsidRDefault="000332F2" w:rsidP="00EA5693">
      <w:pPr>
        <w:pStyle w:val="StyleHeading3ComplexItalic"/>
        <w:tabs>
          <w:tab w:val="clear" w:pos="1985"/>
          <w:tab w:val="left" w:pos="0"/>
        </w:tabs>
        <w:bidi/>
        <w:spacing w:after="120" w:line="380" w:lineRule="exact"/>
        <w:outlineLvl w:val="9"/>
        <w:rPr>
          <w:rFonts w:ascii="Arabic Typesetting" w:hAnsi="Arabic Typesetting" w:cs="Arabic Typesetting"/>
          <w:b w:val="0"/>
          <w:bCs/>
          <w:i/>
          <w:iCs w:val="0"/>
          <w:caps w:val="0"/>
          <w:sz w:val="38"/>
          <w:szCs w:val="38"/>
          <w:rtl/>
        </w:rPr>
      </w:pPr>
      <w:bookmarkStart w:id="160" w:name="_Toc364355435"/>
      <w:r w:rsidRPr="008F20D9">
        <w:rPr>
          <w:rFonts w:ascii="Arabic Typesetting" w:hAnsi="Arabic Typesetting" w:cs="Arabic Typesetting"/>
          <w:b w:val="0"/>
          <w:bCs/>
          <w:i/>
          <w:iCs w:val="0"/>
          <w:caps w:val="0"/>
          <w:sz w:val="38"/>
          <w:szCs w:val="38"/>
          <w:rtl/>
        </w:rPr>
        <w:t xml:space="preserve">تعريف </w:t>
      </w:r>
      <w:bookmarkEnd w:id="160"/>
      <w:r>
        <w:rPr>
          <w:rFonts w:ascii="Arabic Typesetting" w:hAnsi="Arabic Typesetting" w:cs="Arabic Typesetting" w:hint="cs"/>
          <w:b w:val="0"/>
          <w:bCs/>
          <w:i/>
          <w:iCs w:val="0"/>
          <w:caps w:val="0"/>
          <w:sz w:val="38"/>
          <w:szCs w:val="38"/>
          <w:rtl/>
        </w:rPr>
        <w:t>فئات التكاليف</w:t>
      </w:r>
    </w:p>
    <w:p w:rsidR="000332F2" w:rsidRPr="009B7070" w:rsidRDefault="000332F2" w:rsidP="00862268">
      <w:pPr>
        <w:pStyle w:val="NormalParaAR"/>
        <w:spacing w:after="120" w:line="340" w:lineRule="exact"/>
        <w:rPr>
          <w:b/>
          <w:bCs/>
          <w:sz w:val="34"/>
          <w:szCs w:val="34"/>
          <w:rtl/>
          <w:lang w:val="fr-CH"/>
        </w:rPr>
      </w:pPr>
      <w:r w:rsidRPr="009B7070">
        <w:rPr>
          <w:b/>
          <w:bCs/>
          <w:sz w:val="34"/>
          <w:szCs w:val="34"/>
          <w:rtl/>
          <w:lang w:val="fr-CH"/>
        </w:rPr>
        <w:t>مصادر الإيرادات</w:t>
      </w:r>
    </w:p>
    <w:p w:rsidR="000332F2" w:rsidRPr="009B7070" w:rsidRDefault="000332F2" w:rsidP="00862268">
      <w:pPr>
        <w:pStyle w:val="NormalParaAR"/>
        <w:spacing w:after="120" w:line="340" w:lineRule="exact"/>
        <w:ind w:left="565"/>
        <w:rPr>
          <w:sz w:val="34"/>
          <w:szCs w:val="34"/>
          <w:rtl/>
          <w:lang w:val="fr-CH"/>
        </w:rPr>
      </w:pPr>
      <w:r w:rsidRPr="009B7070">
        <w:rPr>
          <w:b/>
          <w:bCs/>
          <w:i/>
          <w:iCs/>
          <w:sz w:val="34"/>
          <w:szCs w:val="34"/>
          <w:rtl/>
          <w:lang w:val="fr-CH"/>
        </w:rPr>
        <w:t>الاشتراكات:</w:t>
      </w:r>
      <w:r w:rsidRPr="009B7070">
        <w:rPr>
          <w:sz w:val="34"/>
          <w:szCs w:val="34"/>
          <w:rtl/>
          <w:lang w:val="fr-CH"/>
        </w:rPr>
        <w:t xml:space="preserve">  اشتراكات الدول الأعضاء المقدمة إلى المنظمة بناء على النظام أحادي الاشتراكات.</w:t>
      </w:r>
    </w:p>
    <w:p w:rsidR="000332F2" w:rsidRPr="009B7070" w:rsidRDefault="000332F2" w:rsidP="00DA5475">
      <w:pPr>
        <w:pStyle w:val="NormalParaAR"/>
        <w:spacing w:after="120" w:line="340" w:lineRule="exact"/>
        <w:ind w:left="565"/>
        <w:rPr>
          <w:sz w:val="34"/>
          <w:szCs w:val="34"/>
          <w:rtl/>
          <w:lang w:val="fr-CH"/>
        </w:rPr>
      </w:pPr>
      <w:r w:rsidRPr="009B7070">
        <w:rPr>
          <w:b/>
          <w:bCs/>
          <w:i/>
          <w:iCs/>
          <w:sz w:val="34"/>
          <w:szCs w:val="34"/>
          <w:rtl/>
          <w:lang w:val="fr-CH"/>
        </w:rPr>
        <w:t>الرسوم:</w:t>
      </w:r>
      <w:r w:rsidRPr="009B7070">
        <w:rPr>
          <w:sz w:val="34"/>
          <w:szCs w:val="34"/>
          <w:rtl/>
          <w:lang w:val="fr-CH"/>
        </w:rPr>
        <w:t xml:space="preserve">  الرسوم المدفوعة للمكتب الدولي بناء على نظام معاهدة التعاون بشأن البراءات </w:t>
      </w:r>
      <w:r w:rsidRPr="009B7070">
        <w:rPr>
          <w:rFonts w:hint="cs"/>
          <w:sz w:val="34"/>
          <w:szCs w:val="34"/>
          <w:rtl/>
          <w:lang w:val="fr-CH"/>
        </w:rPr>
        <w:t xml:space="preserve">وأنظمة </w:t>
      </w:r>
      <w:r w:rsidRPr="009B7070">
        <w:rPr>
          <w:sz w:val="34"/>
          <w:szCs w:val="34"/>
          <w:rtl/>
          <w:lang w:val="fr-CH"/>
        </w:rPr>
        <w:t>مدريد ولاهاي ولشبونة</w:t>
      </w:r>
      <w:r w:rsidRPr="009B7070">
        <w:rPr>
          <w:sz w:val="34"/>
          <w:szCs w:val="34"/>
          <w:lang w:val="fr-CH"/>
        </w:rPr>
        <w:t xml:space="preserve"> </w:t>
      </w:r>
      <w:r w:rsidRPr="009B7070">
        <w:rPr>
          <w:rFonts w:hint="cs"/>
          <w:sz w:val="34"/>
          <w:szCs w:val="34"/>
          <w:rtl/>
          <w:lang w:val="fr-CH"/>
        </w:rPr>
        <w:t xml:space="preserve"> صافية مما يرتبط بها من تسويات العملات</w:t>
      </w:r>
      <w:r w:rsidRPr="009B7070">
        <w:rPr>
          <w:sz w:val="34"/>
          <w:szCs w:val="34"/>
          <w:rtl/>
          <w:lang w:val="fr-CH"/>
        </w:rPr>
        <w:t>.</w:t>
      </w:r>
    </w:p>
    <w:p w:rsidR="000332F2" w:rsidRPr="009B7070" w:rsidRDefault="000332F2" w:rsidP="00DA5475">
      <w:pPr>
        <w:pStyle w:val="NormalParaAR"/>
        <w:spacing w:after="120" w:line="340" w:lineRule="exact"/>
        <w:ind w:left="565"/>
        <w:rPr>
          <w:sz w:val="34"/>
          <w:szCs w:val="34"/>
          <w:rtl/>
          <w:lang w:val="fr-CH"/>
        </w:rPr>
      </w:pPr>
      <w:r w:rsidRPr="009B7070">
        <w:rPr>
          <w:rFonts w:hint="cs"/>
          <w:b/>
          <w:bCs/>
          <w:i/>
          <w:iCs/>
          <w:sz w:val="34"/>
          <w:szCs w:val="34"/>
          <w:rtl/>
          <w:lang w:val="fr-CH"/>
        </w:rPr>
        <w:t>التحكيم:</w:t>
      </w:r>
      <w:r w:rsidRPr="009B7070">
        <w:rPr>
          <w:rFonts w:hint="cs"/>
          <w:sz w:val="34"/>
          <w:szCs w:val="34"/>
          <w:rtl/>
          <w:lang w:val="fr-CH"/>
        </w:rPr>
        <w:t xml:space="preserve">  </w:t>
      </w:r>
      <w:r w:rsidRPr="009B7070">
        <w:rPr>
          <w:sz w:val="34"/>
          <w:szCs w:val="34"/>
          <w:rtl/>
          <w:lang w:val="fr-CH"/>
        </w:rPr>
        <w:t>رسوم التحكيم في المنازعات المتعلقة بأسماء الحقول</w:t>
      </w:r>
      <w:r w:rsidRPr="009B7070">
        <w:rPr>
          <w:rFonts w:hint="cs"/>
          <w:sz w:val="34"/>
          <w:szCs w:val="34"/>
          <w:rtl/>
          <w:lang w:val="fr-CH"/>
        </w:rPr>
        <w:t>، ورسوم التسجيل للمشاركة في اجتماعات مركز الويبو للتحكيم والوساطة صافية مما يرتبط بها من تسويات العملات.</w:t>
      </w:r>
    </w:p>
    <w:p w:rsidR="000332F2" w:rsidRPr="009B7070" w:rsidRDefault="000332F2" w:rsidP="00DA5475">
      <w:pPr>
        <w:pStyle w:val="NormalParaAR"/>
        <w:spacing w:after="120" w:line="340" w:lineRule="exact"/>
        <w:ind w:left="565"/>
        <w:rPr>
          <w:sz w:val="34"/>
          <w:szCs w:val="34"/>
          <w:rtl/>
          <w:lang w:val="fr-CH"/>
        </w:rPr>
      </w:pPr>
      <w:r w:rsidRPr="009B7070">
        <w:rPr>
          <w:rFonts w:hint="cs"/>
          <w:b/>
          <w:bCs/>
          <w:i/>
          <w:iCs/>
          <w:sz w:val="34"/>
          <w:szCs w:val="34"/>
          <w:rtl/>
          <w:lang w:val="fr-CH"/>
        </w:rPr>
        <w:t>إيرادات الاستثمار</w:t>
      </w:r>
      <w:r w:rsidRPr="009B7070">
        <w:rPr>
          <w:b/>
          <w:bCs/>
          <w:i/>
          <w:iCs/>
          <w:sz w:val="34"/>
          <w:szCs w:val="34"/>
          <w:rtl/>
          <w:lang w:val="fr-CH"/>
        </w:rPr>
        <w:t>:</w:t>
      </w:r>
      <w:r w:rsidRPr="009B7070">
        <w:rPr>
          <w:sz w:val="34"/>
          <w:szCs w:val="34"/>
          <w:rtl/>
          <w:lang w:val="fr-CH"/>
        </w:rPr>
        <w:t xml:space="preserve">  الإيرادات المحصلة من </w:t>
      </w:r>
      <w:r w:rsidRPr="009B7070">
        <w:rPr>
          <w:rFonts w:hint="cs"/>
          <w:sz w:val="34"/>
          <w:szCs w:val="34"/>
          <w:rtl/>
          <w:lang w:val="fr-CH"/>
        </w:rPr>
        <w:t>الاستثمارات، بما فيها</w:t>
      </w:r>
      <w:r w:rsidRPr="009B7070">
        <w:rPr>
          <w:sz w:val="34"/>
          <w:szCs w:val="34"/>
          <w:rtl/>
          <w:lang w:val="fr-CH"/>
        </w:rPr>
        <w:t xml:space="preserve"> </w:t>
      </w:r>
      <w:r w:rsidRPr="009B7070">
        <w:rPr>
          <w:rFonts w:hint="cs"/>
          <w:sz w:val="34"/>
          <w:szCs w:val="34"/>
          <w:rtl/>
          <w:lang w:val="fr-CH"/>
        </w:rPr>
        <w:t xml:space="preserve">فوائد </w:t>
      </w:r>
      <w:r w:rsidRPr="009B7070">
        <w:rPr>
          <w:sz w:val="34"/>
          <w:szCs w:val="34"/>
          <w:rtl/>
          <w:lang w:val="fr-CH"/>
        </w:rPr>
        <w:t>الأموال المودعة.</w:t>
      </w:r>
    </w:p>
    <w:p w:rsidR="000332F2" w:rsidRPr="009B7070" w:rsidRDefault="000332F2" w:rsidP="00862268">
      <w:pPr>
        <w:pStyle w:val="NormalParaAR"/>
        <w:spacing w:after="120" w:line="340" w:lineRule="exact"/>
        <w:ind w:left="565"/>
        <w:rPr>
          <w:sz w:val="34"/>
          <w:szCs w:val="34"/>
          <w:rtl/>
          <w:lang w:val="fr-CH"/>
        </w:rPr>
      </w:pPr>
      <w:r w:rsidRPr="009B7070">
        <w:rPr>
          <w:b/>
          <w:bCs/>
          <w:i/>
          <w:iCs/>
          <w:sz w:val="34"/>
          <w:szCs w:val="34"/>
          <w:rtl/>
          <w:lang w:val="fr-CH"/>
        </w:rPr>
        <w:t>المنشورات:</w:t>
      </w:r>
      <w:r w:rsidRPr="009B7070">
        <w:rPr>
          <w:sz w:val="34"/>
          <w:szCs w:val="34"/>
          <w:rtl/>
          <w:lang w:val="fr-CH"/>
        </w:rPr>
        <w:t xml:space="preserve">  الإيرادات المحصلة من بيع المنشورات والاشتراك في الدوريات التي تنشرها الأمانة على الورق أو أقراص مدمجة أو بأي شكل آخر.</w:t>
      </w:r>
    </w:p>
    <w:p w:rsidR="000332F2" w:rsidRPr="009B7070" w:rsidRDefault="000332F2" w:rsidP="00DA5475">
      <w:pPr>
        <w:pStyle w:val="NormalParaAR"/>
        <w:spacing w:after="120" w:line="340" w:lineRule="exact"/>
        <w:ind w:left="565"/>
        <w:rPr>
          <w:sz w:val="34"/>
          <w:szCs w:val="34"/>
          <w:rtl/>
          <w:lang w:val="fr-CH"/>
        </w:rPr>
      </w:pPr>
      <w:r w:rsidRPr="009B7070">
        <w:rPr>
          <w:b/>
          <w:bCs/>
          <w:i/>
          <w:iCs/>
          <w:sz w:val="34"/>
          <w:szCs w:val="34"/>
          <w:rtl/>
          <w:lang w:val="fr-CH"/>
        </w:rPr>
        <w:t xml:space="preserve">الإيرادات </w:t>
      </w:r>
      <w:r w:rsidRPr="009B7070">
        <w:rPr>
          <w:rFonts w:hint="cs"/>
          <w:b/>
          <w:bCs/>
          <w:i/>
          <w:iCs/>
          <w:sz w:val="34"/>
          <w:szCs w:val="34"/>
          <w:rtl/>
          <w:lang w:val="fr-CH"/>
        </w:rPr>
        <w:t>النثرية</w:t>
      </w:r>
      <w:r w:rsidRPr="009B7070">
        <w:rPr>
          <w:b/>
          <w:bCs/>
          <w:i/>
          <w:iCs/>
          <w:sz w:val="34"/>
          <w:szCs w:val="34"/>
          <w:rtl/>
          <w:lang w:val="fr-CH"/>
        </w:rPr>
        <w:t>:</w:t>
      </w:r>
      <w:r w:rsidRPr="009B7070">
        <w:rPr>
          <w:sz w:val="34"/>
          <w:szCs w:val="34"/>
          <w:rtl/>
          <w:lang w:val="fr-CH"/>
        </w:rPr>
        <w:t xml:space="preserve">  رسوم التسجيل </w:t>
      </w:r>
      <w:r w:rsidRPr="009B7070">
        <w:rPr>
          <w:rFonts w:hint="cs"/>
          <w:sz w:val="34"/>
          <w:szCs w:val="34"/>
          <w:rtl/>
          <w:lang w:val="fr-CH"/>
        </w:rPr>
        <w:t xml:space="preserve">للمشاركة في </w:t>
      </w:r>
      <w:r w:rsidRPr="009B7070">
        <w:rPr>
          <w:sz w:val="34"/>
          <w:szCs w:val="34"/>
          <w:rtl/>
          <w:lang w:val="fr-CH"/>
        </w:rPr>
        <w:t>المؤتمرات والدورات التدريبية وتكاليف الدعم فيما يتعلق بأنشطة الويبو الخارجة عن الميزانية والممولة من برنامج الأمم المتحدة الإنمائي وبالأموال الاستئمانية، وتسويات المحاسبة (الجانب الدائن) المتعلقة بالسنوات السابقة وتسويات سعر الصرف</w:t>
      </w:r>
      <w:r w:rsidRPr="009B7070">
        <w:rPr>
          <w:rFonts w:hint="cs"/>
          <w:sz w:val="34"/>
          <w:szCs w:val="34"/>
          <w:rtl/>
          <w:lang w:val="fr-CH"/>
        </w:rPr>
        <w:t>،</w:t>
      </w:r>
      <w:r w:rsidRPr="009B7070">
        <w:rPr>
          <w:sz w:val="34"/>
          <w:szCs w:val="34"/>
          <w:rtl/>
          <w:lang w:val="fr-CH"/>
        </w:rPr>
        <w:t xml:space="preserve"> وتأجير مباني الويبو ومدفوعات الأوبوف إلى الويبو مقابل خدمات الدعم الإداري.</w:t>
      </w:r>
    </w:p>
    <w:p w:rsidR="000332F2" w:rsidRPr="009B7070" w:rsidRDefault="000332F2" w:rsidP="00862268">
      <w:pPr>
        <w:pStyle w:val="NormalParaAR"/>
        <w:spacing w:after="120" w:line="340" w:lineRule="exact"/>
        <w:rPr>
          <w:b/>
          <w:bCs/>
          <w:sz w:val="34"/>
          <w:szCs w:val="34"/>
          <w:rtl/>
          <w:lang w:val="fr-CH"/>
        </w:rPr>
      </w:pPr>
      <w:r w:rsidRPr="009B7070">
        <w:rPr>
          <w:b/>
          <w:bCs/>
          <w:sz w:val="34"/>
          <w:szCs w:val="34"/>
          <w:rtl/>
          <w:lang w:val="fr-CH"/>
        </w:rPr>
        <w:t>أغراض الإنفاق</w:t>
      </w:r>
    </w:p>
    <w:p w:rsidR="000332F2" w:rsidRPr="009B7070" w:rsidRDefault="000332F2" w:rsidP="00DA5475">
      <w:pPr>
        <w:pStyle w:val="NormalParaAR"/>
        <w:spacing w:after="120" w:line="340" w:lineRule="exact"/>
        <w:rPr>
          <w:sz w:val="34"/>
          <w:szCs w:val="34"/>
          <w:rtl/>
          <w:lang w:val="fr-CH"/>
        </w:rPr>
      </w:pPr>
      <w:r w:rsidRPr="009B7070">
        <w:rPr>
          <w:rFonts w:hint="cs"/>
          <w:sz w:val="34"/>
          <w:szCs w:val="34"/>
          <w:rtl/>
          <w:lang w:val="fr-CH"/>
        </w:rPr>
        <w:t xml:space="preserve">موارد </w:t>
      </w:r>
      <w:proofErr w:type="spellStart"/>
      <w:r w:rsidRPr="009B7070">
        <w:rPr>
          <w:rFonts w:hint="cs"/>
          <w:sz w:val="34"/>
          <w:szCs w:val="34"/>
          <w:rtl/>
          <w:lang w:val="fr-CH"/>
        </w:rPr>
        <w:t>الموطفين</w:t>
      </w:r>
      <w:proofErr w:type="spellEnd"/>
    </w:p>
    <w:p w:rsidR="000332F2" w:rsidRPr="009B7070" w:rsidRDefault="000332F2" w:rsidP="00862268">
      <w:pPr>
        <w:pStyle w:val="NormalParaAR"/>
        <w:spacing w:after="120" w:line="340" w:lineRule="exact"/>
        <w:ind w:left="565"/>
        <w:rPr>
          <w:sz w:val="34"/>
          <w:szCs w:val="34"/>
          <w:rtl/>
          <w:lang w:val="fr-CH"/>
        </w:rPr>
      </w:pPr>
      <w:r w:rsidRPr="009B7070">
        <w:rPr>
          <w:b/>
          <w:bCs/>
          <w:i/>
          <w:iCs/>
          <w:sz w:val="34"/>
          <w:szCs w:val="34"/>
          <w:rtl/>
          <w:lang w:val="fr-CH"/>
        </w:rPr>
        <w:t>الوظائف:</w:t>
      </w:r>
      <w:r w:rsidRPr="009B7070">
        <w:rPr>
          <w:sz w:val="34"/>
          <w:szCs w:val="34"/>
          <w:rtl/>
          <w:lang w:val="fr-CH"/>
        </w:rPr>
        <w:t xml:space="preserve">  الأجور التي يحصل عليها الموظفون وخاصة المرتبات وتسويات المقر وعلاوات الإعالة وعلاوات تعلم اللغات وساعات العمل الإضافية وبدل الاغتراب ومنحة الانتداب والتمثيل.</w:t>
      </w:r>
    </w:p>
    <w:p w:rsidR="000332F2" w:rsidRPr="009B7070" w:rsidRDefault="000332F2" w:rsidP="00862268">
      <w:pPr>
        <w:pStyle w:val="NormalParaAR"/>
        <w:spacing w:after="120" w:line="340" w:lineRule="exact"/>
        <w:ind w:left="565"/>
        <w:rPr>
          <w:sz w:val="34"/>
          <w:szCs w:val="34"/>
          <w:rtl/>
          <w:lang w:val="fr-CH"/>
        </w:rPr>
      </w:pPr>
      <w:r w:rsidRPr="009B7070">
        <w:rPr>
          <w:rFonts w:hint="cs"/>
          <w:b/>
          <w:bCs/>
          <w:i/>
          <w:iCs/>
          <w:sz w:val="34"/>
          <w:szCs w:val="34"/>
          <w:rtl/>
          <w:lang w:val="fr-CH"/>
        </w:rPr>
        <w:t xml:space="preserve">الموظفون </w:t>
      </w:r>
      <w:r w:rsidRPr="009B7070">
        <w:rPr>
          <w:b/>
          <w:bCs/>
          <w:i/>
          <w:iCs/>
          <w:sz w:val="34"/>
          <w:szCs w:val="34"/>
          <w:rtl/>
          <w:lang w:val="fr-CH"/>
        </w:rPr>
        <w:t>المؤقتون:</w:t>
      </w:r>
      <w:r w:rsidRPr="009B7070">
        <w:rPr>
          <w:sz w:val="34"/>
          <w:szCs w:val="34"/>
          <w:rtl/>
          <w:lang w:val="fr-CH"/>
        </w:rPr>
        <w:t xml:space="preserve">  الأجور والعلاوات المدفوعة </w:t>
      </w:r>
      <w:r w:rsidRPr="009B7070">
        <w:rPr>
          <w:rFonts w:hint="cs"/>
          <w:sz w:val="34"/>
          <w:szCs w:val="34"/>
          <w:rtl/>
          <w:lang w:val="fr-CH"/>
        </w:rPr>
        <w:t xml:space="preserve">للعاملين </w:t>
      </w:r>
      <w:r w:rsidRPr="009B7070">
        <w:rPr>
          <w:sz w:val="34"/>
          <w:szCs w:val="34"/>
          <w:rtl/>
          <w:lang w:val="fr-CH"/>
        </w:rPr>
        <w:t xml:space="preserve">بعقود </w:t>
      </w:r>
      <w:r w:rsidRPr="009B7070">
        <w:rPr>
          <w:rFonts w:hint="cs"/>
          <w:sz w:val="34"/>
          <w:szCs w:val="34"/>
          <w:rtl/>
          <w:lang w:val="fr-CH"/>
        </w:rPr>
        <w:t>مؤقتة في الفئة المهنية وفي فئة الخدمات العامة</w:t>
      </w:r>
      <w:r w:rsidRPr="009B7070">
        <w:rPr>
          <w:sz w:val="34"/>
          <w:szCs w:val="34"/>
          <w:rtl/>
          <w:lang w:val="fr-CH"/>
        </w:rPr>
        <w:t>.</w:t>
      </w:r>
    </w:p>
    <w:p w:rsidR="000332F2" w:rsidRPr="009B7070" w:rsidRDefault="000332F2" w:rsidP="00DA5475">
      <w:pPr>
        <w:pStyle w:val="NormalParaAR"/>
        <w:spacing w:after="120" w:line="340" w:lineRule="exact"/>
        <w:ind w:left="565"/>
        <w:rPr>
          <w:b/>
          <w:bCs/>
          <w:i/>
          <w:iCs/>
          <w:sz w:val="34"/>
          <w:szCs w:val="34"/>
          <w:rtl/>
          <w:lang w:val="fr-CH"/>
        </w:rPr>
      </w:pPr>
      <w:r w:rsidRPr="009B7070">
        <w:rPr>
          <w:rFonts w:hint="cs"/>
          <w:b/>
          <w:bCs/>
          <w:i/>
          <w:iCs/>
          <w:sz w:val="34"/>
          <w:szCs w:val="34"/>
          <w:rtl/>
          <w:lang w:val="fr-CH"/>
        </w:rPr>
        <w:t xml:space="preserve">تكاليف الموظفين الأخرى: </w:t>
      </w:r>
      <w:r w:rsidRPr="009B7070">
        <w:rPr>
          <w:rFonts w:hint="cs"/>
          <w:i/>
          <w:iCs/>
          <w:sz w:val="34"/>
          <w:szCs w:val="34"/>
          <w:rtl/>
          <w:lang w:val="fr-CH"/>
        </w:rPr>
        <w:t xml:space="preserve"> مخصصات التأمين ضد حوادث العمل، وصندوق المعاشات التقاعدية المغلق، وتكاليف التقاضي، وبرنامج ا</w:t>
      </w:r>
      <w:r w:rsidRPr="009B7070">
        <w:rPr>
          <w:i/>
          <w:iCs/>
          <w:sz w:val="34"/>
          <w:szCs w:val="34"/>
          <w:rtl/>
          <w:lang w:val="fr-CH"/>
        </w:rPr>
        <w:t>لمكافآت والتقدير</w:t>
      </w:r>
      <w:r w:rsidRPr="009B7070">
        <w:rPr>
          <w:rFonts w:hint="cs"/>
          <w:i/>
          <w:iCs/>
          <w:sz w:val="34"/>
          <w:szCs w:val="34"/>
          <w:rtl/>
          <w:lang w:val="fr-CH"/>
        </w:rPr>
        <w:t>.</w:t>
      </w:r>
    </w:p>
    <w:p w:rsidR="000332F2" w:rsidRPr="009B7070" w:rsidRDefault="000332F2" w:rsidP="00862268">
      <w:pPr>
        <w:pStyle w:val="NormalParaAR"/>
        <w:spacing w:after="120" w:line="340" w:lineRule="exact"/>
        <w:rPr>
          <w:sz w:val="34"/>
          <w:szCs w:val="34"/>
          <w:rtl/>
          <w:lang w:val="fr-CH"/>
        </w:rPr>
      </w:pPr>
      <w:r w:rsidRPr="009B7070">
        <w:rPr>
          <w:rFonts w:hint="cs"/>
          <w:sz w:val="34"/>
          <w:szCs w:val="34"/>
          <w:rtl/>
          <w:lang w:val="fr-CH"/>
        </w:rPr>
        <w:t>موارد خلاف الموظفين</w:t>
      </w:r>
    </w:p>
    <w:p w:rsidR="000332F2" w:rsidRPr="009B7070" w:rsidRDefault="000332F2" w:rsidP="00862268">
      <w:pPr>
        <w:pStyle w:val="NormalParaAR"/>
        <w:keepNext/>
        <w:spacing w:after="120" w:line="340" w:lineRule="exact"/>
        <w:rPr>
          <w:b/>
          <w:bCs/>
          <w:sz w:val="34"/>
          <w:szCs w:val="34"/>
          <w:rtl/>
          <w:lang w:val="fr-CH"/>
        </w:rPr>
      </w:pPr>
      <w:r w:rsidRPr="009B7070">
        <w:rPr>
          <w:rFonts w:hint="cs"/>
          <w:b/>
          <w:bCs/>
          <w:sz w:val="34"/>
          <w:szCs w:val="34"/>
          <w:rtl/>
          <w:lang w:val="fr-CH"/>
        </w:rPr>
        <w:t>المتدربون ومنح الويبو</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lang w:val="fr-CH"/>
        </w:rPr>
      </w:pPr>
      <w:r w:rsidRPr="009B7070">
        <w:rPr>
          <w:rFonts w:ascii="Arabic Typesetting" w:hAnsi="Arabic Typesetting" w:cs="Arabic Typesetting" w:hint="cs"/>
          <w:b/>
          <w:bCs/>
          <w:i/>
          <w:iCs/>
          <w:sz w:val="34"/>
          <w:szCs w:val="34"/>
          <w:rtl/>
          <w:lang w:val="fr-CH"/>
        </w:rPr>
        <w:t>المتدربون</w:t>
      </w:r>
      <w:r w:rsidRPr="009B7070">
        <w:rPr>
          <w:rFonts w:ascii="Arabic Typesetting" w:hAnsi="Arabic Typesetting" w:cs="Arabic Typesetting" w:hint="cs"/>
          <w:sz w:val="34"/>
          <w:szCs w:val="34"/>
          <w:rtl/>
          <w:lang w:val="fr-CH"/>
        </w:rPr>
        <w:t xml:space="preserve">:  </w:t>
      </w:r>
      <w:r w:rsidRPr="009B7070">
        <w:rPr>
          <w:rFonts w:ascii="Arabic Typesetting" w:hAnsi="Arabic Typesetting" w:cs="Arabic Typesetting"/>
          <w:sz w:val="34"/>
          <w:szCs w:val="34"/>
          <w:rtl/>
          <w:lang w:val="fr-CH"/>
        </w:rPr>
        <w:t>الأجور والعلاوات المدفوعة للمتدربين في المقرّ.</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hint="cs"/>
          <w:b/>
          <w:bCs/>
          <w:i/>
          <w:iCs/>
          <w:sz w:val="34"/>
          <w:szCs w:val="34"/>
          <w:rtl/>
          <w:lang w:val="fr-CH"/>
        </w:rPr>
        <w:t>منح الويبو</w:t>
      </w:r>
      <w:r w:rsidRPr="009B7070">
        <w:rPr>
          <w:rFonts w:ascii="Arabic Typesetting" w:hAnsi="Arabic Typesetting" w:cs="Arabic Typesetting" w:hint="cs"/>
          <w:sz w:val="34"/>
          <w:szCs w:val="34"/>
          <w:rtl/>
          <w:lang w:val="fr-CH"/>
        </w:rPr>
        <w:t>:  المصروفات المتعلقة بأنشطة التدريب التي تقدم في إطارها منح نقدية للأفراد المؤهلين لأغراض تحقيق أهداف تعليمية خاصة.</w:t>
      </w:r>
    </w:p>
    <w:p w:rsidR="000332F2" w:rsidRPr="009B7070" w:rsidRDefault="000332F2" w:rsidP="00DA5475">
      <w:pPr>
        <w:pStyle w:val="NormalParaAR"/>
        <w:keepNext/>
        <w:spacing w:after="120" w:line="340" w:lineRule="exact"/>
        <w:rPr>
          <w:b/>
          <w:bCs/>
          <w:sz w:val="34"/>
          <w:szCs w:val="34"/>
          <w:rtl/>
          <w:lang w:val="fr-CH"/>
        </w:rPr>
      </w:pPr>
      <w:r w:rsidRPr="009B7070">
        <w:rPr>
          <w:b/>
          <w:bCs/>
          <w:sz w:val="34"/>
          <w:szCs w:val="34"/>
          <w:rtl/>
          <w:lang w:val="fr-CH"/>
        </w:rPr>
        <w:t>الأسفار</w:t>
      </w:r>
      <w:r w:rsidRPr="009B7070">
        <w:rPr>
          <w:rFonts w:hint="cs"/>
          <w:b/>
          <w:bCs/>
          <w:sz w:val="34"/>
          <w:szCs w:val="34"/>
          <w:rtl/>
          <w:lang w:val="fr-CH"/>
        </w:rPr>
        <w:t xml:space="preserve"> والتدريب </w:t>
      </w:r>
      <w:r w:rsidRPr="009B7070">
        <w:rPr>
          <w:b/>
          <w:bCs/>
          <w:sz w:val="34"/>
          <w:szCs w:val="34"/>
          <w:rtl/>
          <w:lang w:val="fr-CH"/>
        </w:rPr>
        <w:t>والمنح</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b/>
          <w:bCs/>
          <w:i/>
          <w:iCs/>
          <w:sz w:val="34"/>
          <w:szCs w:val="34"/>
          <w:rtl/>
          <w:lang w:val="fr-CH"/>
        </w:rPr>
      </w:pPr>
      <w:r w:rsidRPr="009B7070">
        <w:rPr>
          <w:rFonts w:ascii="Arabic Typesetting" w:hAnsi="Arabic Typesetting" w:cs="Arabic Typesetting"/>
          <w:b/>
          <w:bCs/>
          <w:i/>
          <w:iCs/>
          <w:sz w:val="34"/>
          <w:szCs w:val="34"/>
          <w:rtl/>
          <w:lang w:val="fr-CH"/>
        </w:rPr>
        <w:t>مهمات الموظفين:</w:t>
      </w:r>
      <w:r w:rsidRPr="009B7070">
        <w:rPr>
          <w:rFonts w:ascii="Arabic Typesetting" w:hAnsi="Arabic Typesetting" w:cs="Arabic Typesetting"/>
          <w:sz w:val="34"/>
          <w:szCs w:val="34"/>
          <w:rtl/>
          <w:lang w:val="fr-CH"/>
        </w:rPr>
        <w:t xml:space="preserve">  مصروفات السفر وبدل الإقامة اليومي </w:t>
      </w:r>
      <w:r w:rsidRPr="009B7070">
        <w:rPr>
          <w:rFonts w:ascii="Arabic Typesetting" w:hAnsi="Arabic Typesetting" w:cs="Arabic Typesetting" w:hint="cs"/>
          <w:sz w:val="34"/>
          <w:szCs w:val="34"/>
          <w:rtl/>
          <w:lang w:val="fr-CH"/>
        </w:rPr>
        <w:t xml:space="preserve">لجميع الموظفين </w:t>
      </w:r>
      <w:r w:rsidRPr="009B7070">
        <w:rPr>
          <w:rFonts w:ascii="Arabic Typesetting" w:hAnsi="Arabic Typesetting" w:cs="Arabic Typesetting"/>
          <w:sz w:val="34"/>
          <w:szCs w:val="34"/>
          <w:rtl/>
          <w:lang w:val="fr-CH"/>
        </w:rPr>
        <w:t>المكلّفين بمهمات رسمية.</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b/>
          <w:bCs/>
          <w:i/>
          <w:iCs/>
          <w:sz w:val="34"/>
          <w:szCs w:val="34"/>
          <w:rtl/>
          <w:lang w:val="fr-CH"/>
        </w:rPr>
      </w:pPr>
      <w:r w:rsidRPr="009B7070">
        <w:rPr>
          <w:rFonts w:ascii="Arabic Typesetting" w:hAnsi="Arabic Typesetting" w:cs="Arabic Typesetting"/>
          <w:b/>
          <w:bCs/>
          <w:i/>
          <w:iCs/>
          <w:sz w:val="34"/>
          <w:szCs w:val="34"/>
          <w:rtl/>
          <w:lang w:val="fr-CH"/>
        </w:rPr>
        <w:t>أسفار الغير:</w:t>
      </w:r>
      <w:r w:rsidRPr="009B7070">
        <w:rPr>
          <w:rFonts w:ascii="Arabic Typesetting" w:hAnsi="Arabic Typesetting" w:cs="Arabic Typesetting"/>
          <w:sz w:val="34"/>
          <w:szCs w:val="34"/>
          <w:rtl/>
          <w:lang w:val="fr-CH"/>
        </w:rPr>
        <w:t xml:space="preserve">  مصروفات السفر وبدل الإقامة اليومي لل</w:t>
      </w:r>
      <w:r w:rsidRPr="009B7070">
        <w:rPr>
          <w:rFonts w:ascii="Arabic Typesetting" w:hAnsi="Arabic Typesetting" w:cs="Arabic Typesetting" w:hint="cs"/>
          <w:sz w:val="34"/>
          <w:szCs w:val="34"/>
          <w:rtl/>
          <w:lang w:val="fr-CH"/>
        </w:rPr>
        <w:t>غير، بما فيها تكاليف السفر لل</w:t>
      </w:r>
      <w:r w:rsidRPr="009B7070">
        <w:rPr>
          <w:rFonts w:ascii="Arabic Typesetting" w:hAnsi="Arabic Typesetting" w:cs="Arabic Typesetting"/>
          <w:sz w:val="34"/>
          <w:szCs w:val="34"/>
          <w:rtl/>
          <w:lang w:val="fr-CH"/>
        </w:rPr>
        <w:t xml:space="preserve">مسؤولين الحكوميين والمشاركين </w:t>
      </w:r>
      <w:r w:rsidRPr="009B7070">
        <w:rPr>
          <w:rFonts w:ascii="Arabic Typesetting" w:hAnsi="Arabic Typesetting" w:cs="Arabic Typesetting" w:hint="cs"/>
          <w:sz w:val="34"/>
          <w:szCs w:val="34"/>
          <w:rtl/>
          <w:lang w:val="fr-CH"/>
        </w:rPr>
        <w:t xml:space="preserve">والمحاضرين المشاركين </w:t>
      </w:r>
      <w:r w:rsidRPr="009B7070">
        <w:rPr>
          <w:rFonts w:ascii="Arabic Typesetting" w:hAnsi="Arabic Typesetting" w:cs="Arabic Typesetting"/>
          <w:sz w:val="34"/>
          <w:szCs w:val="34"/>
          <w:rtl/>
          <w:lang w:val="fr-CH"/>
        </w:rPr>
        <w:t>في الاجتماعات التي ترعاها الويبو.</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b/>
          <w:bCs/>
          <w:i/>
          <w:iCs/>
          <w:sz w:val="34"/>
          <w:szCs w:val="34"/>
          <w:rtl/>
          <w:lang w:val="fr-CH"/>
        </w:rPr>
      </w:pPr>
      <w:r w:rsidRPr="009B7070">
        <w:rPr>
          <w:rFonts w:ascii="Arabic Typesetting" w:hAnsi="Arabic Typesetting" w:cs="Arabic Typesetting" w:hint="cs"/>
          <w:b/>
          <w:bCs/>
          <w:i/>
          <w:iCs/>
          <w:sz w:val="34"/>
          <w:szCs w:val="34"/>
          <w:rtl/>
          <w:lang w:val="fr-CH" w:bidi="ar-SA"/>
        </w:rPr>
        <w:t>التدريب وما يرتبط به من منح الأسفار</w:t>
      </w:r>
      <w:r w:rsidRPr="009B7070">
        <w:rPr>
          <w:rFonts w:ascii="Arabic Typesetting" w:hAnsi="Arabic Typesetting" w:cs="Arabic Typesetting"/>
          <w:b/>
          <w:bCs/>
          <w:i/>
          <w:iCs/>
          <w:sz w:val="34"/>
          <w:szCs w:val="34"/>
          <w:rtl/>
          <w:lang w:val="fr-CH"/>
        </w:rPr>
        <w:t>:</w:t>
      </w:r>
      <w:r w:rsidRPr="009B7070">
        <w:rPr>
          <w:rFonts w:ascii="Arabic Typesetting" w:hAnsi="Arabic Typesetting" w:cs="Arabic Typesetting"/>
          <w:sz w:val="34"/>
          <w:szCs w:val="34"/>
          <w:rtl/>
          <w:lang w:val="fr-CH"/>
        </w:rPr>
        <w:t xml:space="preserve">  مصروفات السفر وبدل الإقامة اليومي ورسم التدريب وغيرها من الرسوم المرتبطة بحضور المتدربين في </w:t>
      </w:r>
      <w:r w:rsidRPr="009B7070">
        <w:rPr>
          <w:rFonts w:ascii="Arabic Typesetting" w:hAnsi="Arabic Typesetting" w:cs="Arabic Typesetting" w:hint="cs"/>
          <w:sz w:val="34"/>
          <w:szCs w:val="34"/>
          <w:rtl/>
          <w:lang w:val="fr-CH"/>
        </w:rPr>
        <w:t xml:space="preserve">الدورات </w:t>
      </w:r>
      <w:r w:rsidRPr="009B7070">
        <w:rPr>
          <w:rFonts w:ascii="Arabic Typesetting" w:hAnsi="Arabic Typesetting" w:cs="Arabic Typesetting"/>
          <w:sz w:val="34"/>
          <w:szCs w:val="34"/>
          <w:rtl/>
          <w:lang w:val="fr-CH"/>
        </w:rPr>
        <w:t>والندوات والبرامج المدعومة بالمنح الدراسية.</w:t>
      </w:r>
    </w:p>
    <w:p w:rsidR="000332F2" w:rsidRPr="009B7070" w:rsidRDefault="000332F2" w:rsidP="00862268">
      <w:pPr>
        <w:pStyle w:val="NormalParaAR"/>
        <w:keepNext/>
        <w:spacing w:after="120" w:line="340" w:lineRule="exact"/>
        <w:rPr>
          <w:b/>
          <w:bCs/>
          <w:sz w:val="34"/>
          <w:szCs w:val="34"/>
          <w:rtl/>
          <w:lang w:val="fr-CH"/>
        </w:rPr>
      </w:pPr>
      <w:r w:rsidRPr="009B7070">
        <w:rPr>
          <w:b/>
          <w:bCs/>
          <w:sz w:val="34"/>
          <w:szCs w:val="34"/>
          <w:rtl/>
          <w:lang w:val="fr-CH"/>
        </w:rPr>
        <w:lastRenderedPageBreak/>
        <w:t>الخدمات التعاقدية</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b/>
          <w:bCs/>
          <w:i/>
          <w:iCs/>
          <w:sz w:val="34"/>
          <w:szCs w:val="34"/>
          <w:rtl/>
          <w:lang w:val="fr-CH"/>
        </w:rPr>
        <w:t>المؤتمرات:</w:t>
      </w:r>
      <w:r w:rsidRPr="009B7070">
        <w:rPr>
          <w:rFonts w:ascii="Arabic Typesetting" w:hAnsi="Arabic Typesetting" w:cs="Arabic Typesetting"/>
          <w:sz w:val="34"/>
          <w:szCs w:val="34"/>
          <w:rtl/>
          <w:lang w:val="fr-CH"/>
        </w:rPr>
        <w:t xml:space="preserve">  الأجور ومصروفات السفر وبدل الإقامة اليومي للمترجمين الفوريين واستئجار مرافق المؤتمرات والأجهزة والمعدات اللازمة للترجمة الفورية </w:t>
      </w:r>
      <w:r w:rsidRPr="009B7070">
        <w:rPr>
          <w:rFonts w:ascii="Arabic Typesetting" w:hAnsi="Arabic Typesetting" w:cs="Arabic Typesetting" w:hint="cs"/>
          <w:sz w:val="34"/>
          <w:szCs w:val="34"/>
          <w:rtl/>
          <w:lang w:val="fr-CH"/>
        </w:rPr>
        <w:t>والمرطبات</w:t>
      </w:r>
      <w:r w:rsidRPr="009B7070">
        <w:rPr>
          <w:rFonts w:ascii="Arabic Typesetting" w:hAnsi="Arabic Typesetting" w:cs="Arabic Typesetting"/>
          <w:sz w:val="34"/>
          <w:szCs w:val="34"/>
          <w:rtl/>
          <w:lang w:val="fr-CH"/>
        </w:rPr>
        <w:t xml:space="preserve"> وحفلات الاستقبال وتكاليف أية خدمات أخرى مرتبطة مباشرة بتنظيم المؤتمرات.</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b/>
          <w:bCs/>
          <w:i/>
          <w:iCs/>
          <w:sz w:val="34"/>
          <w:szCs w:val="34"/>
          <w:rtl/>
          <w:lang w:val="fr-CH"/>
        </w:rPr>
        <w:t>النش</w:t>
      </w:r>
      <w:r w:rsidRPr="009B7070">
        <w:rPr>
          <w:rFonts w:ascii="Arabic Typesetting" w:hAnsi="Arabic Typesetting" w:cs="Arabic Typesetting" w:hint="cs"/>
          <w:b/>
          <w:bCs/>
          <w:i/>
          <w:iCs/>
          <w:sz w:val="34"/>
          <w:szCs w:val="34"/>
          <w:rtl/>
          <w:lang w:val="fr-CH"/>
        </w:rPr>
        <w:t>ر:</w:t>
      </w:r>
      <w:r w:rsidRPr="009B7070">
        <w:rPr>
          <w:rFonts w:ascii="Arabic Typesetting" w:hAnsi="Arabic Typesetting" w:cs="Arabic Typesetting"/>
          <w:sz w:val="34"/>
          <w:szCs w:val="34"/>
          <w:rtl/>
          <w:lang w:val="fr-CH"/>
        </w:rPr>
        <w:t xml:space="preserve">  النشر والتجليد خارج المنظمة والمجلات والورق والطباعة وأعمال الطباعة الأخرى: إعادة طباعة المقالات المنشورة في المجلات، والكتيبات والمعاهدات ومجموعات النصوص والدلائل الإرشادية واستمارات العمل والمواد المطبوعة المتنوعة الأخرى، وإصدار مواد على أقراص مدمجة وشرائط فيديو وشرائط </w:t>
      </w:r>
      <w:r w:rsidRPr="009B7070">
        <w:rPr>
          <w:rFonts w:ascii="Arabic Typesetting" w:hAnsi="Arabic Typesetting" w:cs="Arabic Typesetting" w:hint="cs"/>
          <w:sz w:val="34"/>
          <w:szCs w:val="34"/>
          <w:rtl/>
          <w:lang w:val="fr-CH"/>
        </w:rPr>
        <w:t>ممغنطة</w:t>
      </w:r>
      <w:r w:rsidRPr="009B7070">
        <w:rPr>
          <w:rFonts w:ascii="Arabic Typesetting" w:hAnsi="Arabic Typesetting" w:cs="Arabic Typesetting"/>
          <w:sz w:val="34"/>
          <w:szCs w:val="34"/>
          <w:rtl/>
          <w:lang w:val="fr-CH"/>
        </w:rPr>
        <w:t xml:space="preserve"> وسائر أشكال النشر الإلكتروني.</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lang w:val="fr-CH"/>
        </w:rPr>
      </w:pPr>
      <w:r w:rsidRPr="009B7070">
        <w:rPr>
          <w:rFonts w:ascii="Arabic Typesetting" w:hAnsi="Arabic Typesetting" w:cs="Arabic Typesetting" w:hint="cs"/>
          <w:b/>
          <w:bCs/>
          <w:i/>
          <w:iCs/>
          <w:sz w:val="34"/>
          <w:szCs w:val="34"/>
          <w:rtl/>
          <w:lang w:val="fr-CH"/>
        </w:rPr>
        <w:t>الخدمات التعاقدية الفردية</w:t>
      </w:r>
      <w:r w:rsidRPr="009B7070">
        <w:rPr>
          <w:rFonts w:ascii="Arabic Typesetting" w:hAnsi="Arabic Typesetting" w:cs="Arabic Typesetting"/>
          <w:b/>
          <w:bCs/>
          <w:i/>
          <w:iCs/>
          <w:sz w:val="34"/>
          <w:szCs w:val="34"/>
          <w:rtl/>
          <w:lang w:val="fr-CH"/>
        </w:rPr>
        <w:t>:</w:t>
      </w:r>
      <w:r w:rsidRPr="009B7070">
        <w:rPr>
          <w:rFonts w:ascii="Arabic Typesetting" w:hAnsi="Arabic Typesetting" w:cs="Arabic Typesetting"/>
          <w:sz w:val="34"/>
          <w:szCs w:val="34"/>
          <w:rtl/>
          <w:lang w:val="fr-CH"/>
        </w:rPr>
        <w:t xml:space="preserve">  </w:t>
      </w:r>
      <w:r w:rsidRPr="009B7070">
        <w:rPr>
          <w:rFonts w:ascii="Arabic Typesetting" w:hAnsi="Arabic Typesetting" w:cs="Arabic Typesetting" w:hint="cs"/>
          <w:sz w:val="34"/>
          <w:szCs w:val="34"/>
          <w:rtl/>
          <w:lang w:val="fr-CH"/>
        </w:rPr>
        <w:t>الأجور المدفوعة لقاء الخدمات التعاقدية الفردية.</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lang w:val="fr-CH"/>
        </w:rPr>
      </w:pPr>
      <w:r w:rsidRPr="009B7070">
        <w:rPr>
          <w:rFonts w:ascii="Arabic Typesetting" w:hAnsi="Arabic Typesetting" w:cs="Arabic Typesetting" w:hint="cs"/>
          <w:b/>
          <w:bCs/>
          <w:i/>
          <w:iCs/>
          <w:sz w:val="34"/>
          <w:szCs w:val="34"/>
          <w:rtl/>
          <w:lang w:val="fr-CH"/>
        </w:rPr>
        <w:t>خدمات تعاقدية أخرى:</w:t>
      </w:r>
      <w:r w:rsidRPr="009B7070">
        <w:rPr>
          <w:rFonts w:ascii="Arabic Typesetting" w:hAnsi="Arabic Typesetting" w:cs="Arabic Typesetting" w:hint="cs"/>
          <w:sz w:val="34"/>
          <w:szCs w:val="34"/>
          <w:rtl/>
          <w:lang w:val="fr-CH"/>
        </w:rPr>
        <w:t xml:space="preserve">  تشمل جميع الخدمات التعاقدية الأخرى التي يحصل عليها من مقدمي خدمات تجاريين وغير تجاريين. </w:t>
      </w:r>
    </w:p>
    <w:p w:rsidR="000332F2" w:rsidRPr="009B7070" w:rsidRDefault="000332F2" w:rsidP="00DA5475">
      <w:pPr>
        <w:pStyle w:val="NormalParaAR"/>
        <w:keepNext/>
        <w:spacing w:after="120" w:line="340" w:lineRule="exact"/>
        <w:rPr>
          <w:b/>
          <w:bCs/>
          <w:sz w:val="34"/>
          <w:szCs w:val="34"/>
          <w:rtl/>
          <w:lang w:val="fr-CH"/>
        </w:rPr>
      </w:pPr>
      <w:r w:rsidRPr="009B7070">
        <w:rPr>
          <w:rFonts w:hint="cs"/>
          <w:b/>
          <w:bCs/>
          <w:sz w:val="34"/>
          <w:szCs w:val="34"/>
          <w:rtl/>
          <w:lang w:val="fr-CH"/>
        </w:rPr>
        <w:t>تكاليف الخدمات المالية</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b/>
          <w:bCs/>
          <w:i/>
          <w:iCs/>
          <w:sz w:val="34"/>
          <w:szCs w:val="34"/>
          <w:rtl/>
          <w:lang w:val="fr-CH"/>
        </w:rPr>
      </w:pPr>
      <w:r w:rsidRPr="009B7070">
        <w:rPr>
          <w:rFonts w:ascii="Arabic Typesetting" w:hAnsi="Arabic Typesetting" w:cs="Arabic Typesetting" w:hint="cs"/>
          <w:b/>
          <w:bCs/>
          <w:i/>
          <w:iCs/>
          <w:sz w:val="34"/>
          <w:szCs w:val="34"/>
          <w:rtl/>
          <w:lang w:val="fr-CH"/>
        </w:rPr>
        <w:t xml:space="preserve">تكاليف الخدمات المالية: </w:t>
      </w:r>
      <w:r w:rsidRPr="009B7070">
        <w:rPr>
          <w:rFonts w:ascii="Arabic Typesetting" w:hAnsi="Arabic Typesetting" w:cs="Arabic Typesetting" w:hint="cs"/>
          <w:sz w:val="34"/>
          <w:szCs w:val="34"/>
          <w:rtl/>
          <w:lang w:val="fr-CH"/>
        </w:rPr>
        <w:t>فوائد القروض والتكاليف المصرفية.</w:t>
      </w:r>
    </w:p>
    <w:p w:rsidR="000332F2" w:rsidRPr="009B7070" w:rsidRDefault="000332F2" w:rsidP="00862268">
      <w:pPr>
        <w:pStyle w:val="NormalParaAR"/>
        <w:keepNext/>
        <w:spacing w:after="120" w:line="340" w:lineRule="exact"/>
        <w:rPr>
          <w:b/>
          <w:bCs/>
          <w:sz w:val="34"/>
          <w:szCs w:val="34"/>
          <w:rtl/>
          <w:lang w:val="fr-CH"/>
        </w:rPr>
      </w:pPr>
      <w:r w:rsidRPr="009B7070">
        <w:rPr>
          <w:b/>
          <w:bCs/>
          <w:sz w:val="34"/>
          <w:szCs w:val="34"/>
          <w:rtl/>
          <w:lang w:val="fr-CH"/>
        </w:rPr>
        <w:t>مصروفات التشغيل</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b/>
          <w:bCs/>
          <w:i/>
          <w:iCs/>
          <w:sz w:val="34"/>
          <w:szCs w:val="34"/>
          <w:rtl/>
          <w:lang w:val="fr-CH"/>
        </w:rPr>
        <w:t>المباني والصيانة:</w:t>
      </w:r>
      <w:r w:rsidRPr="009B7070">
        <w:rPr>
          <w:rFonts w:ascii="Arabic Typesetting" w:hAnsi="Arabic Typesetting" w:cs="Arabic Typesetting"/>
          <w:sz w:val="34"/>
          <w:szCs w:val="34"/>
          <w:rtl/>
          <w:lang w:val="fr-CH"/>
        </w:rPr>
        <w:t xml:space="preserve">  اقتناء أماكن العمل واستئجار أماكن عمل أخرى وتحسينها وصيانتها</w:t>
      </w:r>
      <w:r w:rsidRPr="009B7070">
        <w:rPr>
          <w:rFonts w:ascii="Arabic Typesetting" w:hAnsi="Arabic Typesetting" w:cs="Arabic Typesetting" w:hint="cs"/>
          <w:sz w:val="34"/>
          <w:szCs w:val="34"/>
          <w:rtl/>
          <w:lang w:val="fr-CH"/>
        </w:rPr>
        <w:t>،</w:t>
      </w:r>
      <w:r w:rsidRPr="009B7070">
        <w:rPr>
          <w:rFonts w:ascii="Arabic Typesetting" w:hAnsi="Arabic Typesetting" w:cs="Arabic Typesetting"/>
          <w:sz w:val="34"/>
          <w:szCs w:val="34"/>
          <w:rtl/>
          <w:lang w:val="fr-CH"/>
        </w:rPr>
        <w:t xml:space="preserve"> واستئجار الأجهزة والمعدات والأثاث أو صيانتها</w:t>
      </w:r>
      <w:r w:rsidRPr="009B7070">
        <w:rPr>
          <w:rFonts w:ascii="Arabic Typesetting" w:hAnsi="Arabic Typesetting" w:cs="Arabic Typesetting" w:hint="cs"/>
          <w:sz w:val="34"/>
          <w:szCs w:val="34"/>
          <w:rtl/>
          <w:lang w:val="fr-CH"/>
        </w:rPr>
        <w:t xml:space="preserve">، </w:t>
      </w:r>
      <w:r w:rsidRPr="009B7070">
        <w:rPr>
          <w:rFonts w:ascii="Arabic Typesetting" w:hAnsi="Arabic Typesetting" w:cs="Arabic Typesetting"/>
          <w:sz w:val="34"/>
          <w:szCs w:val="34"/>
          <w:rtl/>
          <w:lang w:val="fr-CH"/>
        </w:rPr>
        <w:t>وتكاليف الخبراء الاستشاريين الخارجيين لإدارة أعمال البناء الجديد.</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b/>
          <w:bCs/>
          <w:i/>
          <w:iCs/>
          <w:sz w:val="34"/>
          <w:szCs w:val="34"/>
          <w:rtl/>
          <w:lang w:val="fr-CH"/>
        </w:rPr>
        <w:t xml:space="preserve">الاتصالات:  </w:t>
      </w:r>
      <w:r w:rsidRPr="009B7070">
        <w:rPr>
          <w:rFonts w:ascii="Arabic Typesetting" w:hAnsi="Arabic Typesetting" w:cs="Arabic Typesetting"/>
          <w:sz w:val="34"/>
          <w:szCs w:val="34"/>
          <w:rtl/>
          <w:lang w:val="fr-CH"/>
        </w:rPr>
        <w:t>مصروفات الاتصالات مثل الهاتف والإنترنت والفاكس والبريد ونقل الوثائق بالبريد والشحن</w:t>
      </w:r>
      <w:r w:rsidRPr="009B7070">
        <w:rPr>
          <w:rFonts w:ascii="Arabic Typesetting" w:hAnsi="Arabic Typesetting" w:cs="Arabic Typesetting" w:hint="cs"/>
          <w:sz w:val="34"/>
          <w:szCs w:val="34"/>
          <w:rtl/>
          <w:lang w:val="fr-CH"/>
        </w:rPr>
        <w:t xml:space="preserve">. </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hint="cs"/>
          <w:b/>
          <w:bCs/>
          <w:i/>
          <w:iCs/>
          <w:sz w:val="34"/>
          <w:szCs w:val="34"/>
          <w:rtl/>
          <w:lang w:val="fr-CH"/>
        </w:rPr>
        <w:t>التمثيل ومصروفات التشغيل الأخرى</w:t>
      </w:r>
      <w:r w:rsidRPr="009B7070">
        <w:rPr>
          <w:rFonts w:ascii="Arabic Typesetting" w:hAnsi="Arabic Typesetting" w:cs="Arabic Typesetting" w:hint="cs"/>
          <w:b/>
          <w:bCs/>
          <w:sz w:val="34"/>
          <w:szCs w:val="34"/>
          <w:rtl/>
          <w:lang w:val="fr-CH"/>
        </w:rPr>
        <w:t>:</w:t>
      </w:r>
      <w:r w:rsidRPr="009B7070">
        <w:rPr>
          <w:rFonts w:ascii="Arabic Typesetting" w:hAnsi="Arabic Typesetting" w:cs="Arabic Typesetting" w:hint="cs"/>
          <w:sz w:val="34"/>
          <w:szCs w:val="34"/>
          <w:rtl/>
          <w:lang w:val="fr-CH"/>
        </w:rPr>
        <w:t xml:space="preserve">  الضيافة الرسمية، وإسهام الويبو في جمعية الموظفين، ومصروفات التشغيل الأخرى.</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hint="cs"/>
          <w:b/>
          <w:bCs/>
          <w:i/>
          <w:iCs/>
          <w:sz w:val="34"/>
          <w:szCs w:val="34"/>
          <w:rtl/>
          <w:lang w:val="fr-CH"/>
        </w:rPr>
        <w:t xml:space="preserve">خدمات الأمم المتحدة المشتركة:  </w:t>
      </w:r>
      <w:r w:rsidRPr="009B7070">
        <w:rPr>
          <w:rFonts w:ascii="Arabic Typesetting" w:hAnsi="Arabic Typesetting" w:cs="Arabic Typesetting"/>
          <w:sz w:val="34"/>
          <w:szCs w:val="34"/>
          <w:rtl/>
          <w:lang w:val="fr-CH"/>
        </w:rPr>
        <w:t xml:space="preserve">المساعدة الطبية والمساهمة في الأنشطة الإدارية المشتركة في منظومة الأمم المتحدة، </w:t>
      </w:r>
      <w:r w:rsidRPr="009B7070">
        <w:rPr>
          <w:rFonts w:ascii="Arabic Typesetting" w:hAnsi="Arabic Typesetting" w:cs="Arabic Typesetting" w:hint="cs"/>
          <w:sz w:val="34"/>
          <w:szCs w:val="34"/>
          <w:rtl/>
          <w:lang w:val="fr-CH"/>
        </w:rPr>
        <w:t xml:space="preserve"> وأنشطة الأمم المتحدة المشتركة التكاليف </w:t>
      </w:r>
      <w:r w:rsidRPr="009B7070">
        <w:rPr>
          <w:rFonts w:ascii="Arabic Typesetting" w:hAnsi="Arabic Typesetting" w:cs="Arabic Typesetting"/>
          <w:sz w:val="34"/>
          <w:szCs w:val="34"/>
          <w:rtl/>
          <w:lang w:val="fr-CH"/>
        </w:rPr>
        <w:t xml:space="preserve">والمحكمة الإدارية </w:t>
      </w:r>
    </w:p>
    <w:p w:rsidR="000332F2" w:rsidRPr="009B7070" w:rsidRDefault="000332F2" w:rsidP="00DA5475">
      <w:pPr>
        <w:pStyle w:val="NormalParaAR"/>
        <w:keepNext/>
        <w:spacing w:after="120" w:line="340" w:lineRule="exact"/>
        <w:rPr>
          <w:b/>
          <w:bCs/>
          <w:sz w:val="34"/>
          <w:szCs w:val="34"/>
          <w:rtl/>
          <w:lang w:val="fr-CH"/>
        </w:rPr>
      </w:pPr>
      <w:r w:rsidRPr="009B7070">
        <w:rPr>
          <w:b/>
          <w:bCs/>
          <w:sz w:val="34"/>
          <w:szCs w:val="34"/>
          <w:rtl/>
          <w:lang w:val="fr-CH"/>
        </w:rPr>
        <w:t>الأجهزة والإمدادات</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b/>
          <w:bCs/>
          <w:i/>
          <w:iCs/>
          <w:sz w:val="34"/>
          <w:szCs w:val="34"/>
          <w:rtl/>
          <w:lang w:val="fr-CH"/>
        </w:rPr>
        <w:t>الأثاث والأجهزة:</w:t>
      </w:r>
      <w:r w:rsidRPr="009B7070">
        <w:rPr>
          <w:rFonts w:ascii="Arabic Typesetting" w:hAnsi="Arabic Typesetting" w:cs="Arabic Typesetting"/>
          <w:sz w:val="34"/>
          <w:szCs w:val="34"/>
          <w:rtl/>
          <w:lang w:val="fr-CH"/>
        </w:rPr>
        <w:t xml:space="preserve">  </w:t>
      </w:r>
      <w:r w:rsidRPr="009B7070">
        <w:rPr>
          <w:rFonts w:ascii="Arabic Typesetting" w:hAnsi="Arabic Typesetting" w:cs="Arabic Typesetting" w:hint="cs"/>
          <w:sz w:val="34"/>
          <w:szCs w:val="34"/>
          <w:rtl/>
          <w:lang w:val="fr-CH"/>
        </w:rPr>
        <w:t xml:space="preserve">اقتناء </w:t>
      </w:r>
      <w:r w:rsidRPr="009B7070">
        <w:rPr>
          <w:rFonts w:ascii="Arabic Typesetting" w:hAnsi="Arabic Typesetting" w:cs="Arabic Typesetting"/>
          <w:sz w:val="34"/>
          <w:szCs w:val="34"/>
          <w:rtl/>
          <w:lang w:val="fr-CH"/>
        </w:rPr>
        <w:t xml:space="preserve">أثاث المكاتب والآلات المكتبية والتجهيزات الحاسوبية (الحواسيب المكتبية والحواسيب </w:t>
      </w:r>
      <w:r w:rsidRPr="009B7070">
        <w:rPr>
          <w:rFonts w:ascii="Arabic Typesetting" w:hAnsi="Arabic Typesetting" w:cs="Arabic Typesetting" w:hint="cs"/>
          <w:sz w:val="34"/>
          <w:szCs w:val="34"/>
          <w:rtl/>
          <w:lang w:val="fr-CH"/>
        </w:rPr>
        <w:t>المحمولة</w:t>
      </w:r>
      <w:r w:rsidRPr="009B7070">
        <w:rPr>
          <w:rFonts w:ascii="Arabic Typesetting" w:hAnsi="Arabic Typesetting" w:cs="Arabic Typesetting"/>
          <w:sz w:val="34"/>
          <w:szCs w:val="34"/>
          <w:rtl/>
          <w:lang w:val="fr-CH"/>
        </w:rPr>
        <w:t xml:space="preserve"> والطابعات وموردات الخدمات وغيرها) وأجهزة خدمات المؤتمرات وأجهزة </w:t>
      </w:r>
      <w:r w:rsidRPr="009B7070">
        <w:rPr>
          <w:rFonts w:ascii="Arabic Typesetting" w:hAnsi="Arabic Typesetting" w:cs="Arabic Typesetting" w:hint="cs"/>
          <w:sz w:val="34"/>
          <w:szCs w:val="34"/>
          <w:rtl/>
          <w:lang w:val="fr-CH"/>
        </w:rPr>
        <w:t xml:space="preserve">النسخ وآلات </w:t>
      </w:r>
      <w:r w:rsidRPr="009B7070">
        <w:rPr>
          <w:rFonts w:ascii="Arabic Typesetting" w:hAnsi="Arabic Typesetting" w:cs="Arabic Typesetting"/>
          <w:sz w:val="34"/>
          <w:szCs w:val="34"/>
          <w:rtl/>
          <w:lang w:val="fr-CH"/>
        </w:rPr>
        <w:t>النقل.</w:t>
      </w:r>
    </w:p>
    <w:p w:rsidR="000332F2" w:rsidRPr="009B7070" w:rsidRDefault="000332F2" w:rsidP="000332F2">
      <w:pPr>
        <w:numPr>
          <w:ilvl w:val="0"/>
          <w:numId w:val="57"/>
        </w:numPr>
        <w:spacing w:after="120" w:line="340" w:lineRule="exact"/>
        <w:ind w:left="1281" w:hanging="357"/>
        <w:rPr>
          <w:rFonts w:ascii="Arabic Typesetting" w:hAnsi="Arabic Typesetting" w:cs="Arabic Typesetting"/>
          <w:sz w:val="34"/>
          <w:szCs w:val="34"/>
          <w:rtl/>
          <w:lang w:val="fr-CH"/>
        </w:rPr>
      </w:pPr>
      <w:r w:rsidRPr="009B7070">
        <w:rPr>
          <w:rFonts w:ascii="Arabic Typesetting" w:hAnsi="Arabic Typesetting" w:cs="Arabic Typesetting"/>
          <w:b/>
          <w:bCs/>
          <w:i/>
          <w:iCs/>
          <w:sz w:val="34"/>
          <w:szCs w:val="34"/>
          <w:rtl/>
          <w:lang w:val="fr-CH"/>
        </w:rPr>
        <w:t>الإمدادات واللوازم:</w:t>
      </w:r>
      <w:r w:rsidRPr="009B7070">
        <w:rPr>
          <w:rFonts w:ascii="Arabic Typesetting" w:hAnsi="Arabic Typesetting" w:cs="Arabic Typesetting"/>
          <w:sz w:val="34"/>
          <w:szCs w:val="34"/>
          <w:rtl/>
          <w:lang w:val="fr-CH"/>
        </w:rPr>
        <w:t xml:space="preserve">  </w:t>
      </w:r>
      <w:r w:rsidRPr="009B7070">
        <w:rPr>
          <w:rFonts w:ascii="Arabic Typesetting" w:hAnsi="Arabic Typesetting" w:cs="Arabic Typesetting" w:hint="cs"/>
          <w:sz w:val="34"/>
          <w:szCs w:val="34"/>
          <w:rtl/>
          <w:lang w:val="fr-CH"/>
        </w:rPr>
        <w:t xml:space="preserve">الإمدادات </w:t>
      </w:r>
      <w:r w:rsidRPr="009B7070">
        <w:rPr>
          <w:rFonts w:ascii="Arabic Typesetting" w:hAnsi="Arabic Typesetting" w:cs="Arabic Typesetting"/>
          <w:sz w:val="34"/>
          <w:szCs w:val="34"/>
          <w:rtl/>
          <w:lang w:val="fr-CH"/>
        </w:rPr>
        <w:t xml:space="preserve">القرطاسية واللوازم المكتبية ولوازم </w:t>
      </w:r>
      <w:r w:rsidRPr="009B7070">
        <w:rPr>
          <w:rFonts w:ascii="Arabic Typesetting" w:hAnsi="Arabic Typesetting" w:cs="Arabic Typesetting" w:hint="cs"/>
          <w:sz w:val="34"/>
          <w:szCs w:val="34"/>
          <w:rtl/>
          <w:lang w:val="fr-CH"/>
        </w:rPr>
        <w:t xml:space="preserve">النسخ </w:t>
      </w:r>
      <w:r w:rsidRPr="009B7070">
        <w:rPr>
          <w:rFonts w:ascii="Arabic Typesetting" w:hAnsi="Arabic Typesetting" w:cs="Arabic Typesetting"/>
          <w:sz w:val="34"/>
          <w:szCs w:val="34"/>
          <w:rtl/>
          <w:lang w:val="fr-CH"/>
        </w:rPr>
        <w:t>داخل المنظمة (</w:t>
      </w:r>
      <w:proofErr w:type="spellStart"/>
      <w:r w:rsidRPr="009B7070">
        <w:rPr>
          <w:rFonts w:ascii="Arabic Typesetting" w:hAnsi="Arabic Typesetting" w:cs="Arabic Typesetting"/>
          <w:sz w:val="34"/>
          <w:szCs w:val="34"/>
          <w:rtl/>
          <w:lang w:val="fr-CH"/>
        </w:rPr>
        <w:t>الأوفست</w:t>
      </w:r>
      <w:proofErr w:type="spellEnd"/>
      <w:r w:rsidRPr="009B7070">
        <w:rPr>
          <w:rFonts w:ascii="Arabic Typesetting" w:hAnsi="Arabic Typesetting" w:cs="Arabic Typesetting"/>
          <w:sz w:val="34"/>
          <w:szCs w:val="34"/>
          <w:rtl/>
          <w:lang w:val="fr-CH"/>
        </w:rPr>
        <w:t xml:space="preserve"> </w:t>
      </w:r>
      <w:r w:rsidRPr="009B7070">
        <w:rPr>
          <w:rFonts w:ascii="Arabic Typesetting" w:hAnsi="Arabic Typesetting" w:cs="Arabic Typesetting" w:hint="cs"/>
          <w:sz w:val="34"/>
          <w:szCs w:val="34"/>
          <w:rtl/>
          <w:lang w:val="fr-CH"/>
        </w:rPr>
        <w:t xml:space="preserve">والميكروفيلم </w:t>
      </w:r>
      <w:r w:rsidRPr="009B7070">
        <w:rPr>
          <w:rFonts w:ascii="Arabic Typesetting" w:hAnsi="Arabic Typesetting" w:cs="Arabic Typesetting"/>
          <w:sz w:val="34"/>
          <w:szCs w:val="34"/>
          <w:rtl/>
          <w:lang w:val="fr-CH"/>
        </w:rPr>
        <w:t>وغيرها) والكتب والاشتراكات في المجلات والدوريات للمكتبة وزيّ العمل واللوازم الحاسوبية والبرامج الحاسوبية وتراخيص استخدامها.</w:t>
      </w:r>
    </w:p>
    <w:p w:rsidR="000332F2" w:rsidRPr="009B7070" w:rsidRDefault="000332F2" w:rsidP="00862268">
      <w:pPr>
        <w:spacing w:after="120" w:line="340" w:lineRule="exact"/>
        <w:jc w:val="both"/>
        <w:rPr>
          <w:rFonts w:ascii="Arabic Typesetting" w:hAnsi="Arabic Typesetting" w:cs="Arabic Typesetting"/>
          <w:sz w:val="34"/>
          <w:szCs w:val="34"/>
          <w:rtl/>
        </w:rPr>
      </w:pPr>
    </w:p>
    <w:p w:rsidR="000332F2" w:rsidRPr="009B7070" w:rsidRDefault="000332F2" w:rsidP="00862268">
      <w:pPr>
        <w:spacing w:after="120" w:line="340" w:lineRule="exact"/>
        <w:jc w:val="both"/>
        <w:rPr>
          <w:rFonts w:ascii="Arabic Typesetting" w:hAnsi="Arabic Typesetting" w:cs="Arabic Typesetting"/>
          <w:sz w:val="34"/>
          <w:szCs w:val="34"/>
          <w:rtl/>
          <w:lang w:bidi="ar-SA"/>
        </w:rPr>
        <w:sectPr w:rsidR="000332F2" w:rsidRPr="009B7070" w:rsidSect="0055381B">
          <w:pgSz w:w="11906" w:h="16838" w:code="9"/>
          <w:pgMar w:top="1418" w:right="1418" w:bottom="1418" w:left="1134" w:header="510" w:footer="1021" w:gutter="0"/>
          <w:cols w:space="720"/>
          <w:bidi/>
          <w:rtlGutter/>
        </w:sectPr>
      </w:pPr>
    </w:p>
    <w:p w:rsidR="000332F2" w:rsidRPr="006444FA" w:rsidRDefault="000332F2" w:rsidP="00EA5693">
      <w:pPr>
        <w:pStyle w:val="StyleHeading3ComplexItalic"/>
        <w:tabs>
          <w:tab w:val="clear" w:pos="1985"/>
          <w:tab w:val="left" w:pos="0"/>
        </w:tabs>
        <w:bidi/>
        <w:spacing w:after="120" w:line="420" w:lineRule="exact"/>
        <w:outlineLvl w:val="0"/>
        <w:rPr>
          <w:rFonts w:ascii="Arabic Typesetting" w:hAnsi="Arabic Typesetting" w:cs="Arabic Typesetting"/>
          <w:b w:val="0"/>
          <w:bCs/>
          <w:i/>
          <w:iCs w:val="0"/>
          <w:caps w:val="0"/>
          <w:sz w:val="42"/>
          <w:szCs w:val="42"/>
          <w:rtl/>
        </w:rPr>
      </w:pPr>
      <w:bookmarkStart w:id="161" w:name="_Toc358745270"/>
      <w:bookmarkStart w:id="162" w:name="_Toc364355436"/>
      <w:bookmarkStart w:id="163" w:name="_Toc420595553"/>
      <w:r w:rsidRPr="006444FA">
        <w:rPr>
          <w:rFonts w:ascii="Arabic Typesetting" w:hAnsi="Arabic Typesetting" w:cs="Arabic Typesetting"/>
          <w:b w:val="0"/>
          <w:bCs/>
          <w:i/>
          <w:iCs w:val="0"/>
          <w:caps w:val="0"/>
          <w:sz w:val="42"/>
          <w:szCs w:val="42"/>
          <w:rtl/>
        </w:rPr>
        <w:lastRenderedPageBreak/>
        <w:t>الملحق جيم</w:t>
      </w:r>
      <w:bookmarkEnd w:id="161"/>
      <w:bookmarkEnd w:id="162"/>
      <w:bookmarkEnd w:id="163"/>
    </w:p>
    <w:p w:rsidR="000332F2" w:rsidRPr="008F20D9" w:rsidRDefault="000332F2" w:rsidP="00EA5693">
      <w:pPr>
        <w:pStyle w:val="StyleHeading3ComplexItalic"/>
        <w:tabs>
          <w:tab w:val="clear" w:pos="1985"/>
          <w:tab w:val="left" w:pos="0"/>
        </w:tabs>
        <w:bidi/>
        <w:spacing w:after="120" w:line="380" w:lineRule="exact"/>
        <w:outlineLvl w:val="9"/>
        <w:rPr>
          <w:rFonts w:ascii="Arabic Typesetting" w:hAnsi="Arabic Typesetting" w:cs="Arabic Typesetting"/>
          <w:b w:val="0"/>
          <w:bCs/>
          <w:i/>
          <w:iCs w:val="0"/>
          <w:caps w:val="0"/>
          <w:sz w:val="38"/>
          <w:szCs w:val="38"/>
          <w:rtl/>
        </w:rPr>
      </w:pPr>
      <w:r w:rsidRPr="008F20D9">
        <w:rPr>
          <w:rFonts w:ascii="Arabic Typesetting" w:hAnsi="Arabic Typesetting" w:cs="Arabic Typesetting" w:hint="cs"/>
          <w:b w:val="0"/>
          <w:bCs/>
          <w:i/>
          <w:iCs w:val="0"/>
          <w:caps w:val="0"/>
          <w:sz w:val="38"/>
          <w:szCs w:val="38"/>
          <w:rtl/>
        </w:rPr>
        <w:t>حساب تكاليف الموظفين</w:t>
      </w:r>
    </w:p>
    <w:p w:rsidR="000332F2" w:rsidRPr="009B7070" w:rsidRDefault="000332F2" w:rsidP="000332F2">
      <w:pPr>
        <w:numPr>
          <w:ilvl w:val="0"/>
          <w:numId w:val="6"/>
        </w:numPr>
        <w:spacing w:after="120" w:line="340" w:lineRule="exact"/>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عند تدشين نظام إدارة الأداء المؤسسي وتنفيذ نظام التخطيط للموارد المؤسسية (مرتبات الموارد البشرية)، وكجزء من مواصلة تعزيز الإدارة القائمة على النتائج، وخاصة لتوثيق عرى الصلات بين العمل المنجز وما يرتبط به من موارد لازمة للتنفيذ، أُدخل تغيير على منهجية حساب تكاليف الموظفين للثنائية 2016/17. وقد وضعت ميزانية موارد موظفي المنظمة على أساس حساب الميزانية القائم على المبالغ الفعلية.</w:t>
      </w:r>
    </w:p>
    <w:p w:rsidR="000332F2" w:rsidRPr="009B7070" w:rsidRDefault="000332F2" w:rsidP="000332F2">
      <w:pPr>
        <w:numPr>
          <w:ilvl w:val="0"/>
          <w:numId w:val="6"/>
        </w:numPr>
        <w:spacing w:after="120" w:line="340" w:lineRule="exact"/>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 xml:space="preserve">ويستند حساب التكاليف القائم على المبالغ الفعلية إلى أحدث جداول المرتبات وجداول الأجور </w:t>
      </w:r>
      <w:r w:rsidRPr="009B7070">
        <w:rPr>
          <w:rFonts w:ascii="Arabic Typesetting" w:hAnsi="Arabic Typesetting" w:cs="Arabic Typesetting"/>
          <w:sz w:val="34"/>
          <w:szCs w:val="34"/>
          <w:rtl/>
          <w:lang w:bidi="ar-SA"/>
        </w:rPr>
        <w:t>الداخل</w:t>
      </w:r>
      <w:r w:rsidRPr="009B7070">
        <w:rPr>
          <w:rFonts w:ascii="Arabic Typesetting" w:hAnsi="Arabic Typesetting" w:cs="Arabic Typesetting" w:hint="cs"/>
          <w:sz w:val="34"/>
          <w:szCs w:val="34"/>
          <w:rtl/>
          <w:lang w:bidi="ar-SA"/>
        </w:rPr>
        <w:t xml:space="preserve">ة </w:t>
      </w:r>
      <w:r w:rsidRPr="009B7070">
        <w:rPr>
          <w:rFonts w:ascii="Arabic Typesetting" w:hAnsi="Arabic Typesetting" w:cs="Arabic Typesetting"/>
          <w:sz w:val="34"/>
          <w:szCs w:val="34"/>
          <w:rtl/>
          <w:lang w:bidi="ar-SA"/>
        </w:rPr>
        <w:t>في حساب المعاش التقاعدي</w:t>
      </w:r>
      <w:r w:rsidRPr="009B7070">
        <w:rPr>
          <w:rFonts w:ascii="Arabic Typesetting" w:hAnsi="Arabic Typesetting" w:cs="Arabic Typesetting" w:hint="cs"/>
          <w:sz w:val="34"/>
          <w:szCs w:val="34"/>
          <w:rtl/>
          <w:lang w:bidi="ar-SA"/>
        </w:rPr>
        <w:t xml:space="preserve"> للأمم المتحدة</w:t>
      </w:r>
      <w:r w:rsidRPr="001D14C5">
        <w:rPr>
          <w:rFonts w:ascii="Arabic Typesetting" w:hAnsi="Arabic Typesetting" w:cs="Arabic Typesetting"/>
          <w:sz w:val="24"/>
          <w:vertAlign w:val="superscript"/>
          <w:rtl/>
          <w:lang w:bidi="ar-SA"/>
        </w:rPr>
        <w:footnoteReference w:id="32"/>
      </w:r>
      <w:r w:rsidRPr="009B7070">
        <w:rPr>
          <w:rFonts w:ascii="Arabic Typesetting" w:hAnsi="Arabic Typesetting" w:cs="Arabic Typesetting" w:hint="cs"/>
          <w:sz w:val="34"/>
          <w:szCs w:val="34"/>
          <w:rtl/>
          <w:lang w:bidi="ar-SA"/>
        </w:rPr>
        <w:t xml:space="preserve"> للموظفين في الفئة المهنية وما فوقها وموظفي الخدمات العامة والبيانات التاريخية الخاصة بالإعالة والسياسات والاستحقاقات المطبقة. وتشمل منهجية حساب التكاليف المطبقة عدةً من عناصر التكلفة لاشتقاق التكاليف على مستوى المناصب فتستخدم هذه التكاليف فيما بعد لتحديد تكلفة إجمالية لموارد الموظفين. ويرد في الجدول أدناه ملخص لعناصر التكلفة المدرجة في حساب التكاليف القائم على المبالغ الفعلية وما تقوم عليه من افتراضات. </w:t>
      </w:r>
    </w:p>
    <w:p w:rsidR="000332F2" w:rsidRPr="009B7070" w:rsidRDefault="000332F2" w:rsidP="00DA5475">
      <w:pPr>
        <w:spacing w:after="120" w:line="340" w:lineRule="exact"/>
        <w:ind w:left="-2"/>
        <w:jc w:val="center"/>
        <w:rPr>
          <w:rFonts w:ascii="Arabic Typesetting" w:hAnsi="Arabic Typesetting" w:cs="Arabic Typesetting"/>
          <w:b/>
          <w:bCs/>
          <w:sz w:val="34"/>
          <w:szCs w:val="34"/>
          <w:rtl/>
          <w:lang w:bidi="ar-SA"/>
        </w:rPr>
      </w:pPr>
      <w:r w:rsidRPr="009B7070">
        <w:rPr>
          <w:rFonts w:ascii="Arabic Typesetting" w:hAnsi="Arabic Typesetting" w:cs="Arabic Typesetting" w:hint="eastAsia"/>
          <w:b/>
          <w:bCs/>
          <w:sz w:val="34"/>
          <w:szCs w:val="34"/>
          <w:rtl/>
          <w:lang w:bidi="ar-SA"/>
        </w:rPr>
        <w:t>حساب</w:t>
      </w:r>
      <w:r w:rsidRPr="009B7070">
        <w:rPr>
          <w:rFonts w:ascii="Arabic Typesetting" w:hAnsi="Arabic Typesetting" w:cs="Arabic Typesetting"/>
          <w:b/>
          <w:bCs/>
          <w:sz w:val="34"/>
          <w:szCs w:val="34"/>
          <w:rtl/>
          <w:lang w:bidi="ar-SA"/>
        </w:rPr>
        <w:t xml:space="preserve"> </w:t>
      </w:r>
      <w:r w:rsidRPr="009B7070">
        <w:rPr>
          <w:rFonts w:ascii="Arabic Typesetting" w:hAnsi="Arabic Typesetting" w:cs="Arabic Typesetting" w:hint="eastAsia"/>
          <w:b/>
          <w:bCs/>
          <w:sz w:val="34"/>
          <w:szCs w:val="34"/>
          <w:rtl/>
          <w:lang w:bidi="ar-SA"/>
        </w:rPr>
        <w:t>التكاليف</w:t>
      </w:r>
      <w:r w:rsidRPr="009B7070">
        <w:rPr>
          <w:rFonts w:ascii="Arabic Typesetting" w:hAnsi="Arabic Typesetting" w:cs="Arabic Typesetting"/>
          <w:b/>
          <w:bCs/>
          <w:sz w:val="34"/>
          <w:szCs w:val="34"/>
          <w:rtl/>
          <w:lang w:bidi="ar-SA"/>
        </w:rPr>
        <w:t xml:space="preserve"> </w:t>
      </w:r>
      <w:r w:rsidRPr="009B7070">
        <w:rPr>
          <w:rFonts w:ascii="Arabic Typesetting" w:hAnsi="Arabic Typesetting" w:cs="Arabic Typesetting" w:hint="eastAsia"/>
          <w:b/>
          <w:bCs/>
          <w:sz w:val="34"/>
          <w:szCs w:val="34"/>
          <w:rtl/>
          <w:lang w:bidi="ar-SA"/>
        </w:rPr>
        <w:t>القائم</w:t>
      </w:r>
      <w:r w:rsidRPr="009B7070">
        <w:rPr>
          <w:rFonts w:ascii="Arabic Typesetting" w:hAnsi="Arabic Typesetting" w:cs="Arabic Typesetting"/>
          <w:b/>
          <w:bCs/>
          <w:sz w:val="34"/>
          <w:szCs w:val="34"/>
          <w:rtl/>
          <w:lang w:bidi="ar-SA"/>
        </w:rPr>
        <w:t xml:space="preserve"> </w:t>
      </w:r>
      <w:r w:rsidRPr="009B7070">
        <w:rPr>
          <w:rFonts w:ascii="Arabic Typesetting" w:hAnsi="Arabic Typesetting" w:cs="Arabic Typesetting" w:hint="eastAsia"/>
          <w:b/>
          <w:bCs/>
          <w:sz w:val="34"/>
          <w:szCs w:val="34"/>
          <w:rtl/>
          <w:lang w:bidi="ar-SA"/>
        </w:rPr>
        <w:t>على</w:t>
      </w:r>
      <w:r w:rsidRPr="009B7070">
        <w:rPr>
          <w:rFonts w:ascii="Arabic Typesetting" w:hAnsi="Arabic Typesetting" w:cs="Arabic Typesetting"/>
          <w:b/>
          <w:bCs/>
          <w:sz w:val="34"/>
          <w:szCs w:val="34"/>
          <w:rtl/>
          <w:lang w:bidi="ar-SA"/>
        </w:rPr>
        <w:t xml:space="preserve"> </w:t>
      </w:r>
      <w:r w:rsidRPr="009B7070">
        <w:rPr>
          <w:rFonts w:ascii="Arabic Typesetting" w:hAnsi="Arabic Typesetting" w:cs="Arabic Typesetting" w:hint="cs"/>
          <w:b/>
          <w:bCs/>
          <w:sz w:val="34"/>
          <w:szCs w:val="34"/>
          <w:rtl/>
          <w:lang w:bidi="ar-SA"/>
        </w:rPr>
        <w:t>المبالغ</w:t>
      </w:r>
      <w:r w:rsidRPr="009B7070">
        <w:rPr>
          <w:rFonts w:ascii="Arabic Typesetting" w:hAnsi="Arabic Typesetting" w:cs="Arabic Typesetting"/>
          <w:b/>
          <w:bCs/>
          <w:sz w:val="34"/>
          <w:szCs w:val="34"/>
          <w:rtl/>
          <w:lang w:bidi="ar-SA"/>
        </w:rPr>
        <w:t xml:space="preserve"> </w:t>
      </w:r>
      <w:r w:rsidRPr="009B7070">
        <w:rPr>
          <w:rFonts w:ascii="Arabic Typesetting" w:hAnsi="Arabic Typesetting" w:cs="Arabic Typesetting" w:hint="eastAsia"/>
          <w:b/>
          <w:bCs/>
          <w:sz w:val="34"/>
          <w:szCs w:val="34"/>
          <w:rtl/>
          <w:lang w:bidi="ar-SA"/>
        </w:rPr>
        <w:t>الفعلية</w:t>
      </w:r>
      <w:r w:rsidRPr="009B7070">
        <w:rPr>
          <w:rFonts w:ascii="Arabic Typesetting" w:hAnsi="Arabic Typesetting" w:cs="Arabic Typesetting"/>
          <w:b/>
          <w:bCs/>
          <w:sz w:val="34"/>
          <w:szCs w:val="34"/>
          <w:rtl/>
          <w:lang w:bidi="ar-SA"/>
        </w:rPr>
        <w:t xml:space="preserve"> وما </w:t>
      </w:r>
      <w:r w:rsidRPr="009B7070">
        <w:rPr>
          <w:rFonts w:ascii="Arabic Typesetting" w:hAnsi="Arabic Typesetting" w:cs="Arabic Typesetting" w:hint="cs"/>
          <w:b/>
          <w:bCs/>
          <w:sz w:val="34"/>
          <w:szCs w:val="34"/>
          <w:rtl/>
          <w:lang w:bidi="ar-SA"/>
        </w:rPr>
        <w:t>ي</w:t>
      </w:r>
      <w:r w:rsidRPr="009B7070">
        <w:rPr>
          <w:rFonts w:ascii="Arabic Typesetting" w:hAnsi="Arabic Typesetting" w:cs="Arabic Typesetting"/>
          <w:b/>
          <w:bCs/>
          <w:sz w:val="34"/>
          <w:szCs w:val="34"/>
          <w:rtl/>
          <w:lang w:bidi="ar-SA"/>
        </w:rPr>
        <w:t>قوم عليه من افتراضات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4111"/>
        <w:gridCol w:w="4111"/>
      </w:tblGrid>
      <w:tr w:rsidR="000332F2" w:rsidRPr="009B7070" w:rsidTr="00DA5475">
        <w:tc>
          <w:tcPr>
            <w:tcW w:w="1240" w:type="dxa"/>
            <w:shd w:val="clear" w:color="auto" w:fill="auto"/>
          </w:tcPr>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r w:rsidRPr="009B7070">
              <w:rPr>
                <w:rFonts w:ascii="Arabic Typesetting" w:hAnsi="Arabic Typesetting" w:cs="Arabic Typesetting" w:hint="cs"/>
                <w:b/>
                <w:bCs/>
                <w:sz w:val="34"/>
                <w:szCs w:val="34"/>
                <w:rtl/>
                <w:lang w:bidi="ar-SA"/>
              </w:rPr>
              <w:t>الوظيفة</w:t>
            </w:r>
          </w:p>
          <w:p w:rsidR="000332F2" w:rsidRPr="009B7070" w:rsidRDefault="000332F2" w:rsidP="00DA5475">
            <w:pPr>
              <w:spacing w:after="120" w:line="340" w:lineRule="exact"/>
              <w:ind w:left="-2"/>
              <w:rPr>
                <w:rFonts w:ascii="Arabic Typesetting" w:hAnsi="Arabic Typesetting" w:cs="Arabic Typesetting"/>
                <w:b/>
                <w:bCs/>
                <w:i/>
                <w:iCs/>
                <w:sz w:val="34"/>
                <w:szCs w:val="34"/>
                <w:rtl/>
                <w:lang w:bidi="ar-SA"/>
              </w:rPr>
            </w:pPr>
            <w:r w:rsidRPr="009B7070">
              <w:rPr>
                <w:rFonts w:ascii="Arabic Typesetting" w:hAnsi="Arabic Typesetting" w:cs="Arabic Typesetting"/>
                <w:b/>
                <w:bCs/>
                <w:i/>
                <w:iCs/>
                <w:sz w:val="34"/>
                <w:szCs w:val="34"/>
                <w:rtl/>
                <w:lang w:bidi="ar-SA"/>
              </w:rPr>
              <w:t>(</w:t>
            </w:r>
            <w:r w:rsidRPr="009B7070">
              <w:rPr>
                <w:rFonts w:ascii="Arabic Typesetting" w:hAnsi="Arabic Typesetting" w:cs="Arabic Typesetting" w:hint="cs"/>
                <w:b/>
                <w:bCs/>
                <w:i/>
                <w:iCs/>
                <w:sz w:val="34"/>
                <w:szCs w:val="34"/>
                <w:rtl/>
                <w:lang w:bidi="ar-SA"/>
              </w:rPr>
              <w:t>موظفو الفئة المهنية وما فوقها</w:t>
            </w:r>
            <w:r w:rsidRPr="009B7070">
              <w:rPr>
                <w:rFonts w:ascii="Arabic Typesetting" w:hAnsi="Arabic Typesetting" w:cs="Arabic Typesetting"/>
                <w:b/>
                <w:bCs/>
                <w:i/>
                <w:iCs/>
                <w:sz w:val="34"/>
                <w:szCs w:val="34"/>
                <w:rtl/>
                <w:lang w:bidi="ar-SA"/>
              </w:rPr>
              <w:t xml:space="preserve"> </w:t>
            </w:r>
            <w:r w:rsidRPr="009B7070">
              <w:rPr>
                <w:rFonts w:ascii="Arabic Typesetting" w:hAnsi="Arabic Typesetting" w:cs="Arabic Typesetting" w:hint="eastAsia"/>
                <w:b/>
                <w:bCs/>
                <w:i/>
                <w:iCs/>
                <w:sz w:val="34"/>
                <w:szCs w:val="34"/>
                <w:rtl/>
                <w:lang w:bidi="ar-SA"/>
              </w:rPr>
              <w:t>وموظفو</w:t>
            </w:r>
            <w:r w:rsidRPr="009B7070">
              <w:rPr>
                <w:rFonts w:ascii="Arabic Typesetting" w:hAnsi="Arabic Typesetting" w:cs="Arabic Typesetting"/>
                <w:b/>
                <w:bCs/>
                <w:i/>
                <w:iCs/>
                <w:sz w:val="34"/>
                <w:szCs w:val="34"/>
                <w:rtl/>
                <w:lang w:bidi="ar-SA"/>
              </w:rPr>
              <w:t xml:space="preserve"> </w:t>
            </w:r>
            <w:r w:rsidRPr="009B7070">
              <w:rPr>
                <w:rFonts w:ascii="Arabic Typesetting" w:hAnsi="Arabic Typesetting" w:cs="Arabic Typesetting" w:hint="eastAsia"/>
                <w:b/>
                <w:bCs/>
                <w:i/>
                <w:iCs/>
                <w:sz w:val="34"/>
                <w:szCs w:val="34"/>
                <w:rtl/>
                <w:lang w:bidi="ar-SA"/>
              </w:rPr>
              <w:t>الخدمات</w:t>
            </w:r>
            <w:r w:rsidRPr="009B7070">
              <w:rPr>
                <w:rFonts w:ascii="Arabic Typesetting" w:hAnsi="Arabic Typesetting" w:cs="Arabic Typesetting"/>
                <w:b/>
                <w:bCs/>
                <w:i/>
                <w:iCs/>
                <w:sz w:val="34"/>
                <w:szCs w:val="34"/>
                <w:rtl/>
                <w:lang w:bidi="ar-SA"/>
              </w:rPr>
              <w:t xml:space="preserve"> </w:t>
            </w:r>
            <w:r w:rsidRPr="009B7070">
              <w:rPr>
                <w:rFonts w:ascii="Arabic Typesetting" w:hAnsi="Arabic Typesetting" w:cs="Arabic Typesetting" w:hint="eastAsia"/>
                <w:b/>
                <w:bCs/>
                <w:i/>
                <w:iCs/>
                <w:sz w:val="34"/>
                <w:szCs w:val="34"/>
                <w:rtl/>
                <w:lang w:bidi="ar-SA"/>
              </w:rPr>
              <w:t>العامة</w:t>
            </w:r>
            <w:r w:rsidRPr="009B7070">
              <w:rPr>
                <w:rFonts w:ascii="Arabic Typesetting" w:hAnsi="Arabic Typesetting" w:cs="Arabic Typesetting"/>
                <w:b/>
                <w:bCs/>
                <w:i/>
                <w:iCs/>
                <w:sz w:val="34"/>
                <w:szCs w:val="34"/>
                <w:rtl/>
                <w:lang w:bidi="ar-SA"/>
              </w:rPr>
              <w:t>)</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r w:rsidRPr="009B7070">
              <w:rPr>
                <w:rFonts w:ascii="Arabic Typesetting" w:hAnsi="Arabic Typesetting" w:cs="Arabic Typesetting" w:hint="cs"/>
                <w:b/>
                <w:bCs/>
                <w:sz w:val="34"/>
                <w:szCs w:val="34"/>
                <w:rtl/>
                <w:lang w:bidi="ar-SA"/>
              </w:rPr>
              <w:t>الموظفون المؤقتون</w:t>
            </w:r>
          </w:p>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r w:rsidRPr="009B7070">
              <w:rPr>
                <w:rFonts w:ascii="Arabic Typesetting" w:hAnsi="Arabic Typesetting" w:cs="Arabic Typesetting" w:hint="cs"/>
                <w:b/>
                <w:bCs/>
                <w:sz w:val="34"/>
                <w:szCs w:val="34"/>
                <w:rtl/>
                <w:lang w:bidi="ar-SA"/>
              </w:rPr>
              <w:t>(</w:t>
            </w:r>
            <w:r w:rsidRPr="009B7070">
              <w:rPr>
                <w:rFonts w:ascii="Arabic Typesetting" w:hAnsi="Arabic Typesetting" w:cs="Arabic Typesetting" w:hint="cs"/>
                <w:b/>
                <w:bCs/>
                <w:i/>
                <w:iCs/>
                <w:sz w:val="34"/>
                <w:szCs w:val="34"/>
                <w:rtl/>
                <w:lang w:bidi="ar-SA"/>
              </w:rPr>
              <w:t xml:space="preserve">موظفو الفئة المهنية وما فوقها </w:t>
            </w:r>
            <w:r w:rsidRPr="009B7070">
              <w:rPr>
                <w:rFonts w:ascii="Arabic Typesetting" w:hAnsi="Arabic Typesetting" w:cs="Arabic Typesetting" w:hint="cs"/>
                <w:b/>
                <w:bCs/>
                <w:sz w:val="34"/>
                <w:szCs w:val="34"/>
                <w:rtl/>
                <w:lang w:bidi="ar-SA"/>
              </w:rPr>
              <w:t>وموظفو الخدمات العامة)</w:t>
            </w:r>
          </w:p>
        </w:tc>
      </w:tr>
      <w:tr w:rsidR="000332F2" w:rsidRPr="009B7070" w:rsidTr="00DA5475">
        <w:tc>
          <w:tcPr>
            <w:tcW w:w="1240" w:type="dxa"/>
            <w:shd w:val="clear" w:color="auto" w:fill="auto"/>
          </w:tcPr>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r w:rsidRPr="009B7070">
              <w:rPr>
                <w:rFonts w:ascii="Arabic Typesetting" w:hAnsi="Arabic Typesetting" w:cs="Arabic Typesetting" w:hint="cs"/>
                <w:b/>
                <w:bCs/>
                <w:sz w:val="34"/>
                <w:szCs w:val="34"/>
                <w:rtl/>
                <w:lang w:bidi="ar-SA"/>
              </w:rPr>
              <w:t>المرتبات</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يحسب عنصر المرتبات لمنصب مشغول على مستوى المناصب بتطبيق جدول معدلات للعزاب أو جدول معدلات للمعالين (لجنة الخدمة المدنية الدولية) في الرتبة/الدرجة المتوقعة. في حين يحسب عنصر المرتبات للمناصب الشاغرة باستخدام جدول المعالين بدرجة متوسطة من كل رتبة، ثم يحول المبلغ المحسوب بالدولار الأمريكي إلى الفرنك السويسري مع تطبيق مضاعف تسوية مقر العمل حسب الاقتضاء (بالنسبة إلى موظفي الفئة المهنية وما فوقها).</w:t>
            </w:r>
          </w:p>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وتضاف إلى المبلغ الإجمالي حصة المنظمة من الأجر الداخل في حساب المعاش التقاعدي (الصندوق المشترك للمعاشات التقاعدية لموظفي الأمم المتحدة)</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يحسب عنصر المرتبات لمنصب مشغول على مستوى المناصب بتطبيق جدول معدلات للعزاب أو جدول معدلات للمعالين (لجنة الخدمة المدنية الدولية) في الرتبة/الدرجة المتوقعة. في حين يحسب عنصر المرتبات للمناصب الشاغرة باستخدام جدول المعالين بدرجة متوسطة من كل رتبة، ثم يحول المبلغ المحسوب بالدولار الأمريكي إلى الفرنك السويسري مع تطبيق مضاعف تسوية مقر العمل حسب الاقتضاء (بالنسبة إلى موظفي الفئة المهنية وما فوقها).</w:t>
            </w:r>
          </w:p>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وتضاف إلى المبلغ الإجمالي حصة المنظمة من الأجر الداخل في حساب المعاش التقاعدي (الصندوق المشترك للمعاشات التقاعدية لموظفي الأمم المتحدة)</w:t>
            </w:r>
          </w:p>
        </w:tc>
      </w:tr>
      <w:tr w:rsidR="000332F2" w:rsidRPr="009B7070" w:rsidTr="00DA5475">
        <w:tc>
          <w:tcPr>
            <w:tcW w:w="1240" w:type="dxa"/>
            <w:shd w:val="clear" w:color="auto" w:fill="auto"/>
          </w:tcPr>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r w:rsidRPr="009B7070">
              <w:rPr>
                <w:rFonts w:ascii="Arabic Typesetting" w:hAnsi="Arabic Typesetting" w:cs="Arabic Typesetting" w:hint="cs"/>
                <w:b/>
                <w:bCs/>
                <w:sz w:val="34"/>
                <w:szCs w:val="34"/>
                <w:rtl/>
                <w:lang w:bidi="ar-SA"/>
              </w:rPr>
              <w:t>التكاليف العامة للموظفين</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تشمل التكاليف العامة للموظفين جميع الاستحقاقات والمزايا خلاف المرتبات، المقدمة وفقا لنظام الموظفين ولائحته (مثل استحقاقات الإعالة والمساهمات الطبية وإجازات زيارة الوطن ومنح التعليم وما إلى ذلك). وتطبق التكاليف العامة للموظفين على مستوى المناصب على أساس نمط النفقات التاريخي وتوقعاتها في المستقبل.</w:t>
            </w:r>
          </w:p>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lastRenderedPageBreak/>
              <w:t>وبالنسبة إلى الوظائف الشاغرة يطبق افتراض بإعالة زوجة وطفل لحساب المزايا المتوقعة.</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lastRenderedPageBreak/>
              <w:t xml:space="preserve">تشمل التكاليف العامة للموظفين جميع الاستحقاقات والمزايا خلاف المرتبات، المقدمة وفقا لنظام الموظفين ولائحته (مثل استحقاقات الإعالة </w:t>
            </w:r>
            <w:proofErr w:type="spellStart"/>
            <w:r w:rsidRPr="009B7070">
              <w:rPr>
                <w:rFonts w:ascii="Arabic Typesetting" w:hAnsi="Arabic Typesetting" w:cs="Arabic Typesetting" w:hint="cs"/>
                <w:sz w:val="34"/>
                <w:szCs w:val="34"/>
                <w:rtl/>
                <w:lang w:bidi="ar-SA"/>
              </w:rPr>
              <w:t>والمساهات</w:t>
            </w:r>
            <w:proofErr w:type="spellEnd"/>
            <w:r w:rsidRPr="009B7070">
              <w:rPr>
                <w:rFonts w:ascii="Arabic Typesetting" w:hAnsi="Arabic Typesetting" w:cs="Arabic Typesetting" w:hint="cs"/>
                <w:sz w:val="34"/>
                <w:szCs w:val="34"/>
                <w:rtl/>
                <w:lang w:bidi="ar-SA"/>
              </w:rPr>
              <w:t xml:space="preserve"> الطبية وإجازات زيارة الوطن ومنح التعليم وما إلى ذلك). وتطبيق التكاليف العامة للموظفين على مستوى المناصب على أساس نمط النفقات التاريخي وتوقعاتها في المستقبل.</w:t>
            </w:r>
          </w:p>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lastRenderedPageBreak/>
              <w:t>وبالنسبة إلى الوظائف الشاغرة يطبق افتراض بإعالة زوجة وطفل لحساب المزايا المتوقعة.</w:t>
            </w:r>
          </w:p>
        </w:tc>
      </w:tr>
      <w:tr w:rsidR="000332F2" w:rsidRPr="009B7070" w:rsidTr="00DA5475">
        <w:tc>
          <w:tcPr>
            <w:tcW w:w="1240" w:type="dxa"/>
            <w:shd w:val="clear" w:color="auto" w:fill="auto"/>
          </w:tcPr>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r w:rsidRPr="009B7070">
              <w:rPr>
                <w:rFonts w:ascii="Arabic Typesetting" w:hAnsi="Arabic Typesetting" w:cs="Arabic Typesetting" w:hint="cs"/>
                <w:b/>
                <w:bCs/>
                <w:sz w:val="34"/>
                <w:szCs w:val="34"/>
                <w:rtl/>
                <w:lang w:bidi="ar-SA"/>
              </w:rPr>
              <w:lastRenderedPageBreak/>
              <w:t>التسوية</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 xml:space="preserve">جرت تسوية تكاليف جميع المناصب بالخفض لمراعاة معدل الوظائف الشاغرة المتوقع وقدره 3 في المائة. </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لا تطبق أية تسوية لمعدل الوظائف الشاغرة بالنسبة إلى المناصب المؤقتة.</w:t>
            </w:r>
          </w:p>
        </w:tc>
      </w:tr>
      <w:tr w:rsidR="000332F2" w:rsidRPr="009B7070" w:rsidTr="00DA5475">
        <w:trPr>
          <w:cantSplit/>
        </w:trPr>
        <w:tc>
          <w:tcPr>
            <w:tcW w:w="1240" w:type="dxa"/>
            <w:shd w:val="clear" w:color="auto" w:fill="auto"/>
          </w:tcPr>
          <w:p w:rsidR="000332F2" w:rsidRPr="009B7070" w:rsidRDefault="000332F2" w:rsidP="00DA5475">
            <w:pPr>
              <w:spacing w:after="120" w:line="340" w:lineRule="exact"/>
              <w:ind w:left="-2"/>
              <w:rPr>
                <w:rFonts w:ascii="Arabic Typesetting" w:hAnsi="Arabic Typesetting" w:cs="Arabic Typesetting"/>
                <w:b/>
                <w:bCs/>
                <w:sz w:val="34"/>
                <w:szCs w:val="34"/>
                <w:rtl/>
                <w:lang w:bidi="ar-SA"/>
              </w:rPr>
            </w:pPr>
            <w:r w:rsidRPr="009B7070">
              <w:rPr>
                <w:rFonts w:ascii="Arabic Typesetting" w:hAnsi="Arabic Typesetting" w:cs="Arabic Typesetting" w:hint="cs"/>
                <w:b/>
                <w:bCs/>
                <w:sz w:val="34"/>
                <w:szCs w:val="34"/>
                <w:rtl/>
                <w:lang w:bidi="ar-SA"/>
              </w:rPr>
              <w:t>مخصصات نهاية الخدمة وما يتعلق بها من تكاليف أخرى</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تطبق نسبة 6 في المائة من المخصصات على إجمالي التكاليف لتغطية التكاليف المتعلقة بنهاية الخدمة ومختلف الاستحقاقات بعد نهاية الخدمة.</w:t>
            </w:r>
          </w:p>
        </w:tc>
        <w:tc>
          <w:tcPr>
            <w:tcW w:w="4111" w:type="dxa"/>
            <w:shd w:val="clear" w:color="auto" w:fill="auto"/>
          </w:tcPr>
          <w:p w:rsidR="000332F2" w:rsidRPr="009B7070" w:rsidRDefault="000332F2" w:rsidP="00DA5475">
            <w:pPr>
              <w:spacing w:after="120" w:line="340" w:lineRule="exact"/>
              <w:ind w:left="-2"/>
              <w:rPr>
                <w:rFonts w:ascii="Arabic Typesetting" w:hAnsi="Arabic Typesetting" w:cs="Arabic Typesetting"/>
                <w:sz w:val="34"/>
                <w:szCs w:val="34"/>
                <w:rtl/>
                <w:lang w:bidi="ar-SA"/>
              </w:rPr>
            </w:pPr>
            <w:r w:rsidRPr="009B7070">
              <w:rPr>
                <w:rFonts w:ascii="Arabic Typesetting" w:hAnsi="Arabic Typesetting" w:cs="Arabic Typesetting" w:hint="cs"/>
                <w:sz w:val="34"/>
                <w:szCs w:val="34"/>
                <w:rtl/>
                <w:lang w:bidi="ar-SA"/>
              </w:rPr>
              <w:t>تطبق نسبة 2 في المائة من المخصصات على إجمالي التكاليف لتغطية التكاليف المتعلقة بنهاية الخدمة ومختلف الاستحقاقات بعد نهاية الخدمة.</w:t>
            </w:r>
          </w:p>
        </w:tc>
      </w:tr>
    </w:tbl>
    <w:p w:rsidR="000332F2" w:rsidRPr="009B7070" w:rsidRDefault="000332F2" w:rsidP="00DA5475">
      <w:pPr>
        <w:spacing w:after="120" w:line="340" w:lineRule="exact"/>
        <w:ind w:left="-2"/>
        <w:rPr>
          <w:rFonts w:ascii="Arabic Typesetting" w:hAnsi="Arabic Typesetting" w:cs="Arabic Typesetting"/>
          <w:sz w:val="34"/>
          <w:szCs w:val="34"/>
          <w:rtl/>
          <w:lang w:bidi="ar-SA"/>
        </w:rPr>
      </w:pPr>
    </w:p>
    <w:p w:rsidR="000332F2" w:rsidRPr="009B7070" w:rsidRDefault="000332F2" w:rsidP="00862268">
      <w:pPr>
        <w:spacing w:after="120" w:line="340" w:lineRule="exact"/>
        <w:ind w:left="5668"/>
        <w:jc w:val="both"/>
        <w:rPr>
          <w:rFonts w:ascii="Arabic Typesetting" w:hAnsi="Arabic Typesetting" w:cs="Arabic Typesetting"/>
          <w:sz w:val="34"/>
          <w:szCs w:val="34"/>
          <w:rtl/>
          <w:lang w:bidi="ar-SA"/>
        </w:rPr>
      </w:pPr>
    </w:p>
    <w:p w:rsidR="000332F2" w:rsidRPr="009B7070" w:rsidRDefault="000332F2" w:rsidP="00862268">
      <w:pPr>
        <w:spacing w:after="120" w:line="340" w:lineRule="exact"/>
        <w:ind w:left="5668"/>
        <w:jc w:val="both"/>
        <w:rPr>
          <w:rFonts w:ascii="Arabic Typesetting" w:hAnsi="Arabic Typesetting" w:cs="Arabic Typesetting"/>
          <w:sz w:val="34"/>
          <w:szCs w:val="34"/>
          <w:rtl/>
          <w:lang w:bidi="ar-SA"/>
        </w:rPr>
        <w:sectPr w:rsidR="000332F2" w:rsidRPr="009B7070" w:rsidSect="0055381B">
          <w:pgSz w:w="11906" w:h="16838" w:code="9"/>
          <w:pgMar w:top="1418" w:right="1418" w:bottom="1418" w:left="1134" w:header="510" w:footer="1021" w:gutter="0"/>
          <w:cols w:space="720"/>
          <w:bidi/>
          <w:rtlGutter/>
        </w:sectPr>
      </w:pPr>
    </w:p>
    <w:p w:rsidR="000332F2" w:rsidRPr="006444FA" w:rsidRDefault="000332F2" w:rsidP="00EA5693">
      <w:pPr>
        <w:pStyle w:val="StyleHeading3ComplexItalic"/>
        <w:tabs>
          <w:tab w:val="clear" w:pos="1985"/>
          <w:tab w:val="left" w:pos="0"/>
        </w:tabs>
        <w:bidi/>
        <w:spacing w:after="120" w:line="420" w:lineRule="exact"/>
        <w:outlineLvl w:val="0"/>
        <w:rPr>
          <w:rFonts w:ascii="Arabic Typesetting" w:hAnsi="Arabic Typesetting" w:cs="Arabic Typesetting"/>
          <w:b w:val="0"/>
          <w:bCs/>
          <w:i/>
          <w:iCs w:val="0"/>
          <w:caps w:val="0"/>
          <w:sz w:val="42"/>
          <w:szCs w:val="42"/>
          <w:rtl/>
        </w:rPr>
      </w:pPr>
      <w:bookmarkStart w:id="164" w:name="_Toc358745272"/>
      <w:bookmarkStart w:id="165" w:name="_Toc364355438"/>
      <w:bookmarkStart w:id="166" w:name="_Toc420595554"/>
      <w:r w:rsidRPr="006444FA">
        <w:rPr>
          <w:rFonts w:ascii="Arabic Typesetting" w:hAnsi="Arabic Typesetting" w:cs="Arabic Typesetting"/>
          <w:b w:val="0"/>
          <w:bCs/>
          <w:i/>
          <w:iCs w:val="0"/>
          <w:caps w:val="0"/>
          <w:sz w:val="42"/>
          <w:szCs w:val="42"/>
          <w:rtl/>
        </w:rPr>
        <w:lastRenderedPageBreak/>
        <w:t xml:space="preserve">الملحق </w:t>
      </w:r>
      <w:r w:rsidRPr="006444FA">
        <w:rPr>
          <w:rFonts w:ascii="Arabic Typesetting" w:hAnsi="Arabic Typesetting" w:cs="Arabic Typesetting" w:hint="cs"/>
          <w:b w:val="0"/>
          <w:bCs/>
          <w:i/>
          <w:iCs w:val="0"/>
          <w:caps w:val="0"/>
          <w:sz w:val="42"/>
          <w:szCs w:val="42"/>
          <w:rtl/>
        </w:rPr>
        <w:t>دال</w:t>
      </w:r>
      <w:bookmarkEnd w:id="164"/>
      <w:bookmarkEnd w:id="165"/>
      <w:bookmarkEnd w:id="166"/>
    </w:p>
    <w:p w:rsidR="000332F2" w:rsidRPr="008F20D9" w:rsidRDefault="000332F2" w:rsidP="00EA5693">
      <w:pPr>
        <w:pStyle w:val="StyleHeading3ComplexItalic"/>
        <w:tabs>
          <w:tab w:val="clear" w:pos="1985"/>
          <w:tab w:val="left" w:pos="0"/>
        </w:tabs>
        <w:bidi/>
        <w:spacing w:after="120" w:line="380" w:lineRule="exact"/>
        <w:outlineLvl w:val="9"/>
        <w:rPr>
          <w:rFonts w:ascii="Arabic Typesetting" w:hAnsi="Arabic Typesetting" w:cs="Arabic Typesetting"/>
          <w:b w:val="0"/>
          <w:bCs/>
          <w:i/>
          <w:iCs w:val="0"/>
          <w:caps w:val="0"/>
          <w:sz w:val="38"/>
          <w:szCs w:val="38"/>
          <w:rtl/>
        </w:rPr>
      </w:pPr>
      <w:bookmarkStart w:id="167" w:name="_Toc364355439"/>
      <w:r w:rsidRPr="008F20D9">
        <w:rPr>
          <w:rFonts w:ascii="Arabic Typesetting" w:hAnsi="Arabic Typesetting" w:cs="Arabic Typesetting"/>
          <w:b w:val="0"/>
          <w:bCs/>
          <w:i/>
          <w:iCs w:val="0"/>
          <w:caps w:val="0"/>
          <w:sz w:val="38"/>
          <w:szCs w:val="38"/>
          <w:rtl/>
        </w:rPr>
        <w:t>معادلات المرونة</w:t>
      </w:r>
      <w:bookmarkEnd w:id="167"/>
    </w:p>
    <w:p w:rsidR="000332F2" w:rsidRPr="009B7070" w:rsidRDefault="000332F2" w:rsidP="00DA5475">
      <w:pPr>
        <w:pStyle w:val="NormalParaAR"/>
        <w:spacing w:after="120" w:line="340" w:lineRule="exact"/>
        <w:rPr>
          <w:sz w:val="34"/>
          <w:szCs w:val="34"/>
          <w:rtl/>
          <w:lang w:val="fr-CH"/>
        </w:rPr>
      </w:pPr>
      <w:r w:rsidRPr="009B7070">
        <w:rPr>
          <w:sz w:val="34"/>
          <w:szCs w:val="34"/>
          <w:rtl/>
          <w:lang w:val="fr-CH"/>
        </w:rPr>
        <w:t>ملاحظات عامة</w:t>
      </w:r>
    </w:p>
    <w:p w:rsidR="000332F2" w:rsidRPr="009B7070" w:rsidRDefault="000332F2" w:rsidP="00DA5475">
      <w:pPr>
        <w:pStyle w:val="NormalParaAR"/>
        <w:spacing w:after="120" w:line="340" w:lineRule="exact"/>
        <w:rPr>
          <w:sz w:val="34"/>
          <w:szCs w:val="34"/>
          <w:rtl/>
          <w:lang w:val="fr-CH"/>
        </w:rPr>
      </w:pPr>
      <w:r w:rsidRPr="009B7070">
        <w:rPr>
          <w:sz w:val="34"/>
          <w:szCs w:val="34"/>
          <w:rtl/>
          <w:lang w:val="fr-CH"/>
        </w:rPr>
        <w:t>معادلات المرونة هي آلية تسمح لمستويات الموارد المالية المخصصة لأنظمة الحماية العالمية (معاهدة التعاون بشأن البراءات ومدريد ولاهاي) بأن تتغير وفقاً للتغيرات في حجم أنشطة التسجيل غير المرصودة في الميزانية. وقد عُدلت معدلات المرونة بالنسبة إلى الأنظمة المذكورة ووافقت عليها الجمعيات المعنية التي انعقدت في الفترة من 24 سبتمبر إلى 3 أكتوبر</w:t>
      </w:r>
      <w:r w:rsidRPr="009B7070">
        <w:rPr>
          <w:rFonts w:hint="cs"/>
          <w:sz w:val="34"/>
          <w:szCs w:val="34"/>
          <w:rtl/>
          <w:lang w:val="fr-CH"/>
        </w:rPr>
        <w:t xml:space="preserve"> </w:t>
      </w:r>
      <w:r w:rsidRPr="009B7070">
        <w:rPr>
          <w:sz w:val="34"/>
          <w:szCs w:val="34"/>
          <w:rtl/>
          <w:lang w:val="fr-CH"/>
        </w:rPr>
        <w:t>2007.</w:t>
      </w:r>
    </w:p>
    <w:p w:rsidR="000332F2" w:rsidRPr="009B7070" w:rsidRDefault="000332F2" w:rsidP="00DA5475">
      <w:pPr>
        <w:pStyle w:val="NormalParaAR"/>
        <w:spacing w:after="120" w:line="340" w:lineRule="exact"/>
        <w:rPr>
          <w:sz w:val="34"/>
          <w:szCs w:val="34"/>
          <w:rtl/>
          <w:lang w:val="fr-CH"/>
        </w:rPr>
      </w:pPr>
      <w:r w:rsidRPr="009B7070">
        <w:rPr>
          <w:sz w:val="34"/>
          <w:szCs w:val="34"/>
          <w:rtl/>
          <w:lang w:val="fr-CH"/>
        </w:rPr>
        <w:t>نظام معاهدة التعاون بشأن البراءات</w:t>
      </w:r>
    </w:p>
    <w:p w:rsidR="000332F2" w:rsidRPr="009B7070" w:rsidRDefault="000332F2" w:rsidP="00DA5475">
      <w:pPr>
        <w:pStyle w:val="NormalParaAR"/>
        <w:spacing w:after="120" w:line="340" w:lineRule="exact"/>
        <w:rPr>
          <w:sz w:val="34"/>
          <w:szCs w:val="34"/>
          <w:rtl/>
          <w:lang w:val="fr-CH"/>
        </w:rPr>
      </w:pPr>
      <w:r w:rsidRPr="009B7070">
        <w:rPr>
          <w:sz w:val="34"/>
          <w:szCs w:val="34"/>
          <w:rtl/>
          <w:lang w:val="fr-CH"/>
        </w:rPr>
        <w:t xml:space="preserve">يرد وصف معادلة المرونة المعدّلة بالنسبة إلى هذا النظام في الوثيقة </w:t>
      </w:r>
      <w:r w:rsidRPr="009B7070">
        <w:rPr>
          <w:sz w:val="34"/>
          <w:szCs w:val="34"/>
          <w:lang w:val="fr-CH"/>
        </w:rPr>
        <w:t>PCT/A/36/5</w:t>
      </w:r>
      <w:r w:rsidRPr="009B7070">
        <w:rPr>
          <w:sz w:val="34"/>
          <w:szCs w:val="34"/>
          <w:rtl/>
          <w:lang w:val="fr-CH"/>
        </w:rPr>
        <w:t xml:space="preserve"> وقد وافقت عليها جمعية اتحاد المعاهدة كما هو مُبين في الوثيقة </w:t>
      </w:r>
      <w:r w:rsidRPr="009B7070">
        <w:rPr>
          <w:sz w:val="34"/>
          <w:szCs w:val="34"/>
          <w:lang w:val="fr-CH"/>
        </w:rPr>
        <w:t>PCT/A/36/13</w:t>
      </w:r>
      <w:r w:rsidRPr="009B7070">
        <w:rPr>
          <w:sz w:val="34"/>
          <w:szCs w:val="34"/>
          <w:rtl/>
          <w:lang w:val="fr-CH"/>
        </w:rPr>
        <w:t xml:space="preserve">. ويتضح من الوثيقتين المذكورتين أن معادلة المرونة بالنسبة إلى معاهدة التعاون بشأن البراءات </w:t>
      </w:r>
      <w:r w:rsidRPr="009B7070">
        <w:rPr>
          <w:rFonts w:hint="cs"/>
          <w:sz w:val="34"/>
          <w:szCs w:val="34"/>
          <w:rtl/>
          <w:lang w:val="fr-CH"/>
        </w:rPr>
        <w:t xml:space="preserve">عدِّلت </w:t>
      </w:r>
      <w:r w:rsidRPr="009B7070">
        <w:rPr>
          <w:sz w:val="34"/>
          <w:szCs w:val="34"/>
          <w:rtl/>
          <w:lang w:val="fr-CH"/>
        </w:rPr>
        <w:t xml:space="preserve">لبيان تغير في الميزانية يقدر بمبلغ 870 341 فرنكا سويسريا لكل ألف طلب دولي في المعاهدة لم يحسب له حساب في الميزانية. ولم تعد المعادلة المعدلة تربط بين التغييرات في عدد الطلبات بالتغييرات في عدد </w:t>
      </w:r>
      <w:r w:rsidRPr="009B7070">
        <w:rPr>
          <w:rFonts w:hint="cs"/>
          <w:sz w:val="34"/>
          <w:szCs w:val="34"/>
          <w:rtl/>
          <w:lang w:val="fr-CH"/>
        </w:rPr>
        <w:t>وظائف</w:t>
      </w:r>
      <w:r w:rsidRPr="009B7070">
        <w:rPr>
          <w:sz w:val="34"/>
          <w:szCs w:val="34"/>
          <w:rtl/>
          <w:lang w:val="fr-CH"/>
        </w:rPr>
        <w:t xml:space="preserve"> الموظفين كما كان الأمر من قبل. وبدلا من ذلك، اقترحت المعادلة تنويع الموارد المخصصة للبرامج المعنية والسماح باستخدام </w:t>
      </w:r>
      <w:r w:rsidRPr="009B7070">
        <w:rPr>
          <w:rFonts w:hint="cs"/>
          <w:sz w:val="34"/>
          <w:szCs w:val="34"/>
          <w:rtl/>
          <w:lang w:val="fr-CH"/>
        </w:rPr>
        <w:t>ال</w:t>
      </w:r>
      <w:r w:rsidRPr="009B7070">
        <w:rPr>
          <w:sz w:val="34"/>
          <w:szCs w:val="34"/>
          <w:rtl/>
          <w:lang w:val="fr-CH"/>
        </w:rPr>
        <w:t xml:space="preserve">موارد </w:t>
      </w:r>
      <w:r w:rsidRPr="009B7070">
        <w:rPr>
          <w:rFonts w:hint="cs"/>
          <w:sz w:val="34"/>
          <w:szCs w:val="34"/>
          <w:rtl/>
          <w:lang w:val="fr-CH"/>
        </w:rPr>
        <w:t xml:space="preserve">البشرية </w:t>
      </w:r>
      <w:r w:rsidRPr="009B7070">
        <w:rPr>
          <w:sz w:val="34"/>
          <w:szCs w:val="34"/>
          <w:rtl/>
          <w:lang w:val="fr-CH"/>
        </w:rPr>
        <w:t xml:space="preserve">(مثل </w:t>
      </w:r>
      <w:r w:rsidRPr="009B7070">
        <w:rPr>
          <w:rFonts w:hint="cs"/>
          <w:sz w:val="34"/>
          <w:szCs w:val="34"/>
          <w:rtl/>
          <w:lang w:val="fr-CH"/>
        </w:rPr>
        <w:t xml:space="preserve">الوظائف </w:t>
      </w:r>
      <w:r w:rsidRPr="009B7070">
        <w:rPr>
          <w:sz w:val="34"/>
          <w:szCs w:val="34"/>
          <w:rtl/>
          <w:lang w:val="fr-CH"/>
        </w:rPr>
        <w:t xml:space="preserve">والموظفين المؤقتين والمتعاقدين بموجب اتفاقات الخدمات الخاصة وغيرهم) وخلاف </w:t>
      </w:r>
      <w:r w:rsidRPr="009B7070">
        <w:rPr>
          <w:rFonts w:hint="cs"/>
          <w:sz w:val="34"/>
          <w:szCs w:val="34"/>
          <w:rtl/>
          <w:lang w:val="fr-CH"/>
        </w:rPr>
        <w:t xml:space="preserve">الموارد </w:t>
      </w:r>
      <w:r w:rsidRPr="009B7070">
        <w:rPr>
          <w:sz w:val="34"/>
          <w:szCs w:val="34"/>
          <w:rtl/>
          <w:lang w:val="fr-CH"/>
        </w:rPr>
        <w:t xml:space="preserve">الموظفين (مثل عقود التلزيم). وترصد هذه الأموال لإدارة نظام معاهدة التعاون بشأن البراءات ولخدمات الدعم بنسبة </w:t>
      </w:r>
      <w:r w:rsidRPr="009B7070">
        <w:rPr>
          <w:rFonts w:hint="cs"/>
          <w:sz w:val="34"/>
          <w:szCs w:val="34"/>
          <w:rtl/>
          <w:lang w:val="fr-CH"/>
        </w:rPr>
        <w:t>87,5</w:t>
      </w:r>
      <w:r w:rsidRPr="009B7070">
        <w:rPr>
          <w:sz w:val="34"/>
          <w:szCs w:val="34"/>
          <w:rtl/>
          <w:lang w:val="fr-CH"/>
        </w:rPr>
        <w:t xml:space="preserve"> إلى </w:t>
      </w:r>
      <w:r w:rsidRPr="009B7070">
        <w:rPr>
          <w:rFonts w:hint="cs"/>
          <w:sz w:val="34"/>
          <w:szCs w:val="34"/>
          <w:rtl/>
          <w:lang w:val="fr-CH"/>
        </w:rPr>
        <w:t>12,5</w:t>
      </w:r>
      <w:r w:rsidRPr="009B7070">
        <w:rPr>
          <w:sz w:val="34"/>
          <w:szCs w:val="34"/>
          <w:rtl/>
          <w:lang w:val="fr-CH"/>
        </w:rPr>
        <w:t>.</w:t>
      </w:r>
    </w:p>
    <w:p w:rsidR="000332F2" w:rsidRPr="009B7070" w:rsidRDefault="000332F2" w:rsidP="00DA5475">
      <w:pPr>
        <w:pStyle w:val="NormalParaAR"/>
        <w:tabs>
          <w:tab w:val="left" w:pos="2816"/>
        </w:tabs>
        <w:spacing w:after="120" w:line="340" w:lineRule="exact"/>
        <w:rPr>
          <w:sz w:val="34"/>
          <w:szCs w:val="34"/>
          <w:rtl/>
          <w:lang w:val="fr-CH"/>
        </w:rPr>
      </w:pPr>
      <w:r w:rsidRPr="009B7070">
        <w:rPr>
          <w:sz w:val="34"/>
          <w:szCs w:val="34"/>
          <w:rtl/>
          <w:lang w:val="fr-CH"/>
        </w:rPr>
        <w:t>نظام مدريد</w:t>
      </w:r>
    </w:p>
    <w:p w:rsidR="000332F2" w:rsidRPr="009B7070" w:rsidRDefault="000332F2" w:rsidP="00DA5475">
      <w:pPr>
        <w:pStyle w:val="NormalParaAR"/>
        <w:spacing w:after="120" w:line="340" w:lineRule="exact"/>
        <w:rPr>
          <w:sz w:val="34"/>
          <w:szCs w:val="34"/>
          <w:rtl/>
          <w:lang w:val="fr-CH"/>
        </w:rPr>
      </w:pPr>
      <w:r w:rsidRPr="009B7070">
        <w:rPr>
          <w:sz w:val="34"/>
          <w:szCs w:val="34"/>
          <w:rtl/>
          <w:lang w:val="fr-CH"/>
        </w:rPr>
        <w:t xml:space="preserve">يرد وصف معادلة المرونة المعدلة بالنسبة إلى نظام مدريد في الوثيقة </w:t>
      </w:r>
      <w:r w:rsidRPr="009B7070">
        <w:rPr>
          <w:sz w:val="34"/>
          <w:szCs w:val="34"/>
          <w:lang w:val="fr-CH"/>
        </w:rPr>
        <w:t>MM/A/38/5</w:t>
      </w:r>
      <w:r w:rsidRPr="009B7070">
        <w:rPr>
          <w:sz w:val="34"/>
          <w:szCs w:val="34"/>
          <w:rtl/>
          <w:lang w:val="fr-CH"/>
        </w:rPr>
        <w:t xml:space="preserve"> وقد وافقت عليها جمعية اتحاد المعاهدة كما هو مبين في الوثيقة </w:t>
      </w:r>
      <w:r w:rsidRPr="009B7070">
        <w:rPr>
          <w:sz w:val="34"/>
          <w:szCs w:val="34"/>
          <w:lang w:val="fr-CH"/>
        </w:rPr>
        <w:t>MM/A/38/6</w:t>
      </w:r>
      <w:r w:rsidRPr="009B7070">
        <w:rPr>
          <w:sz w:val="34"/>
          <w:szCs w:val="34"/>
          <w:rtl/>
          <w:lang w:val="fr-CH"/>
        </w:rPr>
        <w:t xml:space="preserve">. وتسمح المعادلة الجديدة بإجراء تعديلات على ميزانية اتحاد مدريد بمبلغ 060 197 فرنكا سويسريا مقابل كل تغيير بمقدار 500 تسجيل أو تجديد مُدون مقارنة بالتقديرات الأولية الموافق عليها. ولم تعد المعادلة تربط إجراء التعديلات </w:t>
      </w:r>
      <w:r w:rsidRPr="009B7070">
        <w:rPr>
          <w:rFonts w:hint="cs"/>
          <w:sz w:val="34"/>
          <w:szCs w:val="34"/>
          <w:rtl/>
          <w:lang w:val="fr-CH"/>
        </w:rPr>
        <w:t>بوظائف</w:t>
      </w:r>
      <w:r w:rsidRPr="009B7070">
        <w:rPr>
          <w:sz w:val="34"/>
          <w:szCs w:val="34"/>
          <w:rtl/>
          <w:lang w:val="fr-CH"/>
        </w:rPr>
        <w:t xml:space="preserve"> الموظفين فحسب بل إنها بدلا من ذلك تسمح بإجراء تعديلات على كافة الموارد المالية المخصصة للبرامج المرتبطة بشكل مباشر بمعالجة عبء العمل الناتج عن ذلك. وقد تكون تلك الموارد موارد </w:t>
      </w:r>
      <w:r w:rsidRPr="009B7070">
        <w:rPr>
          <w:rFonts w:hint="cs"/>
          <w:sz w:val="34"/>
          <w:szCs w:val="34"/>
          <w:rtl/>
          <w:lang w:val="fr-CH"/>
        </w:rPr>
        <w:t xml:space="preserve">بشرية </w:t>
      </w:r>
      <w:r w:rsidRPr="009B7070">
        <w:rPr>
          <w:sz w:val="34"/>
          <w:szCs w:val="34"/>
          <w:rtl/>
          <w:lang w:val="fr-CH"/>
        </w:rPr>
        <w:t xml:space="preserve">(مثل </w:t>
      </w:r>
      <w:r w:rsidRPr="009B7070">
        <w:rPr>
          <w:rFonts w:hint="cs"/>
          <w:sz w:val="34"/>
          <w:szCs w:val="34"/>
          <w:rtl/>
          <w:lang w:val="fr-CH"/>
        </w:rPr>
        <w:t xml:space="preserve">الوظائف </w:t>
      </w:r>
      <w:r w:rsidRPr="009B7070">
        <w:rPr>
          <w:sz w:val="34"/>
          <w:szCs w:val="34"/>
          <w:rtl/>
          <w:lang w:val="fr-CH"/>
        </w:rPr>
        <w:t xml:space="preserve">والموظفين المؤقتين وغيرهم) أو موارد خلاف </w:t>
      </w:r>
      <w:r w:rsidRPr="009B7070">
        <w:rPr>
          <w:rFonts w:hint="cs"/>
          <w:sz w:val="34"/>
          <w:szCs w:val="34"/>
          <w:rtl/>
          <w:lang w:val="fr-CH"/>
        </w:rPr>
        <w:t xml:space="preserve">الموارد البشرية </w:t>
      </w:r>
      <w:r w:rsidRPr="009B7070">
        <w:rPr>
          <w:sz w:val="34"/>
          <w:szCs w:val="34"/>
          <w:rtl/>
          <w:lang w:val="fr-CH"/>
        </w:rPr>
        <w:t xml:space="preserve">(مثل عقود التلزيم). وترصد هذه الأموال لإدارة نظام السجل الدولي للعلامات التجارية ولخدمات الدعم بنسبة </w:t>
      </w:r>
      <w:r w:rsidRPr="009B7070">
        <w:rPr>
          <w:rFonts w:hint="cs"/>
          <w:sz w:val="34"/>
          <w:szCs w:val="34"/>
          <w:rtl/>
          <w:lang w:val="fr-CH"/>
        </w:rPr>
        <w:t>87,5</w:t>
      </w:r>
      <w:r w:rsidRPr="009B7070">
        <w:rPr>
          <w:sz w:val="34"/>
          <w:szCs w:val="34"/>
          <w:rtl/>
          <w:lang w:val="fr-CH"/>
        </w:rPr>
        <w:t xml:space="preserve"> إلى </w:t>
      </w:r>
      <w:r w:rsidRPr="009B7070">
        <w:rPr>
          <w:rFonts w:hint="cs"/>
          <w:sz w:val="34"/>
          <w:szCs w:val="34"/>
          <w:rtl/>
          <w:lang w:val="fr-CH"/>
        </w:rPr>
        <w:t>12,5</w:t>
      </w:r>
      <w:r w:rsidRPr="009B7070">
        <w:rPr>
          <w:sz w:val="34"/>
          <w:szCs w:val="34"/>
          <w:rtl/>
          <w:lang w:val="fr-CH"/>
        </w:rPr>
        <w:t>.</w:t>
      </w:r>
    </w:p>
    <w:p w:rsidR="000332F2" w:rsidRPr="009B7070" w:rsidRDefault="000332F2" w:rsidP="00DA5475">
      <w:pPr>
        <w:pStyle w:val="NormalParaAR"/>
        <w:spacing w:after="120" w:line="340" w:lineRule="exact"/>
        <w:rPr>
          <w:sz w:val="34"/>
          <w:szCs w:val="34"/>
          <w:rtl/>
          <w:lang w:val="fr-CH"/>
        </w:rPr>
      </w:pPr>
      <w:r w:rsidRPr="009B7070">
        <w:rPr>
          <w:sz w:val="34"/>
          <w:szCs w:val="34"/>
          <w:rtl/>
          <w:lang w:val="fr-CH"/>
        </w:rPr>
        <w:t>نظام لاهاي</w:t>
      </w:r>
    </w:p>
    <w:p w:rsidR="000332F2" w:rsidRPr="009B7070" w:rsidRDefault="000332F2" w:rsidP="00DA5475">
      <w:pPr>
        <w:pStyle w:val="NormalParaAR"/>
        <w:spacing w:after="120" w:line="340" w:lineRule="exact"/>
        <w:rPr>
          <w:sz w:val="34"/>
          <w:szCs w:val="34"/>
          <w:rtl/>
          <w:lang w:val="fr-CH"/>
        </w:rPr>
      </w:pPr>
      <w:r w:rsidRPr="009B7070">
        <w:rPr>
          <w:sz w:val="34"/>
          <w:szCs w:val="34"/>
          <w:rtl/>
          <w:lang w:val="fr-CH"/>
        </w:rPr>
        <w:t xml:space="preserve">يرد وصف معادلة المرونة المعدلة بالنسبة إلى نظام لاهاي في الوثيقة </w:t>
      </w:r>
      <w:r w:rsidRPr="009B7070">
        <w:rPr>
          <w:sz w:val="34"/>
          <w:szCs w:val="34"/>
          <w:lang w:val="fr-CH"/>
        </w:rPr>
        <w:t>H/A/24/3</w:t>
      </w:r>
      <w:r w:rsidRPr="009B7070">
        <w:rPr>
          <w:sz w:val="34"/>
          <w:szCs w:val="34"/>
          <w:rtl/>
          <w:lang w:val="fr-CH"/>
        </w:rPr>
        <w:t xml:space="preserve"> وقد وافقت عليها جمعية لاهاي كما هو مبين في الوثيقة </w:t>
      </w:r>
      <w:r w:rsidRPr="009B7070">
        <w:rPr>
          <w:sz w:val="34"/>
          <w:szCs w:val="34"/>
          <w:lang w:val="fr-CH"/>
        </w:rPr>
        <w:t>H/A/24/4</w:t>
      </w:r>
      <w:r w:rsidRPr="009B7070">
        <w:rPr>
          <w:sz w:val="34"/>
          <w:szCs w:val="34"/>
          <w:rtl/>
          <w:lang w:val="fr-CH"/>
        </w:rPr>
        <w:t xml:space="preserve">. وتنصّ المعادلة الجديدة على إجراء تعديلات على ميزانية اتحاد لاهاي بمبلغ 024 99 فرنكا سويسريا مقابل كل تغيير بمقدار 300 تسجيل أو تجديد مدوّن </w:t>
      </w:r>
      <w:proofErr w:type="spellStart"/>
      <w:r w:rsidRPr="009B7070">
        <w:rPr>
          <w:sz w:val="34"/>
          <w:szCs w:val="34"/>
          <w:rtl/>
          <w:lang w:val="fr-CH"/>
        </w:rPr>
        <w:t>قي</w:t>
      </w:r>
      <w:proofErr w:type="spellEnd"/>
      <w:r w:rsidRPr="009B7070">
        <w:rPr>
          <w:sz w:val="34"/>
          <w:szCs w:val="34"/>
          <w:rtl/>
          <w:lang w:val="fr-CH"/>
        </w:rPr>
        <w:t xml:space="preserve"> سجل الاتحاد مقارنة بالتقديرات الأولية الموافق عليها. وقد تكون تلك الموارد، موارد </w:t>
      </w:r>
      <w:r w:rsidRPr="009B7070">
        <w:rPr>
          <w:rFonts w:hint="cs"/>
          <w:sz w:val="34"/>
          <w:szCs w:val="34"/>
          <w:rtl/>
          <w:lang w:val="fr-CH"/>
        </w:rPr>
        <w:t xml:space="preserve">بشرية </w:t>
      </w:r>
      <w:r w:rsidRPr="009B7070">
        <w:rPr>
          <w:sz w:val="34"/>
          <w:szCs w:val="34"/>
          <w:rtl/>
          <w:lang w:val="fr-CH"/>
        </w:rPr>
        <w:t xml:space="preserve">أو خلاف </w:t>
      </w:r>
      <w:r w:rsidRPr="009B7070">
        <w:rPr>
          <w:rFonts w:hint="cs"/>
          <w:sz w:val="34"/>
          <w:szCs w:val="34"/>
          <w:rtl/>
          <w:lang w:val="fr-CH"/>
        </w:rPr>
        <w:t xml:space="preserve">الموارد البشرية </w:t>
      </w:r>
      <w:r w:rsidRPr="009B7070">
        <w:rPr>
          <w:sz w:val="34"/>
          <w:szCs w:val="34"/>
          <w:rtl/>
          <w:lang w:val="fr-CH"/>
        </w:rPr>
        <w:t xml:space="preserve">وترصد لإدارة سجل اتحاد لاهاي وخدمات الدعم بنسبة </w:t>
      </w:r>
      <w:r w:rsidRPr="009B7070">
        <w:rPr>
          <w:rFonts w:hint="cs"/>
          <w:sz w:val="34"/>
          <w:szCs w:val="34"/>
          <w:rtl/>
          <w:lang w:val="fr-CH"/>
        </w:rPr>
        <w:t>87,5</w:t>
      </w:r>
      <w:r w:rsidRPr="009B7070">
        <w:rPr>
          <w:sz w:val="34"/>
          <w:szCs w:val="34"/>
          <w:rtl/>
          <w:lang w:val="fr-CH"/>
        </w:rPr>
        <w:t xml:space="preserve"> إلى </w:t>
      </w:r>
      <w:r w:rsidRPr="009B7070">
        <w:rPr>
          <w:rFonts w:hint="cs"/>
          <w:sz w:val="34"/>
          <w:szCs w:val="34"/>
          <w:rtl/>
          <w:lang w:val="fr-CH"/>
        </w:rPr>
        <w:t>12,5</w:t>
      </w:r>
      <w:r w:rsidRPr="009B7070">
        <w:rPr>
          <w:sz w:val="34"/>
          <w:szCs w:val="34"/>
          <w:rtl/>
          <w:lang w:val="fr-CH"/>
        </w:rPr>
        <w:t>.</w:t>
      </w:r>
    </w:p>
    <w:p w:rsidR="000332F2" w:rsidRPr="009B7070" w:rsidRDefault="000332F2" w:rsidP="00862268">
      <w:pPr>
        <w:pStyle w:val="NormalParaAR"/>
        <w:spacing w:after="120" w:line="340" w:lineRule="exact"/>
        <w:rPr>
          <w:sz w:val="34"/>
          <w:szCs w:val="34"/>
          <w:rtl/>
          <w:lang w:val="fr-CH"/>
        </w:rPr>
      </w:pPr>
    </w:p>
    <w:p w:rsidR="000332F2" w:rsidRPr="009B7070" w:rsidRDefault="000332F2" w:rsidP="00862268">
      <w:pPr>
        <w:spacing w:after="120" w:line="340" w:lineRule="exact"/>
        <w:ind w:left="5668"/>
        <w:jc w:val="both"/>
        <w:rPr>
          <w:rFonts w:ascii="Arabic Typesetting" w:hAnsi="Arabic Typesetting" w:cs="Arabic Typesetting"/>
          <w:sz w:val="34"/>
          <w:szCs w:val="34"/>
          <w:rtl/>
          <w:lang w:bidi="ar-SA"/>
        </w:rPr>
      </w:pPr>
    </w:p>
    <w:p w:rsidR="000332F2" w:rsidRPr="009B7070" w:rsidRDefault="000332F2" w:rsidP="00862268">
      <w:pPr>
        <w:spacing w:after="120" w:line="340" w:lineRule="exact"/>
        <w:jc w:val="both"/>
        <w:rPr>
          <w:rFonts w:ascii="Arabic Typesetting" w:hAnsi="Arabic Typesetting" w:cs="Arabic Typesetting"/>
          <w:sz w:val="34"/>
          <w:szCs w:val="34"/>
          <w:rtl/>
          <w:lang w:bidi="ar-SA"/>
        </w:rPr>
        <w:sectPr w:rsidR="000332F2" w:rsidRPr="009B7070" w:rsidSect="0055381B">
          <w:pgSz w:w="11906" w:h="16838" w:code="9"/>
          <w:pgMar w:top="1418" w:right="1418" w:bottom="1418" w:left="1134" w:header="510" w:footer="1021" w:gutter="0"/>
          <w:cols w:space="720"/>
          <w:bidi/>
          <w:rtlGutter/>
        </w:sectPr>
      </w:pPr>
    </w:p>
    <w:p w:rsidR="000332F2" w:rsidRPr="006444FA" w:rsidRDefault="000332F2" w:rsidP="00EA5693">
      <w:pPr>
        <w:pStyle w:val="StyleHeading3ComplexItalic"/>
        <w:tabs>
          <w:tab w:val="clear" w:pos="1985"/>
          <w:tab w:val="left" w:pos="0"/>
        </w:tabs>
        <w:bidi/>
        <w:spacing w:after="120" w:line="420" w:lineRule="exact"/>
        <w:outlineLvl w:val="0"/>
        <w:rPr>
          <w:rFonts w:ascii="Arabic Typesetting" w:hAnsi="Arabic Typesetting" w:cs="Arabic Typesetting"/>
          <w:b w:val="0"/>
          <w:bCs/>
          <w:i/>
          <w:iCs w:val="0"/>
          <w:caps w:val="0"/>
          <w:sz w:val="42"/>
          <w:szCs w:val="42"/>
          <w:rtl/>
        </w:rPr>
      </w:pPr>
      <w:bookmarkStart w:id="168" w:name="_Toc358745274"/>
      <w:bookmarkStart w:id="169" w:name="_Toc364355440"/>
      <w:bookmarkStart w:id="170" w:name="_Toc420595555"/>
      <w:r w:rsidRPr="006444FA">
        <w:rPr>
          <w:rFonts w:ascii="Arabic Typesetting" w:hAnsi="Arabic Typesetting" w:cs="Arabic Typesetting"/>
          <w:b w:val="0"/>
          <w:bCs/>
          <w:i/>
          <w:iCs w:val="0"/>
          <w:caps w:val="0"/>
          <w:sz w:val="42"/>
          <w:szCs w:val="42"/>
          <w:rtl/>
        </w:rPr>
        <w:lastRenderedPageBreak/>
        <w:t xml:space="preserve">الملحق </w:t>
      </w:r>
      <w:r w:rsidRPr="006444FA">
        <w:rPr>
          <w:rFonts w:ascii="Arabic Typesetting" w:hAnsi="Arabic Typesetting" w:cs="Arabic Typesetting" w:hint="cs"/>
          <w:b w:val="0"/>
          <w:bCs/>
          <w:i/>
          <w:iCs w:val="0"/>
          <w:caps w:val="0"/>
          <w:sz w:val="42"/>
          <w:szCs w:val="42"/>
          <w:rtl/>
        </w:rPr>
        <w:t>ه</w:t>
      </w:r>
      <w:r w:rsidRPr="006444FA">
        <w:rPr>
          <w:rFonts w:ascii="Arabic Typesetting" w:hAnsi="Arabic Typesetting" w:cs="Arabic Typesetting"/>
          <w:b w:val="0"/>
          <w:bCs/>
          <w:i/>
          <w:iCs w:val="0"/>
          <w:caps w:val="0"/>
          <w:sz w:val="42"/>
          <w:szCs w:val="42"/>
          <w:rtl/>
        </w:rPr>
        <w:t>ا</w:t>
      </w:r>
      <w:r w:rsidRPr="006444FA">
        <w:rPr>
          <w:rFonts w:ascii="Arabic Typesetting" w:hAnsi="Arabic Typesetting" w:cs="Arabic Typesetting" w:hint="cs"/>
          <w:b w:val="0"/>
          <w:bCs/>
          <w:i/>
          <w:iCs w:val="0"/>
          <w:caps w:val="0"/>
          <w:sz w:val="42"/>
          <w:szCs w:val="42"/>
          <w:rtl/>
        </w:rPr>
        <w:t>ء</w:t>
      </w:r>
      <w:bookmarkEnd w:id="168"/>
      <w:bookmarkEnd w:id="169"/>
      <w:bookmarkEnd w:id="170"/>
    </w:p>
    <w:p w:rsidR="000332F2" w:rsidRPr="008F20D9" w:rsidRDefault="000332F2" w:rsidP="00EA5693">
      <w:pPr>
        <w:pStyle w:val="StyleHeading3ComplexItalic"/>
        <w:tabs>
          <w:tab w:val="clear" w:pos="1985"/>
          <w:tab w:val="left" w:pos="0"/>
        </w:tabs>
        <w:bidi/>
        <w:spacing w:after="120" w:line="380" w:lineRule="exact"/>
        <w:outlineLvl w:val="9"/>
        <w:rPr>
          <w:rFonts w:ascii="Arabic Typesetting" w:hAnsi="Arabic Typesetting" w:cs="Arabic Typesetting"/>
          <w:b w:val="0"/>
          <w:bCs/>
          <w:i/>
          <w:iCs w:val="0"/>
          <w:caps w:val="0"/>
          <w:sz w:val="38"/>
          <w:szCs w:val="38"/>
          <w:rtl/>
        </w:rPr>
      </w:pPr>
      <w:bookmarkStart w:id="171" w:name="_Toc364355441"/>
      <w:r w:rsidRPr="008F20D9">
        <w:rPr>
          <w:rFonts w:ascii="Arabic Typesetting" w:hAnsi="Arabic Typesetting" w:cs="Arabic Typesetting"/>
          <w:b w:val="0"/>
          <w:bCs/>
          <w:i/>
          <w:iCs w:val="0"/>
          <w:caps w:val="0"/>
          <w:sz w:val="38"/>
          <w:szCs w:val="38"/>
          <w:rtl/>
        </w:rPr>
        <w:t>المختصرات الواردة في النص الإنكليزي</w:t>
      </w:r>
      <w:bookmarkEnd w:id="171"/>
    </w:p>
    <w:p w:rsidR="00946365" w:rsidRPr="00946365" w:rsidRDefault="00946365" w:rsidP="00946365">
      <w:pPr>
        <w:tabs>
          <w:tab w:val="left" w:pos="2127"/>
        </w:tabs>
        <w:bidi w:val="0"/>
        <w:spacing w:after="40"/>
        <w:ind w:left="2126" w:right="-476" w:hanging="2126"/>
        <w:rPr>
          <w:rFonts w:ascii="Arial" w:eastAsiaTheme="minorEastAsia" w:hAnsi="Arial" w:cs="Arial"/>
          <w:b/>
          <w:bCs/>
          <w:szCs w:val="22"/>
          <w:lang w:eastAsia="ja-JP" w:bidi="ar-SA"/>
        </w:rPr>
      </w:pPr>
      <w:r w:rsidRPr="00946365">
        <w:rPr>
          <w:rFonts w:ascii="Arial" w:eastAsiaTheme="minorEastAsia" w:hAnsi="Arial" w:cs="Arial"/>
          <w:b/>
          <w:bCs/>
          <w:szCs w:val="22"/>
          <w:lang w:eastAsia="ja-JP" w:bidi="ar-SA"/>
        </w:rPr>
        <w:t>A</w:t>
      </w:r>
      <w:r w:rsidRPr="00946365">
        <w:rPr>
          <w:rFonts w:ascii="Arial" w:eastAsiaTheme="minorEastAsia" w:hAnsi="Arial" w:cs="Arial"/>
          <w:szCs w:val="22"/>
          <w:lang w:eastAsia="ja-JP" w:bidi="ar-SA"/>
        </w:rPr>
        <w:t>BC</w:t>
      </w:r>
      <w:r w:rsidRPr="00946365">
        <w:rPr>
          <w:rFonts w:ascii="Arial" w:eastAsiaTheme="minorEastAsia" w:hAnsi="Arial" w:cs="Arial"/>
          <w:szCs w:val="22"/>
          <w:lang w:eastAsia="ja-JP" w:bidi="ar-SA"/>
        </w:rPr>
        <w:tab/>
        <w:t>Accessible Books Consortium</w:t>
      </w:r>
    </w:p>
    <w:p w:rsidR="00946365" w:rsidRPr="00946365" w:rsidRDefault="00946365" w:rsidP="00946365">
      <w:pPr>
        <w:tabs>
          <w:tab w:val="left" w:pos="2127"/>
        </w:tabs>
        <w:bidi w:val="0"/>
        <w:spacing w:after="40"/>
        <w:ind w:left="2126" w:right="-476" w:hanging="2126"/>
        <w:rPr>
          <w:rFonts w:ascii="Arial" w:eastAsiaTheme="minorEastAsia" w:hAnsi="Arial" w:cs="Arial"/>
          <w:szCs w:val="22"/>
          <w:lang w:eastAsia="ja-JP" w:bidi="ar-SA"/>
        </w:rPr>
      </w:pPr>
      <w:r w:rsidRPr="00946365">
        <w:rPr>
          <w:rFonts w:ascii="Arial" w:eastAsiaTheme="minorEastAsia" w:hAnsi="Arial" w:cs="Arial"/>
          <w:bCs/>
          <w:szCs w:val="22"/>
          <w:lang w:eastAsia="ja-JP" w:bidi="ar-SA"/>
        </w:rPr>
        <w:t>A</w:t>
      </w:r>
      <w:r w:rsidRPr="00946365">
        <w:rPr>
          <w:rFonts w:ascii="Arial" w:eastAsiaTheme="minorEastAsia" w:hAnsi="Arial" w:cs="Arial"/>
          <w:szCs w:val="22"/>
          <w:lang w:eastAsia="ja-JP" w:bidi="ar-SA"/>
        </w:rPr>
        <w:t>CE</w:t>
      </w:r>
      <w:r w:rsidRPr="00946365">
        <w:rPr>
          <w:rFonts w:ascii="Arial" w:eastAsiaTheme="minorEastAsia" w:hAnsi="Arial" w:cs="Arial"/>
          <w:szCs w:val="22"/>
          <w:lang w:eastAsia="ja-JP" w:bidi="ar-SA"/>
        </w:rPr>
        <w:tab/>
        <w:t>Ad</w:t>
      </w:r>
      <w:r>
        <w:rPr>
          <w:rFonts w:ascii="Arial" w:eastAsiaTheme="minorEastAsia" w:hAnsi="Arial" w:cs="Arial"/>
          <w:szCs w:val="22"/>
          <w:lang w:eastAsia="ja-JP" w:bidi="ar-SA"/>
        </w:rPr>
        <w:t>visory Committee on Enforcement</w:t>
      </w:r>
    </w:p>
    <w:p w:rsidR="000332F2" w:rsidRPr="00F5439B" w:rsidRDefault="000332F2" w:rsidP="00DA5475">
      <w:pPr>
        <w:tabs>
          <w:tab w:val="left" w:pos="2127"/>
        </w:tabs>
        <w:bidi w:val="0"/>
        <w:spacing w:after="40"/>
        <w:ind w:left="2126" w:hanging="2126"/>
        <w:rPr>
          <w:rFonts w:ascii="Arial" w:eastAsiaTheme="minorEastAsia" w:hAnsi="Arial" w:cs="Arial"/>
          <w:szCs w:val="22"/>
          <w:lang w:eastAsia="ja-JP" w:bidi="ar-SA"/>
        </w:rPr>
      </w:pPr>
      <w:r w:rsidRPr="00F5439B">
        <w:rPr>
          <w:rFonts w:ascii="Arial" w:eastAsiaTheme="minorEastAsia" w:hAnsi="Arial" w:cs="Arial"/>
          <w:szCs w:val="22"/>
          <w:lang w:eastAsia="ja-JP" w:bidi="ar-SA"/>
        </w:rPr>
        <w:t>ADR</w:t>
      </w:r>
      <w:r w:rsidRPr="00F5439B">
        <w:rPr>
          <w:rFonts w:ascii="Arial" w:eastAsiaTheme="minorEastAsia" w:hAnsi="Arial" w:cs="Arial"/>
          <w:szCs w:val="22"/>
          <w:lang w:eastAsia="ja-JP" w:bidi="ar-SA"/>
        </w:rPr>
        <w:tab/>
        <w:t>Alternative Dispute Resolution</w:t>
      </w:r>
    </w:p>
    <w:p w:rsidR="000332F2" w:rsidRDefault="000332F2" w:rsidP="00DA5475">
      <w:pPr>
        <w:tabs>
          <w:tab w:val="left" w:pos="2127"/>
        </w:tabs>
        <w:bidi w:val="0"/>
        <w:spacing w:after="40"/>
        <w:ind w:left="2126" w:hanging="2126"/>
        <w:rPr>
          <w:rFonts w:ascii="Arial" w:eastAsiaTheme="minorEastAsia" w:hAnsi="Arial" w:cs="Arial"/>
          <w:szCs w:val="22"/>
          <w:lang w:eastAsia="ja-JP" w:bidi="ar-SA"/>
        </w:rPr>
      </w:pPr>
      <w:r w:rsidRPr="00F5439B">
        <w:rPr>
          <w:rFonts w:ascii="Arial" w:eastAsiaTheme="minorEastAsia" w:hAnsi="Arial" w:cs="Arial"/>
          <w:szCs w:val="22"/>
          <w:lang w:eastAsia="ja-JP" w:bidi="ar-SA"/>
        </w:rPr>
        <w:t>AGICOA</w:t>
      </w:r>
      <w:r w:rsidRPr="00F5439B">
        <w:rPr>
          <w:rFonts w:ascii="Arial" w:eastAsiaTheme="minorEastAsia" w:hAnsi="Arial" w:cs="Arial"/>
          <w:szCs w:val="22"/>
          <w:lang w:eastAsia="ja-JP" w:bidi="ar-SA"/>
        </w:rPr>
        <w:tab/>
        <w:t>Association of International Collective Management of Audiovisual Works</w:t>
      </w:r>
    </w:p>
    <w:p w:rsidR="00946365" w:rsidRPr="00946365" w:rsidRDefault="00946365" w:rsidP="00946365">
      <w:pPr>
        <w:tabs>
          <w:tab w:val="left" w:pos="2127"/>
        </w:tabs>
        <w:bidi w:val="0"/>
        <w:spacing w:after="40"/>
        <w:ind w:left="2126" w:hanging="2126"/>
        <w:rPr>
          <w:rFonts w:ascii="Arial" w:eastAsiaTheme="minorEastAsia" w:hAnsi="Arial" w:cs="Arial"/>
          <w:szCs w:val="20"/>
          <w:lang w:val="en" w:eastAsia="ja-JP" w:bidi="ar-SA"/>
        </w:rPr>
      </w:pPr>
      <w:r w:rsidRPr="00946365">
        <w:rPr>
          <w:rFonts w:ascii="Arial" w:eastAsiaTheme="minorEastAsia" w:hAnsi="Arial" w:cs="Arial"/>
          <w:szCs w:val="22"/>
          <w:lang w:val="en" w:eastAsia="ja-JP" w:bidi="ar-SA"/>
        </w:rPr>
        <w:t>AIMS</w:t>
      </w:r>
      <w:r w:rsidRPr="00946365">
        <w:rPr>
          <w:rFonts w:ascii="Arial" w:eastAsiaTheme="minorEastAsia" w:hAnsi="Arial" w:cs="Arial"/>
          <w:szCs w:val="22"/>
          <w:lang w:val="en" w:eastAsia="ja-JP" w:bidi="ar-SA"/>
        </w:rPr>
        <w:tab/>
      </w:r>
      <w:r w:rsidRPr="00946365">
        <w:rPr>
          <w:rFonts w:ascii="Arial" w:eastAsiaTheme="minorEastAsia" w:hAnsi="Arial" w:cs="Arial"/>
          <w:iCs/>
          <w:szCs w:val="20"/>
          <w:lang w:eastAsia="ja-JP" w:bidi="ar-SA"/>
        </w:rPr>
        <w:t>Administration Information Management System</w:t>
      </w:r>
    </w:p>
    <w:p w:rsidR="000332F2" w:rsidRPr="00F5439B" w:rsidRDefault="000332F2" w:rsidP="00DA5475">
      <w:pPr>
        <w:tabs>
          <w:tab w:val="left" w:pos="2127"/>
        </w:tabs>
        <w:bidi w:val="0"/>
        <w:spacing w:after="40"/>
        <w:ind w:left="2126" w:hanging="2126"/>
        <w:rPr>
          <w:rFonts w:ascii="Arial" w:eastAsiaTheme="minorEastAsia" w:hAnsi="Arial" w:cs="Arial"/>
          <w:szCs w:val="22"/>
          <w:lang w:eastAsia="ja-JP" w:bidi="ar-SA"/>
        </w:rPr>
      </w:pPr>
      <w:r w:rsidRPr="00F5439B">
        <w:rPr>
          <w:rFonts w:ascii="Arial" w:eastAsiaTheme="minorEastAsia" w:hAnsi="Arial" w:cs="Arial"/>
          <w:szCs w:val="22"/>
          <w:lang w:val="en" w:eastAsia="ja-JP" w:bidi="ar-SA"/>
        </w:rPr>
        <w:t>AIPMS</w:t>
      </w:r>
      <w:r w:rsidRPr="00F5439B">
        <w:rPr>
          <w:rFonts w:ascii="Arial" w:eastAsiaTheme="minorEastAsia" w:hAnsi="Arial" w:cs="Arial"/>
          <w:szCs w:val="22"/>
          <w:lang w:val="en" w:eastAsia="ja-JP" w:bidi="ar-SA"/>
        </w:rPr>
        <w:tab/>
        <w:t>Arab IP Management System</w:t>
      </w:r>
    </w:p>
    <w:p w:rsidR="000332F2" w:rsidRPr="00F5439B" w:rsidRDefault="000332F2" w:rsidP="00DA5475">
      <w:pPr>
        <w:tabs>
          <w:tab w:val="left" w:pos="2127"/>
        </w:tabs>
        <w:bidi w:val="0"/>
        <w:spacing w:after="40"/>
        <w:ind w:left="2126" w:hanging="2126"/>
        <w:rPr>
          <w:rFonts w:ascii="Arial" w:eastAsiaTheme="minorEastAsia" w:hAnsi="Arial" w:cs="Arial"/>
          <w:szCs w:val="22"/>
          <w:lang w:eastAsia="ja-JP" w:bidi="ar-SA"/>
        </w:rPr>
      </w:pPr>
      <w:proofErr w:type="spellStart"/>
      <w:r w:rsidRPr="00F5439B">
        <w:rPr>
          <w:rFonts w:ascii="Arial" w:eastAsiaTheme="minorEastAsia" w:hAnsi="Arial" w:cs="Arial"/>
          <w:szCs w:val="22"/>
          <w:lang w:eastAsia="ja-JP" w:bidi="ar-SA"/>
        </w:rPr>
        <w:t>aRDi</w:t>
      </w:r>
      <w:proofErr w:type="spellEnd"/>
      <w:r w:rsidRPr="00F5439B">
        <w:rPr>
          <w:rFonts w:ascii="Arial" w:eastAsiaTheme="minorEastAsia" w:hAnsi="Arial" w:cs="Arial"/>
          <w:szCs w:val="22"/>
          <w:lang w:eastAsia="ja-JP" w:bidi="ar-SA"/>
        </w:rPr>
        <w:tab/>
      </w:r>
      <w:r w:rsidRPr="00F5439B">
        <w:rPr>
          <w:rFonts w:ascii="Arial" w:eastAsiaTheme="minorEastAsia" w:hAnsi="Arial" w:cs="Arial"/>
          <w:bCs/>
          <w:szCs w:val="22"/>
          <w:lang w:eastAsia="ja-JP" w:bidi="ar-SA"/>
        </w:rPr>
        <w:t>Access to Research for Development and Innovation</w:t>
      </w:r>
    </w:p>
    <w:p w:rsidR="000332F2" w:rsidRPr="00F5439B" w:rsidRDefault="000332F2" w:rsidP="00DA5475">
      <w:pPr>
        <w:tabs>
          <w:tab w:val="left" w:pos="2127"/>
        </w:tabs>
        <w:bidi w:val="0"/>
        <w:spacing w:after="40"/>
        <w:rPr>
          <w:rFonts w:ascii="Arial" w:eastAsiaTheme="minorEastAsia" w:hAnsi="Arial" w:cs="Arial"/>
          <w:szCs w:val="22"/>
          <w:lang w:eastAsia="ja-JP" w:bidi="ar-SA"/>
        </w:rPr>
      </w:pPr>
      <w:r w:rsidRPr="00983FAB">
        <w:rPr>
          <w:rFonts w:ascii="Arial" w:eastAsiaTheme="minorEastAsia" w:hAnsi="Arial" w:cs="Arial"/>
          <w:szCs w:val="22"/>
          <w:lang w:eastAsia="ja-JP" w:bidi="ar-SA"/>
        </w:rPr>
        <w:t>A</w:t>
      </w:r>
      <w:r w:rsidRPr="00F5439B">
        <w:rPr>
          <w:rFonts w:ascii="Arial" w:eastAsiaTheme="minorEastAsia" w:hAnsi="Arial" w:cs="Arial"/>
          <w:szCs w:val="22"/>
          <w:lang w:eastAsia="ja-JP" w:bidi="ar-SA"/>
        </w:rPr>
        <w:t>SEAN</w:t>
      </w:r>
      <w:r w:rsidRPr="00F5439B">
        <w:rPr>
          <w:rFonts w:ascii="Arial" w:eastAsiaTheme="minorEastAsia" w:hAnsi="Arial" w:cs="Arial"/>
          <w:szCs w:val="22"/>
          <w:lang w:eastAsia="ja-JP" w:bidi="ar-SA"/>
        </w:rPr>
        <w:tab/>
      </w:r>
      <w:r w:rsidRPr="00F5439B">
        <w:rPr>
          <w:rFonts w:ascii="Arial" w:eastAsiaTheme="minorEastAsia" w:hAnsi="Arial" w:cs="Arial"/>
          <w:szCs w:val="22"/>
          <w:lang w:val="en" w:eastAsia="ja-JP" w:bidi="ar-SA"/>
        </w:rPr>
        <w:t>Association of South East Asian Nations</w:t>
      </w:r>
    </w:p>
    <w:p w:rsidR="000332F2" w:rsidRPr="00F5439B" w:rsidRDefault="000332F2" w:rsidP="00DA5475">
      <w:pPr>
        <w:tabs>
          <w:tab w:val="left" w:pos="2127"/>
        </w:tabs>
        <w:bidi w:val="0"/>
        <w:spacing w:after="40"/>
        <w:rPr>
          <w:rFonts w:ascii="Arial" w:eastAsiaTheme="minorEastAsia" w:hAnsi="Arial" w:cs="Arial"/>
          <w:szCs w:val="22"/>
          <w:lang w:eastAsia="ja-JP" w:bidi="ar-SA"/>
        </w:rPr>
      </w:pPr>
      <w:r w:rsidRPr="00F5439B">
        <w:rPr>
          <w:rFonts w:ascii="Arial" w:eastAsiaTheme="minorEastAsia" w:hAnsi="Arial" w:cs="Arial"/>
          <w:szCs w:val="22"/>
          <w:lang w:eastAsia="ja-JP" w:bidi="ar-SA"/>
        </w:rPr>
        <w:t>ASHI</w:t>
      </w:r>
      <w:r w:rsidRPr="00F5439B">
        <w:rPr>
          <w:rFonts w:ascii="Arial" w:eastAsiaTheme="minorEastAsia" w:hAnsi="Arial" w:cs="Arial"/>
          <w:szCs w:val="22"/>
          <w:lang w:eastAsia="ja-JP" w:bidi="ar-SA"/>
        </w:rPr>
        <w:tab/>
        <w:t>After-Service Health Insurance</w:t>
      </w:r>
    </w:p>
    <w:p w:rsidR="000332F2" w:rsidRPr="00F5439B" w:rsidRDefault="000332F2" w:rsidP="00DA5475">
      <w:pPr>
        <w:tabs>
          <w:tab w:val="left" w:pos="2127"/>
        </w:tabs>
        <w:bidi w:val="0"/>
        <w:spacing w:after="40"/>
        <w:rPr>
          <w:rFonts w:ascii="Arial" w:eastAsiaTheme="minorEastAsia" w:hAnsi="Arial" w:cs="Arial"/>
          <w:szCs w:val="22"/>
          <w:lang w:eastAsia="ja-JP" w:bidi="ar-SA"/>
        </w:rPr>
      </w:pPr>
      <w:r w:rsidRPr="00F5439B">
        <w:rPr>
          <w:rFonts w:ascii="Arial" w:eastAsiaTheme="minorEastAsia" w:hAnsi="Arial" w:cs="Arial"/>
          <w:szCs w:val="22"/>
          <w:lang w:eastAsia="ja-JP" w:bidi="ar-SA"/>
        </w:rPr>
        <w:t>ASPI</w:t>
      </w:r>
      <w:r w:rsidRPr="00F5439B">
        <w:rPr>
          <w:rFonts w:ascii="Arial" w:eastAsiaTheme="minorEastAsia" w:hAnsi="Arial" w:cs="Arial"/>
          <w:szCs w:val="22"/>
          <w:lang w:eastAsia="ja-JP" w:bidi="ar-SA"/>
        </w:rPr>
        <w:tab/>
        <w:t>Access to Specialized Patent Information</w:t>
      </w:r>
    </w:p>
    <w:p w:rsidR="000332F2" w:rsidRPr="00F5439B" w:rsidRDefault="000332F2" w:rsidP="00DA5475">
      <w:pPr>
        <w:tabs>
          <w:tab w:val="left" w:pos="2127"/>
        </w:tabs>
        <w:bidi w:val="0"/>
        <w:spacing w:after="40"/>
        <w:rPr>
          <w:rFonts w:ascii="Arial" w:eastAsiaTheme="minorEastAsia" w:hAnsi="Arial" w:cs="Arial"/>
          <w:szCs w:val="22"/>
          <w:lang w:eastAsia="ja-JP" w:bidi="ar-SA"/>
        </w:rPr>
      </w:pPr>
      <w:r w:rsidRPr="00F5439B">
        <w:rPr>
          <w:rFonts w:ascii="Arial" w:eastAsiaTheme="minorEastAsia" w:hAnsi="Arial" w:cs="Arial"/>
          <w:szCs w:val="22"/>
          <w:lang w:eastAsia="ja-JP" w:bidi="ar-SA"/>
        </w:rPr>
        <w:t>AUTM</w:t>
      </w:r>
      <w:r w:rsidRPr="00F5439B">
        <w:rPr>
          <w:rFonts w:ascii="Arial" w:eastAsiaTheme="minorEastAsia" w:hAnsi="Arial" w:cs="Arial"/>
          <w:szCs w:val="22"/>
          <w:lang w:eastAsia="ja-JP" w:bidi="ar-SA"/>
        </w:rPr>
        <w:tab/>
      </w:r>
      <w:r w:rsidRPr="00F5439B">
        <w:rPr>
          <w:rFonts w:ascii="Arial" w:eastAsiaTheme="minorEastAsia" w:hAnsi="Arial" w:cs="Arial"/>
          <w:szCs w:val="20"/>
          <w:lang w:eastAsia="ja-JP" w:bidi="ar-SA"/>
        </w:rPr>
        <w:t>Association of University Technology Managers</w:t>
      </w:r>
    </w:p>
    <w:p w:rsidR="00946365" w:rsidRPr="00946365" w:rsidRDefault="00946365" w:rsidP="00946365">
      <w:pPr>
        <w:tabs>
          <w:tab w:val="left" w:pos="2127"/>
        </w:tabs>
        <w:bidi w:val="0"/>
        <w:spacing w:after="180"/>
        <w:ind w:left="2126" w:hanging="2126"/>
        <w:rPr>
          <w:rFonts w:ascii="Arial" w:eastAsiaTheme="minorEastAsia" w:hAnsi="Arial" w:cs="Arial"/>
          <w:szCs w:val="22"/>
          <w:lang w:eastAsia="ja-JP" w:bidi="ar-SA"/>
        </w:rPr>
      </w:pPr>
      <w:r w:rsidRPr="00946365">
        <w:rPr>
          <w:rFonts w:ascii="Arial" w:eastAsiaTheme="minorEastAsia" w:hAnsi="Arial" w:cs="Arial"/>
          <w:szCs w:val="22"/>
          <w:lang w:eastAsia="ja-JP" w:bidi="ar-SA"/>
        </w:rPr>
        <w:t>AWGIPC</w:t>
      </w:r>
      <w:r w:rsidRPr="00946365">
        <w:rPr>
          <w:rFonts w:ascii="Arial" w:eastAsiaTheme="minorEastAsia" w:hAnsi="Arial" w:cs="Arial"/>
          <w:szCs w:val="22"/>
          <w:lang w:eastAsia="ja-JP" w:bidi="ar-SA"/>
        </w:rPr>
        <w:tab/>
        <w:t>ASEAN Working Group on Intellectual Property Cooperation</w:t>
      </w:r>
    </w:p>
    <w:p w:rsidR="000332F2" w:rsidRPr="00F5439B" w:rsidRDefault="000332F2" w:rsidP="00DA5475">
      <w:pPr>
        <w:tabs>
          <w:tab w:val="left" w:pos="2127"/>
        </w:tabs>
        <w:bidi w:val="0"/>
        <w:spacing w:after="180"/>
        <w:ind w:left="2126" w:hanging="2126"/>
        <w:rPr>
          <w:rFonts w:ascii="Arial" w:eastAsiaTheme="minorEastAsia" w:hAnsi="Arial" w:cs="Arial"/>
          <w:sz w:val="18"/>
          <w:szCs w:val="22"/>
          <w:lang w:eastAsia="ja-JP" w:bidi="ar-SA"/>
        </w:rPr>
      </w:pPr>
      <w:r w:rsidRPr="00F5439B">
        <w:rPr>
          <w:rFonts w:ascii="Arial" w:eastAsiaTheme="minorEastAsia" w:hAnsi="Arial" w:cs="Arial"/>
          <w:b/>
          <w:szCs w:val="22"/>
          <w:lang w:eastAsia="ja-JP" w:bidi="ar-SA"/>
        </w:rPr>
        <w:t>B</w:t>
      </w:r>
      <w:r w:rsidRPr="00F5439B">
        <w:rPr>
          <w:rFonts w:ascii="Arial" w:eastAsiaTheme="minorEastAsia" w:hAnsi="Arial" w:cs="Arial"/>
          <w:szCs w:val="22"/>
          <w:lang w:eastAsia="ja-JP" w:bidi="ar-SA"/>
        </w:rPr>
        <w:t>OIP</w:t>
      </w:r>
      <w:r w:rsidRPr="00F5439B">
        <w:rPr>
          <w:rFonts w:ascii="Arial" w:eastAsiaTheme="minorEastAsia" w:hAnsi="Arial" w:cs="Arial"/>
          <w:szCs w:val="22"/>
          <w:lang w:eastAsia="ja-JP" w:bidi="ar-SA"/>
        </w:rPr>
        <w:tab/>
      </w:r>
      <w:r w:rsidRPr="009B7070">
        <w:rPr>
          <w:rFonts w:ascii="Arial" w:eastAsiaTheme="minorEastAsia" w:hAnsi="Arial" w:cs="Arial"/>
          <w:szCs w:val="22"/>
          <w:lang w:eastAsia="ja-JP" w:bidi="ar-SA"/>
        </w:rPr>
        <w:t>Benelux Organization for Intellectual Property</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C</w:t>
      </w:r>
      <w:r w:rsidRPr="00F5439B">
        <w:rPr>
          <w:rFonts w:ascii="Arial" w:eastAsiaTheme="minorEastAsia" w:hAnsi="Arial" w:cs="Arial"/>
          <w:szCs w:val="22"/>
          <w:lang w:eastAsia="ja-JP" w:bidi="ar-SA"/>
        </w:rPr>
        <w:t>ASE</w:t>
      </w:r>
      <w:r w:rsidRPr="00F5439B">
        <w:rPr>
          <w:rFonts w:ascii="Arial" w:eastAsiaTheme="minorEastAsia" w:hAnsi="Arial" w:cs="Arial"/>
          <w:szCs w:val="22"/>
          <w:lang w:eastAsia="ja-JP" w:bidi="ar-SA"/>
        </w:rPr>
        <w:tab/>
        <w:t>Centralized Access to Search and Examination Results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proofErr w:type="spellStart"/>
      <w:r w:rsidRPr="00F5439B">
        <w:rPr>
          <w:rFonts w:ascii="Arial" w:eastAsiaTheme="minorEastAsia" w:hAnsi="Arial" w:cs="Arial"/>
          <w:szCs w:val="22"/>
          <w:lang w:eastAsia="ja-JP" w:bidi="ar-SA"/>
        </w:rPr>
        <w:t>ccTLDs</w:t>
      </w:r>
      <w:proofErr w:type="spellEnd"/>
      <w:r w:rsidRPr="00F5439B">
        <w:rPr>
          <w:rFonts w:ascii="Arial" w:eastAsiaTheme="minorEastAsia" w:hAnsi="Arial" w:cs="Arial"/>
          <w:szCs w:val="22"/>
          <w:lang w:eastAsia="ja-JP" w:bidi="ar-SA"/>
        </w:rPr>
        <w:tab/>
        <w:t>country code Top-Level Domain</w:t>
      </w:r>
    </w:p>
    <w:p w:rsidR="000332F2" w:rsidRPr="00F5439B" w:rsidRDefault="000332F2" w:rsidP="00DA5475">
      <w:pPr>
        <w:tabs>
          <w:tab w:val="left" w:pos="2127"/>
        </w:tabs>
        <w:bidi w:val="0"/>
        <w:spacing w:after="40"/>
        <w:ind w:left="2127" w:right="896" w:hanging="2127"/>
        <w:rPr>
          <w:rFonts w:ascii="Arial" w:hAnsi="Arial" w:cs="Arial"/>
          <w:szCs w:val="20"/>
          <w:lang w:bidi="ar-SA"/>
        </w:rPr>
      </w:pPr>
      <w:r w:rsidRPr="00F5439B">
        <w:rPr>
          <w:rFonts w:ascii="Arial" w:hAnsi="Arial" w:cs="Arial"/>
          <w:szCs w:val="20"/>
          <w:lang w:bidi="ar-SA"/>
        </w:rPr>
        <w:t>CDIP</w:t>
      </w:r>
      <w:r w:rsidRPr="00F5439B">
        <w:rPr>
          <w:rFonts w:ascii="Arial" w:hAnsi="Arial" w:cs="Arial"/>
          <w:szCs w:val="20"/>
          <w:lang w:bidi="ar-SA"/>
        </w:rPr>
        <w:tab/>
        <w:t>Conference on Development and Intellectual Property</w:t>
      </w:r>
    </w:p>
    <w:p w:rsidR="000332F2" w:rsidRPr="00F5439B" w:rsidRDefault="000332F2" w:rsidP="00DA5475">
      <w:pPr>
        <w:tabs>
          <w:tab w:val="left" w:pos="2127"/>
        </w:tabs>
        <w:bidi w:val="0"/>
        <w:spacing w:after="40"/>
        <w:ind w:left="2127" w:right="896" w:hanging="2127"/>
        <w:rPr>
          <w:rFonts w:ascii="Arial" w:hAnsi="Arial" w:cs="Arial"/>
          <w:szCs w:val="20"/>
          <w:lang w:bidi="ar-SA"/>
        </w:rPr>
      </w:pPr>
      <w:r w:rsidRPr="00F5439B">
        <w:rPr>
          <w:rFonts w:ascii="Arial" w:hAnsi="Arial" w:cs="Arial"/>
          <w:szCs w:val="20"/>
          <w:lang w:bidi="ar-SA"/>
        </w:rPr>
        <w:t>CIS</w:t>
      </w:r>
      <w:r w:rsidRPr="00F5439B">
        <w:rPr>
          <w:rFonts w:ascii="Arial" w:hAnsi="Arial" w:cs="Arial"/>
          <w:szCs w:val="20"/>
          <w:lang w:bidi="ar-SA"/>
        </w:rPr>
        <w:tab/>
        <w:t>Commonwealth of Independent States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Cs/>
          <w:szCs w:val="22"/>
          <w:lang w:eastAsia="ja-JP" w:bidi="ar-SA"/>
        </w:rPr>
        <w:t>CLIR</w:t>
      </w:r>
      <w:r w:rsidRPr="00F5439B">
        <w:rPr>
          <w:rFonts w:ascii="Arial" w:eastAsiaTheme="minorEastAsia" w:hAnsi="Arial" w:cs="Arial"/>
          <w:bCs/>
          <w:szCs w:val="22"/>
          <w:lang w:eastAsia="ja-JP" w:bidi="ar-SA"/>
        </w:rPr>
        <w:tab/>
        <w:t>Cross Lingual Information Retrieval</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CMG</w:t>
      </w:r>
      <w:r w:rsidRPr="00F5439B">
        <w:rPr>
          <w:rFonts w:ascii="Arial" w:eastAsiaTheme="minorEastAsia" w:hAnsi="Arial" w:cs="Arial"/>
          <w:szCs w:val="22"/>
          <w:lang w:eastAsia="ja-JP" w:bidi="ar-SA"/>
        </w:rPr>
        <w:tab/>
        <w:t>Crisis Management Group</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CMOs</w:t>
      </w:r>
      <w:r w:rsidRPr="00F5439B">
        <w:rPr>
          <w:rFonts w:ascii="Arial" w:eastAsiaTheme="minorEastAsia" w:hAnsi="Arial" w:cs="Arial"/>
          <w:szCs w:val="22"/>
          <w:lang w:eastAsia="ja-JP" w:bidi="ar-SA"/>
        </w:rPr>
        <w:tab/>
        <w:t>collective management organizations</w:t>
      </w:r>
    </w:p>
    <w:p w:rsidR="00946365" w:rsidRPr="00946365" w:rsidRDefault="00946365" w:rsidP="00946365">
      <w:pPr>
        <w:tabs>
          <w:tab w:val="left" w:pos="2127"/>
        </w:tabs>
        <w:bidi w:val="0"/>
        <w:spacing w:after="180"/>
        <w:ind w:left="2126" w:hanging="2126"/>
        <w:rPr>
          <w:rFonts w:ascii="Arial" w:eastAsiaTheme="minorEastAsia" w:hAnsi="Arial" w:cs="Arial"/>
          <w:szCs w:val="22"/>
          <w:lang w:eastAsia="ja-JP" w:bidi="ar-SA"/>
        </w:rPr>
      </w:pPr>
      <w:r w:rsidRPr="00946365">
        <w:rPr>
          <w:rFonts w:ascii="Arial" w:eastAsiaTheme="minorEastAsia" w:hAnsi="Arial" w:cs="Arial"/>
          <w:szCs w:val="22"/>
          <w:lang w:eastAsia="ja-JP" w:bidi="ar-SA"/>
        </w:rPr>
        <w:t>CTCN</w:t>
      </w:r>
      <w:r w:rsidRPr="00946365">
        <w:rPr>
          <w:rFonts w:ascii="Arial" w:eastAsiaTheme="minorEastAsia" w:hAnsi="Arial" w:cs="Arial"/>
          <w:szCs w:val="22"/>
          <w:lang w:eastAsia="ja-JP" w:bidi="ar-SA"/>
        </w:rPr>
        <w:tab/>
        <w:t>Climate Technology Center and Network</w:t>
      </w:r>
    </w:p>
    <w:p w:rsidR="000332F2" w:rsidRPr="00F5439B" w:rsidRDefault="000332F2" w:rsidP="00DA5475">
      <w:pPr>
        <w:tabs>
          <w:tab w:val="left" w:pos="2127"/>
        </w:tabs>
        <w:bidi w:val="0"/>
        <w:spacing w:after="40"/>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D</w:t>
      </w:r>
      <w:r w:rsidRPr="00F5439B">
        <w:rPr>
          <w:rFonts w:ascii="Arial" w:eastAsiaTheme="minorEastAsia" w:hAnsi="Arial" w:cs="Arial"/>
          <w:szCs w:val="22"/>
          <w:lang w:eastAsia="ja-JP" w:bidi="ar-SA"/>
        </w:rPr>
        <w:t>A</w:t>
      </w:r>
      <w:r w:rsidRPr="00F5439B">
        <w:rPr>
          <w:rFonts w:ascii="Arial" w:eastAsiaTheme="minorEastAsia" w:hAnsi="Arial" w:cs="Arial"/>
          <w:szCs w:val="22"/>
          <w:lang w:eastAsia="ja-JP" w:bidi="ar-SA"/>
        </w:rPr>
        <w:tab/>
        <w:t>Development Agenda</w:t>
      </w:r>
    </w:p>
    <w:p w:rsidR="000332F2" w:rsidRPr="00F5439B" w:rsidRDefault="000332F2" w:rsidP="00DA5475">
      <w:pPr>
        <w:tabs>
          <w:tab w:val="left" w:pos="2127"/>
          <w:tab w:val="left" w:pos="2268"/>
        </w:tabs>
        <w:bidi w:val="0"/>
        <w:spacing w:after="40"/>
        <w:rPr>
          <w:rFonts w:ascii="Arial" w:eastAsiaTheme="minorEastAsia" w:hAnsi="Arial" w:cs="Arial"/>
          <w:szCs w:val="22"/>
          <w:lang w:eastAsia="ja-JP" w:bidi="ar-SA"/>
        </w:rPr>
      </w:pPr>
      <w:r w:rsidRPr="00F5439B">
        <w:rPr>
          <w:rFonts w:ascii="Arial" w:eastAsiaTheme="minorEastAsia" w:hAnsi="Arial" w:cs="Arial"/>
          <w:szCs w:val="22"/>
          <w:lang w:eastAsia="ja-JP" w:bidi="ar-SA"/>
        </w:rPr>
        <w:t>DAS</w:t>
      </w:r>
      <w:r w:rsidRPr="00F5439B">
        <w:rPr>
          <w:rFonts w:ascii="Arial" w:eastAsiaTheme="minorEastAsia" w:hAnsi="Arial" w:cs="Arial"/>
          <w:szCs w:val="22"/>
          <w:lang w:eastAsia="ja-JP" w:bidi="ar-SA"/>
        </w:rPr>
        <w:tab/>
        <w:t xml:space="preserve">Digital Access Service for Priority </w:t>
      </w:r>
      <w:smartTag w:uri="urn:schemas-microsoft-com:office:smarttags" w:element="PersonName">
        <w:r w:rsidRPr="00F5439B">
          <w:rPr>
            <w:rFonts w:ascii="Arial" w:eastAsiaTheme="minorEastAsia" w:hAnsi="Arial" w:cs="Arial"/>
            <w:szCs w:val="22"/>
            <w:lang w:eastAsia="ja-JP" w:bidi="ar-SA"/>
          </w:rPr>
          <w:t>Documents</w:t>
        </w:r>
      </w:smartTag>
    </w:p>
    <w:p w:rsidR="000332F2" w:rsidRPr="00F5439B" w:rsidRDefault="000332F2" w:rsidP="00DA5475">
      <w:pPr>
        <w:tabs>
          <w:tab w:val="left" w:pos="2127"/>
        </w:tabs>
        <w:bidi w:val="0"/>
        <w:spacing w:after="40"/>
        <w:rPr>
          <w:rFonts w:ascii="Arial" w:eastAsiaTheme="minorEastAsia" w:hAnsi="Arial" w:cs="Arial"/>
          <w:szCs w:val="22"/>
          <w:lang w:eastAsia="ja-JP" w:bidi="ar-SA"/>
        </w:rPr>
      </w:pPr>
      <w:r w:rsidRPr="00F5439B">
        <w:rPr>
          <w:rFonts w:ascii="Arial" w:eastAsiaTheme="minorEastAsia" w:hAnsi="Arial" w:cs="Arial"/>
          <w:szCs w:val="22"/>
          <w:lang w:eastAsia="ja-JP" w:bidi="ar-SA"/>
        </w:rPr>
        <w:t>DGIPR</w:t>
      </w:r>
      <w:r w:rsidRPr="00F5439B">
        <w:rPr>
          <w:rFonts w:ascii="Arial" w:eastAsiaTheme="minorEastAsia" w:hAnsi="Arial" w:cs="Arial"/>
          <w:szCs w:val="22"/>
          <w:lang w:eastAsia="ja-JP" w:bidi="ar-SA"/>
        </w:rPr>
        <w:tab/>
      </w:r>
      <w:r w:rsidRPr="009B7070">
        <w:rPr>
          <w:rFonts w:ascii="Arial" w:eastAsiaTheme="minorEastAsia" w:hAnsi="Arial" w:cs="Arial"/>
          <w:szCs w:val="22"/>
          <w:lang w:eastAsia="ja-JP" w:bidi="ar-SA"/>
        </w:rPr>
        <w:t>Directorate General of Intellectual Property Rights</w:t>
      </w:r>
    </w:p>
    <w:p w:rsidR="000332F2" w:rsidRPr="00F5439B" w:rsidRDefault="000332F2" w:rsidP="00DA5475">
      <w:pPr>
        <w:tabs>
          <w:tab w:val="left" w:pos="2127"/>
        </w:tabs>
        <w:bidi w:val="0"/>
        <w:spacing w:after="40"/>
        <w:rPr>
          <w:rFonts w:ascii="Arial" w:eastAsiaTheme="minorEastAsia" w:hAnsi="Arial" w:cs="Arial"/>
          <w:szCs w:val="22"/>
          <w:lang w:eastAsia="ja-JP" w:bidi="ar-SA"/>
        </w:rPr>
      </w:pPr>
      <w:r w:rsidRPr="00F5439B">
        <w:rPr>
          <w:rFonts w:ascii="Arial" w:eastAsiaTheme="minorEastAsia" w:hAnsi="Arial" w:cs="Arial"/>
          <w:szCs w:val="22"/>
          <w:lang w:eastAsia="ja-JP" w:bidi="ar-SA"/>
        </w:rPr>
        <w:t>DNS</w:t>
      </w:r>
      <w:r w:rsidRPr="00F5439B">
        <w:rPr>
          <w:rFonts w:ascii="Arial" w:eastAsiaTheme="minorEastAsia" w:hAnsi="Arial" w:cs="Arial"/>
          <w:szCs w:val="22"/>
          <w:lang w:eastAsia="ja-JP" w:bidi="ar-SA"/>
        </w:rPr>
        <w:tab/>
        <w:t>Domain Name System</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b/>
          <w:bCs/>
          <w:sz w:val="18"/>
          <w:szCs w:val="22"/>
          <w:lang w:eastAsia="ja-JP" w:bidi="ar-SA"/>
        </w:rPr>
      </w:pPr>
      <w:r w:rsidRPr="00F5439B">
        <w:rPr>
          <w:rFonts w:ascii="Arial" w:eastAsiaTheme="minorEastAsia" w:hAnsi="Arial" w:cs="Arial"/>
          <w:b/>
          <w:bCs/>
          <w:szCs w:val="22"/>
          <w:lang w:eastAsia="ja-JP" w:bidi="ar-SA"/>
        </w:rPr>
        <w:t>E</w:t>
      </w:r>
      <w:r w:rsidRPr="00F5439B">
        <w:rPr>
          <w:rFonts w:ascii="Arial" w:eastAsiaTheme="minorEastAsia" w:hAnsi="Arial" w:cs="Arial"/>
          <w:bCs/>
          <w:szCs w:val="22"/>
          <w:lang w:eastAsia="ja-JP" w:bidi="ar-SA"/>
        </w:rPr>
        <w:t>ACIN</w:t>
      </w:r>
      <w:r w:rsidRPr="00F5439B">
        <w:rPr>
          <w:rFonts w:ascii="Arial" w:eastAsiaTheme="minorEastAsia" w:hAnsi="Arial" w:cs="Arial"/>
          <w:b/>
          <w:bCs/>
          <w:szCs w:val="22"/>
          <w:lang w:eastAsia="ja-JP" w:bidi="ar-SA"/>
        </w:rPr>
        <w:tab/>
      </w:r>
      <w:r w:rsidRPr="00F5439B">
        <w:rPr>
          <w:rFonts w:ascii="Arial" w:eastAsiaTheme="minorEastAsia" w:hAnsi="Arial" w:cs="Arial"/>
          <w:szCs w:val="22"/>
          <w:lang w:eastAsia="ja-JP" w:bidi="ar-SA"/>
        </w:rPr>
        <w:t>East Africa Climate Innovation Network</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Cs/>
          <w:szCs w:val="22"/>
          <w:lang w:eastAsia="ja-JP" w:bidi="ar-SA"/>
        </w:rPr>
        <w:t>E</w:t>
      </w:r>
      <w:r w:rsidRPr="00F5439B">
        <w:rPr>
          <w:rFonts w:ascii="Arial" w:eastAsiaTheme="minorEastAsia" w:hAnsi="Arial" w:cs="Arial"/>
          <w:szCs w:val="22"/>
          <w:lang w:eastAsia="ja-JP" w:bidi="ar-SA"/>
        </w:rPr>
        <w:t>CDL (test)</w:t>
      </w:r>
      <w:r w:rsidRPr="00F5439B">
        <w:rPr>
          <w:rFonts w:ascii="Arial" w:eastAsiaTheme="minorEastAsia" w:hAnsi="Arial" w:cs="Arial"/>
          <w:szCs w:val="22"/>
          <w:lang w:eastAsia="ja-JP" w:bidi="ar-SA"/>
        </w:rPr>
        <w:tab/>
        <w:t xml:space="preserve">European Computer Driving </w:t>
      </w:r>
      <w:proofErr w:type="spellStart"/>
      <w:r w:rsidRPr="00F5439B">
        <w:rPr>
          <w:rFonts w:ascii="Arial" w:eastAsiaTheme="minorEastAsia" w:hAnsi="Arial" w:cs="Arial"/>
          <w:szCs w:val="22"/>
          <w:lang w:eastAsia="ja-JP" w:bidi="ar-SA"/>
        </w:rPr>
        <w:t>Licence</w:t>
      </w:r>
      <w:proofErr w:type="spellEnd"/>
      <w:r w:rsidRPr="00F5439B">
        <w:rPr>
          <w:rFonts w:ascii="Arial" w:eastAsiaTheme="minorEastAsia" w:hAnsi="Arial" w:cs="Arial"/>
          <w:szCs w:val="22"/>
          <w:lang w:eastAsia="ja-JP" w:bidi="ar-SA"/>
        </w:rPr>
        <w:t xml:space="preserve"> (global computer literacy certification)</w:t>
      </w:r>
    </w:p>
    <w:p w:rsidR="000332F2" w:rsidRPr="00F5439B" w:rsidRDefault="000332F2" w:rsidP="00DA5475">
      <w:pPr>
        <w:tabs>
          <w:tab w:val="left" w:pos="2127"/>
        </w:tabs>
        <w:bidi w:val="0"/>
        <w:spacing w:after="40"/>
        <w:ind w:left="2127" w:hanging="2127"/>
        <w:rPr>
          <w:rFonts w:ascii="Arial" w:eastAsiaTheme="minorEastAsia" w:hAnsi="Arial" w:cs="Arial"/>
          <w:b/>
          <w:bCs/>
          <w:szCs w:val="22"/>
          <w:lang w:eastAsia="ja-JP" w:bidi="ar-SA"/>
        </w:rPr>
      </w:pPr>
      <w:r w:rsidRPr="00F5439B">
        <w:rPr>
          <w:rFonts w:ascii="Arial" w:eastAsiaTheme="minorEastAsia" w:hAnsi="Arial" w:cs="Arial"/>
          <w:szCs w:val="22"/>
          <w:lang w:eastAsia="ja-JP" w:bidi="ar-SA"/>
        </w:rPr>
        <w:t>ECLA</w:t>
      </w:r>
      <w:r w:rsidRPr="00F5439B">
        <w:rPr>
          <w:rFonts w:ascii="Arial" w:eastAsiaTheme="minorEastAsia" w:hAnsi="Arial" w:cs="Arial"/>
          <w:szCs w:val="22"/>
          <w:lang w:eastAsia="ja-JP" w:bidi="ar-SA"/>
        </w:rPr>
        <w:tab/>
        <w:t>patent classification assigned by the European Patent office</w:t>
      </w:r>
    </w:p>
    <w:p w:rsidR="000332F2" w:rsidRPr="00F5439B" w:rsidRDefault="000332F2" w:rsidP="00DA5475">
      <w:pPr>
        <w:tabs>
          <w:tab w:val="left" w:pos="2127"/>
        </w:tabs>
        <w:bidi w:val="0"/>
        <w:spacing w:after="40"/>
        <w:ind w:left="2127" w:hanging="2127"/>
        <w:rPr>
          <w:rFonts w:ascii="Arial" w:eastAsiaTheme="minorEastAsia" w:hAnsi="Arial" w:cs="Arial"/>
          <w:szCs w:val="22"/>
          <w:lang w:val="fr-FR" w:eastAsia="ja-JP" w:bidi="ar-SA"/>
        </w:rPr>
      </w:pPr>
      <w:r w:rsidRPr="00F5439B">
        <w:rPr>
          <w:rFonts w:ascii="Arial" w:eastAsiaTheme="minorEastAsia" w:hAnsi="Arial" w:cs="Arial"/>
          <w:szCs w:val="22"/>
          <w:lang w:val="fr-FR" w:eastAsia="ja-JP" w:bidi="ar-SA"/>
        </w:rPr>
        <w:t>ECM</w:t>
      </w:r>
      <w:r w:rsidRPr="00F5439B">
        <w:rPr>
          <w:rFonts w:ascii="Arial" w:eastAsiaTheme="minorEastAsia" w:hAnsi="Arial" w:cs="Arial"/>
          <w:szCs w:val="22"/>
          <w:lang w:val="fr-FR" w:eastAsia="ja-JP" w:bidi="ar-SA"/>
        </w:rPr>
        <w:tab/>
        <w:t>Enterprise Content management</w:t>
      </w:r>
    </w:p>
    <w:p w:rsidR="000332F2" w:rsidRPr="00F5439B" w:rsidRDefault="000332F2" w:rsidP="00DA5475">
      <w:pPr>
        <w:tabs>
          <w:tab w:val="left" w:pos="2127"/>
        </w:tabs>
        <w:bidi w:val="0"/>
        <w:spacing w:after="40"/>
        <w:ind w:left="2127" w:hanging="2127"/>
        <w:rPr>
          <w:rFonts w:ascii="Arial" w:eastAsiaTheme="minorEastAsia" w:hAnsi="Arial" w:cs="Arial"/>
          <w:szCs w:val="22"/>
          <w:lang w:val="fr-FR" w:eastAsia="ja-JP" w:bidi="ar-SA"/>
        </w:rPr>
      </w:pPr>
      <w:proofErr w:type="spellStart"/>
      <w:r w:rsidRPr="00F5439B">
        <w:rPr>
          <w:rFonts w:ascii="Arial" w:eastAsiaTheme="minorEastAsia" w:hAnsi="Arial" w:cs="Arial"/>
          <w:szCs w:val="22"/>
          <w:lang w:val="fr-FR" w:eastAsia="ja-JP" w:bidi="ar-SA"/>
        </w:rPr>
        <w:t>EDMS</w:t>
      </w:r>
      <w:proofErr w:type="spellEnd"/>
      <w:r w:rsidRPr="00F5439B">
        <w:rPr>
          <w:rFonts w:ascii="Arial" w:eastAsiaTheme="minorEastAsia" w:hAnsi="Arial" w:cs="Arial"/>
          <w:szCs w:val="22"/>
          <w:lang w:val="fr-FR" w:eastAsia="ja-JP" w:bidi="ar-SA"/>
        </w:rPr>
        <w:tab/>
      </w:r>
      <w:proofErr w:type="spellStart"/>
      <w:r w:rsidRPr="00F5439B">
        <w:rPr>
          <w:rFonts w:ascii="Arial" w:eastAsiaTheme="minorEastAsia" w:hAnsi="Arial" w:cs="Arial"/>
          <w:szCs w:val="22"/>
          <w:lang w:val="fr-FR" w:eastAsia="ja-JP" w:bidi="ar-SA"/>
        </w:rPr>
        <w:t>Electronic</w:t>
      </w:r>
      <w:proofErr w:type="spellEnd"/>
      <w:r w:rsidRPr="00F5439B">
        <w:rPr>
          <w:rFonts w:ascii="Arial" w:eastAsiaTheme="minorEastAsia" w:hAnsi="Arial" w:cs="Arial"/>
          <w:szCs w:val="22"/>
          <w:lang w:val="fr-FR" w:eastAsia="ja-JP" w:bidi="ar-SA"/>
        </w:rPr>
        <w:t xml:space="preserve"> Document Management System</w:t>
      </w:r>
    </w:p>
    <w:p w:rsidR="000332F2" w:rsidRPr="00F5439B" w:rsidRDefault="000332F2" w:rsidP="00DA5475">
      <w:pPr>
        <w:tabs>
          <w:tab w:val="left" w:pos="2127"/>
        </w:tabs>
        <w:bidi w:val="0"/>
        <w:spacing w:after="40"/>
        <w:ind w:left="2127" w:hanging="2127"/>
        <w:rPr>
          <w:rFonts w:ascii="Arial" w:eastAsiaTheme="minorEastAsia" w:hAnsi="Arial" w:cs="Arial"/>
          <w:szCs w:val="22"/>
          <w:lang w:val="fr-FR" w:eastAsia="ja-JP" w:bidi="ar-SA"/>
        </w:rPr>
      </w:pPr>
      <w:proofErr w:type="spellStart"/>
      <w:r w:rsidRPr="00F5439B">
        <w:rPr>
          <w:rFonts w:ascii="Arial" w:eastAsiaTheme="minorEastAsia" w:hAnsi="Arial" w:cs="Arial"/>
          <w:szCs w:val="22"/>
          <w:lang w:val="fr-FR" w:eastAsia="ja-JP" w:bidi="ar-SA"/>
        </w:rPr>
        <w:t>EEC</w:t>
      </w:r>
      <w:proofErr w:type="spellEnd"/>
      <w:r w:rsidRPr="00F5439B">
        <w:rPr>
          <w:rFonts w:ascii="Arial" w:eastAsiaTheme="minorEastAsia" w:hAnsi="Arial" w:cs="Arial"/>
          <w:szCs w:val="22"/>
          <w:lang w:val="fr-FR" w:eastAsia="ja-JP" w:bidi="ar-SA"/>
        </w:rPr>
        <w:tab/>
      </w:r>
      <w:proofErr w:type="spellStart"/>
      <w:r w:rsidRPr="00F5439B">
        <w:rPr>
          <w:rFonts w:ascii="Arial" w:eastAsiaTheme="minorEastAsia" w:hAnsi="Arial" w:cs="Arial"/>
          <w:szCs w:val="22"/>
          <w:lang w:val="fr-FR" w:eastAsia="ja-JP" w:bidi="ar-SA"/>
        </w:rPr>
        <w:t>Eurasian</w:t>
      </w:r>
      <w:proofErr w:type="spellEnd"/>
      <w:r w:rsidRPr="00F5439B">
        <w:rPr>
          <w:rFonts w:ascii="Arial" w:eastAsiaTheme="minorEastAsia" w:hAnsi="Arial" w:cs="Arial"/>
          <w:szCs w:val="22"/>
          <w:lang w:val="fr-FR" w:eastAsia="ja-JP" w:bidi="ar-SA"/>
        </w:rPr>
        <w:t xml:space="preserve"> </w:t>
      </w:r>
      <w:proofErr w:type="spellStart"/>
      <w:r w:rsidRPr="00F5439B">
        <w:rPr>
          <w:rFonts w:ascii="Arial" w:eastAsiaTheme="minorEastAsia" w:hAnsi="Arial" w:cs="Arial"/>
          <w:szCs w:val="22"/>
          <w:lang w:val="fr-FR" w:eastAsia="ja-JP" w:bidi="ar-SA"/>
        </w:rPr>
        <w:t>Economic</w:t>
      </w:r>
      <w:proofErr w:type="spellEnd"/>
      <w:r w:rsidRPr="00F5439B">
        <w:rPr>
          <w:rFonts w:ascii="Arial" w:eastAsiaTheme="minorEastAsia" w:hAnsi="Arial" w:cs="Arial"/>
          <w:szCs w:val="22"/>
          <w:lang w:val="fr-FR" w:eastAsia="ja-JP" w:bidi="ar-SA"/>
        </w:rPr>
        <w:t xml:space="preserve"> Commission</w:t>
      </w:r>
    </w:p>
    <w:p w:rsidR="000332F2" w:rsidRPr="00F5439B" w:rsidRDefault="000332F2" w:rsidP="00DA5475">
      <w:pPr>
        <w:tabs>
          <w:tab w:val="left" w:pos="2127"/>
        </w:tabs>
        <w:bidi w:val="0"/>
        <w:spacing w:after="40"/>
        <w:ind w:left="2127" w:hanging="2127"/>
        <w:rPr>
          <w:rFonts w:ascii="Arial" w:eastAsiaTheme="minorEastAsia" w:hAnsi="Arial" w:cs="Arial"/>
          <w:szCs w:val="22"/>
          <w:lang w:val="fr-FR" w:eastAsia="ja-JP" w:bidi="ar-SA"/>
        </w:rPr>
      </w:pPr>
      <w:proofErr w:type="spellStart"/>
      <w:r w:rsidRPr="00F5439B">
        <w:rPr>
          <w:rFonts w:ascii="Arial" w:eastAsiaTheme="minorEastAsia" w:hAnsi="Arial" w:cs="Arial"/>
          <w:szCs w:val="22"/>
          <w:lang w:val="fr-FR" w:eastAsia="ja-JP" w:bidi="ar-SA"/>
        </w:rPr>
        <w:t>EGEDA</w:t>
      </w:r>
      <w:proofErr w:type="spellEnd"/>
      <w:r w:rsidRPr="00F5439B">
        <w:rPr>
          <w:rFonts w:ascii="Arial" w:eastAsiaTheme="minorEastAsia" w:hAnsi="Arial" w:cs="Arial"/>
          <w:szCs w:val="22"/>
          <w:lang w:val="fr-FR" w:eastAsia="ja-JP" w:bidi="ar-SA"/>
        </w:rPr>
        <w:tab/>
      </w:r>
      <w:proofErr w:type="spellStart"/>
      <w:r w:rsidRPr="00F5439B">
        <w:rPr>
          <w:rFonts w:ascii="Arial" w:eastAsiaTheme="minorEastAsia" w:hAnsi="Arial" w:cs="Arial"/>
          <w:i/>
          <w:iCs/>
          <w:szCs w:val="22"/>
          <w:lang w:val="fr-FR" w:eastAsia="ja-JP" w:bidi="ar-SA"/>
        </w:rPr>
        <w:t>Entidad</w:t>
      </w:r>
      <w:proofErr w:type="spellEnd"/>
      <w:r w:rsidRPr="00F5439B">
        <w:rPr>
          <w:rFonts w:ascii="Arial" w:eastAsiaTheme="minorEastAsia" w:hAnsi="Arial" w:cs="Arial"/>
          <w:i/>
          <w:iCs/>
          <w:szCs w:val="22"/>
          <w:lang w:val="fr-FR" w:eastAsia="ja-JP" w:bidi="ar-SA"/>
        </w:rPr>
        <w:t xml:space="preserve"> de </w:t>
      </w:r>
      <w:proofErr w:type="spellStart"/>
      <w:r w:rsidRPr="00F5439B">
        <w:rPr>
          <w:rFonts w:ascii="Arial" w:eastAsiaTheme="minorEastAsia" w:hAnsi="Arial" w:cs="Arial"/>
          <w:i/>
          <w:iCs/>
          <w:szCs w:val="22"/>
          <w:lang w:val="fr-FR" w:eastAsia="ja-JP" w:bidi="ar-SA"/>
        </w:rPr>
        <w:t>Gestión</w:t>
      </w:r>
      <w:proofErr w:type="spellEnd"/>
      <w:r w:rsidRPr="00F5439B">
        <w:rPr>
          <w:rFonts w:ascii="Arial" w:eastAsiaTheme="minorEastAsia" w:hAnsi="Arial" w:cs="Arial"/>
          <w:i/>
          <w:iCs/>
          <w:szCs w:val="22"/>
          <w:lang w:val="fr-FR" w:eastAsia="ja-JP" w:bidi="ar-SA"/>
        </w:rPr>
        <w:t xml:space="preserve"> de </w:t>
      </w:r>
      <w:proofErr w:type="spellStart"/>
      <w:r w:rsidRPr="00F5439B">
        <w:rPr>
          <w:rFonts w:ascii="Arial" w:eastAsiaTheme="minorEastAsia" w:hAnsi="Arial" w:cs="Arial"/>
          <w:i/>
          <w:iCs/>
          <w:szCs w:val="22"/>
          <w:lang w:val="fr-FR" w:eastAsia="ja-JP" w:bidi="ar-SA"/>
        </w:rPr>
        <w:t>Derechos</w:t>
      </w:r>
      <w:proofErr w:type="spellEnd"/>
      <w:r w:rsidRPr="00F5439B">
        <w:rPr>
          <w:rFonts w:ascii="Arial" w:eastAsiaTheme="minorEastAsia" w:hAnsi="Arial" w:cs="Arial"/>
          <w:i/>
          <w:iCs/>
          <w:szCs w:val="22"/>
          <w:lang w:val="fr-FR" w:eastAsia="ja-JP" w:bidi="ar-SA"/>
        </w:rPr>
        <w:t xml:space="preserve"> de los </w:t>
      </w:r>
      <w:proofErr w:type="spellStart"/>
      <w:r w:rsidRPr="00F5439B">
        <w:rPr>
          <w:rFonts w:ascii="Arial" w:eastAsiaTheme="minorEastAsia" w:hAnsi="Arial" w:cs="Arial"/>
          <w:i/>
          <w:iCs/>
          <w:szCs w:val="22"/>
          <w:lang w:val="fr-FR" w:eastAsia="ja-JP" w:bidi="ar-SA"/>
        </w:rPr>
        <w:t>Productores</w:t>
      </w:r>
      <w:proofErr w:type="spellEnd"/>
      <w:r w:rsidRPr="00F5439B">
        <w:rPr>
          <w:rFonts w:ascii="Arial" w:eastAsiaTheme="minorEastAsia" w:hAnsi="Arial" w:cs="Arial"/>
          <w:i/>
          <w:iCs/>
          <w:szCs w:val="22"/>
          <w:lang w:val="fr-FR" w:eastAsia="ja-JP" w:bidi="ar-SA"/>
        </w:rPr>
        <w:t xml:space="preserve"> </w:t>
      </w:r>
      <w:proofErr w:type="spellStart"/>
      <w:r w:rsidRPr="00F5439B">
        <w:rPr>
          <w:rFonts w:ascii="Arial" w:eastAsiaTheme="minorEastAsia" w:hAnsi="Arial" w:cs="Arial"/>
          <w:i/>
          <w:iCs/>
          <w:szCs w:val="22"/>
          <w:lang w:val="fr-FR" w:eastAsia="ja-JP" w:bidi="ar-SA"/>
        </w:rPr>
        <w:t>Audiovisuales</w:t>
      </w:r>
      <w:proofErr w:type="spellEnd"/>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EPO</w:t>
      </w:r>
      <w:r w:rsidRPr="00F5439B">
        <w:rPr>
          <w:rFonts w:ascii="Arial" w:eastAsiaTheme="minorEastAsia" w:hAnsi="Arial" w:cs="Arial"/>
          <w:szCs w:val="22"/>
          <w:lang w:eastAsia="ja-JP" w:bidi="ar-SA"/>
        </w:rPr>
        <w:tab/>
        <w:t>European Patent Office</w:t>
      </w:r>
    </w:p>
    <w:p w:rsidR="000332F2" w:rsidRPr="00F5439B" w:rsidRDefault="000332F2" w:rsidP="00DA5475">
      <w:pPr>
        <w:bidi w:val="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ERP</w:t>
      </w:r>
      <w:r w:rsidRPr="00F5439B">
        <w:rPr>
          <w:rFonts w:ascii="Arial" w:eastAsiaTheme="minorEastAsia" w:hAnsi="Arial" w:cs="Arial"/>
          <w:szCs w:val="22"/>
          <w:lang w:eastAsia="ja-JP" w:bidi="ar-SA"/>
        </w:rPr>
        <w:tab/>
        <w:t>enterprise resource planning</w:t>
      </w:r>
    </w:p>
    <w:p w:rsidR="000332F2" w:rsidRPr="00F5439B" w:rsidRDefault="000332F2" w:rsidP="00DA5475">
      <w:pPr>
        <w:tabs>
          <w:tab w:val="left" w:pos="2127"/>
        </w:tabs>
        <w:bidi w:val="0"/>
        <w:spacing w:after="40"/>
        <w:ind w:left="2127" w:right="-759" w:hanging="2127"/>
        <w:rPr>
          <w:rFonts w:ascii="Arial" w:eastAsiaTheme="minorEastAsia" w:hAnsi="Arial" w:cs="Arial"/>
          <w:sz w:val="18"/>
          <w:szCs w:val="22"/>
          <w:lang w:eastAsia="ja-JP" w:bidi="ar-SA"/>
        </w:rPr>
      </w:pPr>
      <w:r w:rsidRPr="00F5439B">
        <w:rPr>
          <w:rFonts w:ascii="Arial" w:eastAsiaTheme="minorEastAsia" w:hAnsi="Arial" w:cs="Arial"/>
          <w:szCs w:val="22"/>
          <w:lang w:eastAsia="ja-JP" w:bidi="ar-SA"/>
        </w:rPr>
        <w:t>ETSI</w:t>
      </w:r>
      <w:r w:rsidRPr="00F5439B">
        <w:rPr>
          <w:rFonts w:ascii="Arial" w:eastAsiaTheme="minorEastAsia" w:hAnsi="Arial" w:cs="Arial"/>
          <w:szCs w:val="22"/>
          <w:lang w:eastAsia="ja-JP" w:bidi="ar-SA"/>
        </w:rPr>
        <w:tab/>
      </w:r>
      <w:r w:rsidRPr="009B7070">
        <w:rPr>
          <w:rFonts w:ascii="Arial" w:eastAsiaTheme="minorEastAsia" w:hAnsi="Arial" w:cs="Arial"/>
          <w:iCs/>
          <w:szCs w:val="22"/>
          <w:lang w:eastAsia="ja-JP" w:bidi="ar-SA"/>
        </w:rPr>
        <w:t>European Telecommunication Standards Institute</w:t>
      </w:r>
    </w:p>
    <w:p w:rsidR="000332F2" w:rsidRPr="00F5439B" w:rsidRDefault="000332F2" w:rsidP="00DA5475">
      <w:pPr>
        <w:tabs>
          <w:tab w:val="left" w:pos="2127"/>
        </w:tabs>
        <w:bidi w:val="0"/>
        <w:spacing w:after="40"/>
        <w:ind w:left="2127" w:right="-759"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EU</w:t>
      </w:r>
      <w:r w:rsidRPr="00F5439B">
        <w:rPr>
          <w:rFonts w:ascii="Arial" w:eastAsiaTheme="minorEastAsia" w:hAnsi="Arial" w:cs="Arial"/>
          <w:szCs w:val="22"/>
          <w:lang w:eastAsia="ja-JP" w:bidi="ar-SA"/>
        </w:rPr>
        <w:tab/>
        <w:t>European Union</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right="-759"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F</w:t>
      </w:r>
      <w:r w:rsidRPr="00F5439B">
        <w:rPr>
          <w:rFonts w:ascii="Arial" w:eastAsiaTheme="minorEastAsia" w:hAnsi="Arial" w:cs="Arial"/>
          <w:szCs w:val="22"/>
          <w:lang w:eastAsia="ja-JP" w:bidi="ar-SA"/>
        </w:rPr>
        <w:t>AO</w:t>
      </w:r>
      <w:r w:rsidRPr="00F5439B">
        <w:rPr>
          <w:rFonts w:ascii="Arial" w:eastAsiaTheme="minorEastAsia" w:hAnsi="Arial" w:cs="Arial"/>
          <w:szCs w:val="22"/>
          <w:lang w:eastAsia="ja-JP" w:bidi="ar-SA"/>
        </w:rPr>
        <w:tab/>
        <w:t xml:space="preserve">Food and Agricultural Organization </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FI</w:t>
      </w:r>
      <w:r w:rsidRPr="00F5439B">
        <w:rPr>
          <w:rFonts w:ascii="Arial" w:eastAsiaTheme="minorEastAsia" w:hAnsi="Arial" w:cs="Arial"/>
          <w:szCs w:val="22"/>
          <w:lang w:eastAsia="ja-JP" w:bidi="ar-SA"/>
        </w:rPr>
        <w:tab/>
        <w:t>patent classification assigned by the Japanese Patent office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FIT</w:t>
      </w:r>
      <w:r w:rsidRPr="00F5439B">
        <w:rPr>
          <w:rFonts w:ascii="Arial" w:eastAsiaTheme="minorEastAsia" w:hAnsi="Arial" w:cs="Arial"/>
          <w:szCs w:val="22"/>
          <w:lang w:eastAsia="ja-JP" w:bidi="ar-SA"/>
        </w:rPr>
        <w:tab/>
        <w:t>Fund-in-Trust</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b/>
          <w:bCs/>
          <w:szCs w:val="22"/>
          <w:lang w:eastAsia="ja-JP" w:bidi="ar-SA"/>
        </w:rPr>
      </w:pPr>
      <w:r w:rsidRPr="00F5439B">
        <w:rPr>
          <w:rFonts w:ascii="Arial" w:eastAsiaTheme="minorEastAsia" w:hAnsi="Arial" w:cs="Arial"/>
          <w:b/>
          <w:bCs/>
          <w:szCs w:val="22"/>
          <w:lang w:eastAsia="ja-JP" w:bidi="ar-SA"/>
        </w:rPr>
        <w:t>G</w:t>
      </w:r>
      <w:r w:rsidRPr="00F5439B">
        <w:rPr>
          <w:rFonts w:ascii="Arial" w:eastAsiaTheme="minorEastAsia" w:hAnsi="Arial" w:cs="Arial"/>
          <w:szCs w:val="22"/>
          <w:lang w:eastAsia="ja-JP" w:bidi="ar-SA"/>
        </w:rPr>
        <w:t>NIPA</w:t>
      </w:r>
      <w:r w:rsidRPr="00F5439B">
        <w:rPr>
          <w:rFonts w:ascii="Arial" w:eastAsiaTheme="minorEastAsia" w:hAnsi="Arial" w:cs="Arial"/>
          <w:szCs w:val="22"/>
          <w:lang w:eastAsia="ja-JP" w:bidi="ar-SA"/>
        </w:rPr>
        <w:tab/>
        <w:t>Global Network of IP Academies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GR</w:t>
      </w:r>
      <w:r w:rsidRPr="00F5439B">
        <w:rPr>
          <w:rFonts w:ascii="Arial" w:eastAsiaTheme="minorEastAsia" w:hAnsi="Arial" w:cs="Arial"/>
          <w:szCs w:val="22"/>
          <w:lang w:eastAsia="ja-JP" w:bidi="ar-SA"/>
        </w:rPr>
        <w:tab/>
        <w:t>genetic resources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proofErr w:type="spellStart"/>
      <w:r w:rsidRPr="00F5439B">
        <w:rPr>
          <w:rFonts w:ascii="Arial" w:eastAsiaTheme="minorEastAsia" w:hAnsi="Arial" w:cs="Arial"/>
          <w:szCs w:val="22"/>
          <w:lang w:eastAsia="ja-JP" w:bidi="ar-SA"/>
        </w:rPr>
        <w:t>gTLDs</w:t>
      </w:r>
      <w:proofErr w:type="spellEnd"/>
      <w:r w:rsidRPr="00F5439B">
        <w:rPr>
          <w:rFonts w:ascii="Arial" w:eastAsiaTheme="minorEastAsia" w:hAnsi="Arial" w:cs="Arial"/>
          <w:szCs w:val="22"/>
          <w:lang w:eastAsia="ja-JP" w:bidi="ar-SA"/>
        </w:rPr>
        <w:tab/>
        <w:t>generic Top-Level Domains</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szCs w:val="22"/>
          <w:lang w:eastAsia="ja-JP" w:bidi="ar-SA"/>
        </w:rPr>
        <w:t>H</w:t>
      </w:r>
      <w:r w:rsidRPr="00F5439B">
        <w:rPr>
          <w:rFonts w:ascii="Arial" w:eastAsiaTheme="minorEastAsia" w:hAnsi="Arial" w:cs="Arial"/>
          <w:szCs w:val="22"/>
          <w:lang w:eastAsia="ja-JP" w:bidi="ar-SA"/>
        </w:rPr>
        <w:t>R</w:t>
      </w:r>
      <w:r w:rsidRPr="00F5439B">
        <w:rPr>
          <w:rFonts w:ascii="Arial" w:eastAsiaTheme="minorEastAsia" w:hAnsi="Arial" w:cs="Arial"/>
          <w:szCs w:val="22"/>
          <w:lang w:eastAsia="ja-JP" w:bidi="ar-SA"/>
        </w:rPr>
        <w:tab/>
        <w:t>Human Resources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HRMD</w:t>
      </w:r>
      <w:r w:rsidRPr="00F5439B">
        <w:rPr>
          <w:rFonts w:ascii="Arial" w:eastAsiaTheme="minorEastAsia" w:hAnsi="Arial" w:cs="Arial"/>
          <w:szCs w:val="22"/>
          <w:lang w:eastAsia="ja-JP" w:bidi="ar-SA"/>
        </w:rPr>
        <w:tab/>
        <w:t>Human Resources Management Department</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I</w:t>
      </w:r>
      <w:r w:rsidRPr="00F5439B">
        <w:rPr>
          <w:rFonts w:ascii="Arial" w:eastAsiaTheme="minorEastAsia" w:hAnsi="Arial" w:cs="Arial"/>
          <w:szCs w:val="22"/>
          <w:lang w:eastAsia="ja-JP" w:bidi="ar-SA"/>
        </w:rPr>
        <w:t>AOC</w:t>
      </w:r>
      <w:r w:rsidRPr="00F5439B">
        <w:rPr>
          <w:rFonts w:ascii="Arial" w:eastAsiaTheme="minorEastAsia" w:hAnsi="Arial" w:cs="Arial"/>
          <w:szCs w:val="22"/>
          <w:lang w:eastAsia="ja-JP" w:bidi="ar-SA"/>
        </w:rPr>
        <w:tab/>
        <w:t>Independent Advisory and Oversight Committee</w:t>
      </w:r>
    </w:p>
    <w:p w:rsidR="000332F2" w:rsidRPr="00F5439B" w:rsidRDefault="000332F2" w:rsidP="00DA5475">
      <w:pPr>
        <w:tabs>
          <w:tab w:val="left" w:pos="2127"/>
        </w:tabs>
        <w:bidi w:val="0"/>
        <w:rPr>
          <w:rFonts w:ascii="Arial" w:eastAsiaTheme="minorEastAsia" w:hAnsi="Arial" w:cs="Arial"/>
          <w:szCs w:val="22"/>
          <w:lang w:eastAsia="ja-JP" w:bidi="ar-SA"/>
        </w:rPr>
      </w:pP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ICOM</w:t>
      </w:r>
      <w:r w:rsidRPr="00F5439B">
        <w:rPr>
          <w:rFonts w:ascii="Arial" w:eastAsiaTheme="minorEastAsia" w:hAnsi="Arial" w:cs="Arial"/>
          <w:szCs w:val="22"/>
          <w:lang w:eastAsia="ja-JP" w:bidi="ar-SA"/>
        </w:rPr>
        <w:tab/>
        <w:t>International Council of Museums</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IOD</w:t>
      </w:r>
      <w:r w:rsidRPr="00F5439B">
        <w:rPr>
          <w:rFonts w:ascii="Arial" w:eastAsiaTheme="minorEastAsia" w:hAnsi="Arial" w:cs="Arial"/>
          <w:szCs w:val="22"/>
          <w:lang w:eastAsia="ja-JP" w:bidi="ar-SA"/>
        </w:rPr>
        <w:tab/>
        <w:t>Internal Oversight Division</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ICANN</w:t>
      </w:r>
      <w:r w:rsidRPr="00F5439B">
        <w:rPr>
          <w:rFonts w:ascii="Arial" w:eastAsiaTheme="minorEastAsia" w:hAnsi="Arial" w:cs="Arial"/>
          <w:szCs w:val="22"/>
          <w:lang w:eastAsia="ja-JP" w:bidi="ar-SA"/>
        </w:rPr>
        <w:tab/>
        <w:t xml:space="preserve">Internet Corporation for Assigned Names and Numbers </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ICE</w:t>
      </w:r>
      <w:r w:rsidRPr="00F5439B">
        <w:rPr>
          <w:rFonts w:ascii="Arial" w:eastAsiaTheme="minorEastAsia" w:hAnsi="Arial" w:cs="Arial"/>
          <w:szCs w:val="22"/>
          <w:lang w:eastAsia="ja-JP" w:bidi="ar-SA"/>
        </w:rPr>
        <w:tab/>
        <w:t>International Cooperation on Examination</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ICSEI</w:t>
      </w:r>
      <w:r w:rsidRPr="00F5439B">
        <w:rPr>
          <w:rFonts w:ascii="Arial" w:eastAsiaTheme="minorEastAsia" w:hAnsi="Arial" w:cs="Arial"/>
          <w:szCs w:val="22"/>
          <w:lang w:eastAsia="ja-JP" w:bidi="ar-SA"/>
        </w:rPr>
        <w:tab/>
        <w:t>International Cooperation for the Search and Examination of Inventions</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ICPIP</w:t>
      </w:r>
      <w:r w:rsidRPr="00F5439B">
        <w:rPr>
          <w:rFonts w:ascii="Arial" w:eastAsiaTheme="minorEastAsia" w:hAnsi="Arial" w:cs="Arial"/>
          <w:szCs w:val="22"/>
          <w:lang w:eastAsia="ja-JP" w:bidi="ar-SA"/>
        </w:rPr>
        <w:tab/>
        <w:t>Inter-State Council on the Protection of Industrial Property</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ICSC</w:t>
      </w:r>
      <w:r w:rsidRPr="00F5439B">
        <w:rPr>
          <w:rFonts w:ascii="Arial" w:eastAsiaTheme="minorEastAsia" w:hAnsi="Arial" w:cs="Arial"/>
          <w:szCs w:val="22"/>
          <w:lang w:eastAsia="ja-JP" w:bidi="ar-SA"/>
        </w:rPr>
        <w:tab/>
        <w:t xml:space="preserve">International Civil Service Commission </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ICT</w:t>
      </w:r>
      <w:r w:rsidRPr="00F5439B">
        <w:rPr>
          <w:rFonts w:ascii="Arial" w:eastAsiaTheme="minorEastAsia" w:hAnsi="Arial" w:cs="Arial"/>
          <w:szCs w:val="22"/>
          <w:lang w:eastAsia="ja-JP" w:bidi="ar-SA"/>
        </w:rPr>
        <w:tab/>
        <w:t xml:space="preserve">Information and Communication Technology </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IGC</w:t>
      </w:r>
      <w:r w:rsidRPr="00F5439B">
        <w:rPr>
          <w:rFonts w:ascii="Arial" w:eastAsiaTheme="minorEastAsia" w:hAnsi="Arial" w:cs="Arial"/>
          <w:szCs w:val="22"/>
          <w:lang w:eastAsia="ja-JP" w:bidi="ar-SA"/>
        </w:rPr>
        <w:tab/>
        <w:t>Intergovernmental Committee on Intellectual Property and Genetic Resources, Traditional Knowledge and Folklore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IGOs</w:t>
      </w:r>
      <w:r w:rsidRPr="00F5439B">
        <w:rPr>
          <w:rFonts w:ascii="Arial" w:eastAsiaTheme="minorEastAsia" w:hAnsi="Arial" w:cs="Arial"/>
          <w:szCs w:val="22"/>
          <w:lang w:eastAsia="ja-JP" w:bidi="ar-SA"/>
        </w:rPr>
        <w:tab/>
        <w:t>inter-governmental organizations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IIA</w:t>
      </w:r>
      <w:r w:rsidRPr="00F5439B">
        <w:rPr>
          <w:rFonts w:ascii="Arial" w:eastAsiaTheme="minorEastAsia" w:hAnsi="Arial" w:cs="Arial"/>
          <w:szCs w:val="22"/>
          <w:lang w:eastAsia="ja-JP" w:bidi="ar-SA"/>
        </w:rPr>
        <w:tab/>
        <w:t>Institute of Internal Auditors</w:t>
      </w:r>
    </w:p>
    <w:p w:rsidR="000332F2" w:rsidRPr="00F5439B" w:rsidRDefault="000332F2" w:rsidP="00DA5475">
      <w:pPr>
        <w:tabs>
          <w:tab w:val="left" w:pos="2127"/>
        </w:tabs>
        <w:bidi w:val="0"/>
        <w:spacing w:after="40"/>
        <w:ind w:left="2127" w:hanging="2127"/>
        <w:rPr>
          <w:rFonts w:ascii="Arial" w:eastAsiaTheme="minorEastAsia" w:hAnsi="Arial" w:cs="Arial"/>
          <w:sz w:val="18"/>
          <w:szCs w:val="22"/>
          <w:lang w:eastAsia="ja-JP" w:bidi="ar-SA"/>
        </w:rPr>
      </w:pPr>
      <w:r w:rsidRPr="00F5439B">
        <w:rPr>
          <w:rFonts w:ascii="Arial" w:eastAsiaTheme="minorEastAsia" w:hAnsi="Arial" w:cs="Arial"/>
          <w:szCs w:val="22"/>
          <w:lang w:eastAsia="ja-JP" w:bidi="ar-SA"/>
        </w:rPr>
        <w:t>IMPI</w:t>
      </w:r>
      <w:r w:rsidRPr="00F5439B">
        <w:rPr>
          <w:rFonts w:ascii="Arial" w:eastAsiaTheme="minorEastAsia" w:hAnsi="Arial" w:cs="Arial"/>
          <w:szCs w:val="22"/>
          <w:lang w:eastAsia="ja-JP" w:bidi="ar-SA"/>
        </w:rPr>
        <w:tab/>
      </w:r>
      <w:r w:rsidRPr="009B7070">
        <w:rPr>
          <w:rFonts w:ascii="Arial" w:eastAsiaTheme="minorEastAsia" w:hAnsi="Arial" w:cs="Arial"/>
          <w:szCs w:val="22"/>
          <w:lang w:eastAsia="ja-JP" w:bidi="ar-SA"/>
        </w:rPr>
        <w:t>Mexican Institute of Industrial Property</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IMR</w:t>
      </w:r>
      <w:r w:rsidRPr="00F5439B">
        <w:rPr>
          <w:rFonts w:ascii="Arial" w:eastAsiaTheme="minorEastAsia" w:hAnsi="Arial" w:cs="Arial"/>
          <w:szCs w:val="22"/>
          <w:lang w:eastAsia="ja-JP" w:bidi="ar-SA"/>
        </w:rPr>
        <w:tab/>
        <w:t>International Music Registry</w:t>
      </w:r>
    </w:p>
    <w:p w:rsidR="000332F2" w:rsidRPr="00F5439B" w:rsidRDefault="000332F2" w:rsidP="00DA5475">
      <w:pPr>
        <w:tabs>
          <w:tab w:val="left" w:pos="2127"/>
        </w:tabs>
        <w:bidi w:val="0"/>
        <w:spacing w:after="40"/>
        <w:ind w:left="2127" w:hanging="2127"/>
        <w:rPr>
          <w:rFonts w:ascii="Arial" w:eastAsiaTheme="minorEastAsia" w:hAnsi="Arial" w:cs="Arial"/>
          <w:sz w:val="18"/>
          <w:szCs w:val="22"/>
          <w:lang w:eastAsia="ja-JP" w:bidi="ar-SA"/>
        </w:rPr>
      </w:pPr>
      <w:r w:rsidRPr="00F5439B">
        <w:rPr>
          <w:rFonts w:ascii="Arial" w:eastAsiaTheme="minorEastAsia" w:hAnsi="Arial" w:cs="Arial"/>
          <w:szCs w:val="22"/>
          <w:lang w:eastAsia="ja-JP" w:bidi="ar-SA"/>
        </w:rPr>
        <w:t>INP-BR</w:t>
      </w:r>
      <w:r w:rsidRPr="00F5439B">
        <w:rPr>
          <w:rFonts w:ascii="Arial" w:eastAsiaTheme="minorEastAsia" w:hAnsi="Arial" w:cs="Arial"/>
          <w:szCs w:val="22"/>
          <w:lang w:eastAsia="ja-JP" w:bidi="ar-SA"/>
        </w:rPr>
        <w:tab/>
      </w:r>
      <w:r w:rsidRPr="009B7070">
        <w:rPr>
          <w:rFonts w:ascii="Arial" w:eastAsiaTheme="minorEastAsia" w:hAnsi="Arial" w:cs="Arial"/>
          <w:szCs w:val="22"/>
          <w:lang w:eastAsia="ja-JP" w:bidi="ar-SA"/>
        </w:rPr>
        <w:t>Brazilian National Institute of Industrial Property</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IP</w:t>
      </w:r>
      <w:r w:rsidRPr="00F5439B">
        <w:rPr>
          <w:rFonts w:ascii="Arial" w:eastAsiaTheme="minorEastAsia" w:hAnsi="Arial" w:cs="Arial"/>
          <w:szCs w:val="22"/>
          <w:lang w:eastAsia="ja-JP" w:bidi="ar-SA"/>
        </w:rPr>
        <w:tab/>
        <w:t>Intellectual Property</w:t>
      </w:r>
    </w:p>
    <w:p w:rsidR="000332F2" w:rsidRPr="00F5439B" w:rsidRDefault="000332F2" w:rsidP="00DA5475">
      <w:pPr>
        <w:tabs>
          <w:tab w:val="left" w:pos="2127"/>
        </w:tabs>
        <w:bidi w:val="0"/>
        <w:spacing w:after="40"/>
        <w:ind w:left="2126" w:hanging="2126"/>
        <w:rPr>
          <w:rFonts w:ascii="Arial" w:eastAsiaTheme="minorEastAsia" w:hAnsi="Arial" w:cs="Arial"/>
          <w:szCs w:val="22"/>
          <w:lang w:val="en" w:eastAsia="ja-JP" w:bidi="ar-SA"/>
        </w:rPr>
      </w:pPr>
      <w:r w:rsidRPr="00F5439B">
        <w:rPr>
          <w:rFonts w:ascii="Arial" w:eastAsiaTheme="minorEastAsia" w:hAnsi="Arial" w:cs="Arial"/>
          <w:szCs w:val="22"/>
          <w:lang w:val="en" w:eastAsia="ja-JP" w:bidi="ar-SA"/>
        </w:rPr>
        <w:t>IPAG</w:t>
      </w:r>
      <w:r w:rsidRPr="00F5439B">
        <w:rPr>
          <w:rFonts w:ascii="Arial" w:eastAsiaTheme="minorEastAsia" w:hAnsi="Arial" w:cs="Arial"/>
          <w:szCs w:val="22"/>
          <w:lang w:val="en" w:eastAsia="ja-JP" w:bidi="ar-SA"/>
        </w:rPr>
        <w:tab/>
      </w:r>
      <w:r w:rsidRPr="00F5439B">
        <w:rPr>
          <w:rFonts w:ascii="Arial" w:eastAsiaTheme="minorEastAsia" w:hAnsi="Arial" w:cs="Arial"/>
          <w:bCs/>
          <w:kern w:val="36"/>
          <w:szCs w:val="48"/>
          <w:lang w:eastAsia="ja-JP" w:bidi="ar-SA"/>
        </w:rPr>
        <w:t>Intellectual Property Agreement Guide</w:t>
      </w:r>
    </w:p>
    <w:p w:rsidR="000332F2" w:rsidRPr="00F5439B" w:rsidRDefault="000332F2" w:rsidP="00DA5475">
      <w:pPr>
        <w:tabs>
          <w:tab w:val="left" w:pos="2127"/>
        </w:tabs>
        <w:bidi w:val="0"/>
        <w:spacing w:after="40"/>
        <w:ind w:left="2126" w:hanging="2126"/>
        <w:rPr>
          <w:rFonts w:ascii="Arial" w:eastAsiaTheme="minorEastAsia" w:hAnsi="Arial" w:cs="Arial"/>
          <w:szCs w:val="22"/>
          <w:lang w:val="en" w:eastAsia="ja-JP" w:bidi="ar-SA"/>
        </w:rPr>
      </w:pPr>
      <w:r w:rsidRPr="00F5439B">
        <w:rPr>
          <w:rFonts w:ascii="Arial" w:eastAsiaTheme="minorEastAsia" w:hAnsi="Arial" w:cs="Arial"/>
          <w:szCs w:val="22"/>
          <w:lang w:val="en" w:eastAsia="ja-JP" w:bidi="ar-SA"/>
        </w:rPr>
        <w:t>IPAS</w:t>
      </w:r>
      <w:r w:rsidRPr="00F5439B">
        <w:rPr>
          <w:rFonts w:ascii="Arial" w:eastAsiaTheme="minorEastAsia" w:hAnsi="Arial" w:cs="Arial"/>
          <w:szCs w:val="22"/>
          <w:lang w:val="en" w:eastAsia="ja-JP" w:bidi="ar-SA"/>
        </w:rPr>
        <w:tab/>
        <w:t>IP Office Administration System</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IPACIS</w:t>
      </w:r>
      <w:r w:rsidRPr="00F5439B">
        <w:rPr>
          <w:rFonts w:ascii="Arial" w:eastAsiaTheme="minorEastAsia" w:hAnsi="Arial" w:cs="Arial"/>
          <w:szCs w:val="22"/>
          <w:lang w:eastAsia="ja-JP" w:bidi="ar-SA"/>
        </w:rPr>
        <w:tab/>
        <w:t>Assembly of the CIS Member States</w:t>
      </w:r>
    </w:p>
    <w:p w:rsidR="000332F2"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IPC</w:t>
      </w:r>
      <w:r w:rsidRPr="00F5439B">
        <w:rPr>
          <w:rFonts w:ascii="Arial" w:eastAsiaTheme="minorEastAsia" w:hAnsi="Arial" w:cs="Arial"/>
          <w:szCs w:val="22"/>
          <w:lang w:eastAsia="ja-JP" w:bidi="ar-SA"/>
        </w:rPr>
        <w:tab/>
        <w:t>International Patent Classification</w:t>
      </w:r>
    </w:p>
    <w:p w:rsidR="00755297" w:rsidRPr="00755297" w:rsidRDefault="00755297" w:rsidP="00755297">
      <w:pPr>
        <w:tabs>
          <w:tab w:val="left" w:pos="2127"/>
        </w:tabs>
        <w:bidi w:val="0"/>
        <w:spacing w:after="40"/>
        <w:ind w:left="2127" w:hanging="2127"/>
        <w:rPr>
          <w:rFonts w:ascii="Arial" w:eastAsiaTheme="minorEastAsia" w:hAnsi="Arial" w:cs="Arial"/>
          <w:szCs w:val="20"/>
          <w:lang w:eastAsia="ja-JP" w:bidi="ar-SA"/>
        </w:rPr>
      </w:pPr>
      <w:r w:rsidRPr="00755297">
        <w:rPr>
          <w:rFonts w:ascii="Arial" w:eastAsiaTheme="minorEastAsia" w:hAnsi="Arial" w:cs="Arial"/>
          <w:szCs w:val="22"/>
          <w:lang w:eastAsia="ja-JP" w:bidi="ar-SA"/>
        </w:rPr>
        <w:t>IP-DMD</w:t>
      </w:r>
      <w:r w:rsidRPr="00755297">
        <w:rPr>
          <w:rFonts w:ascii="Arial" w:eastAsiaTheme="minorEastAsia" w:hAnsi="Arial" w:cs="Arial"/>
          <w:szCs w:val="22"/>
          <w:lang w:eastAsia="ja-JP" w:bidi="ar-SA"/>
        </w:rPr>
        <w:tab/>
      </w:r>
      <w:r w:rsidRPr="00755297">
        <w:rPr>
          <w:rFonts w:ascii="Arial" w:eastAsiaTheme="minorEastAsia" w:hAnsi="Arial" w:cs="Arial"/>
          <w:szCs w:val="20"/>
          <w:lang w:eastAsia="ja-JP" w:bidi="ar-SA"/>
        </w:rPr>
        <w:t>Intellectual Property D</w:t>
      </w:r>
      <w:r>
        <w:rPr>
          <w:rFonts w:ascii="Arial" w:eastAsiaTheme="minorEastAsia" w:hAnsi="Arial" w:cs="Arial"/>
          <w:szCs w:val="20"/>
          <w:lang w:eastAsia="ja-JP" w:bidi="ar-SA"/>
        </w:rPr>
        <w:t>evelopment Matchmaking Database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IPO</w:t>
      </w:r>
      <w:r w:rsidRPr="00F5439B">
        <w:rPr>
          <w:rFonts w:ascii="Arial" w:eastAsiaTheme="minorEastAsia" w:hAnsi="Arial" w:cs="Arial"/>
          <w:szCs w:val="22"/>
          <w:lang w:eastAsia="ja-JP" w:bidi="ar-SA"/>
        </w:rPr>
        <w:tab/>
        <w:t>Intellectual Property Office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proofErr w:type="spellStart"/>
      <w:r w:rsidRPr="00F5439B">
        <w:rPr>
          <w:rFonts w:ascii="Arial" w:eastAsiaTheme="minorEastAsia" w:hAnsi="Arial" w:cs="Arial"/>
          <w:szCs w:val="22"/>
          <w:lang w:eastAsia="ja-JP" w:bidi="ar-SA"/>
        </w:rPr>
        <w:t>IPoA</w:t>
      </w:r>
      <w:proofErr w:type="spellEnd"/>
      <w:r w:rsidRPr="00F5439B">
        <w:rPr>
          <w:rFonts w:ascii="Arial" w:eastAsiaTheme="minorEastAsia" w:hAnsi="Arial" w:cs="Arial"/>
          <w:szCs w:val="22"/>
          <w:lang w:eastAsia="ja-JP" w:bidi="ar-SA"/>
        </w:rPr>
        <w:tab/>
      </w:r>
      <w:smartTag w:uri="urn:schemas-microsoft-com:office:smarttags" w:element="place">
        <w:smartTag w:uri="urn:schemas-microsoft-com:office:smarttags" w:element="City">
          <w:r w:rsidRPr="00F5439B">
            <w:rPr>
              <w:rFonts w:ascii="Arial" w:eastAsiaTheme="minorEastAsia" w:hAnsi="Arial" w:cs="Arial"/>
              <w:szCs w:val="22"/>
              <w:lang w:eastAsia="ja-JP" w:bidi="ar-SA"/>
            </w:rPr>
            <w:t>Istanbul</w:t>
          </w:r>
        </w:smartTag>
      </w:smartTag>
      <w:r w:rsidRPr="00F5439B">
        <w:rPr>
          <w:rFonts w:ascii="Arial" w:eastAsiaTheme="minorEastAsia" w:hAnsi="Arial" w:cs="Arial"/>
          <w:szCs w:val="22"/>
          <w:lang w:eastAsia="ja-JP" w:bidi="ar-SA"/>
        </w:rPr>
        <w:t xml:space="preserve"> </w:t>
      </w:r>
      <w:proofErr w:type="spellStart"/>
      <w:r w:rsidRPr="00F5439B">
        <w:rPr>
          <w:rFonts w:ascii="Arial" w:eastAsiaTheme="minorEastAsia" w:hAnsi="Arial" w:cs="Arial"/>
          <w:szCs w:val="22"/>
          <w:lang w:eastAsia="ja-JP" w:bidi="ar-SA"/>
        </w:rPr>
        <w:t>Programme</w:t>
      </w:r>
      <w:proofErr w:type="spellEnd"/>
      <w:r w:rsidRPr="00F5439B">
        <w:rPr>
          <w:rFonts w:ascii="Arial" w:eastAsiaTheme="minorEastAsia" w:hAnsi="Arial" w:cs="Arial"/>
          <w:szCs w:val="22"/>
          <w:lang w:eastAsia="ja-JP" w:bidi="ar-SA"/>
        </w:rPr>
        <w:t xml:space="preserve"> for Action</w:t>
      </w:r>
    </w:p>
    <w:p w:rsidR="000332F2" w:rsidRPr="00F5439B" w:rsidRDefault="000332F2" w:rsidP="00DA5475">
      <w:pPr>
        <w:tabs>
          <w:tab w:val="left" w:pos="2127"/>
        </w:tabs>
        <w:bidi w:val="0"/>
        <w:spacing w:after="40"/>
        <w:ind w:left="2127" w:hanging="2127"/>
        <w:rPr>
          <w:rFonts w:ascii="Arial" w:eastAsiaTheme="minorEastAsia" w:hAnsi="Arial" w:cs="Arial"/>
          <w:sz w:val="18"/>
          <w:szCs w:val="22"/>
          <w:lang w:eastAsia="ja-JP" w:bidi="ar-SA"/>
        </w:rPr>
      </w:pPr>
      <w:r w:rsidRPr="00F5439B">
        <w:rPr>
          <w:rFonts w:ascii="Arial" w:eastAsiaTheme="minorEastAsia" w:hAnsi="Arial" w:cs="Arial"/>
          <w:szCs w:val="22"/>
          <w:lang w:eastAsia="ja-JP" w:bidi="ar-SA"/>
        </w:rPr>
        <w:t>OPOPHL</w:t>
      </w:r>
      <w:r w:rsidRPr="00F5439B">
        <w:rPr>
          <w:rFonts w:ascii="Arial" w:eastAsiaTheme="minorEastAsia" w:hAnsi="Arial" w:cs="Arial"/>
          <w:szCs w:val="22"/>
          <w:lang w:eastAsia="ja-JP" w:bidi="ar-SA"/>
        </w:rPr>
        <w:tab/>
      </w:r>
      <w:r w:rsidRPr="009B7070">
        <w:rPr>
          <w:rFonts w:ascii="Arial" w:eastAsiaTheme="minorEastAsia" w:hAnsi="Arial" w:cs="Arial"/>
          <w:szCs w:val="22"/>
          <w:lang w:eastAsia="ja-JP" w:bidi="ar-SA"/>
        </w:rPr>
        <w:t>Intellectual Property Office of the Philippines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IPRs</w:t>
      </w:r>
      <w:r w:rsidRPr="00F5439B">
        <w:rPr>
          <w:rFonts w:ascii="Arial" w:eastAsiaTheme="minorEastAsia" w:hAnsi="Arial" w:cs="Arial"/>
          <w:szCs w:val="22"/>
          <w:lang w:eastAsia="ja-JP" w:bidi="ar-SA"/>
        </w:rPr>
        <w:tab/>
        <w:t>Intellectual Property Rights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IPSAS</w:t>
      </w:r>
      <w:r w:rsidRPr="00F5439B">
        <w:rPr>
          <w:rFonts w:ascii="Arial" w:eastAsiaTheme="minorEastAsia" w:hAnsi="Arial" w:cs="Arial"/>
          <w:szCs w:val="22"/>
          <w:lang w:eastAsia="ja-JP" w:bidi="ar-SA"/>
        </w:rPr>
        <w:tab/>
        <w:t>International Public Sector Accounting Standards</w:t>
      </w:r>
    </w:p>
    <w:p w:rsidR="000332F2"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IT</w:t>
      </w:r>
      <w:r w:rsidRPr="00F5439B">
        <w:rPr>
          <w:rFonts w:ascii="Arial" w:eastAsiaTheme="minorEastAsia" w:hAnsi="Arial" w:cs="Arial"/>
          <w:szCs w:val="22"/>
          <w:lang w:eastAsia="ja-JP" w:bidi="ar-SA"/>
        </w:rPr>
        <w:tab/>
        <w:t>Information Technology</w:t>
      </w:r>
    </w:p>
    <w:p w:rsidR="00755297" w:rsidRPr="00755297" w:rsidRDefault="00755297" w:rsidP="00755297">
      <w:pPr>
        <w:tabs>
          <w:tab w:val="left" w:pos="2127"/>
        </w:tabs>
        <w:bidi w:val="0"/>
        <w:spacing w:after="40"/>
        <w:ind w:left="2127" w:hanging="2127"/>
        <w:rPr>
          <w:rFonts w:ascii="Arial" w:eastAsiaTheme="minorEastAsia" w:hAnsi="Arial" w:cs="Arial"/>
          <w:szCs w:val="20"/>
          <w:lang w:eastAsia="ja-JP" w:bidi="ar-SA"/>
        </w:rPr>
      </w:pPr>
      <w:r w:rsidRPr="00755297">
        <w:rPr>
          <w:rFonts w:ascii="Arial" w:eastAsiaTheme="minorEastAsia" w:hAnsi="Arial" w:cs="Arial"/>
          <w:szCs w:val="22"/>
          <w:lang w:eastAsia="ja-JP" w:bidi="ar-SA"/>
        </w:rPr>
        <w:t>IP-TAD</w:t>
      </w:r>
      <w:r w:rsidRPr="00755297">
        <w:rPr>
          <w:rFonts w:ascii="Arial" w:eastAsiaTheme="minorEastAsia" w:hAnsi="Arial" w:cs="Arial"/>
          <w:szCs w:val="22"/>
          <w:lang w:eastAsia="ja-JP" w:bidi="ar-SA"/>
        </w:rPr>
        <w:tab/>
      </w:r>
      <w:r w:rsidRPr="00755297">
        <w:rPr>
          <w:rFonts w:ascii="Arial" w:eastAsiaTheme="minorEastAsia" w:hAnsi="Arial" w:cs="Arial"/>
          <w:szCs w:val="20"/>
          <w:lang w:eastAsia="ja-JP" w:bidi="ar-SA"/>
        </w:rPr>
        <w:t>Intellectual Property Technical Assistance Database</w:t>
      </w:r>
    </w:p>
    <w:p w:rsidR="00755297" w:rsidRPr="00755297" w:rsidRDefault="00755297" w:rsidP="00755297">
      <w:pPr>
        <w:tabs>
          <w:tab w:val="left" w:pos="2127"/>
        </w:tabs>
        <w:bidi w:val="0"/>
        <w:spacing w:after="40"/>
        <w:ind w:left="2127" w:hanging="2127"/>
        <w:rPr>
          <w:rFonts w:ascii="Arial" w:eastAsiaTheme="minorEastAsia" w:hAnsi="Arial" w:cs="Arial"/>
          <w:szCs w:val="20"/>
          <w:lang w:eastAsia="ja-JP" w:bidi="ar-SA"/>
        </w:rPr>
      </w:pPr>
      <w:r w:rsidRPr="00755297">
        <w:rPr>
          <w:rFonts w:ascii="Arial" w:eastAsiaTheme="minorEastAsia" w:hAnsi="Arial" w:cs="Arial"/>
          <w:szCs w:val="20"/>
          <w:lang w:eastAsia="ja-JP" w:bidi="ar-SA"/>
        </w:rPr>
        <w:t>IP-ROC</w:t>
      </w:r>
      <w:r w:rsidRPr="00755297">
        <w:rPr>
          <w:rFonts w:ascii="Arial" w:eastAsiaTheme="minorEastAsia" w:hAnsi="Arial" w:cs="Arial"/>
          <w:szCs w:val="20"/>
          <w:lang w:eastAsia="ja-JP" w:bidi="ar-SA"/>
        </w:rPr>
        <w:tab/>
        <w:t>Intellectual Property Roster of Consultants</w:t>
      </w:r>
    </w:p>
    <w:p w:rsidR="00755297" w:rsidRPr="00755297" w:rsidRDefault="00755297" w:rsidP="00755297">
      <w:pPr>
        <w:tabs>
          <w:tab w:val="left" w:pos="2127"/>
        </w:tabs>
        <w:bidi w:val="0"/>
        <w:spacing w:after="40"/>
        <w:ind w:left="2127" w:hanging="2127"/>
        <w:rPr>
          <w:rFonts w:ascii="Arial" w:eastAsiaTheme="minorEastAsia" w:hAnsi="Arial" w:cs="Arial"/>
          <w:szCs w:val="20"/>
          <w:lang w:eastAsia="ja-JP" w:bidi="ar-SA"/>
        </w:rPr>
      </w:pPr>
      <w:r w:rsidRPr="00755297">
        <w:rPr>
          <w:rFonts w:ascii="Arial" w:eastAsiaTheme="minorEastAsia" w:hAnsi="Arial" w:cs="Arial"/>
          <w:szCs w:val="22"/>
          <w:lang w:eastAsia="ja-JP" w:bidi="ar-SA"/>
        </w:rPr>
        <w:t>ISO</w:t>
      </w:r>
      <w:r w:rsidRPr="00755297">
        <w:rPr>
          <w:rFonts w:ascii="Arial" w:eastAsiaTheme="minorEastAsia" w:hAnsi="Arial" w:cs="Arial"/>
          <w:szCs w:val="22"/>
          <w:lang w:eastAsia="ja-JP" w:bidi="ar-SA"/>
        </w:rPr>
        <w:tab/>
      </w:r>
      <w:r w:rsidRPr="00755297">
        <w:rPr>
          <w:rFonts w:ascii="Arial" w:eastAsiaTheme="minorEastAsia" w:hAnsi="Arial" w:cs="Arial"/>
          <w:szCs w:val="20"/>
          <w:lang w:eastAsia="ja-JP" w:bidi="ar-SA"/>
        </w:rPr>
        <w:t>International Organization for Standardization</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ITIL</w:t>
      </w:r>
      <w:r w:rsidRPr="00F5439B">
        <w:rPr>
          <w:rFonts w:ascii="Arial" w:eastAsiaTheme="minorEastAsia" w:hAnsi="Arial" w:cs="Arial"/>
          <w:szCs w:val="22"/>
          <w:lang w:eastAsia="ja-JP" w:bidi="ar-SA"/>
        </w:rPr>
        <w:tab/>
        <w:t>Information Technology Infrastructure Library</w:t>
      </w:r>
    </w:p>
    <w:p w:rsidR="000332F2" w:rsidRPr="00F5439B" w:rsidRDefault="000332F2" w:rsidP="00DA5475">
      <w:pPr>
        <w:tabs>
          <w:tab w:val="left" w:pos="2127"/>
        </w:tabs>
        <w:bidi w:val="0"/>
        <w:rPr>
          <w:rFonts w:ascii="Arial" w:eastAsiaTheme="minorEastAsia" w:hAnsi="Arial" w:cs="Arial"/>
          <w:szCs w:val="22"/>
          <w:lang w:eastAsia="ja-JP" w:bidi="ar-SA"/>
        </w:rPr>
      </w:pPr>
      <w:r w:rsidRPr="00F5439B">
        <w:rPr>
          <w:rFonts w:ascii="Arial" w:eastAsiaTheme="minorEastAsia" w:hAnsi="Arial" w:cs="Arial"/>
          <w:szCs w:val="22"/>
          <w:lang w:eastAsia="ja-JP" w:bidi="ar-SA"/>
        </w:rPr>
        <w:t>ITPGRFA</w:t>
      </w:r>
      <w:r w:rsidRPr="00F5439B">
        <w:rPr>
          <w:rFonts w:ascii="Arial" w:eastAsiaTheme="minorEastAsia" w:hAnsi="Arial" w:cs="Arial"/>
          <w:szCs w:val="22"/>
          <w:lang w:eastAsia="ja-JP" w:bidi="ar-SA"/>
        </w:rPr>
        <w:tab/>
        <w:t>International Treaty on Plant Genetic Resources for Food and Agriculture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ITU</w:t>
      </w:r>
      <w:r w:rsidRPr="00F5439B">
        <w:rPr>
          <w:rFonts w:ascii="Arial" w:eastAsiaTheme="minorEastAsia" w:hAnsi="Arial" w:cs="Arial"/>
          <w:szCs w:val="22"/>
          <w:lang w:eastAsia="ja-JP" w:bidi="ar-SA"/>
        </w:rPr>
        <w:tab/>
      </w:r>
      <w:r w:rsidRPr="00F5439B">
        <w:rPr>
          <w:rFonts w:ascii="Arial" w:eastAsiaTheme="minorEastAsia" w:hAnsi="Arial" w:cs="Arial"/>
          <w:snapToGrid w:val="0"/>
          <w:szCs w:val="22"/>
          <w:lang w:eastAsia="ja-JP" w:bidi="ar-SA"/>
        </w:rPr>
        <w:t>International Telecommunications Union</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b/>
          <w:bCs/>
          <w:sz w:val="18"/>
          <w:szCs w:val="22"/>
          <w:lang w:eastAsia="ja-JP" w:bidi="ar-SA"/>
        </w:rPr>
      </w:pPr>
      <w:r w:rsidRPr="009B7070">
        <w:rPr>
          <w:rFonts w:ascii="Arial" w:eastAsiaTheme="minorEastAsia" w:hAnsi="Arial" w:cs="Arial"/>
          <w:b/>
          <w:szCs w:val="22"/>
          <w:lang w:eastAsia="ja-JP" w:bidi="ar-SA"/>
        </w:rPr>
        <w:t>K</w:t>
      </w:r>
      <w:r w:rsidRPr="009B7070">
        <w:rPr>
          <w:rFonts w:ascii="Arial" w:eastAsiaTheme="minorEastAsia" w:hAnsi="Arial" w:cs="Arial"/>
          <w:szCs w:val="22"/>
          <w:lang w:eastAsia="ja-JP" w:bidi="ar-SA"/>
        </w:rPr>
        <w:t>OTEC</w:t>
      </w:r>
      <w:r w:rsidRPr="009B7070">
        <w:rPr>
          <w:rFonts w:ascii="Arial" w:eastAsiaTheme="minorEastAsia" w:hAnsi="Arial" w:cs="Arial"/>
          <w:szCs w:val="22"/>
          <w:lang w:eastAsia="ja-JP" w:bidi="ar-SA"/>
        </w:rPr>
        <w:tab/>
        <w:t>Korea Technology Finance Corporation</w:t>
      </w:r>
    </w:p>
    <w:p w:rsidR="000332F2" w:rsidRPr="00F5439B" w:rsidRDefault="000332F2" w:rsidP="00DA5475">
      <w:pPr>
        <w:tabs>
          <w:tab w:val="left" w:pos="2127"/>
        </w:tabs>
        <w:bidi w:val="0"/>
        <w:spacing w:after="40"/>
        <w:ind w:left="2127" w:hanging="2127"/>
        <w:rPr>
          <w:rFonts w:ascii="Arial" w:eastAsiaTheme="minorEastAsia" w:hAnsi="Arial" w:cs="Arial"/>
          <w:b/>
          <w:bCs/>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L</w:t>
      </w:r>
      <w:r w:rsidRPr="00F5439B">
        <w:rPr>
          <w:rFonts w:ascii="Arial" w:eastAsiaTheme="minorEastAsia" w:hAnsi="Arial" w:cs="Arial"/>
          <w:szCs w:val="22"/>
          <w:lang w:eastAsia="ja-JP" w:bidi="ar-SA"/>
        </w:rPr>
        <w:t>DCs</w:t>
      </w:r>
      <w:r w:rsidRPr="00F5439B">
        <w:rPr>
          <w:rFonts w:ascii="Arial" w:eastAsiaTheme="minorEastAsia" w:hAnsi="Arial" w:cs="Arial"/>
          <w:szCs w:val="22"/>
          <w:lang w:eastAsia="ja-JP" w:bidi="ar-SA"/>
        </w:rPr>
        <w:tab/>
        <w:t>Least Developed Countries</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proofErr w:type="spellStart"/>
      <w:r w:rsidRPr="00F5439B">
        <w:rPr>
          <w:rFonts w:ascii="Arial" w:eastAsiaTheme="minorEastAsia" w:hAnsi="Arial" w:cs="Arial"/>
          <w:b/>
          <w:bCs/>
          <w:szCs w:val="22"/>
          <w:lang w:eastAsia="ja-JP" w:bidi="ar-SA"/>
        </w:rPr>
        <w:t>M</w:t>
      </w:r>
      <w:r w:rsidRPr="00F5439B">
        <w:rPr>
          <w:rFonts w:ascii="Arial" w:eastAsiaTheme="minorEastAsia" w:hAnsi="Arial" w:cs="Arial"/>
          <w:szCs w:val="22"/>
          <w:lang w:eastAsia="ja-JP" w:bidi="ar-SA"/>
        </w:rPr>
        <w:t>DGs</w:t>
      </w:r>
      <w:proofErr w:type="spellEnd"/>
      <w:r w:rsidRPr="00F5439B">
        <w:rPr>
          <w:rFonts w:ascii="Arial" w:eastAsiaTheme="minorEastAsia" w:hAnsi="Arial" w:cs="Arial"/>
          <w:szCs w:val="22"/>
          <w:lang w:eastAsia="ja-JP" w:bidi="ar-SA"/>
        </w:rPr>
        <w:tab/>
      </w:r>
      <w:proofErr w:type="spellStart"/>
      <w:r w:rsidRPr="00F5439B">
        <w:rPr>
          <w:rFonts w:ascii="Arial" w:eastAsiaTheme="minorEastAsia" w:hAnsi="Arial" w:cs="Arial"/>
          <w:szCs w:val="22"/>
          <w:lang w:eastAsia="ja-JP" w:bidi="ar-SA"/>
        </w:rPr>
        <w:t>Millenium</w:t>
      </w:r>
      <w:proofErr w:type="spellEnd"/>
      <w:r w:rsidRPr="00F5439B">
        <w:rPr>
          <w:rFonts w:ascii="Arial" w:eastAsiaTheme="minorEastAsia" w:hAnsi="Arial" w:cs="Arial"/>
          <w:szCs w:val="22"/>
          <w:lang w:eastAsia="ja-JP" w:bidi="ar-SA"/>
        </w:rPr>
        <w:t xml:space="preserve"> Development Goals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MGS</w:t>
      </w:r>
      <w:r w:rsidRPr="00F5439B">
        <w:rPr>
          <w:rFonts w:ascii="Arial" w:eastAsiaTheme="minorEastAsia" w:hAnsi="Arial" w:cs="Arial"/>
          <w:szCs w:val="22"/>
          <w:lang w:eastAsia="ja-JP" w:bidi="ar-SA"/>
        </w:rPr>
        <w:tab/>
      </w:r>
      <w:smartTag w:uri="urn:schemas-microsoft-com:office:smarttags" w:element="place">
        <w:smartTag w:uri="urn:schemas-microsoft-com:office:smarttags" w:element="State">
          <w:r w:rsidRPr="00F5439B">
            <w:rPr>
              <w:rFonts w:ascii="Arial" w:eastAsiaTheme="minorEastAsia" w:hAnsi="Arial" w:cs="Arial"/>
              <w:szCs w:val="22"/>
              <w:lang w:eastAsia="ja-JP" w:bidi="ar-SA"/>
            </w:rPr>
            <w:t>Madrid</w:t>
          </w:r>
        </w:smartTag>
      </w:smartTag>
      <w:r w:rsidRPr="00F5439B">
        <w:rPr>
          <w:rFonts w:ascii="Arial" w:eastAsiaTheme="minorEastAsia" w:hAnsi="Arial" w:cs="Arial"/>
          <w:szCs w:val="22"/>
          <w:lang w:eastAsia="ja-JP" w:bidi="ar-SA"/>
        </w:rPr>
        <w:t xml:space="preserve"> Goods and Services Manager</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MTSP</w:t>
      </w:r>
      <w:r w:rsidRPr="00F5439B">
        <w:rPr>
          <w:rFonts w:ascii="Arial" w:eastAsiaTheme="minorEastAsia" w:hAnsi="Arial" w:cs="Arial"/>
          <w:szCs w:val="22"/>
          <w:lang w:eastAsia="ja-JP" w:bidi="ar-SA"/>
        </w:rPr>
        <w:tab/>
        <w:t>Medium Term Strategic Plan</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N</w:t>
      </w:r>
      <w:r w:rsidRPr="00F5439B">
        <w:rPr>
          <w:rFonts w:ascii="Arial" w:eastAsiaTheme="minorEastAsia" w:hAnsi="Arial" w:cs="Arial"/>
          <w:szCs w:val="22"/>
          <w:lang w:eastAsia="ja-JP" w:bidi="ar-SA"/>
        </w:rPr>
        <w:t>GOs</w:t>
      </w:r>
      <w:r w:rsidRPr="00F5439B">
        <w:rPr>
          <w:rFonts w:ascii="Arial" w:eastAsiaTheme="minorEastAsia" w:hAnsi="Arial" w:cs="Arial"/>
          <w:szCs w:val="22"/>
          <w:lang w:eastAsia="ja-JP" w:bidi="ar-SA"/>
        </w:rPr>
        <w:tab/>
        <w:t>non-governmental organizations</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szCs w:val="22"/>
          <w:lang w:eastAsia="ja-JP" w:bidi="ar-SA"/>
        </w:rPr>
        <w:lastRenderedPageBreak/>
        <w:t>O</w:t>
      </w:r>
      <w:r w:rsidRPr="00F5439B">
        <w:rPr>
          <w:rFonts w:ascii="Arial" w:eastAsiaTheme="minorEastAsia" w:hAnsi="Arial" w:cs="Arial"/>
          <w:szCs w:val="22"/>
          <w:lang w:eastAsia="ja-JP" w:bidi="ar-SA"/>
        </w:rPr>
        <w:t>HIM</w:t>
      </w:r>
      <w:r w:rsidRPr="00F5439B">
        <w:rPr>
          <w:rFonts w:ascii="Arial" w:eastAsiaTheme="minorEastAsia" w:hAnsi="Arial" w:cs="Arial"/>
          <w:szCs w:val="22"/>
          <w:lang w:eastAsia="ja-JP" w:bidi="ar-SA"/>
        </w:rPr>
        <w:tab/>
        <w:t>Office for Harmonization in the Internal Market (Community Trademarks)</w:t>
      </w:r>
    </w:p>
    <w:p w:rsidR="00474206" w:rsidRPr="00474206" w:rsidRDefault="00474206" w:rsidP="00474206">
      <w:pPr>
        <w:tabs>
          <w:tab w:val="left" w:pos="2127"/>
        </w:tabs>
        <w:bidi w:val="0"/>
        <w:spacing w:after="40"/>
        <w:ind w:left="2127" w:hanging="2127"/>
        <w:rPr>
          <w:rFonts w:ascii="Arial" w:eastAsiaTheme="minorEastAsia" w:hAnsi="Arial" w:cs="Arial"/>
          <w:color w:val="000000"/>
          <w:szCs w:val="20"/>
          <w:lang w:eastAsia="ja-JP" w:bidi="ar-SA"/>
        </w:rPr>
      </w:pPr>
      <w:r w:rsidRPr="00474206">
        <w:rPr>
          <w:rFonts w:ascii="Arial" w:eastAsiaTheme="minorEastAsia" w:hAnsi="Arial" w:cs="Arial"/>
          <w:bCs/>
          <w:szCs w:val="22"/>
          <w:lang w:eastAsia="ja-JP" w:bidi="ar-SA"/>
        </w:rPr>
        <w:t>OCR</w:t>
      </w:r>
      <w:r w:rsidRPr="00474206">
        <w:rPr>
          <w:rFonts w:ascii="Arial" w:eastAsiaTheme="minorEastAsia" w:hAnsi="Arial" w:cs="Arial"/>
          <w:b/>
          <w:bCs/>
          <w:szCs w:val="22"/>
          <w:lang w:eastAsia="ja-JP" w:bidi="ar-SA"/>
        </w:rPr>
        <w:tab/>
      </w:r>
      <w:r w:rsidRPr="00474206">
        <w:rPr>
          <w:rFonts w:ascii="Arial" w:eastAsiaTheme="minorEastAsia" w:hAnsi="Arial" w:cs="Arial"/>
          <w:color w:val="000000"/>
          <w:szCs w:val="20"/>
          <w:lang w:eastAsia="ja-JP" w:bidi="ar-SA"/>
        </w:rPr>
        <w:t>Optical Character Recognition (OCR</w:t>
      </w:r>
      <w:r>
        <w:rPr>
          <w:rFonts w:ascii="Arial" w:eastAsiaTheme="minorEastAsia" w:hAnsi="Arial" w:cs="Arial"/>
          <w:color w:val="000000"/>
          <w:szCs w:val="20"/>
          <w:lang w:eastAsia="ja-JP" w:bidi="ar-SA"/>
        </w:rPr>
        <w:t>)</w:t>
      </w:r>
    </w:p>
    <w:p w:rsidR="000332F2" w:rsidRPr="00F5439B" w:rsidRDefault="000332F2" w:rsidP="00DA5475">
      <w:pPr>
        <w:tabs>
          <w:tab w:val="left" w:pos="2127"/>
        </w:tabs>
        <w:bidi w:val="0"/>
        <w:spacing w:after="40"/>
        <w:ind w:left="2127" w:hanging="2127"/>
        <w:rPr>
          <w:rFonts w:ascii="Arial" w:eastAsiaTheme="minorEastAsia" w:hAnsi="Arial" w:cs="Arial"/>
          <w:b/>
          <w:bCs/>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P</w:t>
      </w:r>
      <w:r w:rsidRPr="00F5439B">
        <w:rPr>
          <w:rFonts w:ascii="Arial" w:eastAsiaTheme="minorEastAsia" w:hAnsi="Arial" w:cs="Arial"/>
          <w:szCs w:val="22"/>
          <w:lang w:eastAsia="ja-JP" w:bidi="ar-SA"/>
        </w:rPr>
        <w:t>CD</w:t>
      </w:r>
      <w:r w:rsidRPr="00F5439B">
        <w:rPr>
          <w:rFonts w:ascii="Arial" w:eastAsiaTheme="minorEastAsia" w:hAnsi="Arial" w:cs="Arial"/>
          <w:szCs w:val="22"/>
          <w:lang w:eastAsia="ja-JP" w:bidi="ar-SA"/>
        </w:rPr>
        <w:tab/>
        <w:t>Procurement Services Division</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PCT</w:t>
      </w:r>
      <w:r w:rsidRPr="00F5439B">
        <w:rPr>
          <w:rFonts w:ascii="Arial" w:eastAsiaTheme="minorEastAsia" w:hAnsi="Arial" w:cs="Arial"/>
          <w:szCs w:val="22"/>
          <w:lang w:eastAsia="ja-JP" w:bidi="ar-SA"/>
        </w:rPr>
        <w:tab/>
        <w:t>Patent Cooperation Treaty</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PLR</w:t>
      </w:r>
      <w:r w:rsidRPr="00F5439B">
        <w:rPr>
          <w:rFonts w:ascii="Arial" w:eastAsiaTheme="minorEastAsia" w:hAnsi="Arial" w:cs="Arial"/>
          <w:szCs w:val="22"/>
          <w:lang w:eastAsia="ja-JP" w:bidi="ar-SA"/>
        </w:rPr>
        <w:tab/>
        <w:t>Patent Landscape Reports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PLT</w:t>
      </w:r>
      <w:r w:rsidRPr="00F5439B">
        <w:rPr>
          <w:rFonts w:ascii="Arial" w:eastAsiaTheme="minorEastAsia" w:hAnsi="Arial" w:cs="Arial"/>
          <w:szCs w:val="22"/>
          <w:lang w:eastAsia="ja-JP" w:bidi="ar-SA"/>
        </w:rPr>
        <w:tab/>
        <w:t>Patent Law Treaty</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PMSDS</w:t>
      </w:r>
      <w:r w:rsidRPr="00F5439B">
        <w:rPr>
          <w:rFonts w:ascii="Arial" w:eastAsiaTheme="minorEastAsia" w:hAnsi="Arial" w:cs="Arial"/>
          <w:szCs w:val="22"/>
          <w:lang w:eastAsia="ja-JP" w:bidi="ar-SA"/>
        </w:rPr>
        <w:tab/>
      </w:r>
      <w:r w:rsidRPr="00F5439B">
        <w:rPr>
          <w:rFonts w:ascii="Arial" w:eastAsiaTheme="minorEastAsia" w:hAnsi="Arial" w:cs="Arial"/>
          <w:snapToGrid w:val="0"/>
          <w:szCs w:val="22"/>
          <w:lang w:eastAsia="ja-JP" w:bidi="ar-SA"/>
        </w:rPr>
        <w:t>Performance Management and Staff Development System</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r w:rsidRPr="00F5439B">
        <w:rPr>
          <w:rFonts w:ascii="Arial" w:eastAsiaTheme="minorEastAsia" w:hAnsi="Arial" w:cs="Arial"/>
          <w:szCs w:val="22"/>
          <w:lang w:eastAsia="ja-JP" w:bidi="ar-SA"/>
        </w:rPr>
        <w:t>PPR</w:t>
      </w:r>
      <w:r w:rsidRPr="00F5439B">
        <w:rPr>
          <w:rFonts w:ascii="Arial" w:eastAsiaTheme="minorEastAsia" w:hAnsi="Arial" w:cs="Arial"/>
          <w:szCs w:val="22"/>
          <w:lang w:eastAsia="ja-JP" w:bidi="ar-SA"/>
        </w:rPr>
        <w:tab/>
        <w:t>Program Performance Report</w:t>
      </w:r>
    </w:p>
    <w:p w:rsidR="000332F2" w:rsidRPr="00F5439B" w:rsidRDefault="000332F2" w:rsidP="00DA5475">
      <w:pPr>
        <w:tabs>
          <w:tab w:val="left" w:pos="2127"/>
        </w:tabs>
        <w:bidi w:val="0"/>
        <w:spacing w:after="40"/>
        <w:ind w:left="2127" w:hanging="2127"/>
        <w:rPr>
          <w:rFonts w:ascii="Arial" w:eastAsiaTheme="minorEastAsia" w:hAnsi="Arial" w:cs="Arial"/>
          <w:b/>
          <w:bCs/>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R</w:t>
      </w:r>
      <w:r w:rsidRPr="00F5439B">
        <w:rPr>
          <w:rFonts w:ascii="Arial" w:eastAsiaTheme="minorEastAsia" w:hAnsi="Arial" w:cs="Arial"/>
          <w:szCs w:val="22"/>
          <w:lang w:eastAsia="ja-JP" w:bidi="ar-SA"/>
        </w:rPr>
        <w:t>BM</w:t>
      </w:r>
      <w:r w:rsidRPr="00F5439B">
        <w:rPr>
          <w:rFonts w:ascii="Arial" w:eastAsiaTheme="minorEastAsia" w:hAnsi="Arial" w:cs="Arial"/>
          <w:szCs w:val="22"/>
          <w:lang w:eastAsia="ja-JP" w:bidi="ar-SA"/>
        </w:rPr>
        <w:tab/>
        <w:t>Results-based Management</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R&amp;D</w:t>
      </w:r>
      <w:r w:rsidRPr="00F5439B">
        <w:rPr>
          <w:rFonts w:ascii="Arial" w:eastAsiaTheme="minorEastAsia" w:hAnsi="Arial" w:cs="Arial"/>
          <w:szCs w:val="22"/>
          <w:lang w:eastAsia="ja-JP" w:bidi="ar-SA"/>
        </w:rPr>
        <w:tab/>
        <w:t>research and development</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RFPs</w:t>
      </w:r>
      <w:r w:rsidRPr="00F5439B">
        <w:rPr>
          <w:rFonts w:ascii="Arial" w:eastAsiaTheme="minorEastAsia" w:hAnsi="Arial" w:cs="Arial"/>
          <w:szCs w:val="22"/>
          <w:lang w:eastAsia="ja-JP" w:bidi="ar-SA"/>
        </w:rPr>
        <w:tab/>
        <w:t>Requests for Proposals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RO</w:t>
      </w:r>
      <w:r w:rsidRPr="00F5439B">
        <w:rPr>
          <w:rFonts w:ascii="Arial" w:eastAsiaTheme="minorEastAsia" w:hAnsi="Arial" w:cs="Arial"/>
          <w:szCs w:val="22"/>
          <w:lang w:eastAsia="ja-JP" w:bidi="ar-SA"/>
        </w:rPr>
        <w:tab/>
        <w:t>Receiving Office</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S</w:t>
      </w:r>
      <w:r w:rsidRPr="00F5439B">
        <w:rPr>
          <w:rFonts w:ascii="Arial" w:eastAsiaTheme="minorEastAsia" w:hAnsi="Arial" w:cs="Arial"/>
          <w:szCs w:val="22"/>
          <w:lang w:eastAsia="ja-JP" w:bidi="ar-SA"/>
        </w:rPr>
        <w:t>CCR</w:t>
      </w:r>
      <w:r w:rsidRPr="00F5439B">
        <w:rPr>
          <w:rFonts w:ascii="Arial" w:eastAsiaTheme="minorEastAsia" w:hAnsi="Arial" w:cs="Arial"/>
          <w:szCs w:val="22"/>
          <w:lang w:eastAsia="ja-JP" w:bidi="ar-SA"/>
        </w:rPr>
        <w:tab/>
        <w:t>Standing Committee on Copyright and Related Rights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SCP</w:t>
      </w:r>
      <w:r w:rsidRPr="00F5439B">
        <w:rPr>
          <w:rFonts w:ascii="Arial" w:eastAsiaTheme="minorEastAsia" w:hAnsi="Arial" w:cs="Arial"/>
          <w:szCs w:val="22"/>
          <w:lang w:eastAsia="ja-JP" w:bidi="ar-SA"/>
        </w:rPr>
        <w:tab/>
        <w:t>Standing Committee on the Law of Patents</w:t>
      </w:r>
    </w:p>
    <w:p w:rsidR="000332F2"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SCT</w:t>
      </w:r>
      <w:r w:rsidRPr="00F5439B">
        <w:rPr>
          <w:rFonts w:ascii="Arial" w:eastAsiaTheme="minorEastAsia" w:hAnsi="Arial" w:cs="Arial"/>
          <w:szCs w:val="22"/>
          <w:lang w:eastAsia="ja-JP" w:bidi="ar-SA"/>
        </w:rPr>
        <w:tab/>
        <w:t>Standing Committee on the Law of Trademarks, Industrial Designs and Geographical Indications</w:t>
      </w:r>
    </w:p>
    <w:p w:rsidR="00474206" w:rsidRPr="00474206" w:rsidRDefault="00474206" w:rsidP="00474206">
      <w:pPr>
        <w:tabs>
          <w:tab w:val="left" w:pos="2127"/>
        </w:tabs>
        <w:bidi w:val="0"/>
        <w:spacing w:after="40"/>
        <w:ind w:left="2127" w:hanging="2127"/>
        <w:rPr>
          <w:rFonts w:ascii="Arial" w:eastAsiaTheme="minorEastAsia" w:hAnsi="Arial" w:cs="Arial"/>
          <w:szCs w:val="22"/>
          <w:lang w:eastAsia="ja-JP" w:bidi="ar-SA"/>
        </w:rPr>
      </w:pPr>
      <w:r w:rsidRPr="00474206">
        <w:rPr>
          <w:rFonts w:ascii="Arial" w:eastAsiaTheme="minorEastAsia" w:hAnsi="Arial" w:cs="Arial"/>
          <w:szCs w:val="22"/>
          <w:lang w:eastAsia="ja-JP" w:bidi="ar-SA"/>
        </w:rPr>
        <w:t>SDG</w:t>
      </w:r>
      <w:r w:rsidRPr="00474206">
        <w:rPr>
          <w:rFonts w:ascii="Arial" w:eastAsiaTheme="minorEastAsia" w:hAnsi="Arial" w:cs="Arial"/>
          <w:szCs w:val="22"/>
          <w:lang w:eastAsia="ja-JP" w:bidi="ar-SA"/>
        </w:rPr>
        <w:tab/>
        <w:t>Sustainable Development Goals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SLC</w:t>
      </w:r>
      <w:r w:rsidRPr="00F5439B">
        <w:rPr>
          <w:rFonts w:ascii="Arial" w:eastAsiaTheme="minorEastAsia" w:hAnsi="Arial" w:cs="Arial"/>
          <w:szCs w:val="22"/>
          <w:lang w:eastAsia="ja-JP" w:bidi="ar-SA"/>
        </w:rPr>
        <w:tab/>
        <w:t>Special Labor Contract</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SMEs</w:t>
      </w:r>
      <w:r w:rsidRPr="00F5439B">
        <w:rPr>
          <w:rFonts w:ascii="Arial" w:eastAsiaTheme="minorEastAsia" w:hAnsi="Arial" w:cs="Arial"/>
          <w:szCs w:val="22"/>
          <w:lang w:eastAsia="ja-JP" w:bidi="ar-SA"/>
        </w:rPr>
        <w:tab/>
        <w:t>small and medium sized enterprises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SSA</w:t>
      </w:r>
      <w:r w:rsidRPr="00F5439B">
        <w:rPr>
          <w:rFonts w:ascii="Arial" w:eastAsiaTheme="minorEastAsia" w:hAnsi="Arial" w:cs="Arial"/>
          <w:szCs w:val="22"/>
          <w:lang w:eastAsia="ja-JP" w:bidi="ar-SA"/>
        </w:rPr>
        <w:tab/>
        <w:t>Special Service Agreements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SRP</w:t>
      </w:r>
      <w:r w:rsidRPr="00F5439B">
        <w:rPr>
          <w:rFonts w:ascii="Arial" w:eastAsiaTheme="minorEastAsia" w:hAnsi="Arial" w:cs="Arial"/>
          <w:szCs w:val="22"/>
          <w:lang w:eastAsia="ja-JP" w:bidi="ar-SA"/>
        </w:rPr>
        <w:tab/>
        <w:t>Strategic Realignment Program</w:t>
      </w:r>
    </w:p>
    <w:p w:rsidR="002C5EC7" w:rsidRPr="002C5EC7" w:rsidRDefault="002C5EC7" w:rsidP="002C5EC7">
      <w:pPr>
        <w:tabs>
          <w:tab w:val="left" w:pos="2127"/>
        </w:tabs>
        <w:bidi w:val="0"/>
        <w:spacing w:after="40"/>
        <w:ind w:left="2127" w:hanging="2127"/>
        <w:rPr>
          <w:rFonts w:ascii="Arial" w:eastAsiaTheme="minorEastAsia" w:hAnsi="Arial" w:cs="Arial"/>
          <w:szCs w:val="22"/>
          <w:lang w:eastAsia="ja-JP" w:bidi="ar-SA"/>
        </w:rPr>
      </w:pPr>
      <w:r w:rsidRPr="002C5EC7">
        <w:rPr>
          <w:rFonts w:ascii="Arial" w:eastAsiaTheme="minorEastAsia" w:hAnsi="Arial" w:cs="Arial"/>
          <w:szCs w:val="22"/>
          <w:lang w:eastAsia="ja-JP" w:bidi="ar-SA"/>
        </w:rPr>
        <w:t>SRR</w:t>
      </w:r>
      <w:r w:rsidRPr="002C5EC7">
        <w:rPr>
          <w:rFonts w:ascii="Arial" w:eastAsiaTheme="minorEastAsia" w:hAnsi="Arial" w:cs="Arial"/>
          <w:szCs w:val="22"/>
          <w:lang w:eastAsia="ja-JP" w:bidi="ar-SA"/>
        </w:rPr>
        <w:tab/>
        <w:t>Staff Regulations and Rules</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Default="000332F2" w:rsidP="00212CB2">
      <w:pPr>
        <w:tabs>
          <w:tab w:val="left" w:pos="2127"/>
        </w:tabs>
        <w:bidi w:val="0"/>
        <w:spacing w:after="40"/>
        <w:ind w:left="2126" w:hanging="2126"/>
        <w:rPr>
          <w:rFonts w:ascii="Arial" w:eastAsiaTheme="minorEastAsia" w:hAnsi="Arial" w:cs="Arial"/>
          <w:szCs w:val="22"/>
          <w:lang w:eastAsia="ja-JP" w:bidi="ar-SA"/>
        </w:rPr>
      </w:pPr>
      <w:r w:rsidRPr="00D65E82">
        <w:rPr>
          <w:rFonts w:ascii="Arial" w:eastAsiaTheme="minorEastAsia" w:hAnsi="Arial" w:cs="Arial"/>
          <w:b/>
          <w:bCs/>
          <w:szCs w:val="22"/>
          <w:lang w:eastAsia="ja-JP" w:bidi="ar-SA"/>
        </w:rPr>
        <w:t>T</w:t>
      </w:r>
      <w:r w:rsidRPr="00D65E82">
        <w:rPr>
          <w:rFonts w:ascii="Arial" w:eastAsiaTheme="minorEastAsia" w:hAnsi="Arial" w:cs="Arial"/>
          <w:szCs w:val="22"/>
          <w:lang w:eastAsia="ja-JP" w:bidi="ar-SA"/>
        </w:rPr>
        <w:t>A</w:t>
      </w:r>
      <w:r w:rsidRPr="00D65E82">
        <w:rPr>
          <w:rFonts w:ascii="Arial" w:eastAsiaTheme="minorEastAsia" w:hAnsi="Arial" w:cs="Arial"/>
          <w:szCs w:val="22"/>
          <w:lang w:eastAsia="ja-JP" w:bidi="ar-SA"/>
        </w:rPr>
        <w:tab/>
        <w:t>Travel Authorization</w:t>
      </w:r>
    </w:p>
    <w:p w:rsidR="00212CB2" w:rsidRPr="00212CB2" w:rsidRDefault="00212CB2" w:rsidP="00212CB2">
      <w:pPr>
        <w:tabs>
          <w:tab w:val="left" w:pos="2127"/>
        </w:tabs>
        <w:bidi w:val="0"/>
        <w:spacing w:after="40"/>
        <w:ind w:left="2126" w:hanging="2126"/>
        <w:rPr>
          <w:rFonts w:ascii="Arial" w:eastAsiaTheme="minorEastAsia" w:hAnsi="Arial" w:cs="Arial"/>
          <w:szCs w:val="22"/>
          <w:lang w:eastAsia="ja-JP" w:bidi="ar-SA"/>
        </w:rPr>
      </w:pPr>
      <w:r w:rsidRPr="00212CB2">
        <w:rPr>
          <w:rFonts w:ascii="Arial" w:eastAsiaTheme="minorEastAsia" w:hAnsi="Arial" w:cs="Arial"/>
          <w:szCs w:val="22"/>
          <w:lang w:eastAsia="ja-JP" w:bidi="ar-SA"/>
        </w:rPr>
        <w:t>TAG</w:t>
      </w:r>
      <w:r w:rsidRPr="00212CB2">
        <w:rPr>
          <w:rFonts w:ascii="Arial" w:eastAsiaTheme="minorEastAsia" w:hAnsi="Arial" w:cs="Arial"/>
          <w:szCs w:val="22"/>
          <w:lang w:eastAsia="ja-JP" w:bidi="ar-SA"/>
        </w:rPr>
        <w:tab/>
        <w:t>Transparency, Accountability and Governance</w:t>
      </w:r>
    </w:p>
    <w:p w:rsidR="000332F2" w:rsidRPr="00D65E82" w:rsidRDefault="000332F2" w:rsidP="00212CB2">
      <w:pPr>
        <w:tabs>
          <w:tab w:val="left" w:pos="2127"/>
        </w:tabs>
        <w:bidi w:val="0"/>
        <w:spacing w:after="40"/>
        <w:ind w:left="2126" w:hanging="2126"/>
        <w:rPr>
          <w:rFonts w:ascii="Arial" w:eastAsiaTheme="minorEastAsia" w:hAnsi="Arial" w:cs="Arial"/>
          <w:szCs w:val="22"/>
          <w:lang w:eastAsia="ja-JP" w:bidi="ar-SA"/>
        </w:rPr>
      </w:pPr>
      <w:r w:rsidRPr="00D65E82">
        <w:rPr>
          <w:rFonts w:ascii="Arial" w:eastAsiaTheme="minorEastAsia" w:hAnsi="Arial" w:cs="Arial"/>
          <w:szCs w:val="22"/>
          <w:lang w:eastAsia="ja-JP" w:bidi="ar-SA"/>
        </w:rPr>
        <w:t>TCEs</w:t>
      </w:r>
      <w:r w:rsidRPr="00D65E82">
        <w:rPr>
          <w:rFonts w:ascii="Arial" w:eastAsiaTheme="minorEastAsia" w:hAnsi="Arial" w:cs="Arial"/>
          <w:szCs w:val="22"/>
          <w:lang w:eastAsia="ja-JP" w:bidi="ar-SA"/>
        </w:rPr>
        <w:tab/>
        <w:t>Traditional Cultural Expressions/Folklore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TIGAR</w:t>
      </w:r>
      <w:r w:rsidRPr="00F5439B">
        <w:rPr>
          <w:rFonts w:ascii="Arial" w:eastAsiaTheme="minorEastAsia" w:hAnsi="Arial" w:cs="Arial"/>
          <w:szCs w:val="22"/>
          <w:lang w:eastAsia="ja-JP" w:bidi="ar-SA"/>
        </w:rPr>
        <w:tab/>
        <w:t>Trusted Intermediary Global Accessible Resources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TISCs</w:t>
      </w:r>
      <w:r w:rsidRPr="00F5439B">
        <w:rPr>
          <w:rFonts w:ascii="Arial" w:eastAsiaTheme="minorEastAsia" w:hAnsi="Arial" w:cs="Arial"/>
          <w:szCs w:val="22"/>
          <w:lang w:eastAsia="ja-JP" w:bidi="ar-SA"/>
        </w:rPr>
        <w:tab/>
        <w:t>Technology Innovation Support Centers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TK</w:t>
      </w:r>
      <w:r w:rsidRPr="00F5439B">
        <w:rPr>
          <w:rFonts w:ascii="Arial" w:eastAsiaTheme="minorEastAsia" w:hAnsi="Arial" w:cs="Arial"/>
          <w:szCs w:val="22"/>
          <w:lang w:eastAsia="ja-JP" w:bidi="ar-SA"/>
        </w:rPr>
        <w:tab/>
        <w:t>Traditional Knowledge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TTO</w:t>
      </w:r>
      <w:r w:rsidRPr="00F5439B">
        <w:rPr>
          <w:rFonts w:ascii="Arial" w:eastAsiaTheme="minorEastAsia" w:hAnsi="Arial" w:cs="Arial"/>
          <w:szCs w:val="22"/>
          <w:lang w:eastAsia="ja-JP" w:bidi="ar-SA"/>
        </w:rPr>
        <w:tab/>
        <w:t>Technology Transfer Office</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U</w:t>
      </w:r>
      <w:r w:rsidRPr="00F5439B">
        <w:rPr>
          <w:rFonts w:ascii="Arial" w:eastAsiaTheme="minorEastAsia" w:hAnsi="Arial" w:cs="Arial"/>
          <w:szCs w:val="22"/>
          <w:lang w:eastAsia="ja-JP" w:bidi="ar-SA"/>
        </w:rPr>
        <w:t>DRP</w:t>
      </w:r>
      <w:r w:rsidRPr="00F5439B">
        <w:rPr>
          <w:rFonts w:ascii="Arial" w:eastAsiaTheme="minorEastAsia" w:hAnsi="Arial" w:cs="Arial"/>
          <w:szCs w:val="22"/>
          <w:lang w:eastAsia="ja-JP" w:bidi="ar-SA"/>
        </w:rPr>
        <w:tab/>
        <w:t>Uniform Domain Name Dispute Resolution Policy</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w:t>
      </w:r>
      <w:r w:rsidRPr="00F5439B">
        <w:rPr>
          <w:rFonts w:ascii="Arial" w:eastAsiaTheme="minorEastAsia" w:hAnsi="Arial" w:cs="Arial"/>
          <w:szCs w:val="22"/>
          <w:lang w:eastAsia="ja-JP" w:bidi="ar-SA"/>
        </w:rPr>
        <w:tab/>
        <w:t>United Nations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UNCTAD</w:t>
      </w:r>
      <w:r w:rsidRPr="00F5439B">
        <w:rPr>
          <w:rFonts w:ascii="Arial" w:eastAsiaTheme="minorEastAsia" w:hAnsi="Arial" w:cs="Arial"/>
          <w:szCs w:val="22"/>
          <w:lang w:eastAsia="ja-JP" w:bidi="ar-SA"/>
        </w:rPr>
        <w:tab/>
        <w:t>United Nations Conference on Trade and Development</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 CEB</w:t>
      </w:r>
      <w:r w:rsidRPr="00F5439B">
        <w:rPr>
          <w:rFonts w:ascii="Arial" w:eastAsiaTheme="minorEastAsia" w:hAnsi="Arial" w:cs="Arial"/>
          <w:szCs w:val="22"/>
          <w:lang w:eastAsia="ja-JP" w:bidi="ar-SA"/>
        </w:rPr>
        <w:tab/>
        <w:t>United Nations Chief Executives Board</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UN-DESA</w:t>
      </w:r>
      <w:r w:rsidRPr="00F5439B">
        <w:rPr>
          <w:rFonts w:ascii="Arial" w:eastAsiaTheme="minorEastAsia" w:hAnsi="Arial" w:cs="Arial"/>
          <w:szCs w:val="22"/>
          <w:lang w:eastAsia="ja-JP" w:bidi="ar-SA"/>
        </w:rPr>
        <w:tab/>
        <w:t>United Nations Department of Social and Economic Affaires</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noProof/>
          <w:szCs w:val="22"/>
          <w:lang w:bidi="ar-SA"/>
        </w:rPr>
        <mc:AlternateContent>
          <mc:Choice Requires="wps">
            <w:drawing>
              <wp:anchor distT="0" distB="0" distL="114300" distR="114300" simplePos="0" relativeHeight="251676672" behindDoc="0" locked="0" layoutInCell="0" allowOverlap="1" wp14:anchorId="19FEECF5" wp14:editId="63D52FD8">
                <wp:simplePos x="0" y="0"/>
                <wp:positionH relativeFrom="column">
                  <wp:posOffset>-2118995</wp:posOffset>
                </wp:positionH>
                <wp:positionV relativeFrom="paragraph">
                  <wp:posOffset>83185</wp:posOffset>
                </wp:positionV>
                <wp:extent cx="731520" cy="1097280"/>
                <wp:effectExtent l="10160" t="10795" r="10795" b="635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AA5889" w:rsidRDefault="00AA5889" w:rsidP="00DA5475">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3" type="#_x0000_t202" style="position:absolute;left:0;text-align:left;margin-left:-166.85pt;margin-top:6.55pt;width:57.6pt;height:86.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" o:allowincell="f">
                <v:textbox>
                  <w:txbxContent>
                    <w:p w:rsidR="00AA5889" w:rsidRDefault="00AA5889" w:rsidP="00DA5475">
                      <w:pPr>
                        <w:pStyle w:val="BodyText2"/>
                      </w:pPr>
                    </w:p>
                  </w:txbxContent>
                </v:textbox>
              </v:shape>
            </w:pict>
          </mc:Fallback>
        </mc:AlternateContent>
      </w:r>
      <w:r w:rsidRPr="00F5439B">
        <w:rPr>
          <w:rFonts w:ascii="Arial" w:eastAsiaTheme="minorEastAsia" w:hAnsi="Arial" w:cs="Arial"/>
          <w:szCs w:val="22"/>
          <w:lang w:eastAsia="ja-JP" w:bidi="ar-SA"/>
        </w:rPr>
        <w:t>UNEP</w:t>
      </w:r>
      <w:r w:rsidRPr="00F5439B">
        <w:rPr>
          <w:rFonts w:ascii="Arial" w:eastAsiaTheme="minorEastAsia" w:hAnsi="Arial" w:cs="Arial"/>
          <w:szCs w:val="22"/>
          <w:lang w:eastAsia="ja-JP" w:bidi="ar-SA"/>
        </w:rPr>
        <w:tab/>
        <w:t xml:space="preserve">United Nations Environmental </w:t>
      </w:r>
      <w:proofErr w:type="spellStart"/>
      <w:r w:rsidRPr="00F5439B">
        <w:rPr>
          <w:rFonts w:ascii="Arial" w:eastAsiaTheme="minorEastAsia" w:hAnsi="Arial" w:cs="Arial"/>
          <w:szCs w:val="22"/>
          <w:lang w:eastAsia="ja-JP" w:bidi="ar-SA"/>
        </w:rPr>
        <w:t>Programme</w:t>
      </w:r>
      <w:proofErr w:type="spellEnd"/>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UNESCO</w:t>
      </w:r>
      <w:r w:rsidRPr="00F5439B">
        <w:rPr>
          <w:rFonts w:ascii="Arial" w:eastAsiaTheme="minorEastAsia" w:hAnsi="Arial" w:cs="Arial"/>
          <w:szCs w:val="22"/>
          <w:lang w:eastAsia="ja-JP" w:bidi="ar-SA"/>
        </w:rPr>
        <w:tab/>
        <w:t>United Nations Educational, Scientific and Cultural Organization</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UNFCCC</w:t>
      </w:r>
      <w:r w:rsidRPr="00F5439B">
        <w:rPr>
          <w:rFonts w:ascii="Arial" w:eastAsiaTheme="minorEastAsia" w:hAnsi="Arial" w:cs="Arial"/>
          <w:szCs w:val="22"/>
          <w:lang w:eastAsia="ja-JP" w:bidi="ar-SA"/>
        </w:rPr>
        <w:tab/>
        <w:t>Framework Convention on Climate Change</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UN-H-MOSS</w:t>
      </w:r>
      <w:r w:rsidRPr="00F5439B">
        <w:rPr>
          <w:rFonts w:ascii="Arial" w:eastAsiaTheme="minorEastAsia" w:hAnsi="Arial" w:cs="Arial"/>
          <w:szCs w:val="22"/>
          <w:lang w:eastAsia="ja-JP" w:bidi="ar-SA"/>
        </w:rPr>
        <w:tab/>
        <w:t>UN Headquarters Minimum Operating Security Standards</w:t>
      </w:r>
    </w:p>
    <w:p w:rsidR="000332F2" w:rsidRPr="00F5439B" w:rsidRDefault="000332F2" w:rsidP="00DA5475">
      <w:pPr>
        <w:tabs>
          <w:tab w:val="left" w:pos="2127"/>
        </w:tabs>
        <w:bidi w:val="0"/>
        <w:spacing w:after="40"/>
        <w:ind w:left="2127" w:right="-476"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UNICC</w:t>
      </w:r>
      <w:r w:rsidRPr="00F5439B">
        <w:rPr>
          <w:rFonts w:ascii="Arial" w:eastAsiaTheme="minorEastAsia" w:hAnsi="Arial" w:cs="Arial"/>
          <w:szCs w:val="22"/>
          <w:lang w:eastAsia="ja-JP" w:bidi="ar-SA"/>
        </w:rPr>
        <w:tab/>
        <w:t>UN International Computing Centre</w:t>
      </w:r>
    </w:p>
    <w:p w:rsidR="000332F2" w:rsidRPr="00F5439B" w:rsidRDefault="000332F2" w:rsidP="00DA5475">
      <w:pPr>
        <w:tabs>
          <w:tab w:val="left" w:pos="2127"/>
        </w:tabs>
        <w:bidi w:val="0"/>
        <w:spacing w:after="40"/>
        <w:ind w:left="2127" w:right="-476"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UNIDO</w:t>
      </w:r>
      <w:r w:rsidRPr="00F5439B">
        <w:rPr>
          <w:rFonts w:ascii="Arial" w:eastAsiaTheme="minorEastAsia" w:hAnsi="Arial" w:cs="Arial"/>
          <w:szCs w:val="22"/>
          <w:lang w:eastAsia="ja-JP" w:bidi="ar-SA"/>
        </w:rPr>
        <w:tab/>
        <w:t>United Nations Industrial Development Organization</w:t>
      </w:r>
    </w:p>
    <w:p w:rsidR="000332F2" w:rsidRPr="00F5439B" w:rsidRDefault="000332F2" w:rsidP="00DA5475">
      <w:pPr>
        <w:tabs>
          <w:tab w:val="left" w:pos="2127"/>
        </w:tabs>
        <w:bidi w:val="0"/>
        <w:spacing w:after="40"/>
        <w:ind w:left="2127" w:hanging="2127"/>
        <w:rPr>
          <w:rFonts w:ascii="Arial" w:eastAsiaTheme="minorEastAsia" w:hAnsi="Arial" w:cs="Arial"/>
          <w:szCs w:val="20"/>
          <w:lang w:eastAsia="ja-JP" w:bidi="ar-SA"/>
        </w:rPr>
      </w:pPr>
      <w:r w:rsidRPr="00F5439B">
        <w:rPr>
          <w:rFonts w:ascii="Arial" w:eastAsiaTheme="minorEastAsia" w:hAnsi="Arial" w:cs="Arial"/>
          <w:color w:val="000000"/>
          <w:szCs w:val="20"/>
          <w:lang w:eastAsia="ja-JP" w:bidi="ar-SA"/>
        </w:rPr>
        <w:t>UNOSSC</w:t>
      </w:r>
      <w:r w:rsidRPr="00F5439B">
        <w:rPr>
          <w:rFonts w:ascii="Arial" w:eastAsiaTheme="minorEastAsia" w:hAnsi="Arial" w:cs="Arial"/>
          <w:color w:val="000000"/>
          <w:szCs w:val="20"/>
          <w:lang w:eastAsia="ja-JP" w:bidi="ar-SA"/>
        </w:rPr>
        <w:tab/>
      </w:r>
      <w:r w:rsidRPr="00F5439B">
        <w:rPr>
          <w:rFonts w:ascii="Arial" w:eastAsiaTheme="minorEastAsia" w:hAnsi="Arial" w:cs="Arial"/>
          <w:szCs w:val="20"/>
          <w:lang w:eastAsia="ja-JP" w:bidi="ar-SA"/>
        </w:rPr>
        <w:t>United Nations Office for South-South Cooperation</w:t>
      </w: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UNSAS</w:t>
      </w:r>
      <w:r w:rsidRPr="00F5439B">
        <w:rPr>
          <w:rFonts w:ascii="Arial" w:eastAsiaTheme="minorEastAsia" w:hAnsi="Arial" w:cs="Arial"/>
          <w:szCs w:val="22"/>
          <w:lang w:eastAsia="ja-JP" w:bidi="ar-SA"/>
        </w:rPr>
        <w:tab/>
        <w:t>United Nations System Accounting Standards</w:t>
      </w:r>
    </w:p>
    <w:p w:rsidR="000332F2" w:rsidRPr="00F5439B" w:rsidRDefault="000332F2" w:rsidP="00DA5475">
      <w:pPr>
        <w:tabs>
          <w:tab w:val="left" w:pos="2127"/>
        </w:tabs>
        <w:bidi w:val="0"/>
        <w:spacing w:after="40"/>
        <w:ind w:left="2127" w:right="-476"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UPOV</w:t>
      </w:r>
      <w:r w:rsidRPr="00F5439B">
        <w:rPr>
          <w:rFonts w:ascii="Arial" w:eastAsiaTheme="minorEastAsia" w:hAnsi="Arial" w:cs="Arial"/>
          <w:szCs w:val="22"/>
          <w:lang w:eastAsia="ja-JP" w:bidi="ar-SA"/>
        </w:rPr>
        <w:tab/>
        <w:t xml:space="preserve">International </w:t>
      </w:r>
      <w:smartTag w:uri="urn:schemas-microsoft-com:office:smarttags" w:element="place">
        <w:r w:rsidRPr="00F5439B">
          <w:rPr>
            <w:rFonts w:ascii="Arial" w:eastAsiaTheme="minorEastAsia" w:hAnsi="Arial" w:cs="Arial"/>
            <w:szCs w:val="22"/>
            <w:lang w:eastAsia="ja-JP" w:bidi="ar-SA"/>
          </w:rPr>
          <w:t>Union</w:t>
        </w:r>
      </w:smartTag>
      <w:r w:rsidRPr="00F5439B">
        <w:rPr>
          <w:rFonts w:ascii="Arial" w:eastAsiaTheme="minorEastAsia" w:hAnsi="Arial" w:cs="Arial"/>
          <w:szCs w:val="22"/>
          <w:lang w:eastAsia="ja-JP" w:bidi="ar-SA"/>
        </w:rPr>
        <w:t xml:space="preserve"> for the Protection of New Varieties of Plants</w:t>
      </w:r>
    </w:p>
    <w:p w:rsidR="000332F2" w:rsidRPr="00F5439B" w:rsidRDefault="000332F2" w:rsidP="00DA5475">
      <w:pPr>
        <w:tabs>
          <w:tab w:val="left" w:pos="2127"/>
        </w:tabs>
        <w:bidi w:val="0"/>
        <w:spacing w:after="40"/>
        <w:ind w:left="2127" w:right="-476"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USCLA</w:t>
      </w:r>
      <w:r w:rsidRPr="00F5439B">
        <w:rPr>
          <w:rFonts w:ascii="Arial" w:eastAsiaTheme="minorEastAsia" w:hAnsi="Arial" w:cs="Arial"/>
          <w:szCs w:val="22"/>
          <w:lang w:eastAsia="ja-JP" w:bidi="ar-SA"/>
        </w:rPr>
        <w:tab/>
      </w:r>
      <w:smartTag w:uri="urn:schemas-microsoft-com:office:smarttags" w:element="place">
        <w:smartTag w:uri="urn:schemas-microsoft-com:office:smarttags" w:element="country-region">
          <w:r w:rsidRPr="00F5439B">
            <w:rPr>
              <w:rFonts w:ascii="Arial" w:eastAsiaTheme="minorEastAsia" w:hAnsi="Arial" w:cs="Arial"/>
              <w:szCs w:val="22"/>
              <w:lang w:eastAsia="ja-JP" w:bidi="ar-SA"/>
            </w:rPr>
            <w:t>US</w:t>
          </w:r>
        </w:smartTag>
      </w:smartTag>
      <w:r w:rsidRPr="00F5439B">
        <w:rPr>
          <w:rFonts w:ascii="Arial" w:eastAsiaTheme="minorEastAsia" w:hAnsi="Arial" w:cs="Arial"/>
          <w:szCs w:val="22"/>
          <w:lang w:eastAsia="ja-JP" w:bidi="ar-SA"/>
        </w:rPr>
        <w:t xml:space="preserve"> Classifications</w:t>
      </w:r>
    </w:p>
    <w:p w:rsidR="000332F2" w:rsidRPr="00F5439B" w:rsidRDefault="000332F2" w:rsidP="00DA5475">
      <w:pPr>
        <w:tabs>
          <w:tab w:val="left" w:pos="2127"/>
        </w:tabs>
        <w:bidi w:val="0"/>
        <w:spacing w:after="40"/>
        <w:ind w:left="2127" w:right="-476" w:hanging="2127"/>
        <w:rPr>
          <w:rFonts w:ascii="Arial" w:eastAsiaTheme="minorEastAsia" w:hAnsi="Arial" w:cs="Arial"/>
          <w:szCs w:val="22"/>
          <w:lang w:eastAsia="ja-JP" w:bidi="ar-SA"/>
        </w:rPr>
      </w:pPr>
      <w:r w:rsidRPr="00F5439B">
        <w:rPr>
          <w:rFonts w:ascii="Arial" w:eastAsiaTheme="minorEastAsia" w:hAnsi="Arial" w:cs="Arial"/>
          <w:szCs w:val="22"/>
          <w:lang w:eastAsia="ja-JP" w:bidi="ar-SA"/>
        </w:rPr>
        <w:t>USPTO</w:t>
      </w:r>
      <w:r w:rsidRPr="00F5439B">
        <w:rPr>
          <w:rFonts w:ascii="Arial" w:eastAsiaTheme="minorEastAsia" w:hAnsi="Arial" w:cs="Arial"/>
          <w:szCs w:val="22"/>
          <w:lang w:eastAsia="ja-JP" w:bidi="ar-SA"/>
        </w:rPr>
        <w:tab/>
      </w:r>
      <w:smartTag w:uri="urn:schemas-microsoft-com:office:smarttags" w:element="place">
        <w:smartTag w:uri="urn:schemas-microsoft-com:office:smarttags" w:element="country-region">
          <w:r w:rsidRPr="00F5439B">
            <w:rPr>
              <w:rFonts w:ascii="Arial" w:eastAsiaTheme="minorEastAsia" w:hAnsi="Arial" w:cs="Arial"/>
              <w:szCs w:val="22"/>
              <w:lang w:eastAsia="ja-JP" w:bidi="ar-SA"/>
            </w:rPr>
            <w:t>United States</w:t>
          </w:r>
        </w:smartTag>
      </w:smartTag>
      <w:r w:rsidRPr="00F5439B">
        <w:rPr>
          <w:rFonts w:ascii="Arial" w:eastAsiaTheme="minorEastAsia" w:hAnsi="Arial" w:cs="Arial"/>
          <w:szCs w:val="22"/>
          <w:lang w:eastAsia="ja-JP" w:bidi="ar-SA"/>
        </w:rPr>
        <w:t xml:space="preserve"> Patent and Trademark Office</w:t>
      </w:r>
    </w:p>
    <w:p w:rsidR="000332F2" w:rsidRPr="00F5439B" w:rsidRDefault="000332F2" w:rsidP="00DA5475">
      <w:pPr>
        <w:tabs>
          <w:tab w:val="left" w:pos="2127"/>
        </w:tabs>
        <w:bidi w:val="0"/>
        <w:spacing w:after="180"/>
        <w:ind w:left="2126" w:hanging="2126"/>
        <w:rPr>
          <w:rFonts w:ascii="Arial" w:eastAsiaTheme="minorEastAsia" w:hAnsi="Arial" w:cs="Arial"/>
          <w:szCs w:val="22"/>
          <w:lang w:eastAsia="ja-JP" w:bidi="ar-SA"/>
        </w:rPr>
      </w:pPr>
    </w:p>
    <w:p w:rsidR="000332F2" w:rsidRPr="00F5439B" w:rsidRDefault="000332F2" w:rsidP="00DA5475">
      <w:pPr>
        <w:tabs>
          <w:tab w:val="left" w:pos="2127"/>
        </w:tabs>
        <w:bidi w:val="0"/>
        <w:spacing w:after="40"/>
        <w:ind w:left="2127" w:hanging="2127"/>
        <w:rPr>
          <w:rFonts w:ascii="Arial" w:eastAsiaTheme="minorEastAsia" w:hAnsi="Arial" w:cs="Arial"/>
          <w:szCs w:val="22"/>
          <w:lang w:eastAsia="ja-JP" w:bidi="ar-SA"/>
        </w:rPr>
      </w:pPr>
      <w:r w:rsidRPr="00F5439B">
        <w:rPr>
          <w:rFonts w:ascii="Arial" w:eastAsiaTheme="minorEastAsia" w:hAnsi="Arial" w:cs="Arial"/>
          <w:b/>
          <w:bCs/>
          <w:szCs w:val="22"/>
          <w:lang w:eastAsia="ja-JP" w:bidi="ar-SA"/>
        </w:rPr>
        <w:t>V</w:t>
      </w:r>
      <w:r w:rsidRPr="00F5439B">
        <w:rPr>
          <w:rFonts w:ascii="Arial" w:eastAsiaTheme="minorEastAsia" w:hAnsi="Arial" w:cs="Arial"/>
          <w:szCs w:val="22"/>
          <w:lang w:eastAsia="ja-JP" w:bidi="ar-SA"/>
        </w:rPr>
        <w:t>IP</w:t>
      </w:r>
      <w:r w:rsidRPr="00F5439B">
        <w:rPr>
          <w:rFonts w:ascii="Arial" w:eastAsiaTheme="minorEastAsia" w:hAnsi="Arial" w:cs="Arial"/>
          <w:szCs w:val="22"/>
          <w:lang w:eastAsia="ja-JP" w:bidi="ar-SA"/>
        </w:rPr>
        <w:tab/>
        <w:t>Visually Impaired Persons and other persons with print disabilities</w:t>
      </w:r>
    </w:p>
    <w:p w:rsidR="000332F2" w:rsidRDefault="000332F2" w:rsidP="00DA5475">
      <w:pPr>
        <w:tabs>
          <w:tab w:val="left" w:pos="2127"/>
        </w:tabs>
        <w:bidi w:val="0"/>
        <w:spacing w:after="180"/>
        <w:ind w:left="2126" w:hanging="2126"/>
        <w:rPr>
          <w:rFonts w:ascii="Arial" w:eastAsiaTheme="minorEastAsia" w:hAnsi="Arial" w:cs="Arial"/>
          <w:szCs w:val="22"/>
          <w:lang w:eastAsia="ja-JP" w:bidi="ar-SA"/>
        </w:rPr>
      </w:pPr>
    </w:p>
    <w:p w:rsidR="00677DEC" w:rsidRPr="00677DEC" w:rsidRDefault="00677DEC" w:rsidP="00677DEC">
      <w:pPr>
        <w:tabs>
          <w:tab w:val="left" w:pos="2127"/>
        </w:tabs>
        <w:bidi w:val="0"/>
        <w:rPr>
          <w:rFonts w:ascii="Arial" w:eastAsiaTheme="minorEastAsia" w:hAnsi="Arial" w:cs="Arial"/>
          <w:bCs/>
          <w:szCs w:val="22"/>
          <w:lang w:eastAsia="ja-JP" w:bidi="ar-SA"/>
        </w:rPr>
      </w:pPr>
      <w:r w:rsidRPr="00677DEC">
        <w:rPr>
          <w:rFonts w:ascii="Arial" w:eastAsiaTheme="minorEastAsia" w:hAnsi="Arial" w:cs="Arial"/>
          <w:b/>
          <w:bCs/>
          <w:szCs w:val="22"/>
          <w:lang w:eastAsia="ja-JP" w:bidi="ar-SA"/>
        </w:rPr>
        <w:t>W</w:t>
      </w:r>
      <w:r w:rsidRPr="00677DEC">
        <w:rPr>
          <w:rFonts w:ascii="Arial" w:eastAsiaTheme="minorEastAsia" w:hAnsi="Arial" w:cs="Arial"/>
          <w:bCs/>
          <w:szCs w:val="22"/>
          <w:lang w:eastAsia="ja-JP" w:bidi="ar-SA"/>
        </w:rPr>
        <w:t>BO</w:t>
      </w:r>
      <w:r w:rsidRPr="00677DEC">
        <w:rPr>
          <w:rFonts w:ascii="Arial" w:eastAsiaTheme="minorEastAsia" w:hAnsi="Arial" w:cs="Arial"/>
          <w:bCs/>
          <w:szCs w:val="22"/>
          <w:lang w:eastAsia="ja-JP" w:bidi="ar-SA"/>
        </w:rPr>
        <w:tab/>
        <w:t>WIPO Brazil Office</w:t>
      </w:r>
    </w:p>
    <w:p w:rsidR="00677DEC" w:rsidRPr="00677DEC" w:rsidRDefault="00677DEC" w:rsidP="00677DEC">
      <w:pPr>
        <w:tabs>
          <w:tab w:val="left" w:pos="2127"/>
        </w:tabs>
        <w:bidi w:val="0"/>
        <w:rPr>
          <w:rFonts w:ascii="Arial" w:eastAsiaTheme="minorEastAsia" w:hAnsi="Arial" w:cs="Arial"/>
          <w:bCs/>
          <w:szCs w:val="22"/>
          <w:lang w:eastAsia="ja-JP" w:bidi="ar-SA"/>
        </w:rPr>
      </w:pPr>
      <w:r w:rsidRPr="00677DEC">
        <w:rPr>
          <w:rFonts w:ascii="Arial" w:eastAsiaTheme="minorEastAsia" w:hAnsi="Arial" w:cs="Arial"/>
          <w:bCs/>
          <w:szCs w:val="22"/>
          <w:lang w:eastAsia="ja-JP" w:bidi="ar-SA"/>
        </w:rPr>
        <w:t>WCC</w:t>
      </w:r>
      <w:r w:rsidRPr="00677DEC">
        <w:rPr>
          <w:rFonts w:ascii="Arial" w:eastAsiaTheme="minorEastAsia" w:hAnsi="Arial" w:cs="Arial"/>
          <w:bCs/>
          <w:szCs w:val="22"/>
          <w:lang w:eastAsia="ja-JP" w:bidi="ar-SA"/>
        </w:rPr>
        <w:tab/>
        <w:t>WIPO Copyright Connection</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bCs/>
          <w:szCs w:val="22"/>
          <w:lang w:eastAsia="ja-JP" w:bidi="ar-SA"/>
        </w:rPr>
        <w:t>W</w:t>
      </w:r>
      <w:r w:rsidRPr="00677DEC">
        <w:rPr>
          <w:rFonts w:ascii="Arial" w:eastAsiaTheme="minorEastAsia" w:hAnsi="Arial" w:cs="Arial"/>
          <w:szCs w:val="22"/>
          <w:lang w:eastAsia="ja-JP" w:bidi="ar-SA"/>
        </w:rPr>
        <w:t>CO</w:t>
      </w:r>
      <w:r w:rsidRPr="00677DEC">
        <w:rPr>
          <w:rFonts w:ascii="Arial" w:eastAsiaTheme="minorEastAsia" w:hAnsi="Arial" w:cs="Arial"/>
          <w:szCs w:val="22"/>
          <w:lang w:eastAsia="ja-JP" w:bidi="ar-SA"/>
        </w:rPr>
        <w:tab/>
        <w:t>World Customs Organization</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WCT</w:t>
      </w:r>
      <w:r w:rsidRPr="00677DEC">
        <w:rPr>
          <w:rFonts w:ascii="Arial" w:eastAsiaTheme="minorEastAsia" w:hAnsi="Arial" w:cs="Arial"/>
          <w:szCs w:val="22"/>
          <w:lang w:eastAsia="ja-JP" w:bidi="ar-SA"/>
        </w:rPr>
        <w:tab/>
        <w:t>WIPO Copyright Treaty</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WHO</w:t>
      </w:r>
      <w:r w:rsidRPr="00677DEC">
        <w:rPr>
          <w:rFonts w:ascii="Arial" w:eastAsiaTheme="minorEastAsia" w:hAnsi="Arial" w:cs="Arial"/>
          <w:szCs w:val="22"/>
          <w:lang w:eastAsia="ja-JP" w:bidi="ar-SA"/>
        </w:rPr>
        <w:tab/>
        <w:t>World Health Organization</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WIPO CASE</w:t>
      </w:r>
      <w:r w:rsidRPr="00677DEC">
        <w:rPr>
          <w:rFonts w:ascii="Arial" w:eastAsiaTheme="minorEastAsia" w:hAnsi="Arial" w:cs="Arial"/>
          <w:szCs w:val="22"/>
          <w:lang w:eastAsia="ja-JP" w:bidi="ar-SA"/>
        </w:rPr>
        <w:tab/>
      </w:r>
      <w:r w:rsidRPr="00677DEC">
        <w:rPr>
          <w:rFonts w:ascii="Arial" w:eastAsiaTheme="minorEastAsia" w:hAnsi="Arial" w:cs="Arial"/>
          <w:color w:val="000000"/>
          <w:szCs w:val="21"/>
          <w:lang w:eastAsia="ja-JP" w:bidi="ar-SA"/>
        </w:rPr>
        <w:t>Centralized Access to Search and Examination results</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WIPOCOS</w:t>
      </w:r>
      <w:r w:rsidRPr="00677DEC">
        <w:rPr>
          <w:rFonts w:ascii="Arial" w:eastAsiaTheme="minorEastAsia" w:hAnsi="Arial" w:cs="Arial"/>
          <w:szCs w:val="22"/>
          <w:lang w:eastAsia="ja-JP" w:bidi="ar-SA"/>
        </w:rPr>
        <w:tab/>
      </w:r>
      <w:r w:rsidRPr="00677DEC">
        <w:rPr>
          <w:rFonts w:ascii="Arial" w:eastAsiaTheme="minorEastAsia" w:hAnsi="Arial" w:cs="Arial"/>
          <w:szCs w:val="22"/>
          <w:lang w:val="en" w:eastAsia="ja-JP" w:bidi="ar-SA"/>
        </w:rPr>
        <w:t>software for collective management of copyright and neighboring rights</w:t>
      </w:r>
    </w:p>
    <w:p w:rsid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WJO</w:t>
      </w:r>
      <w:r w:rsidRPr="00677DEC">
        <w:rPr>
          <w:rFonts w:ascii="Arial" w:eastAsiaTheme="minorEastAsia" w:hAnsi="Arial" w:cs="Arial"/>
          <w:szCs w:val="22"/>
          <w:lang w:eastAsia="ja-JP" w:bidi="ar-SA"/>
        </w:rPr>
        <w:tab/>
        <w:t>WIPO Japan Office</w:t>
      </w:r>
    </w:p>
    <w:p w:rsidR="00212CB2" w:rsidRPr="00212CB2" w:rsidRDefault="00212CB2" w:rsidP="00212CB2">
      <w:pPr>
        <w:tabs>
          <w:tab w:val="left" w:pos="2127"/>
        </w:tabs>
        <w:bidi w:val="0"/>
        <w:spacing w:after="40"/>
        <w:ind w:left="2127" w:hanging="2127"/>
        <w:rPr>
          <w:rFonts w:ascii="Arial" w:eastAsiaTheme="minorEastAsia" w:hAnsi="Arial" w:cs="Arial"/>
          <w:szCs w:val="22"/>
          <w:lang w:eastAsia="ja-JP" w:bidi="ar-SA"/>
        </w:rPr>
      </w:pPr>
      <w:r w:rsidRPr="00212CB2">
        <w:rPr>
          <w:rFonts w:ascii="Arial" w:eastAsiaTheme="minorEastAsia" w:hAnsi="Arial" w:cs="Arial"/>
          <w:szCs w:val="22"/>
          <w:lang w:eastAsia="ja-JP" w:bidi="ar-SA"/>
        </w:rPr>
        <w:t>WOC</w:t>
      </w:r>
      <w:r w:rsidRPr="00212CB2">
        <w:rPr>
          <w:rFonts w:ascii="Arial" w:eastAsiaTheme="minorEastAsia" w:hAnsi="Arial" w:cs="Arial"/>
          <w:szCs w:val="22"/>
          <w:lang w:eastAsia="ja-JP" w:bidi="ar-SA"/>
        </w:rPr>
        <w:tab/>
        <w:t>WIPO Office in China</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WPPT</w:t>
      </w:r>
      <w:r w:rsidRPr="00677DEC">
        <w:rPr>
          <w:rFonts w:ascii="Arial" w:eastAsiaTheme="minorEastAsia" w:hAnsi="Arial" w:cs="Arial"/>
          <w:szCs w:val="22"/>
          <w:lang w:eastAsia="ja-JP" w:bidi="ar-SA"/>
        </w:rPr>
        <w:tab/>
        <w:t>WIPO Performances and Phonograms Treaty</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WRO</w:t>
      </w:r>
      <w:r w:rsidRPr="00677DEC">
        <w:rPr>
          <w:rFonts w:ascii="Arial" w:eastAsiaTheme="minorEastAsia" w:hAnsi="Arial" w:cs="Arial"/>
          <w:szCs w:val="22"/>
          <w:lang w:eastAsia="ja-JP" w:bidi="ar-SA"/>
        </w:rPr>
        <w:tab/>
        <w:t>WIPO Russia Office</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WSIS</w:t>
      </w:r>
      <w:r w:rsidRPr="00677DEC">
        <w:rPr>
          <w:rFonts w:ascii="Arial" w:eastAsiaTheme="minorEastAsia" w:hAnsi="Arial" w:cs="Arial"/>
          <w:szCs w:val="22"/>
          <w:lang w:eastAsia="ja-JP" w:bidi="ar-SA"/>
        </w:rPr>
        <w:tab/>
      </w:r>
      <w:r w:rsidRPr="00677DEC">
        <w:rPr>
          <w:rFonts w:ascii="Arial" w:eastAsiaTheme="minorEastAsia" w:hAnsi="Arial" w:cs="Arial"/>
          <w:bCs/>
          <w:szCs w:val="22"/>
          <w:lang w:eastAsia="ja-JP" w:bidi="ar-SA"/>
        </w:rPr>
        <w:t>World Summit on the Information Society</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WSO</w:t>
      </w:r>
      <w:r w:rsidRPr="00677DEC">
        <w:rPr>
          <w:rFonts w:ascii="Arial" w:eastAsiaTheme="minorEastAsia" w:hAnsi="Arial" w:cs="Arial"/>
          <w:szCs w:val="22"/>
          <w:lang w:eastAsia="ja-JP" w:bidi="ar-SA"/>
        </w:rPr>
        <w:tab/>
        <w:t xml:space="preserve">WIPO </w:t>
      </w:r>
      <w:smartTag w:uri="urn:schemas-microsoft-com:office:smarttags" w:element="place">
        <w:smartTag w:uri="urn:schemas-microsoft-com:office:smarttags" w:element="country-region">
          <w:r w:rsidRPr="00677DEC">
            <w:rPr>
              <w:rFonts w:ascii="Arial" w:eastAsiaTheme="minorEastAsia" w:hAnsi="Arial" w:cs="Arial"/>
              <w:szCs w:val="22"/>
              <w:lang w:eastAsia="ja-JP" w:bidi="ar-SA"/>
            </w:rPr>
            <w:t>Singapore</w:t>
          </w:r>
        </w:smartTag>
      </w:smartTag>
      <w:r w:rsidRPr="00677DEC">
        <w:rPr>
          <w:rFonts w:ascii="Arial" w:eastAsiaTheme="minorEastAsia" w:hAnsi="Arial" w:cs="Arial"/>
          <w:szCs w:val="22"/>
          <w:lang w:eastAsia="ja-JP" w:bidi="ar-SA"/>
        </w:rPr>
        <w:t xml:space="preserve"> Office</w:t>
      </w:r>
    </w:p>
    <w:p w:rsidR="00677DEC" w:rsidRPr="00677DEC" w:rsidRDefault="00677DEC" w:rsidP="00677DEC">
      <w:pPr>
        <w:tabs>
          <w:tab w:val="left" w:pos="2127"/>
        </w:tabs>
        <w:bidi w:val="0"/>
        <w:spacing w:after="40"/>
        <w:ind w:left="2127" w:hanging="2127"/>
        <w:rPr>
          <w:rFonts w:ascii="Arial" w:eastAsiaTheme="minorEastAsia" w:hAnsi="Arial" w:cs="Arial"/>
          <w:szCs w:val="22"/>
          <w:lang w:eastAsia="ja-JP" w:bidi="ar-SA"/>
        </w:rPr>
      </w:pPr>
      <w:r w:rsidRPr="00677DEC">
        <w:rPr>
          <w:rFonts w:ascii="Arial" w:eastAsiaTheme="minorEastAsia" w:hAnsi="Arial" w:cs="Arial"/>
          <w:szCs w:val="22"/>
          <w:lang w:eastAsia="ja-JP" w:bidi="ar-SA"/>
        </w:rPr>
        <w:t>WTO</w:t>
      </w:r>
      <w:r w:rsidRPr="00677DEC">
        <w:rPr>
          <w:rFonts w:ascii="Arial" w:eastAsiaTheme="minorEastAsia" w:hAnsi="Arial" w:cs="Arial"/>
          <w:szCs w:val="22"/>
          <w:lang w:eastAsia="ja-JP" w:bidi="ar-SA"/>
        </w:rPr>
        <w:tab/>
        <w:t xml:space="preserve">World Trade Organization </w:t>
      </w:r>
    </w:p>
    <w:p w:rsidR="000332F2" w:rsidRPr="00677DEC" w:rsidRDefault="000332F2" w:rsidP="00862268">
      <w:pPr>
        <w:spacing w:after="120" w:line="340" w:lineRule="exact"/>
        <w:jc w:val="both"/>
        <w:rPr>
          <w:rFonts w:ascii="Arabic Typesetting" w:hAnsi="Arabic Typesetting" w:cs="Arabic Typesetting"/>
          <w:sz w:val="34"/>
          <w:szCs w:val="34"/>
          <w:rtl/>
          <w:lang w:bidi="ar-SA"/>
        </w:rPr>
      </w:pPr>
    </w:p>
    <w:p w:rsidR="000332F2" w:rsidRPr="00DE6948" w:rsidRDefault="000332F2" w:rsidP="00DA5475">
      <w:pPr>
        <w:pStyle w:val="EndofDocument0"/>
        <w:rPr>
          <w:rtl/>
        </w:rPr>
      </w:pPr>
      <w:r w:rsidRPr="009B7070">
        <w:rPr>
          <w:rFonts w:hint="cs"/>
          <w:rtl/>
        </w:rPr>
        <w:t>[نهاية الوثيقة]</w:t>
      </w:r>
    </w:p>
    <w:sectPr w:rsidR="000332F2" w:rsidRPr="00DE6948" w:rsidSect="00861CFF">
      <w:pgSz w:w="11906" w:h="16838" w:code="9"/>
      <w:pgMar w:top="1134" w:right="1418" w:bottom="1418" w:left="1134" w:header="510" w:footer="1021"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889" w:rsidRDefault="00AA5889">
      <w:r>
        <w:separator/>
      </w:r>
    </w:p>
  </w:endnote>
  <w:endnote w:type="continuationSeparator" w:id="0">
    <w:p w:rsidR="00AA5889" w:rsidRDefault="00AA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0944C2">
    <w:pPr>
      <w:pStyle w:val="Footer"/>
      <w:jc w:val="center"/>
      <w:rPr>
        <w:rFonts w:asciiTheme="minorBidi" w:hAnsiTheme="minorBidi" w:cstheme="minorBidi"/>
        <w:szCs w:val="20"/>
      </w:rPr>
    </w:pPr>
  </w:p>
  <w:p w:rsidR="00AA5889" w:rsidRPr="000944C2" w:rsidRDefault="00AA5889" w:rsidP="00775F80">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pPr>
      <w:pStyle w:val="Footer"/>
      <w:bidi w:val="0"/>
      <w:spacing w:before="240"/>
      <w:rPr>
        <w:sz w:val="16"/>
      </w:rPr>
    </w:pPr>
    <w:r>
      <w:rPr>
        <w:snapToGrid w:val="0"/>
        <w:sz w:val="16"/>
      </w:rPr>
      <w:fldChar w:fldCharType="begin"/>
    </w:r>
    <w:r>
      <w:rPr>
        <w:snapToGrid w:val="0"/>
        <w:sz w:val="16"/>
        <w:szCs w:val="16"/>
      </w:rPr>
      <w:instrText xml:space="preserve"> FILENAME \p </w:instrText>
    </w:r>
    <w:r>
      <w:rPr>
        <w:snapToGrid w:val="0"/>
        <w:sz w:val="16"/>
      </w:rPr>
      <w:fldChar w:fldCharType="separate"/>
    </w:r>
    <w:r w:rsidR="00A92CC0">
      <w:rPr>
        <w:noProof/>
        <w:snapToGrid w:val="0"/>
        <w:sz w:val="16"/>
        <w:szCs w:val="16"/>
      </w:rPr>
      <w:t>N:\ORGLAN\SHARED\LANA\basic\financial\Budget\2016_2017\2015_10_02\Arabic\a_55_5_AR_v.8.docx</w:t>
    </w:r>
    <w:r>
      <w:rPr>
        <w:snapToGrid w:val="0"/>
        <w:sz w:val="16"/>
      </w:rPr>
      <w:fldChar w:fldCharType="end"/>
    </w:r>
  </w:p>
  <w:p w:rsidR="00AA5889" w:rsidRDefault="00AA5889">
    <w:pPr>
      <w:pStyle w:val="Footer"/>
      <w:bidi w:val="0"/>
      <w:rPr>
        <w:rtl/>
      </w:rPr>
    </w:pPr>
    <w:r>
      <w:rPr>
        <w:sz w:val="16"/>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pPr>
      <w:pStyle w:val="Footer"/>
      <w:bidi w:val="0"/>
      <w:spacing w:before="240"/>
      <w:rPr>
        <w:sz w:val="16"/>
      </w:rPr>
    </w:pPr>
    <w:r>
      <w:rPr>
        <w:snapToGrid w:val="0"/>
        <w:sz w:val="16"/>
      </w:rPr>
      <w:fldChar w:fldCharType="begin"/>
    </w:r>
    <w:r>
      <w:rPr>
        <w:snapToGrid w:val="0"/>
        <w:sz w:val="16"/>
        <w:szCs w:val="16"/>
      </w:rPr>
      <w:instrText xml:space="preserve"> FILENAME \p </w:instrText>
    </w:r>
    <w:r>
      <w:rPr>
        <w:snapToGrid w:val="0"/>
        <w:sz w:val="16"/>
      </w:rPr>
      <w:fldChar w:fldCharType="separate"/>
    </w:r>
    <w:r w:rsidR="00A92CC0">
      <w:rPr>
        <w:noProof/>
        <w:snapToGrid w:val="0"/>
        <w:sz w:val="16"/>
        <w:szCs w:val="16"/>
      </w:rPr>
      <w:t>N:\ORGLAN\SHARED\LANA\basic\financial\Budget\2016_2017\2015_10_02\Arabic\a_55_5_AR_v.8.docx</w:t>
    </w:r>
    <w:r>
      <w:rPr>
        <w:snapToGrid w:val="0"/>
        <w:sz w:val="16"/>
      </w:rPr>
      <w:fldChar w:fldCharType="end"/>
    </w:r>
  </w:p>
  <w:p w:rsidR="00AA5889" w:rsidRDefault="00AA5889">
    <w:pPr>
      <w:pStyle w:val="Footer"/>
      <w:bidi w:val="0"/>
      <w:rPr>
        <w:rtl/>
      </w:rPr>
    </w:pPr>
    <w:r>
      <w:rPr>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1B1596">
    <w:pPr>
      <w:pStyle w:val="Footer"/>
      <w:tabs>
        <w:tab w:val="clear" w:pos="4153"/>
        <w:tab w:val="clear" w:pos="8306"/>
        <w:tab w:val="left" w:pos="3819"/>
      </w:tabs>
    </w:pPr>
    <w:r>
      <w:rPr>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1B1596">
    <w:pPr>
      <w:pStyle w:val="Footer"/>
      <w:jc w:val="center"/>
    </w:pPr>
  </w:p>
  <w:p w:rsidR="00AA5889" w:rsidRDefault="00AA5889" w:rsidP="008E2B10">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775F80">
    <w:pPr>
      <w:pStyle w:val="Footer"/>
      <w:jc w:val="center"/>
      <w:rPr>
        <w:rFonts w:asciiTheme="minorBidi" w:hAnsiTheme="minorBidi" w:cstheme="minorBidi"/>
        <w:szCs w:val="20"/>
      </w:rPr>
    </w:pPr>
  </w:p>
  <w:p w:rsidR="00AA5889" w:rsidRDefault="00A92CC0" w:rsidP="00775F80">
    <w:pPr>
      <w:pStyle w:val="Footer"/>
      <w:jc w:val="center"/>
      <w:rPr>
        <w:rFonts w:asciiTheme="minorBidi" w:hAnsiTheme="minorBidi" w:cstheme="minorBidi"/>
        <w:noProof/>
        <w:szCs w:val="20"/>
      </w:rPr>
    </w:pPr>
    <w:sdt>
      <w:sdtPr>
        <w:rPr>
          <w:rFonts w:asciiTheme="minorBidi" w:hAnsiTheme="minorBidi" w:cstheme="minorBidi"/>
          <w:szCs w:val="20"/>
          <w:rtl/>
        </w:rPr>
        <w:id w:val="-168407758"/>
        <w:docPartObj>
          <w:docPartGallery w:val="Page Numbers (Bottom of Page)"/>
          <w:docPartUnique/>
        </w:docPartObj>
      </w:sdtPr>
      <w:sdtEndPr>
        <w:rPr>
          <w:noProof/>
        </w:rPr>
      </w:sdtEndPr>
      <w:sdtContent>
        <w:r w:rsidR="00AA5889" w:rsidRPr="00E8722F">
          <w:rPr>
            <w:rFonts w:asciiTheme="minorBidi" w:hAnsiTheme="minorBidi" w:cstheme="minorBidi"/>
            <w:szCs w:val="20"/>
          </w:rPr>
          <w:fldChar w:fldCharType="begin"/>
        </w:r>
        <w:r w:rsidR="00AA5889" w:rsidRPr="00E8722F">
          <w:rPr>
            <w:rFonts w:asciiTheme="minorBidi" w:hAnsiTheme="minorBidi" w:cstheme="minorBidi"/>
            <w:szCs w:val="20"/>
          </w:rPr>
          <w:instrText xml:space="preserve"> PAGE   \* MERGEFORMAT </w:instrText>
        </w:r>
        <w:r w:rsidR="00AA5889" w:rsidRPr="00E8722F">
          <w:rPr>
            <w:rFonts w:asciiTheme="minorBidi" w:hAnsiTheme="minorBidi" w:cstheme="minorBidi"/>
            <w:szCs w:val="20"/>
          </w:rPr>
          <w:fldChar w:fldCharType="separate"/>
        </w:r>
        <w:r>
          <w:rPr>
            <w:rFonts w:asciiTheme="minorBidi" w:hAnsiTheme="minorBidi" w:cstheme="minorBidi"/>
            <w:noProof/>
            <w:szCs w:val="20"/>
            <w:rtl/>
          </w:rPr>
          <w:t>2</w:t>
        </w:r>
        <w:r w:rsidR="00AA5889" w:rsidRPr="00E8722F">
          <w:rPr>
            <w:rFonts w:asciiTheme="minorBidi" w:hAnsiTheme="minorBidi" w:cstheme="minorBidi"/>
            <w:noProof/>
            <w:szCs w:val="20"/>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pPr>
      <w:pStyle w:val="Footer"/>
      <w:jc w:val="center"/>
    </w:pPr>
  </w:p>
  <w:sdt>
    <w:sdtPr>
      <w:rPr>
        <w:rtl/>
      </w:rPr>
      <w:id w:val="609708086"/>
      <w:docPartObj>
        <w:docPartGallery w:val="Page Numbers (Bottom of Page)"/>
        <w:docPartUnique/>
      </w:docPartObj>
    </w:sdtPr>
    <w:sdtEndPr>
      <w:rPr>
        <w:noProof/>
      </w:rPr>
    </w:sdtEndPr>
    <w:sdtContent>
      <w:p w:rsidR="00AA5889" w:rsidRDefault="00AA5889" w:rsidP="009D2FDF">
        <w:pPr>
          <w:pStyle w:val="Footer"/>
          <w:jc w:val="center"/>
          <w:rPr>
            <w:noProof/>
            <w:rtl/>
          </w:rPr>
        </w:pPr>
        <w:r>
          <w:fldChar w:fldCharType="begin"/>
        </w:r>
        <w:r>
          <w:instrText xml:space="preserve"> PAGE   \* MERGEFORMAT </w:instrText>
        </w:r>
        <w:r>
          <w:fldChar w:fldCharType="separate"/>
        </w:r>
        <w:r w:rsidR="00A92CC0">
          <w:rPr>
            <w:noProof/>
            <w:rtl/>
          </w:rPr>
          <w:t>278</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9D2FDF">
    <w:pPr>
      <w:pStyle w:val="Footer"/>
      <w:jc w:val="center"/>
      <w:rPr>
        <w:rFonts w:asciiTheme="minorBidi" w:hAnsiTheme="minorBidi" w:cstheme="minorBidi"/>
        <w:szCs w:val="20"/>
      </w:rPr>
    </w:pPr>
  </w:p>
  <w:p w:rsidR="00AA5889" w:rsidRDefault="00A92CC0" w:rsidP="009D2FDF">
    <w:pPr>
      <w:pStyle w:val="Footer"/>
      <w:jc w:val="center"/>
      <w:rPr>
        <w:rFonts w:asciiTheme="minorBidi" w:hAnsiTheme="minorBidi" w:cstheme="minorBidi"/>
        <w:noProof/>
        <w:szCs w:val="20"/>
      </w:rPr>
    </w:pPr>
    <w:sdt>
      <w:sdtPr>
        <w:rPr>
          <w:rFonts w:asciiTheme="minorBidi" w:hAnsiTheme="minorBidi" w:cstheme="minorBidi"/>
          <w:szCs w:val="20"/>
          <w:rtl/>
        </w:rPr>
        <w:id w:val="-1547830679"/>
        <w:docPartObj>
          <w:docPartGallery w:val="Page Numbers (Bottom of Page)"/>
          <w:docPartUnique/>
        </w:docPartObj>
      </w:sdtPr>
      <w:sdtEndPr>
        <w:rPr>
          <w:noProof/>
        </w:rPr>
      </w:sdtEndPr>
      <w:sdtContent>
        <w:r w:rsidR="00AA5889" w:rsidRPr="00E8722F">
          <w:rPr>
            <w:rFonts w:asciiTheme="minorBidi" w:hAnsiTheme="minorBidi" w:cstheme="minorBidi"/>
            <w:szCs w:val="20"/>
          </w:rPr>
          <w:fldChar w:fldCharType="begin"/>
        </w:r>
        <w:r w:rsidR="00AA5889" w:rsidRPr="00E8722F">
          <w:rPr>
            <w:rFonts w:asciiTheme="minorBidi" w:hAnsiTheme="minorBidi" w:cstheme="minorBidi"/>
            <w:szCs w:val="20"/>
          </w:rPr>
          <w:instrText xml:space="preserve"> PAGE   \* MERGEFORMAT </w:instrText>
        </w:r>
        <w:r w:rsidR="00AA5889" w:rsidRPr="00E8722F">
          <w:rPr>
            <w:rFonts w:asciiTheme="minorBidi" w:hAnsiTheme="minorBidi" w:cstheme="minorBidi"/>
            <w:szCs w:val="20"/>
          </w:rPr>
          <w:fldChar w:fldCharType="separate"/>
        </w:r>
        <w:r>
          <w:rPr>
            <w:rFonts w:asciiTheme="minorBidi" w:hAnsiTheme="minorBidi" w:cstheme="minorBidi"/>
            <w:noProof/>
            <w:szCs w:val="20"/>
            <w:rtl/>
          </w:rPr>
          <w:t>276</w:t>
        </w:r>
        <w:r w:rsidR="00AA5889" w:rsidRPr="00E8722F">
          <w:rPr>
            <w:rFonts w:asciiTheme="minorBidi" w:hAnsiTheme="minorBidi" w:cstheme="minorBidi"/>
            <w:noProof/>
            <w:szCs w:val="20"/>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7830C1">
    <w:pPr>
      <w:pStyle w:val="Footer"/>
      <w:jc w:val="center"/>
      <w:rPr>
        <w:rFonts w:asciiTheme="minorBidi" w:hAnsiTheme="minorBidi" w:cstheme="minorBidi"/>
        <w:szCs w:val="20"/>
      </w:rPr>
    </w:pPr>
  </w:p>
  <w:p w:rsidR="00AA5889" w:rsidRPr="007830C1" w:rsidRDefault="00A92CC0" w:rsidP="007830C1">
    <w:pPr>
      <w:pStyle w:val="Footer"/>
      <w:jc w:val="center"/>
    </w:pPr>
    <w:sdt>
      <w:sdtPr>
        <w:rPr>
          <w:rFonts w:asciiTheme="minorBidi" w:hAnsiTheme="minorBidi" w:cstheme="minorBidi"/>
          <w:szCs w:val="20"/>
          <w:rtl/>
        </w:rPr>
        <w:id w:val="-523328524"/>
        <w:docPartObj>
          <w:docPartGallery w:val="Page Numbers (Bottom of Page)"/>
          <w:docPartUnique/>
        </w:docPartObj>
      </w:sdtPr>
      <w:sdtEndPr>
        <w:rPr>
          <w:noProof/>
        </w:rPr>
      </w:sdtEndPr>
      <w:sdtContent>
        <w:r w:rsidR="00AA5889" w:rsidRPr="00E8722F">
          <w:rPr>
            <w:rFonts w:asciiTheme="minorBidi" w:hAnsiTheme="minorBidi" w:cstheme="minorBidi"/>
            <w:szCs w:val="20"/>
          </w:rPr>
          <w:fldChar w:fldCharType="begin"/>
        </w:r>
        <w:r w:rsidR="00AA5889" w:rsidRPr="00E8722F">
          <w:rPr>
            <w:rFonts w:asciiTheme="minorBidi" w:hAnsiTheme="minorBidi" w:cstheme="minorBidi"/>
            <w:szCs w:val="20"/>
          </w:rPr>
          <w:instrText xml:space="preserve"> PAGE   \* MERGEFORMAT </w:instrText>
        </w:r>
        <w:r w:rsidR="00AA5889" w:rsidRPr="00E8722F">
          <w:rPr>
            <w:rFonts w:asciiTheme="minorBidi" w:hAnsiTheme="minorBidi" w:cstheme="minorBidi"/>
            <w:szCs w:val="20"/>
          </w:rPr>
          <w:fldChar w:fldCharType="separate"/>
        </w:r>
        <w:r>
          <w:rPr>
            <w:rFonts w:asciiTheme="minorBidi" w:hAnsiTheme="minorBidi" w:cstheme="minorBidi"/>
            <w:noProof/>
            <w:szCs w:val="20"/>
            <w:rtl/>
          </w:rPr>
          <w:t>3</w:t>
        </w:r>
        <w:r w:rsidR="00AA5889" w:rsidRPr="00E8722F">
          <w:rPr>
            <w:rFonts w:asciiTheme="minorBidi" w:hAnsiTheme="minorBidi" w:cstheme="minorBidi"/>
            <w:noProof/>
            <w:szCs w:val="20"/>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szCs w:val="20"/>
        <w:rtl/>
      </w:rPr>
      <w:id w:val="2034679664"/>
      <w:docPartObj>
        <w:docPartGallery w:val="Page Numbers (Bottom of Page)"/>
        <w:docPartUnique/>
      </w:docPartObj>
    </w:sdtPr>
    <w:sdtEndPr>
      <w:rPr>
        <w:noProof/>
      </w:rPr>
    </w:sdtEndPr>
    <w:sdtContent>
      <w:p w:rsidR="00AA5889" w:rsidRDefault="00AA5889">
        <w:pPr>
          <w:pStyle w:val="Footer"/>
          <w:jc w:val="center"/>
          <w:rPr>
            <w:rFonts w:asciiTheme="minorBidi" w:hAnsiTheme="minorBidi" w:cstheme="minorBidi"/>
            <w:szCs w:val="20"/>
          </w:rPr>
        </w:pPr>
      </w:p>
      <w:p w:rsidR="00AA5889" w:rsidRDefault="00AA5889">
        <w:pPr>
          <w:pStyle w:val="Footer"/>
          <w:jc w:val="center"/>
          <w:rPr>
            <w:rFonts w:asciiTheme="minorBidi" w:hAnsiTheme="minorBidi" w:cstheme="minorBidi"/>
            <w:noProof/>
            <w:szCs w:val="20"/>
          </w:rPr>
        </w:pPr>
        <w:r w:rsidRPr="00E8722F">
          <w:rPr>
            <w:rFonts w:asciiTheme="minorBidi" w:hAnsiTheme="minorBidi" w:cstheme="minorBidi"/>
            <w:szCs w:val="20"/>
          </w:rPr>
          <w:fldChar w:fldCharType="begin"/>
        </w:r>
        <w:r w:rsidRPr="00E8722F">
          <w:rPr>
            <w:rFonts w:asciiTheme="minorBidi" w:hAnsiTheme="minorBidi" w:cstheme="minorBidi"/>
            <w:szCs w:val="20"/>
          </w:rPr>
          <w:instrText xml:space="preserve"> PAGE   \* MERGEFORMAT </w:instrText>
        </w:r>
        <w:r w:rsidRPr="00E8722F">
          <w:rPr>
            <w:rFonts w:asciiTheme="minorBidi" w:hAnsiTheme="minorBidi" w:cstheme="minorBidi"/>
            <w:szCs w:val="20"/>
          </w:rPr>
          <w:fldChar w:fldCharType="separate"/>
        </w:r>
        <w:r w:rsidR="00A92CC0">
          <w:rPr>
            <w:rFonts w:asciiTheme="minorBidi" w:hAnsiTheme="minorBidi" w:cstheme="minorBidi"/>
            <w:noProof/>
            <w:szCs w:val="20"/>
            <w:rtl/>
          </w:rPr>
          <w:t>275</w:t>
        </w:r>
        <w:r w:rsidRPr="00E8722F">
          <w:rPr>
            <w:rFonts w:asciiTheme="minorBidi" w:hAnsiTheme="minorBidi" w:cstheme="minorBidi"/>
            <w:noProof/>
            <w:szCs w:val="20"/>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pPr>
      <w:pStyle w:val="Footer"/>
      <w:bidi w:val="0"/>
      <w:spacing w:before="240"/>
      <w:rPr>
        <w:sz w:val="16"/>
      </w:rPr>
    </w:pPr>
    <w:r>
      <w:rPr>
        <w:snapToGrid w:val="0"/>
        <w:sz w:val="16"/>
      </w:rPr>
      <w:fldChar w:fldCharType="begin"/>
    </w:r>
    <w:r>
      <w:rPr>
        <w:snapToGrid w:val="0"/>
        <w:sz w:val="16"/>
        <w:szCs w:val="16"/>
      </w:rPr>
      <w:instrText xml:space="preserve"> FILENAME \p </w:instrText>
    </w:r>
    <w:r>
      <w:rPr>
        <w:snapToGrid w:val="0"/>
        <w:sz w:val="16"/>
      </w:rPr>
      <w:fldChar w:fldCharType="separate"/>
    </w:r>
    <w:r w:rsidR="00A92CC0">
      <w:rPr>
        <w:noProof/>
        <w:snapToGrid w:val="0"/>
        <w:sz w:val="16"/>
        <w:szCs w:val="16"/>
      </w:rPr>
      <w:t>N:\ORGLAN\SHARED\LANA\basic\financial\Budget\2016_2017\2015_10_02\Arabic\a_55_5_AR_v.8.docx</w:t>
    </w:r>
    <w:r>
      <w:rPr>
        <w:snapToGrid w:val="0"/>
        <w:sz w:val="16"/>
      </w:rPr>
      <w:fldChar w:fldCharType="end"/>
    </w:r>
  </w:p>
  <w:p w:rsidR="00AA5889" w:rsidRDefault="00AA5889">
    <w:pPr>
      <w:pStyle w:val="Footer"/>
      <w:bidi w:val="0"/>
      <w:rPr>
        <w:rtl/>
      </w:rPr>
    </w:pPr>
    <w:r>
      <w:rPr>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889" w:rsidRDefault="00AA5889">
      <w:r>
        <w:separator/>
      </w:r>
    </w:p>
  </w:footnote>
  <w:footnote w:type="continuationSeparator" w:id="0">
    <w:p w:rsidR="00AA5889" w:rsidRDefault="00AA5889">
      <w:r>
        <w:continuationSeparator/>
      </w:r>
    </w:p>
  </w:footnote>
  <w:footnote w:id="1">
    <w:p w:rsidR="00AA5889" w:rsidRPr="002E2358" w:rsidRDefault="00AA5889">
      <w:pPr>
        <w:pStyle w:val="FootnoteText"/>
        <w:rPr>
          <w:rFonts w:ascii="Arabic Typesetting" w:hAnsi="Arabic Typesetting" w:cs="Arabic Typesetting"/>
          <w:sz w:val="24"/>
        </w:rPr>
      </w:pPr>
      <w:r w:rsidRPr="002E2358">
        <w:rPr>
          <w:rStyle w:val="FootnoteReference"/>
          <w:rFonts w:ascii="Arabic Typesetting" w:hAnsi="Arabic Typesetting" w:cs="Arabic Typesetting"/>
          <w:sz w:val="24"/>
        </w:rPr>
        <w:footnoteRef/>
      </w:r>
      <w:r w:rsidRPr="002E2358">
        <w:rPr>
          <w:rFonts w:ascii="Arabic Typesetting" w:hAnsi="Arabic Typesetting" w:cs="Arabic Typesetting"/>
          <w:sz w:val="24"/>
          <w:rtl/>
        </w:rPr>
        <w:t xml:space="preserve"> ترد التوقعات المفصلة في المرفق الرابع.</w:t>
      </w:r>
    </w:p>
  </w:footnote>
  <w:footnote w:id="2">
    <w:p w:rsidR="00AA5889" w:rsidRPr="00C567F2" w:rsidRDefault="00AA5889">
      <w:pPr>
        <w:pStyle w:val="FootnoteText"/>
        <w:rPr>
          <w:rFonts w:ascii="Arabic Typesetting" w:hAnsi="Arabic Typesetting" w:cs="Arabic Typesetting"/>
          <w:lang w:bidi="ar-SA"/>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في أبريل 2015</w:t>
      </w:r>
      <w:r>
        <w:rPr>
          <w:rFonts w:ascii="Arabic Typesetting" w:hAnsi="Arabic Typesetting" w:cs="Arabic Typesetting" w:hint="cs"/>
          <w:rtl/>
        </w:rPr>
        <w:t>.</w:t>
      </w:r>
    </w:p>
  </w:footnote>
  <w:footnote w:id="3">
    <w:p w:rsidR="00AA5889" w:rsidRPr="002E2358" w:rsidRDefault="00AA5889" w:rsidP="008D60F4">
      <w:pPr>
        <w:pStyle w:val="FootnoteText"/>
        <w:rPr>
          <w:rFonts w:ascii="Arabic Typesetting" w:hAnsi="Arabic Typesetting" w:cs="Arabic Typesetting"/>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للحصول على تفاصيل اشتراكات الدول الأعضاء يرجى الاطلاع على الملحق ألف.</w:t>
      </w:r>
    </w:p>
  </w:footnote>
  <w:footnote w:id="4">
    <w:p w:rsidR="00AA5889" w:rsidRPr="002E2358" w:rsidRDefault="00AA5889">
      <w:pPr>
        <w:pStyle w:val="FootnoteText"/>
        <w:rPr>
          <w:rFonts w:ascii="Arabic Typesetting" w:hAnsi="Arabic Typesetting" w:cs="Arabic Typesetting"/>
          <w:sz w:val="24"/>
        </w:rPr>
      </w:pPr>
      <w:r w:rsidRPr="002E2358">
        <w:rPr>
          <w:rStyle w:val="FootnoteReference"/>
          <w:rFonts w:ascii="Arabic Typesetting" w:hAnsi="Arabic Typesetting" w:cs="Arabic Typesetting"/>
          <w:sz w:val="24"/>
        </w:rPr>
        <w:footnoteRef/>
      </w:r>
      <w:r w:rsidRPr="002E2358">
        <w:rPr>
          <w:rFonts w:ascii="Arabic Typesetting" w:hAnsi="Arabic Typesetting" w:cs="Arabic Typesetting"/>
          <w:sz w:val="24"/>
          <w:rtl/>
        </w:rPr>
        <w:t xml:space="preserve"> للاطلاع على تعاريف مصادر الإيرادات يرجى الاطلاع على الملحق باء.</w:t>
      </w:r>
    </w:p>
  </w:footnote>
  <w:footnote w:id="5">
    <w:p w:rsidR="00AA5889" w:rsidRPr="00C567F2" w:rsidRDefault="00AA5889" w:rsidP="008945F0">
      <w:pPr>
        <w:pStyle w:val="FootnoteText"/>
        <w:rPr>
          <w:rFonts w:ascii="Arabic Typesetting" w:hAnsi="Arabic Typesetting" w:cs="Arabic Typesetting"/>
          <w:lang w:bidi="ar-SA"/>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w:t>
      </w:r>
      <w:r w:rsidRPr="00C567F2">
        <w:rPr>
          <w:rFonts w:ascii="Arabic Typesetting" w:hAnsi="Arabic Typesetting" w:cs="Arabic Typesetting"/>
          <w:rtl/>
          <w:lang w:bidi="ar-SA"/>
        </w:rPr>
        <w:t>تُعدّ بيانات الويبو المالية منذ سنة 2010 وفقا للمعايير</w:t>
      </w:r>
      <w:r>
        <w:rPr>
          <w:rFonts w:ascii="Arabic Typesetting" w:hAnsi="Arabic Typesetting" w:cs="Arabic Typesetting"/>
          <w:rtl/>
          <w:lang w:bidi="ar-SA"/>
        </w:rPr>
        <w:t xml:space="preserve"> المحاسبية الدولية للقطاع العام</w:t>
      </w:r>
      <w:r w:rsidRPr="00C567F2">
        <w:rPr>
          <w:rFonts w:ascii="Arabic Typesetting" w:hAnsi="Arabic Typesetting" w:cs="Arabic Typesetting"/>
          <w:rtl/>
          <w:lang w:bidi="ar-SA"/>
        </w:rPr>
        <w:t xml:space="preserve"> على أساس الاستحقاق الكامل.</w:t>
      </w:r>
    </w:p>
  </w:footnote>
  <w:footnote w:id="6">
    <w:p w:rsidR="00AA5889" w:rsidRPr="002E2358" w:rsidRDefault="00AA5889">
      <w:pPr>
        <w:pStyle w:val="FootnoteText"/>
        <w:rPr>
          <w:rFonts w:ascii="Arabic Typesetting" w:hAnsi="Arabic Typesetting" w:cs="Arabic Typesetting"/>
          <w:sz w:val="24"/>
        </w:rPr>
      </w:pPr>
      <w:r w:rsidRPr="002E2358">
        <w:rPr>
          <w:rStyle w:val="FootnoteReference"/>
          <w:rFonts w:ascii="Arabic Typesetting" w:hAnsi="Arabic Typesetting" w:cs="Arabic Typesetting"/>
          <w:sz w:val="24"/>
        </w:rPr>
        <w:footnoteRef/>
      </w:r>
      <w:r w:rsidRPr="002E2358">
        <w:rPr>
          <w:rFonts w:ascii="Arabic Typesetting" w:hAnsi="Arabic Typesetting" w:cs="Arabic Typesetting"/>
          <w:sz w:val="24"/>
          <w:rtl/>
        </w:rPr>
        <w:t xml:space="preserve"> انظر الجدول 6.</w:t>
      </w:r>
    </w:p>
  </w:footnote>
  <w:footnote w:id="7">
    <w:p w:rsidR="00AA5889" w:rsidRPr="00C567F2" w:rsidRDefault="00AA5889">
      <w:pPr>
        <w:pStyle w:val="FootnoteText"/>
        <w:rPr>
          <w:rFonts w:ascii="Arabic Typesetting" w:hAnsi="Arabic Typesetting" w:cs="Arabic Typesetting"/>
          <w:rtl/>
          <w:lang w:bidi="ar-SA"/>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تطبيق إجراء إعداد الميزانية على المشروعات المقترحة من اللجنة التنمية والملكية الفكرية لتنفيذ توصيات جدول أعمال التنمية (الوثيقة </w:t>
      </w:r>
      <w:r w:rsidRPr="00C567F2">
        <w:rPr>
          <w:rFonts w:ascii="Arabic Typesetting" w:hAnsi="Arabic Typesetting" w:cs="Arabic Typesetting"/>
        </w:rPr>
        <w:t>A/48/5 REV.</w:t>
      </w:r>
      <w:r w:rsidRPr="00C567F2">
        <w:rPr>
          <w:rFonts w:ascii="Arabic Typesetting" w:hAnsi="Arabic Typesetting" w:cs="Arabic Typesetting"/>
          <w:rtl/>
          <w:lang w:bidi="ar-SA"/>
        </w:rPr>
        <w:t>).</w:t>
      </w:r>
    </w:p>
  </w:footnote>
  <w:footnote w:id="8">
    <w:p w:rsidR="00AA5889" w:rsidRPr="00C567F2" w:rsidRDefault="00AA5889">
      <w:pPr>
        <w:pStyle w:val="FootnoteText"/>
        <w:rPr>
          <w:rFonts w:ascii="Arabic Typesetting" w:hAnsi="Arabic Typesetting" w:cs="Arabic Typesetting"/>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رهنا بموافقة اللجنة المعنية بالتنمية والملكية الفكرية.</w:t>
      </w:r>
    </w:p>
  </w:footnote>
  <w:footnote w:id="9">
    <w:p w:rsidR="00AA5889" w:rsidRPr="002E2358" w:rsidRDefault="00AA5889">
      <w:pPr>
        <w:pStyle w:val="FootnoteText"/>
        <w:rPr>
          <w:rFonts w:ascii="Arabic Typesetting" w:hAnsi="Arabic Typesetting" w:cs="Arabic Typesetting"/>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انظر الجدول 7.</w:t>
      </w:r>
    </w:p>
  </w:footnote>
  <w:footnote w:id="10">
    <w:p w:rsidR="00AA5889" w:rsidRPr="00C567F2" w:rsidRDefault="00AA5889" w:rsidP="0030758F">
      <w:pPr>
        <w:pStyle w:val="FootnoteText"/>
        <w:rPr>
          <w:rFonts w:ascii="Arabic Typesetting" w:hAnsi="Arabic Typesetting" w:cs="Arabic Typesetting"/>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نظرا لأن وثيقة البرنامج والميزانية تعد في آن واحد مع تقرير أداء البرنامج لسنة 2014، فإن أية اختلافات بين الوثيقتين ستعدل في عملية تحديث أسس المقارنة.</w:t>
      </w:r>
    </w:p>
  </w:footnote>
  <w:footnote w:id="11">
    <w:p w:rsidR="00AA5889" w:rsidRPr="00C567F2" w:rsidRDefault="00AA5889" w:rsidP="00E85456">
      <w:pPr>
        <w:pStyle w:val="FootnoteText"/>
        <w:rPr>
          <w:rFonts w:ascii="Arabic Typesetting" w:hAnsi="Arabic Typesetting" w:cs="Arabic Typesetting"/>
        </w:rPr>
      </w:pPr>
      <w:r w:rsidRPr="00C567F2">
        <w:rPr>
          <w:rStyle w:val="FootnoteReference"/>
          <w:rFonts w:ascii="Arabic Typesetting" w:hAnsi="Arabic Typesetting" w:cs="Arabic Typesetting"/>
        </w:rPr>
        <w:footnoteRef/>
      </w:r>
      <w:r w:rsidRPr="00C567F2">
        <w:rPr>
          <w:rFonts w:ascii="Arabic Typesetting" w:hAnsi="Arabic Typesetting" w:cs="Arabic Typesetting"/>
          <w:rtl/>
        </w:rPr>
        <w:t xml:space="preserve"> بلغ إجمالي ميزانية الثنائية 2012/13 المعتمدة لخلاف الموظفين، 238.8 مليون فرنك سويسري. </w:t>
      </w:r>
    </w:p>
  </w:footnote>
  <w:footnote w:id="12">
    <w:p w:rsidR="00AA5889" w:rsidRPr="008945F0" w:rsidRDefault="00AA5889" w:rsidP="00A70391">
      <w:pPr>
        <w:pStyle w:val="FootnoteText"/>
        <w:rPr>
          <w:rFonts w:ascii="Arabic Typesetting" w:hAnsi="Arabic Typesetting" w:cs="Arabic Typesetting"/>
        </w:rPr>
      </w:pPr>
      <w:r w:rsidRPr="008945F0">
        <w:rPr>
          <w:rStyle w:val="FootnoteReference"/>
          <w:rFonts w:ascii="Arabic Typesetting" w:hAnsi="Arabic Typesetting" w:cs="Arabic Typesetting"/>
        </w:rPr>
        <w:footnoteRef/>
      </w:r>
      <w:r w:rsidRPr="008945F0">
        <w:rPr>
          <w:rFonts w:ascii="Arabic Typesetting" w:hAnsi="Arabic Typesetting" w:cs="Arabic Typesetting"/>
          <w:rtl/>
        </w:rPr>
        <w:t xml:space="preserve"> يرد وصف مفصل لفئات التكاليف في الملحق باء.</w:t>
      </w:r>
    </w:p>
  </w:footnote>
  <w:footnote w:id="13">
    <w:p w:rsidR="00AA5889" w:rsidRPr="00F174B2" w:rsidRDefault="00AA5889">
      <w:pPr>
        <w:pStyle w:val="FootnoteText"/>
        <w:rPr>
          <w:rFonts w:ascii="Arabic Typesetting" w:hAnsi="Arabic Typesetting" w:cs="Arabic Typesetting"/>
          <w:lang w:bidi="ar-SA"/>
        </w:rPr>
      </w:pPr>
      <w:r w:rsidRPr="00F174B2">
        <w:rPr>
          <w:rStyle w:val="FootnoteReference"/>
          <w:rFonts w:ascii="Arabic Typesetting" w:hAnsi="Arabic Typesetting" w:cs="Arabic Typesetting"/>
        </w:rPr>
        <w:footnoteRef/>
      </w:r>
      <w:r w:rsidRPr="00F174B2">
        <w:rPr>
          <w:rFonts w:ascii="Arabic Typesetting" w:hAnsi="Arabic Typesetting" w:cs="Arabic Typesetting"/>
          <w:rtl/>
        </w:rPr>
        <w:t xml:space="preserve"> </w:t>
      </w:r>
      <w:r w:rsidRPr="00F174B2">
        <w:rPr>
          <w:rFonts w:ascii="Arabic Typesetting" w:hAnsi="Arabic Typesetting" w:cs="Arabic Typesetting"/>
          <w:b/>
          <w:bCs/>
          <w:rtl/>
        </w:rPr>
        <w:t>الوظائف</w:t>
      </w:r>
      <w:r w:rsidRPr="00F174B2">
        <w:rPr>
          <w:rFonts w:ascii="Arabic Typesetting" w:hAnsi="Arabic Typesetting" w:cs="Arabic Typesetting"/>
          <w:rtl/>
        </w:rPr>
        <w:t xml:space="preserve"> </w:t>
      </w:r>
      <w:r>
        <w:rPr>
          <w:rFonts w:ascii="Arabic Typesetting" w:hAnsi="Arabic Typesetting" w:cs="Arabic Typesetting"/>
          <w:rtl/>
        </w:rPr>
        <w:t>–</w:t>
      </w:r>
      <w:r>
        <w:rPr>
          <w:rFonts w:ascii="Arabic Typesetting" w:hAnsi="Arabic Typesetting" w:cs="Arabic Typesetting" w:hint="cs"/>
          <w:rtl/>
        </w:rPr>
        <w:t xml:space="preserve"> تشمل هذه الفئة الموظفين الثابتين، والموظفين بعقود مستمرة أو دائمة مقابل الوظائف المعتمدة في الفئة المهنية وفئة الخدمات العامة.</w:t>
      </w:r>
    </w:p>
  </w:footnote>
  <w:footnote w:id="14">
    <w:p w:rsidR="00AA5889" w:rsidRPr="00F174B2" w:rsidRDefault="00AA5889" w:rsidP="00F174B2">
      <w:pPr>
        <w:pStyle w:val="FootnoteText"/>
        <w:rPr>
          <w:rFonts w:ascii="Arabic Typesetting" w:hAnsi="Arabic Typesetting" w:cs="Arabic Typesetting"/>
        </w:rPr>
      </w:pPr>
      <w:r w:rsidRPr="00F174B2">
        <w:rPr>
          <w:rStyle w:val="FootnoteReference"/>
          <w:rFonts w:ascii="Arabic Typesetting" w:hAnsi="Arabic Typesetting" w:cs="Arabic Typesetting"/>
        </w:rPr>
        <w:footnoteRef/>
      </w:r>
      <w:r w:rsidRPr="00F174B2">
        <w:rPr>
          <w:rFonts w:ascii="Arabic Typesetting" w:hAnsi="Arabic Typesetting" w:cs="Arabic Typesetting"/>
          <w:rtl/>
        </w:rPr>
        <w:t xml:space="preserve"> </w:t>
      </w:r>
      <w:r w:rsidRPr="00F174B2">
        <w:rPr>
          <w:rFonts w:ascii="Arabic Typesetting" w:hAnsi="Arabic Typesetting" w:cs="Arabic Typesetting" w:hint="cs"/>
          <w:b/>
          <w:bCs/>
          <w:rtl/>
        </w:rPr>
        <w:t>الموظفون المؤقتون</w:t>
      </w:r>
      <w:r>
        <w:rPr>
          <w:rFonts w:ascii="Arabic Typesetting" w:hAnsi="Arabic Typesetting" w:cs="Arabic Typesetting" w:hint="cs"/>
          <w:rtl/>
        </w:rPr>
        <w:t xml:space="preserve"> </w:t>
      </w:r>
      <w:r>
        <w:rPr>
          <w:rFonts w:ascii="Arabic Typesetting" w:hAnsi="Arabic Typesetting" w:cs="Arabic Typesetting"/>
          <w:rtl/>
        </w:rPr>
        <w:t>–</w:t>
      </w:r>
      <w:r>
        <w:rPr>
          <w:rFonts w:ascii="Arabic Typesetting" w:hAnsi="Arabic Typesetting" w:cs="Arabic Typesetting" w:hint="cs"/>
          <w:rtl/>
        </w:rPr>
        <w:t xml:space="preserve"> تشمل هذه الفئة الموظفين بعقود مؤقتة.</w:t>
      </w:r>
    </w:p>
  </w:footnote>
  <w:footnote w:id="15">
    <w:p w:rsidR="00AA5889" w:rsidRPr="00452DD7" w:rsidRDefault="00AA5889">
      <w:pPr>
        <w:pStyle w:val="FootnoteText"/>
        <w:rPr>
          <w:rFonts w:ascii="Arabic Typesetting" w:hAnsi="Arabic Typesetting" w:cs="Arabic Typesetting"/>
          <w:lang w:bidi="ar-SA"/>
        </w:rPr>
      </w:pPr>
      <w:r w:rsidRPr="00452DD7">
        <w:rPr>
          <w:rStyle w:val="FootnoteReference"/>
          <w:rFonts w:ascii="Arabic Typesetting" w:hAnsi="Arabic Typesetting" w:cs="Arabic Typesetting"/>
        </w:rPr>
        <w:footnoteRef/>
      </w:r>
      <w:r w:rsidRPr="00452DD7">
        <w:rPr>
          <w:rFonts w:ascii="Arabic Typesetting" w:hAnsi="Arabic Typesetting" w:cs="Arabic Typesetting"/>
          <w:rtl/>
        </w:rPr>
        <w:t xml:space="preserve"> تماشيا مع الممارسات السابقة، يتم إدراج البلدان المنتقلة إلى نظام الاقتصاد الحر </w:t>
      </w:r>
      <w:proofErr w:type="spellStart"/>
      <w:r w:rsidRPr="00452DD7">
        <w:rPr>
          <w:rFonts w:ascii="Arabic Typesetting" w:hAnsi="Arabic Typesetting" w:cs="Arabic Typesetting"/>
          <w:rtl/>
        </w:rPr>
        <w:t>لأغرض</w:t>
      </w:r>
      <w:proofErr w:type="spellEnd"/>
      <w:r w:rsidRPr="00452DD7">
        <w:rPr>
          <w:rFonts w:ascii="Arabic Typesetting" w:hAnsi="Arabic Typesetting" w:cs="Arabic Typesetting"/>
          <w:rtl/>
        </w:rPr>
        <w:t xml:space="preserve"> البرنامج والميزانية.</w:t>
      </w:r>
    </w:p>
  </w:footnote>
  <w:footnote w:id="16">
    <w:p w:rsidR="00AA5889" w:rsidRPr="00D60389" w:rsidRDefault="00AA5889">
      <w:pPr>
        <w:pStyle w:val="FootnoteText"/>
        <w:rPr>
          <w:rFonts w:ascii="Arabic Typesetting" w:hAnsi="Arabic Typesetting" w:cs="Arabic Typesetting"/>
          <w:sz w:val="24"/>
        </w:rPr>
      </w:pPr>
      <w:r w:rsidRPr="00D60389">
        <w:rPr>
          <w:rStyle w:val="FootnoteReference"/>
          <w:rFonts w:ascii="Arabic Typesetting" w:hAnsi="Arabic Typesetting" w:cs="Arabic Typesetting"/>
          <w:sz w:val="24"/>
        </w:rPr>
        <w:footnoteRef/>
      </w:r>
      <w:r w:rsidRPr="00D60389">
        <w:rPr>
          <w:rFonts w:ascii="Arabic Typesetting" w:hAnsi="Arabic Typesetting" w:cs="Arabic Typesetting"/>
          <w:sz w:val="24"/>
          <w:rtl/>
        </w:rPr>
        <w:t xml:space="preserve"> من المفهوم أن الاعتماد الممكن لمنظمات الإدارة الجماعية من المرجح ألا يبتدئ قبل النصف الثاني من 2017.</w:t>
      </w:r>
    </w:p>
  </w:footnote>
  <w:footnote w:id="17">
    <w:p w:rsidR="00AA5889" w:rsidRPr="00BE6443" w:rsidRDefault="00AA5889">
      <w:pPr>
        <w:pStyle w:val="FootnoteText"/>
        <w:rPr>
          <w:rFonts w:ascii="Arabic Typesetting" w:hAnsi="Arabic Typesetting" w:cs="Arabic Typesetting"/>
          <w:sz w:val="24"/>
        </w:rPr>
      </w:pPr>
      <w:r w:rsidRPr="00BE6443">
        <w:rPr>
          <w:rStyle w:val="FootnoteReference"/>
          <w:rFonts w:ascii="Arabic Typesetting" w:hAnsi="Arabic Typesetting" w:cs="Arabic Typesetting"/>
          <w:sz w:val="24"/>
        </w:rPr>
        <w:footnoteRef/>
      </w:r>
      <w:r w:rsidRPr="00BE6443">
        <w:rPr>
          <w:rFonts w:ascii="Arabic Typesetting" w:hAnsi="Arabic Typesetting" w:cs="Arabic Typesetting"/>
          <w:sz w:val="24"/>
          <w:rtl/>
        </w:rPr>
        <w:t xml:space="preserve"> </w:t>
      </w:r>
      <w:r>
        <w:rPr>
          <w:rFonts w:ascii="Arabic Typesetting" w:hAnsi="Arabic Typesetting" w:cs="Arabic Typesetting" w:hint="cs"/>
          <w:sz w:val="24"/>
          <w:rtl/>
        </w:rPr>
        <w:t>الأكاديميات الوطنية الناشئة المستدامة هي مؤسسات تدعم نفسها ماليا وتقنيا وتتلقى مشورة من الويبو بناء على الطلب.</w:t>
      </w:r>
    </w:p>
  </w:footnote>
  <w:footnote w:id="18">
    <w:p w:rsidR="00AA5889" w:rsidRPr="009F79D5" w:rsidRDefault="00AA5889" w:rsidP="009C53DB">
      <w:pPr>
        <w:pStyle w:val="FootnoteText"/>
        <w:rPr>
          <w:rFonts w:ascii="Arabic Typesetting" w:hAnsi="Arabic Typesetting" w:cs="Arabic Typesetting"/>
          <w:sz w:val="24"/>
        </w:rPr>
      </w:pPr>
      <w:r w:rsidRPr="009F79D5">
        <w:rPr>
          <w:rStyle w:val="FootnoteReference"/>
          <w:rFonts w:ascii="Arabic Typesetting" w:hAnsi="Arabic Typesetting" w:cs="Arabic Typesetting"/>
          <w:sz w:val="24"/>
        </w:rPr>
        <w:footnoteRef/>
      </w:r>
      <w:r w:rsidRPr="009F79D5">
        <w:rPr>
          <w:rFonts w:ascii="Arabic Typesetting" w:hAnsi="Arabic Typesetting" w:cs="Arabic Typesetting"/>
          <w:sz w:val="24"/>
          <w:rtl/>
        </w:rPr>
        <w:t xml:space="preserve"> </w:t>
      </w:r>
      <w:r w:rsidRPr="0018472B">
        <w:rPr>
          <w:rFonts w:ascii="Arabic Typesetting" w:hAnsi="Arabic Typesetting" w:cs="Arabic Typesetting"/>
          <w:sz w:val="24"/>
          <w:rtl/>
        </w:rPr>
        <w:t>مراكز دعم التكنولوجيا والابتكار المستدامة</w:t>
      </w:r>
      <w:r>
        <w:rPr>
          <w:rFonts w:ascii="Arabic Typesetting" w:hAnsi="Arabic Typesetting" w:cs="Arabic Typesetting" w:hint="cs"/>
          <w:sz w:val="24"/>
          <w:rtl/>
        </w:rPr>
        <w:t xml:space="preserve"> هي مؤسسات تدعم نفسها ماليا وتقنيا وتتلقى المشورة من الويبو بناء على الطلب.</w:t>
      </w:r>
    </w:p>
  </w:footnote>
  <w:footnote w:id="19">
    <w:p w:rsidR="00AA5889" w:rsidRPr="00563992" w:rsidRDefault="00AA5889" w:rsidP="00563992">
      <w:pPr>
        <w:pStyle w:val="FootnoteText"/>
        <w:rPr>
          <w:rFonts w:ascii="Arabic Typesetting" w:hAnsi="Arabic Typesetting" w:cs="Arabic Typesetting"/>
          <w:sz w:val="24"/>
        </w:rPr>
      </w:pPr>
      <w:r w:rsidRPr="00563992">
        <w:rPr>
          <w:rStyle w:val="FootnoteReference"/>
          <w:rFonts w:ascii="Arabic Typesetting" w:hAnsi="Arabic Typesetting" w:cs="Arabic Typesetting"/>
          <w:sz w:val="24"/>
        </w:rPr>
        <w:footnoteRef/>
      </w:r>
      <w:r w:rsidRPr="00563992">
        <w:rPr>
          <w:rFonts w:ascii="Arabic Typesetting" w:hAnsi="Arabic Typesetting" w:cs="Arabic Typesetting"/>
          <w:sz w:val="24"/>
          <w:rtl/>
        </w:rPr>
        <w:t xml:space="preserve"> </w:t>
      </w:r>
      <w:r w:rsidRPr="00563992">
        <w:rPr>
          <w:rFonts w:ascii="Arabic Typesetting" w:hAnsi="Arabic Typesetting" w:cs="Arabic Typesetting" w:hint="cs"/>
          <w:sz w:val="24"/>
          <w:rtl/>
        </w:rPr>
        <w:t>الأكاديميات الوطنية الناشئة المستدامة هي مؤسسات تدعم نفسها ماليا وتقنيا وتتلقى مشورة من الويبو بناء على الطلب.</w:t>
      </w:r>
    </w:p>
  </w:footnote>
  <w:footnote w:id="20">
    <w:p w:rsidR="00AA5889" w:rsidRPr="009C53DB" w:rsidRDefault="00AA5889" w:rsidP="009C53DB">
      <w:pPr>
        <w:pStyle w:val="FootnoteText"/>
        <w:rPr>
          <w:rFonts w:ascii="Arabic Typesetting" w:hAnsi="Arabic Typesetting" w:cs="Arabic Typesetting"/>
          <w:sz w:val="24"/>
          <w:lang w:bidi="ar-SA"/>
        </w:rPr>
      </w:pPr>
      <w:r w:rsidRPr="009C53DB">
        <w:rPr>
          <w:rStyle w:val="FootnoteReference"/>
          <w:rFonts w:ascii="Arabic Typesetting" w:hAnsi="Arabic Typesetting" w:cs="Arabic Typesetting"/>
          <w:sz w:val="24"/>
        </w:rPr>
        <w:footnoteRef/>
      </w:r>
      <w:r w:rsidRPr="009C53DB">
        <w:rPr>
          <w:rFonts w:ascii="Arabic Typesetting" w:hAnsi="Arabic Typesetting" w:cs="Arabic Typesetting"/>
          <w:sz w:val="24"/>
          <w:rtl/>
        </w:rPr>
        <w:t xml:space="preserve"> </w:t>
      </w:r>
      <w:r w:rsidRPr="0018472B">
        <w:rPr>
          <w:rFonts w:ascii="Arabic Typesetting" w:hAnsi="Arabic Typesetting" w:cs="Arabic Typesetting"/>
          <w:sz w:val="24"/>
          <w:rtl/>
        </w:rPr>
        <w:t>مراكز دعم التكنولوجيا والابتكار المستدامة</w:t>
      </w:r>
      <w:r>
        <w:rPr>
          <w:rFonts w:ascii="Arabic Typesetting" w:hAnsi="Arabic Typesetting" w:cs="Arabic Typesetting" w:hint="cs"/>
          <w:sz w:val="24"/>
          <w:rtl/>
        </w:rPr>
        <w:t xml:space="preserve"> هي مؤسسات تدعم نفسها ماليا وتقنيا وتتلقى المشورة من الويبو بناء على الطلب.</w:t>
      </w:r>
    </w:p>
  </w:footnote>
  <w:footnote w:id="21">
    <w:p w:rsidR="00AA5889" w:rsidRPr="002D4601" w:rsidRDefault="00AA5889">
      <w:pPr>
        <w:pStyle w:val="FootnoteText"/>
        <w:rPr>
          <w:rFonts w:ascii="Arabic Typesetting" w:hAnsi="Arabic Typesetting" w:cs="Arabic Typesetting"/>
          <w:sz w:val="24"/>
        </w:rPr>
      </w:pPr>
      <w:r w:rsidRPr="002D4601">
        <w:rPr>
          <w:rStyle w:val="FootnoteReference"/>
          <w:rFonts w:ascii="Arabic Typesetting" w:hAnsi="Arabic Typesetting" w:cs="Arabic Typesetting"/>
          <w:sz w:val="24"/>
        </w:rPr>
        <w:footnoteRef/>
      </w:r>
      <w:r w:rsidRPr="002D4601">
        <w:rPr>
          <w:rFonts w:ascii="Arabic Typesetting" w:hAnsi="Arabic Typesetting" w:cs="Arabic Typesetting"/>
          <w:sz w:val="24"/>
          <w:rtl/>
        </w:rPr>
        <w:t xml:space="preserve"> </w:t>
      </w:r>
      <w:r w:rsidRPr="0018472B">
        <w:rPr>
          <w:rFonts w:ascii="Arabic Typesetting" w:hAnsi="Arabic Typesetting" w:cs="Arabic Typesetting"/>
          <w:sz w:val="24"/>
          <w:rtl/>
        </w:rPr>
        <w:t>مراكز دعم التكنولوجيا والابتكار المستدامة</w:t>
      </w:r>
      <w:r>
        <w:rPr>
          <w:rFonts w:ascii="Arabic Typesetting" w:hAnsi="Arabic Typesetting" w:cs="Arabic Typesetting" w:hint="cs"/>
          <w:sz w:val="24"/>
          <w:rtl/>
        </w:rPr>
        <w:t xml:space="preserve"> هي مؤسسات تدعم نفسها ماليا وتقنيا وتتلقى المشورة من الويبو بناء على الطلب.</w:t>
      </w:r>
    </w:p>
  </w:footnote>
  <w:footnote w:id="22">
    <w:p w:rsidR="00AA5889" w:rsidRPr="00AA66C1" w:rsidRDefault="00AA5889" w:rsidP="007843AB">
      <w:pPr>
        <w:pStyle w:val="FootnoteText"/>
        <w:rPr>
          <w:rFonts w:ascii="Arabic Typesetting" w:hAnsi="Arabic Typesetting" w:cs="Arabic Typesetting"/>
          <w:sz w:val="24"/>
          <w:lang w:bidi="ar-SA"/>
        </w:rPr>
      </w:pPr>
      <w:r w:rsidRPr="00AA66C1">
        <w:rPr>
          <w:rStyle w:val="FootnoteReference"/>
          <w:rFonts w:ascii="Arabic Typesetting" w:hAnsi="Arabic Typesetting" w:cs="Arabic Typesetting"/>
          <w:sz w:val="24"/>
        </w:rPr>
        <w:footnoteRef/>
      </w:r>
      <w:r w:rsidRPr="00AA66C1">
        <w:rPr>
          <w:rFonts w:ascii="Arabic Typesetting" w:hAnsi="Arabic Typesetting" w:cs="Arabic Typesetting"/>
          <w:sz w:val="24"/>
          <w:rtl/>
        </w:rPr>
        <w:t xml:space="preserve"> ستحدد أسس المقارنة والأهداف في نهاية 2015 بعد اختبار الأدوات والمنهجيات الإحصائية الإلكترونية الجديدة والتثبّت منها.</w:t>
      </w:r>
    </w:p>
  </w:footnote>
  <w:footnote w:id="23">
    <w:p w:rsidR="00AA5889" w:rsidRPr="00CB7646" w:rsidRDefault="00AA5889">
      <w:pPr>
        <w:pStyle w:val="FootnoteText"/>
        <w:rPr>
          <w:rFonts w:ascii="Arabic Typesetting" w:hAnsi="Arabic Typesetting" w:cs="Arabic Typesetting"/>
          <w:sz w:val="24"/>
        </w:rPr>
      </w:pPr>
      <w:r w:rsidRPr="00CB7646">
        <w:rPr>
          <w:rStyle w:val="FootnoteReference"/>
          <w:rFonts w:ascii="Arabic Typesetting" w:hAnsi="Arabic Typesetting" w:cs="Arabic Typesetting"/>
          <w:sz w:val="24"/>
        </w:rPr>
        <w:footnoteRef/>
      </w:r>
      <w:r w:rsidRPr="00CB7646">
        <w:rPr>
          <w:rFonts w:ascii="Arabic Typesetting" w:hAnsi="Arabic Typesetting" w:cs="Arabic Typesetting"/>
          <w:sz w:val="24"/>
          <w:rtl/>
        </w:rPr>
        <w:t xml:space="preserve"> بالنسبة إلى الميزانية المقترحة للبرنامج 20 في الثنائية 2016/17، يرجى الرجوع إلى الشرح المقدم في الفقرة 22.20.</w:t>
      </w:r>
    </w:p>
  </w:footnote>
  <w:footnote w:id="24">
    <w:p w:rsidR="00AA5889" w:rsidRPr="001258BB" w:rsidRDefault="00AA5889">
      <w:pPr>
        <w:pStyle w:val="FootnoteText"/>
        <w:rPr>
          <w:rFonts w:ascii="Arabic Typesetting" w:hAnsi="Arabic Typesetting" w:cs="Arabic Typesetting"/>
          <w:sz w:val="24"/>
        </w:rPr>
      </w:pPr>
      <w:r w:rsidRPr="001258BB">
        <w:rPr>
          <w:rStyle w:val="FootnoteReference"/>
          <w:rFonts w:ascii="Arabic Typesetting" w:hAnsi="Arabic Typesetting" w:cs="Arabic Typesetting"/>
          <w:sz w:val="24"/>
        </w:rPr>
        <w:footnoteRef/>
      </w:r>
      <w:r w:rsidRPr="001258BB">
        <w:rPr>
          <w:rFonts w:ascii="Arabic Typesetting" w:hAnsi="Arabic Typesetting" w:cs="Arabic Typesetting"/>
          <w:sz w:val="24"/>
          <w:rtl/>
        </w:rPr>
        <w:t xml:space="preserve"> </w:t>
      </w:r>
      <w:r w:rsidRPr="001258BB">
        <w:rPr>
          <w:rFonts w:ascii="Arabic Typesetting" w:hAnsi="Arabic Typesetting" w:cs="Arabic Typesetting"/>
          <w:sz w:val="24"/>
          <w:rtl/>
          <w:lang w:bidi="ar-SA"/>
        </w:rPr>
        <w:t>تستند جميع الإحصاءات إلى البيانات المتاحة عن إيداع الطلبات بناء على معاهدة التعاون بشأن البراءات أو عن الطلبات بناء على الفصل الثاني من المعاهدة.</w:t>
      </w:r>
    </w:p>
  </w:footnote>
  <w:footnote w:id="25">
    <w:p w:rsidR="00AA5889" w:rsidRPr="0086397C" w:rsidRDefault="00AA5889">
      <w:pPr>
        <w:pStyle w:val="FootnoteText"/>
        <w:rPr>
          <w:rFonts w:ascii="Arabic Typesetting" w:hAnsi="Arabic Typesetting" w:cs="Arabic Typesetting"/>
        </w:rPr>
      </w:pPr>
      <w:r w:rsidRPr="001258BB">
        <w:rPr>
          <w:rStyle w:val="FootnoteReference"/>
          <w:rFonts w:ascii="Arabic Typesetting" w:hAnsi="Arabic Typesetting" w:cs="Arabic Typesetting"/>
          <w:sz w:val="24"/>
        </w:rPr>
        <w:footnoteRef/>
      </w:r>
      <w:r>
        <w:rPr>
          <w:rtl/>
        </w:rPr>
        <w:t xml:space="preserve"> </w:t>
      </w:r>
      <w:r w:rsidRPr="00A11FE2">
        <w:rPr>
          <w:rFonts w:ascii="Arabic Typesetting" w:hAnsi="Arabic Typesetting" w:cs="Arabic Typesetting"/>
          <w:rtl/>
        </w:rPr>
        <w:t>النسخة الأصلية هي طلب مودع بناء على معاهدة التعاون بشأن البراءات يحيله مكتب تسلم الطلبات إلى المكتب الدولي بعد إيداعه لدى هذا المكتب وبعدما يعالجه هذا المكتب. ونظراً لأن النسخ الأصلية لا يتسلمها المكتب الدولي إلا بعد أن يعلجها مكتب تسلم الطلبات، فإن الأرقام تتأثر كثيراً بفترات معالجة الطلبات في هذه المكاتب. ولهذا السبب، فإن توجهات تسلم النسخ الأصلية، وإن كانت مؤشرات صالحة لأعباء العمل في المكتب الدولي، فإنها لا تتوافق بالضبط مع توجهات إيداع الطلبات بناء على معاهدة التعاون بشأن البراءات.</w:t>
      </w:r>
    </w:p>
  </w:footnote>
  <w:footnote w:id="26">
    <w:p w:rsidR="00AA5889" w:rsidRPr="00944CDC" w:rsidRDefault="00AA5889">
      <w:pPr>
        <w:pStyle w:val="FootnoteText"/>
        <w:rPr>
          <w:rFonts w:ascii="Arabic Typesetting" w:hAnsi="Arabic Typesetting" w:cs="Arabic Typesetting"/>
          <w:sz w:val="24"/>
        </w:rPr>
      </w:pPr>
      <w:r w:rsidRPr="00944CDC">
        <w:rPr>
          <w:rStyle w:val="FootnoteReference"/>
          <w:rFonts w:ascii="Arabic Typesetting" w:hAnsi="Arabic Typesetting" w:cs="Arabic Typesetting"/>
          <w:sz w:val="24"/>
        </w:rPr>
        <w:footnoteRef/>
      </w:r>
      <w:r w:rsidRPr="00944CDC">
        <w:rPr>
          <w:rFonts w:ascii="Arabic Typesetting" w:hAnsi="Arabic Typesetting" w:cs="Arabic Typesetting"/>
          <w:sz w:val="24"/>
          <w:rtl/>
        </w:rPr>
        <w:t xml:space="preserve"> عقب إجراء مراجعة مستقلة لمصفوفات أداء خدمة المعلومات المتعلقة بنظام التعاون بشأن معاهدة البراءات (</w:t>
      </w:r>
      <w:r w:rsidRPr="00944CDC">
        <w:rPr>
          <w:rFonts w:ascii="Arabic Typesetting" w:hAnsi="Arabic Typesetting" w:cs="Arabic Typesetting"/>
          <w:sz w:val="24"/>
        </w:rPr>
        <w:t>PCTIS</w:t>
      </w:r>
      <w:r w:rsidRPr="00944CDC">
        <w:rPr>
          <w:rFonts w:ascii="Arabic Typesetting" w:hAnsi="Arabic Typesetting" w:cs="Arabic Typesetting"/>
          <w:sz w:val="24"/>
          <w:rtl/>
        </w:rPr>
        <w:t>)، تغير تعريفها عن التعريف الوارد في وثيقة البرنامج والميزانية للثنائية 2014/2015.</w:t>
      </w:r>
    </w:p>
  </w:footnote>
  <w:footnote w:id="27">
    <w:p w:rsidR="00AA5889" w:rsidRPr="00944CDC" w:rsidRDefault="00AA5889">
      <w:pPr>
        <w:pStyle w:val="FootnoteText"/>
        <w:rPr>
          <w:rFonts w:ascii="Arabic Typesetting" w:hAnsi="Arabic Typesetting" w:cs="Arabic Typesetting"/>
          <w:sz w:val="24"/>
          <w:lang w:bidi="ar-SA"/>
        </w:rPr>
      </w:pPr>
      <w:r w:rsidRPr="00944CDC">
        <w:rPr>
          <w:rStyle w:val="FootnoteReference"/>
          <w:rFonts w:ascii="Arabic Typesetting" w:hAnsi="Arabic Typesetting" w:cs="Arabic Typesetting"/>
          <w:sz w:val="24"/>
        </w:rPr>
        <w:footnoteRef/>
      </w:r>
      <w:r w:rsidRPr="00944CDC">
        <w:rPr>
          <w:rFonts w:ascii="Arabic Typesetting" w:hAnsi="Arabic Typesetting" w:cs="Arabic Typesetting"/>
          <w:sz w:val="24"/>
          <w:rtl/>
        </w:rPr>
        <w:t xml:space="preserve"> </w:t>
      </w:r>
      <w:r w:rsidRPr="00944CDC">
        <w:rPr>
          <w:rFonts w:ascii="Arabic Typesetting" w:hAnsi="Arabic Typesetting" w:cs="Arabic Typesetting"/>
          <w:sz w:val="24"/>
          <w:rtl/>
          <w:lang w:bidi="ar-SA"/>
        </w:rPr>
        <w:t>انظر "عبء العمل الإجمالي" أعلاه.</w:t>
      </w:r>
    </w:p>
  </w:footnote>
  <w:footnote w:id="28">
    <w:p w:rsidR="00AA5889" w:rsidRPr="00212CB2" w:rsidRDefault="00AA5889">
      <w:pPr>
        <w:pStyle w:val="FootnoteText"/>
        <w:rPr>
          <w:rFonts w:ascii="Arabic Typesetting" w:hAnsi="Arabic Typesetting" w:cs="Arabic Typesetting"/>
          <w:sz w:val="24"/>
        </w:rPr>
      </w:pPr>
      <w:r w:rsidRPr="00212CB2">
        <w:rPr>
          <w:rStyle w:val="FootnoteReference"/>
          <w:rFonts w:ascii="Arabic Typesetting" w:hAnsi="Arabic Typesetting" w:cs="Arabic Typesetting"/>
          <w:sz w:val="24"/>
        </w:rPr>
        <w:footnoteRef/>
      </w:r>
      <w:r w:rsidRPr="00212CB2">
        <w:rPr>
          <w:rFonts w:ascii="Arabic Typesetting" w:hAnsi="Arabic Typesetting" w:cs="Arabic Typesetting"/>
          <w:sz w:val="24"/>
          <w:rtl/>
        </w:rPr>
        <w:t xml:space="preserve"> </w:t>
      </w:r>
      <w:r w:rsidRPr="00212CB2">
        <w:rPr>
          <w:rFonts w:ascii="Arabic Typesetting" w:hAnsi="Arabic Typesetting" w:cs="Arabic Typesetting"/>
          <w:sz w:val="24"/>
          <w:rtl/>
          <w:lang w:bidi="ar-SA"/>
        </w:rPr>
        <w:t>انظر "عبء العمل الإجمالي" أعلاه.</w:t>
      </w:r>
    </w:p>
  </w:footnote>
  <w:footnote w:id="29">
    <w:p w:rsidR="00AA5889" w:rsidRPr="00944CDC" w:rsidRDefault="00AA5889" w:rsidP="00DA5475">
      <w:pPr>
        <w:pStyle w:val="FootnoteText"/>
        <w:rPr>
          <w:rFonts w:ascii="Arabic Typesetting" w:hAnsi="Arabic Typesetting" w:cs="Arabic Typesetting"/>
          <w:sz w:val="24"/>
          <w:rtl/>
        </w:rPr>
      </w:pPr>
      <w:r w:rsidRPr="00944CDC">
        <w:rPr>
          <w:rStyle w:val="FootnoteReference"/>
          <w:rFonts w:ascii="Arabic Typesetting" w:hAnsi="Arabic Typesetting" w:cs="Arabic Typesetting"/>
          <w:sz w:val="24"/>
        </w:rPr>
        <w:footnoteRef/>
      </w:r>
      <w:r w:rsidRPr="00944CDC">
        <w:rPr>
          <w:rStyle w:val="FootnoteReference"/>
          <w:rFonts w:ascii="Arabic Typesetting" w:hAnsi="Arabic Typesetting" w:cs="Arabic Typesetting"/>
          <w:sz w:val="24"/>
          <w:rtl/>
        </w:rPr>
        <w:t xml:space="preserve"> </w:t>
      </w:r>
      <w:r w:rsidRPr="00944CDC">
        <w:rPr>
          <w:rFonts w:ascii="Arabic Typesetting" w:hAnsi="Arabic Typesetting" w:cs="Arabic Typesetting"/>
          <w:sz w:val="24"/>
          <w:rtl/>
        </w:rPr>
        <w:t xml:space="preserve"> يقدم نظام مدريد الدعم إلى نظام لاهاي، وخاصة في أنشطة الترجمة وتكنولوجيا المعلومات. وقد أُغفلت هذه التكاليف في المنهجية المستخدمة.</w:t>
      </w:r>
    </w:p>
  </w:footnote>
  <w:footnote w:id="30">
    <w:p w:rsidR="00AA5889" w:rsidRPr="00944CDC" w:rsidRDefault="00AA5889" w:rsidP="00DA5475">
      <w:pPr>
        <w:pStyle w:val="FootnoteText"/>
        <w:rPr>
          <w:rFonts w:ascii="Arabic Typesetting" w:hAnsi="Arabic Typesetting" w:cs="Arabic Typesetting"/>
          <w:sz w:val="24"/>
        </w:rPr>
      </w:pPr>
      <w:r w:rsidRPr="00944CDC">
        <w:rPr>
          <w:rStyle w:val="FootnoteReference"/>
          <w:rFonts w:ascii="Arabic Typesetting" w:hAnsi="Arabic Typesetting" w:cs="Arabic Typesetting"/>
          <w:sz w:val="24"/>
        </w:rPr>
        <w:footnoteRef/>
      </w:r>
      <w:r w:rsidRPr="00944CDC">
        <w:rPr>
          <w:rFonts w:ascii="Arabic Typesetting" w:hAnsi="Arabic Typesetting" w:cs="Arabic Typesetting"/>
          <w:sz w:val="24"/>
          <w:rtl/>
        </w:rPr>
        <w:t xml:space="preserve"> انظر "عبء العمل الإجمالي" أعلاه.</w:t>
      </w:r>
    </w:p>
  </w:footnote>
  <w:footnote w:id="31">
    <w:p w:rsidR="00AA5889" w:rsidRPr="00944CDC" w:rsidRDefault="00AA5889" w:rsidP="00DA5475">
      <w:pPr>
        <w:pStyle w:val="FootnoteText"/>
        <w:rPr>
          <w:rFonts w:ascii="Arabic Typesetting" w:hAnsi="Arabic Typesetting" w:cs="Arabic Typesetting"/>
          <w:sz w:val="24"/>
          <w:rtl/>
        </w:rPr>
      </w:pPr>
      <w:r w:rsidRPr="00944CDC">
        <w:rPr>
          <w:rStyle w:val="FootnoteReference"/>
          <w:rFonts w:ascii="Arabic Typesetting" w:hAnsi="Arabic Typesetting" w:cs="Arabic Typesetting"/>
          <w:sz w:val="24"/>
        </w:rPr>
        <w:footnoteRef/>
      </w:r>
      <w:r w:rsidRPr="00944CDC">
        <w:rPr>
          <w:rFonts w:ascii="Arabic Typesetting" w:hAnsi="Arabic Typesetting" w:cs="Arabic Typesetting"/>
          <w:sz w:val="24"/>
          <w:rtl/>
        </w:rPr>
        <w:t xml:space="preserve"> انظر نسب الطلبات والتجديدات في "عبء العمل الإجمالي" أعلاه.</w:t>
      </w:r>
    </w:p>
  </w:footnote>
  <w:footnote w:id="32">
    <w:p w:rsidR="00AA5889" w:rsidRPr="001D14C5" w:rsidRDefault="00AA5889" w:rsidP="00DA5475">
      <w:pPr>
        <w:pStyle w:val="FootnoteText"/>
        <w:rPr>
          <w:rFonts w:ascii="Arabic Typesetting" w:hAnsi="Arabic Typesetting" w:cs="Arabic Typesetting"/>
          <w:i/>
          <w:iCs/>
          <w:sz w:val="24"/>
        </w:rPr>
      </w:pPr>
      <w:r w:rsidRPr="001D14C5">
        <w:rPr>
          <w:rStyle w:val="FootnoteReference"/>
          <w:rFonts w:ascii="Arabic Typesetting" w:hAnsi="Arabic Typesetting" w:cs="Arabic Typesetting"/>
          <w:i/>
          <w:iCs/>
          <w:sz w:val="24"/>
        </w:rPr>
        <w:footnoteRef/>
      </w:r>
      <w:r w:rsidRPr="001D14C5">
        <w:rPr>
          <w:rFonts w:ascii="Arabic Typesetting" w:hAnsi="Arabic Typesetting" w:cs="Arabic Typesetting"/>
          <w:sz w:val="24"/>
          <w:rtl/>
        </w:rPr>
        <w:t xml:space="preserve"> </w:t>
      </w:r>
      <w:r w:rsidRPr="001D14C5">
        <w:rPr>
          <w:rFonts w:ascii="Arabic Typesetting" w:hAnsi="Arabic Typesetting" w:cs="Arabic Typesetting"/>
          <w:i/>
          <w:iCs/>
          <w:sz w:val="24"/>
          <w:rtl/>
        </w:rPr>
        <w:t>جدول المرتبات للفئة المهنية وما فوقها في 1 يناير 2015: جدول الأجور الداخلة في حساب المعاش التقاعدي في فبراير 2013؛ والأجور والبدلات السنوية لفئة الخدمات العامة في 1 أبريل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171563">
    <w:pPr>
      <w:pStyle w:val="Header"/>
      <w:bidi w:val="0"/>
      <w:rPr>
        <w:rFonts w:asciiTheme="minorBidi" w:hAnsiTheme="minorBidi" w:cstheme="minorBidi"/>
        <w:sz w:val="22"/>
        <w:szCs w:val="22"/>
      </w:rPr>
    </w:pPr>
  </w:p>
  <w:p w:rsidR="00AA5889" w:rsidRDefault="00AA5889" w:rsidP="00C91169">
    <w:pPr>
      <w:pStyle w:val="Header"/>
      <w:bidi w:val="0"/>
      <w:rPr>
        <w:rFonts w:asciiTheme="minorBidi" w:hAnsiTheme="minorBidi" w:cstheme="minorBidi"/>
        <w:noProof/>
        <w:sz w:val="22"/>
        <w:szCs w:val="22"/>
      </w:rPr>
    </w:pPr>
  </w:p>
  <w:p w:rsidR="00AA5889" w:rsidRPr="00C91169" w:rsidRDefault="00AA5889" w:rsidP="00BF3CD6">
    <w:pPr>
      <w:pStyle w:val="Header"/>
      <w:bidi w:val="0"/>
      <w:rPr>
        <w:rFonts w:asciiTheme="minorBidi" w:hAnsiTheme="minorBidi" w:cstheme="minorBidi"/>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836CE5">
    <w:pPr>
      <w:pStyle w:val="Header"/>
      <w:tabs>
        <w:tab w:val="clear" w:pos="4153"/>
        <w:tab w:val="clear" w:pos="8306"/>
      </w:tabs>
      <w:spacing w:line="280" w:lineRule="exact"/>
      <w:jc w:val="right"/>
      <w:rPr>
        <w:rFonts w:ascii="Arabic Typesetting" w:hAnsi="Arabic Typesetting" w:cs="Arabic Typesetting"/>
        <w:b/>
        <w:bCs/>
        <w:sz w:val="30"/>
        <w:szCs w:val="30"/>
        <w:rtl/>
      </w:rPr>
    </w:pPr>
    <w:r>
      <w:rPr>
        <w:rFonts w:ascii="Arabic Typesetting" w:hAnsi="Arabic Typesetting" w:cs="Arabic Typesetting" w:hint="cs"/>
        <w:b/>
        <w:bCs/>
        <w:sz w:val="30"/>
        <w:szCs w:val="30"/>
        <w:rtl/>
      </w:rPr>
      <w:t>اقتراح البرنامج والميزانية للثنائية 2016/17</w:t>
    </w:r>
  </w:p>
  <w:p w:rsidR="00AA5889" w:rsidRPr="00A67728" w:rsidRDefault="00AA5889" w:rsidP="00836CE5">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AA5889" w:rsidRPr="00A67728" w:rsidRDefault="00AA5889" w:rsidP="00A67728">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842C37">
    <w:pPr>
      <w:pStyle w:val="Header"/>
      <w:spacing w:line="280" w:lineRule="exact"/>
      <w:jc w:val="right"/>
      <w:rPr>
        <w:rFonts w:ascii="Arabic Typesetting" w:hAnsi="Arabic Typesetting" w:cs="Arabic Typesetting"/>
        <w:b/>
        <w:bCs/>
        <w:sz w:val="30"/>
        <w:szCs w:val="30"/>
        <w:rtl/>
      </w:rPr>
    </w:pPr>
    <w:r>
      <w:rPr>
        <w:rFonts w:ascii="Arabic Typesetting" w:hAnsi="Arabic Typesetting" w:cs="Arabic Typesetting" w:hint="cs"/>
        <w:b/>
        <w:bCs/>
        <w:sz w:val="30"/>
        <w:szCs w:val="30"/>
        <w:rtl/>
      </w:rPr>
      <w:t>اقتراح البرنامج والميزانية للثنائية 2016/17</w:t>
    </w:r>
  </w:p>
  <w:p w:rsidR="00AA5889" w:rsidRPr="00842C37" w:rsidRDefault="00AA5889" w:rsidP="00842C37">
    <w:pPr>
      <w:pStyle w:val="Header"/>
      <w:spacing w:line="280" w:lineRule="exact"/>
      <w:jc w:val="right"/>
      <w:rPr>
        <w:rFonts w:ascii="Arabic Typesetting" w:hAnsi="Arabic Typesetting" w:cs="Arabic Typesetting"/>
        <w:b/>
        <w:bCs/>
        <w:sz w:val="30"/>
        <w:szCs w:val="30"/>
      </w:rPr>
    </w:pPr>
  </w:p>
  <w:p w:rsidR="00AA5889" w:rsidRPr="00842C37" w:rsidRDefault="00AA5889" w:rsidP="00842C37">
    <w:pPr>
      <w:pStyle w:val="Header"/>
      <w:spacing w:line="280" w:lineRule="exact"/>
      <w:jc w:val="right"/>
      <w:rPr>
        <w:rFonts w:ascii="Arabic Typesetting" w:hAnsi="Arabic Typesetting" w:cs="Arabic Typesetting"/>
        <w:b/>
        <w:bCs/>
        <w:sz w:val="30"/>
        <w:szCs w:val="3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Pr="00A67728" w:rsidRDefault="00AA5889" w:rsidP="00CE2F7B">
    <w:pPr>
      <w:pStyle w:val="Header"/>
      <w:tabs>
        <w:tab w:val="clear" w:pos="4153"/>
        <w:tab w:val="clear" w:pos="8306"/>
      </w:tabs>
      <w:ind w:left="-2"/>
      <w:rPr>
        <w:b/>
        <w:bCs/>
        <w:sz w:val="30"/>
        <w:szCs w:val="30"/>
      </w:rPr>
    </w:pPr>
    <w:r>
      <w:rPr>
        <w:rFonts w:hint="cs"/>
        <w:b/>
        <w:bCs/>
        <w:sz w:val="30"/>
        <w:szCs w:val="30"/>
        <w:rtl/>
      </w:rPr>
      <w:t>اقتراح البرنامج والميزانية للثنائية 2014/15</w:t>
    </w:r>
  </w:p>
  <w:p w:rsidR="00AA5889" w:rsidRPr="00A67728" w:rsidRDefault="00AA5889" w:rsidP="00862268">
    <w:pPr>
      <w:pStyle w:val="Header"/>
      <w:tabs>
        <w:tab w:val="clear" w:pos="4153"/>
        <w:tab w:val="clear" w:pos="8306"/>
      </w:tabs>
      <w:ind w:left="-2"/>
      <w:rPr>
        <w:sz w:val="30"/>
        <w:szCs w:val="30"/>
        <w:lang w:val="fr-CH"/>
      </w:rPr>
    </w:pPr>
  </w:p>
  <w:p w:rsidR="00AA5889" w:rsidRPr="00A67728" w:rsidRDefault="00AA5889" w:rsidP="00862268">
    <w:pPr>
      <w:pStyle w:val="Header"/>
      <w:ind w:left="-2"/>
      <w:rPr>
        <w:sz w:val="30"/>
        <w:szCs w:val="3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171563">
    <w:pPr>
      <w:pStyle w:val="Header"/>
      <w:bidi w:val="0"/>
      <w:rPr>
        <w:rFonts w:asciiTheme="minorBidi" w:hAnsiTheme="minorBidi" w:cstheme="minorBidi"/>
        <w:sz w:val="22"/>
        <w:szCs w:val="22"/>
      </w:rPr>
    </w:pPr>
    <w:r>
      <w:rPr>
        <w:rFonts w:asciiTheme="minorBidi" w:hAnsiTheme="minorBidi" w:cstheme="minorBidi"/>
        <w:sz w:val="22"/>
        <w:szCs w:val="22"/>
      </w:rPr>
      <w:t>A/55/5 Rev.</w:t>
    </w:r>
  </w:p>
  <w:p w:rsidR="00AA5889" w:rsidRDefault="00AA5889" w:rsidP="00C91169">
    <w:pPr>
      <w:pStyle w:val="Header"/>
      <w:bidi w:val="0"/>
      <w:rPr>
        <w:rFonts w:asciiTheme="minorBidi" w:hAnsiTheme="minorBidi" w:cstheme="minorBidi"/>
        <w:noProof/>
        <w:sz w:val="22"/>
        <w:szCs w:val="22"/>
      </w:rPr>
    </w:pPr>
    <w:r w:rsidRPr="00C91169">
      <w:rPr>
        <w:rFonts w:asciiTheme="minorBidi" w:hAnsiTheme="minorBidi" w:cstheme="minorBidi"/>
        <w:sz w:val="22"/>
        <w:szCs w:val="22"/>
      </w:rPr>
      <w:fldChar w:fldCharType="begin"/>
    </w:r>
    <w:r w:rsidRPr="00C91169">
      <w:rPr>
        <w:rFonts w:asciiTheme="minorBidi" w:hAnsiTheme="minorBidi" w:cstheme="minorBidi"/>
        <w:sz w:val="22"/>
        <w:szCs w:val="22"/>
      </w:rPr>
      <w:instrText xml:space="preserve"> PAGE   \* MERGEFORMAT </w:instrText>
    </w:r>
    <w:r w:rsidRPr="00C91169">
      <w:rPr>
        <w:rFonts w:asciiTheme="minorBidi" w:hAnsiTheme="minorBidi" w:cstheme="minorBidi"/>
        <w:sz w:val="22"/>
        <w:szCs w:val="22"/>
      </w:rPr>
      <w:fldChar w:fldCharType="separate"/>
    </w:r>
    <w:r w:rsidR="00A92CC0">
      <w:rPr>
        <w:rFonts w:asciiTheme="minorBidi" w:hAnsiTheme="minorBidi" w:cstheme="minorBidi"/>
        <w:noProof/>
        <w:sz w:val="22"/>
        <w:szCs w:val="22"/>
      </w:rPr>
      <w:t>278</w:t>
    </w:r>
    <w:r w:rsidRPr="00C91169">
      <w:rPr>
        <w:rFonts w:asciiTheme="minorBidi" w:hAnsiTheme="minorBidi" w:cstheme="minorBidi"/>
        <w:noProof/>
        <w:sz w:val="22"/>
        <w:szCs w:val="22"/>
      </w:rPr>
      <w:fldChar w:fldCharType="end"/>
    </w:r>
  </w:p>
  <w:p w:rsidR="00AA5889" w:rsidRPr="00C91169" w:rsidRDefault="00AA5889" w:rsidP="00BF3CD6">
    <w:pPr>
      <w:pStyle w:val="Header"/>
      <w:bidi w:val="0"/>
      <w:rPr>
        <w:rFonts w:asciiTheme="minorBidi" w:hAnsiTheme="minorBidi" w:cstheme="minorBid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Pr="00E20B81" w:rsidRDefault="00AA5889" w:rsidP="00E20B8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Pr="00A67728" w:rsidRDefault="00AA5889" w:rsidP="002E2CDF">
    <w:pPr>
      <w:pStyle w:val="Header"/>
      <w:tabs>
        <w:tab w:val="clear" w:pos="4153"/>
        <w:tab w:val="clear" w:pos="8306"/>
        <w:tab w:val="center" w:pos="4677"/>
      </w:tabs>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2016/17</w:t>
    </w:r>
  </w:p>
  <w:p w:rsidR="00AA5889" w:rsidRDefault="00AA5889" w:rsidP="008E2B10">
    <w:pPr>
      <w:pStyle w:val="Header"/>
      <w:tabs>
        <w:tab w:val="clear" w:pos="4153"/>
        <w:tab w:val="clear" w:pos="8306"/>
      </w:tabs>
      <w:spacing w:line="280" w:lineRule="exact"/>
      <w:rPr>
        <w:rFonts w:ascii="Arabic Typesetting" w:hAnsi="Arabic Typesetting" w:cs="Arabic Typesetting"/>
        <w:sz w:val="30"/>
        <w:szCs w:val="30"/>
        <w:lang w:val="fr-CH"/>
      </w:rPr>
    </w:pPr>
  </w:p>
  <w:p w:rsidR="00AA5889" w:rsidRPr="00A67728" w:rsidRDefault="00AA5889" w:rsidP="008E2B10">
    <w:pPr>
      <w:pStyle w:val="Header"/>
      <w:tabs>
        <w:tab w:val="clear" w:pos="4153"/>
        <w:tab w:val="clear" w:pos="8306"/>
      </w:tabs>
      <w:spacing w:line="280" w:lineRule="exact"/>
      <w:rPr>
        <w:rFonts w:ascii="Arabic Typesetting" w:hAnsi="Arabic Typesetting" w:cs="Arabic Typesetting"/>
        <w:sz w:val="30"/>
        <w:szCs w:val="30"/>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8E2B10">
    <w:pPr>
      <w:pStyle w:val="Header"/>
      <w:tabs>
        <w:tab w:val="clear" w:pos="4153"/>
        <w:tab w:val="clear" w:pos="8306"/>
      </w:tabs>
      <w:spacing w:line="280" w:lineRule="exact"/>
      <w:jc w:val="right"/>
      <w:rPr>
        <w:rFonts w:ascii="Arabic Typesetting" w:hAnsi="Arabic Typesetting" w:cs="Arabic Typesetting"/>
        <w:b/>
        <w:bCs/>
        <w:sz w:val="30"/>
        <w:szCs w:val="30"/>
        <w:rtl/>
      </w:rPr>
    </w:pPr>
    <w:r>
      <w:rPr>
        <w:rFonts w:ascii="Arabic Typesetting" w:hAnsi="Arabic Typesetting" w:cs="Arabic Typesetting" w:hint="cs"/>
        <w:b/>
        <w:bCs/>
        <w:sz w:val="30"/>
        <w:szCs w:val="30"/>
        <w:rtl/>
      </w:rPr>
      <w:t>اقتراح البرنامج والميزانية للثنائية 2016/17</w:t>
    </w:r>
  </w:p>
  <w:p w:rsidR="00AA5889" w:rsidRPr="008E2B10" w:rsidRDefault="00AA5889" w:rsidP="008E2B10">
    <w:pPr>
      <w:pStyle w:val="Header"/>
      <w:tabs>
        <w:tab w:val="clear" w:pos="4153"/>
        <w:tab w:val="clear" w:pos="8306"/>
      </w:tabs>
      <w:spacing w:line="280" w:lineRule="exact"/>
      <w:jc w:val="right"/>
      <w:rPr>
        <w:rFonts w:ascii="Arabic Typesetting" w:hAnsi="Arabic Typesetting" w:cs="Arabic Typesetting"/>
        <w:b/>
        <w:bCs/>
        <w:sz w:val="30"/>
        <w:szCs w:val="30"/>
        <w:rtl/>
        <w:lang w:val="fr-CH"/>
      </w:rPr>
    </w:pPr>
  </w:p>
  <w:p w:rsidR="00AA5889" w:rsidRPr="00A67728" w:rsidRDefault="00AA5889" w:rsidP="008E2B10">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Pr="00A67728" w:rsidRDefault="00AA5889" w:rsidP="002E2CDF">
    <w:pPr>
      <w:pStyle w:val="Header"/>
      <w:tabs>
        <w:tab w:val="clear" w:pos="4153"/>
        <w:tab w:val="clear" w:pos="8306"/>
        <w:tab w:val="center" w:pos="4677"/>
      </w:tabs>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2016/17</w:t>
    </w:r>
  </w:p>
  <w:p w:rsidR="00AA5889" w:rsidRDefault="00AA5889" w:rsidP="008E2B10">
    <w:pPr>
      <w:pStyle w:val="Header"/>
      <w:tabs>
        <w:tab w:val="clear" w:pos="4153"/>
        <w:tab w:val="clear" w:pos="8306"/>
      </w:tabs>
      <w:spacing w:line="280" w:lineRule="exact"/>
      <w:rPr>
        <w:rFonts w:ascii="Arabic Typesetting" w:hAnsi="Arabic Typesetting" w:cs="Arabic Typesetting"/>
        <w:sz w:val="30"/>
        <w:szCs w:val="30"/>
        <w:lang w:val="fr-CH"/>
      </w:rPr>
    </w:pPr>
  </w:p>
  <w:p w:rsidR="00AA5889" w:rsidRPr="00A67728" w:rsidRDefault="00AA5889" w:rsidP="008E2B10">
    <w:pPr>
      <w:pStyle w:val="Header"/>
      <w:tabs>
        <w:tab w:val="clear" w:pos="4153"/>
        <w:tab w:val="clear" w:pos="8306"/>
      </w:tabs>
      <w:spacing w:line="280" w:lineRule="exact"/>
      <w:rPr>
        <w:rFonts w:ascii="Arabic Typesetting" w:hAnsi="Arabic Typesetting" w:cs="Arabic Typesetting"/>
        <w:sz w:val="30"/>
        <w:szCs w:val="30"/>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Pr="00A67728" w:rsidRDefault="00AA5889" w:rsidP="00AB66E2">
    <w:pPr>
      <w:pStyle w:val="Header"/>
      <w:tabs>
        <w:tab w:val="clear" w:pos="4153"/>
        <w:tab w:val="clear" w:pos="8306"/>
      </w:tabs>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2016/17</w:t>
    </w:r>
  </w:p>
  <w:p w:rsidR="00AA5889" w:rsidRPr="00A67728" w:rsidRDefault="00AA5889" w:rsidP="00AB66E2">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AA5889" w:rsidRPr="00A67728" w:rsidRDefault="00AA5889" w:rsidP="00AB66E2">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D937D7">
    <w:pPr>
      <w:pStyle w:val="Header"/>
      <w:tabs>
        <w:tab w:val="clear" w:pos="4153"/>
        <w:tab w:val="clear" w:pos="8306"/>
      </w:tabs>
      <w:spacing w:line="28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rPr>
      <w:t>اقتراح البرنامج والميزانية للثنائية 2016/17</w:t>
    </w:r>
  </w:p>
  <w:p w:rsidR="00AA5889" w:rsidRDefault="00AA5889" w:rsidP="007D4092">
    <w:pPr>
      <w:pStyle w:val="Header"/>
      <w:tabs>
        <w:tab w:val="clear" w:pos="4153"/>
        <w:tab w:val="clear" w:pos="8306"/>
      </w:tabs>
      <w:spacing w:line="280" w:lineRule="exact"/>
      <w:rPr>
        <w:rFonts w:ascii="Arabic Typesetting" w:hAnsi="Arabic Typesetting" w:cs="Arabic Typesetting"/>
        <w:b/>
        <w:bCs/>
        <w:sz w:val="30"/>
        <w:szCs w:val="30"/>
        <w:rtl/>
      </w:rPr>
    </w:pPr>
  </w:p>
  <w:p w:rsidR="00AA5889" w:rsidRPr="00A67728" w:rsidRDefault="00AA5889" w:rsidP="007D4092">
    <w:pPr>
      <w:pStyle w:val="Header"/>
      <w:tabs>
        <w:tab w:val="clear" w:pos="4153"/>
        <w:tab w:val="clear" w:pos="8306"/>
      </w:tabs>
      <w:spacing w:line="280" w:lineRule="exact"/>
      <w:rPr>
        <w:rFonts w:ascii="Arabic Typesetting" w:hAnsi="Arabic Typesetting" w:cs="Arabic Typesetting"/>
        <w:b/>
        <w:bCs/>
        <w:sz w:val="30"/>
        <w:szCs w:val="3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89" w:rsidRDefault="00AA5889" w:rsidP="00D937D7">
    <w:pPr>
      <w:pStyle w:val="Header"/>
      <w:tabs>
        <w:tab w:val="clear" w:pos="4153"/>
        <w:tab w:val="clear" w:pos="8306"/>
      </w:tabs>
      <w:spacing w:line="28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rPr>
      <w:t>اقتراح البرنامج والميزانية للثنائية 2016/17</w:t>
    </w:r>
  </w:p>
  <w:p w:rsidR="00AA5889" w:rsidRDefault="00AA5889" w:rsidP="007D4092">
    <w:pPr>
      <w:pStyle w:val="Header"/>
      <w:tabs>
        <w:tab w:val="clear" w:pos="4153"/>
        <w:tab w:val="clear" w:pos="8306"/>
      </w:tabs>
      <w:spacing w:line="280" w:lineRule="exact"/>
      <w:rPr>
        <w:rFonts w:ascii="Arabic Typesetting" w:hAnsi="Arabic Typesetting" w:cs="Arabic Typesetting"/>
        <w:b/>
        <w:bCs/>
        <w:sz w:val="30"/>
        <w:szCs w:val="30"/>
        <w:rtl/>
      </w:rPr>
    </w:pPr>
  </w:p>
  <w:p w:rsidR="00AA5889" w:rsidRPr="00A67728" w:rsidRDefault="00AA5889" w:rsidP="007D4092">
    <w:pPr>
      <w:pStyle w:val="Header"/>
      <w:tabs>
        <w:tab w:val="clear" w:pos="4153"/>
        <w:tab w:val="clear" w:pos="8306"/>
      </w:tabs>
      <w:spacing w:line="280" w:lineRule="exact"/>
      <w:rPr>
        <w:rFonts w:ascii="Arabic Typesetting" w:hAnsi="Arabic Typesetting" w:cs="Arabic Typesetting"/>
        <w:b/>
        <w:bCs/>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355"/>
    <w:multiLevelType w:val="hybridMultilevel"/>
    <w:tmpl w:val="5FB40926"/>
    <w:lvl w:ilvl="0" w:tplc="DED4EAD4">
      <w:start w:val="1"/>
      <w:numFmt w:val="decimal"/>
      <w:lvlText w:val="%1.28."/>
      <w:lvlJc w:val="left"/>
      <w:pPr>
        <w:tabs>
          <w:tab w:val="num" w:pos="680"/>
        </w:tabs>
      </w:pPr>
      <w:rPr>
        <w:rFonts w:ascii="Arabic Typesetting" w:hAnsi="Arabic Typesetting" w:cs="Arabic Typesetting" w:hint="default"/>
        <w:b w:val="0"/>
        <w:bCs w:val="0"/>
        <w:i w:val="0"/>
        <w:iCs w:val="0"/>
        <w:sz w:val="34"/>
        <w:szCs w:val="34"/>
        <w:lang w:bidi="ar-EG"/>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25F134F"/>
    <w:multiLevelType w:val="hybridMultilevel"/>
    <w:tmpl w:val="129EA4A8"/>
    <w:lvl w:ilvl="0" w:tplc="FE443442">
      <w:start w:val="1"/>
      <w:numFmt w:val="decimal"/>
      <w:lvlRestart w:val="0"/>
      <w:lvlText w:val="%1.10."/>
      <w:lvlJc w:val="left"/>
      <w:pPr>
        <w:tabs>
          <w:tab w:val="num" w:pos="683"/>
        </w:tabs>
        <w:ind w:left="429"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AE7EB9"/>
    <w:multiLevelType w:val="hybridMultilevel"/>
    <w:tmpl w:val="AB78A68C"/>
    <w:lvl w:ilvl="0" w:tplc="C28E6B1E">
      <w:start w:val="1"/>
      <w:numFmt w:val="bullet"/>
      <w:lvlText w:val=""/>
      <w:lvlJc w:val="left"/>
      <w:pPr>
        <w:ind w:left="720" w:hanging="360"/>
      </w:pPr>
      <w:rPr>
        <w:rFonts w:ascii="Symbol" w:hAnsi="Symbol" w:hint="default"/>
        <w:sz w:val="24"/>
        <w:szCs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04887BA0"/>
    <w:multiLevelType w:val="hybridMultilevel"/>
    <w:tmpl w:val="7B18EE76"/>
    <w:lvl w:ilvl="0" w:tplc="D7427B60">
      <w:start w:val="1"/>
      <w:numFmt w:val="bullet"/>
      <w:lvlText w:val=""/>
      <w:lvlJc w:val="left"/>
      <w:pPr>
        <w:ind w:left="720" w:hanging="360"/>
      </w:pPr>
      <w:rPr>
        <w:rFonts w:ascii="Symbol" w:hAnsi="Symbol" w:hint="default"/>
        <w:sz w:val="24"/>
        <w:szCs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04893ADE"/>
    <w:multiLevelType w:val="hybridMultilevel"/>
    <w:tmpl w:val="EC8E8CD4"/>
    <w:lvl w:ilvl="0" w:tplc="DA989544">
      <w:start w:val="1"/>
      <w:numFmt w:val="decimal"/>
      <w:pStyle w:val="ONUMFS"/>
      <w:lvlText w:val="%1.11."/>
      <w:lvlJc w:val="left"/>
      <w:pPr>
        <w:tabs>
          <w:tab w:val="num" w:pos="967"/>
        </w:tabs>
      </w:pPr>
      <w:rPr>
        <w:rFonts w:ascii="Arabic Typesetting" w:hAnsi="Arabic Typesetting" w:cs="Arabic Typesetting" w:hint="default"/>
        <w:i w:val="0"/>
        <w:iCs w:val="0"/>
        <w:sz w:val="34"/>
        <w:szCs w:val="3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A225DA3"/>
    <w:multiLevelType w:val="hybridMultilevel"/>
    <w:tmpl w:val="BB0C4992"/>
    <w:lvl w:ilvl="0" w:tplc="FFC8349C">
      <w:start w:val="1"/>
      <w:numFmt w:val="decimal"/>
      <w:lvlText w:val="%1.32."/>
      <w:lvlJc w:val="left"/>
      <w:pPr>
        <w:tabs>
          <w:tab w:val="num" w:pos="680"/>
        </w:tabs>
      </w:pPr>
      <w:rPr>
        <w:rFonts w:ascii="Arabic Typesetting" w:hAnsi="Arabic Typesetting" w:cs="Arabic Typesetting" w:hint="default"/>
        <w:sz w:val="34"/>
        <w:szCs w:val="3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0DA1047E"/>
    <w:multiLevelType w:val="hybridMultilevel"/>
    <w:tmpl w:val="899C90E4"/>
    <w:lvl w:ilvl="0" w:tplc="6694DC36">
      <w:start w:val="1"/>
      <w:numFmt w:val="decimal"/>
      <w:lvlText w:val="%1.2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CC662A"/>
    <w:multiLevelType w:val="hybridMultilevel"/>
    <w:tmpl w:val="BA526BAC"/>
    <w:lvl w:ilvl="0" w:tplc="34DC35CE">
      <w:start w:val="1"/>
      <w:numFmt w:val="bullet"/>
      <w:lvlText w:val=""/>
      <w:lvlJc w:val="left"/>
      <w:pPr>
        <w:ind w:left="720" w:hanging="360"/>
      </w:pPr>
      <w:rPr>
        <w:rFonts w:ascii="Symbol" w:hAnsi="Symbol" w:hint="default"/>
        <w:sz w:val="24"/>
        <w:szCs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nsid w:val="0FE917A2"/>
    <w:multiLevelType w:val="hybridMultilevel"/>
    <w:tmpl w:val="9D44B2B0"/>
    <w:lvl w:ilvl="0" w:tplc="A6C08E84">
      <w:start w:val="13"/>
      <w:numFmt w:val="bullet"/>
      <w:lvlText w:val="-"/>
      <w:lvlJc w:val="left"/>
      <w:pPr>
        <w:ind w:left="720" w:hanging="360"/>
      </w:pPr>
      <w:rPr>
        <w:rFonts w:ascii="Arial" w:eastAsia="Times New Roman" w:hAnsi="Arial" w:hint="default"/>
        <w:lang w:val="en-S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482D33"/>
    <w:multiLevelType w:val="hybridMultilevel"/>
    <w:tmpl w:val="3E665954"/>
    <w:lvl w:ilvl="0" w:tplc="5DC8587C">
      <w:start w:val="1"/>
      <w:numFmt w:val="bullet"/>
      <w:lvlText w:val=""/>
      <w:lvlJc w:val="left"/>
      <w:pPr>
        <w:ind w:left="1285" w:hanging="360"/>
      </w:pPr>
      <w:rPr>
        <w:rFonts w:ascii="Symbol" w:hAnsi="Symbol" w:hint="default"/>
        <w:sz w:val="20"/>
        <w:szCs w:val="20"/>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0">
    <w:nsid w:val="11547780"/>
    <w:multiLevelType w:val="hybridMultilevel"/>
    <w:tmpl w:val="1D0477DE"/>
    <w:lvl w:ilvl="0" w:tplc="EEC8ED24">
      <w:start w:val="1"/>
      <w:numFmt w:val="decimal"/>
      <w:lvlText w:val="%1.21."/>
      <w:lvlJc w:val="left"/>
      <w:pPr>
        <w:tabs>
          <w:tab w:val="num" w:pos="680"/>
        </w:tabs>
      </w:pPr>
      <w:rPr>
        <w:rFonts w:ascii="Arabic Typesetting" w:hAnsi="Arabic Typesetting" w:cs="Arabic Typesetting" w:hint="default"/>
        <w:b w:val="0"/>
        <w:bCs w:val="0"/>
        <w:i w:val="0"/>
        <w:iCs w:val="0"/>
        <w:sz w:val="34"/>
        <w:szCs w:val="34"/>
        <w:lang w:bidi="ar-EG"/>
      </w:rPr>
    </w:lvl>
    <w:lvl w:ilvl="1" w:tplc="87B6F5D8">
      <w:start w:val="1"/>
      <w:numFmt w:val="decimal"/>
      <w:lvlText w:val="(%2)"/>
      <w:lvlJc w:val="left"/>
      <w:pPr>
        <w:tabs>
          <w:tab w:val="num" w:pos="1250"/>
        </w:tabs>
        <w:ind w:left="1080"/>
      </w:pPr>
      <w:rPr>
        <w:rFonts w:hint="default"/>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12E33B21"/>
    <w:multiLevelType w:val="hybridMultilevel"/>
    <w:tmpl w:val="3998CA84"/>
    <w:lvl w:ilvl="0" w:tplc="119AB34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0430B6"/>
    <w:multiLevelType w:val="hybridMultilevel"/>
    <w:tmpl w:val="0938E8A2"/>
    <w:lvl w:ilvl="0" w:tplc="5714FFB4">
      <w:start w:val="1"/>
      <w:numFmt w:val="decimal"/>
      <w:lvlText w:val="%1.30."/>
      <w:lvlJc w:val="left"/>
      <w:pPr>
        <w:tabs>
          <w:tab w:val="num" w:pos="682"/>
        </w:tabs>
        <w:ind w:left="-1" w:firstLine="0"/>
      </w:pPr>
      <w:rPr>
        <w:rFonts w:ascii="Arabic Typesetting" w:hAnsi="Arabic Typesetting" w:cs="Arabic Typesetting" w:hint="default"/>
        <w:i w:val="0"/>
        <w:iCs w:val="0"/>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4E4272"/>
    <w:multiLevelType w:val="hybridMultilevel"/>
    <w:tmpl w:val="6680D380"/>
    <w:lvl w:ilvl="0" w:tplc="80189F0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8B5A9C"/>
    <w:multiLevelType w:val="multilevel"/>
    <w:tmpl w:val="B7583D98"/>
    <w:lvl w:ilvl="0">
      <w:start w:val="1"/>
      <w:numFmt w:val="decimal"/>
      <w:pStyle w:val="ONUME"/>
      <w:lvlText w:val="%1."/>
      <w:lvlJc w:val="left"/>
      <w:pPr>
        <w:tabs>
          <w:tab w:val="num" w:pos="567"/>
        </w:tabs>
      </w:pPr>
      <w:rPr>
        <w:rFonts w:cs="Times New Roman" w:hint="default"/>
        <w:b w:val="0"/>
        <w:bCs/>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b w:val="0"/>
        <w:bCs/>
        <w:i w:val="0"/>
        <w:iCs/>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5">
    <w:nsid w:val="188433DC"/>
    <w:multiLevelType w:val="hybridMultilevel"/>
    <w:tmpl w:val="49A6CB1A"/>
    <w:lvl w:ilvl="0" w:tplc="3FA290DA">
      <w:start w:val="1"/>
      <w:numFmt w:val="decimal"/>
      <w:lvlText w:val="%1.3."/>
      <w:lvlJc w:val="left"/>
      <w:pPr>
        <w:ind w:left="720" w:hanging="360"/>
      </w:pPr>
      <w:rPr>
        <w:rFonts w:hint="default"/>
        <w:lang w:val="fr-C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0C4ACD"/>
    <w:multiLevelType w:val="hybridMultilevel"/>
    <w:tmpl w:val="9D0685C6"/>
    <w:lvl w:ilvl="0" w:tplc="4A4EE74C">
      <w:start w:val="1"/>
      <w:numFmt w:val="bullet"/>
      <w:lvlText w:val="-"/>
      <w:lvlJc w:val="left"/>
      <w:pPr>
        <w:ind w:left="1283" w:hanging="360"/>
      </w:pPr>
      <w:rPr>
        <w:rFonts w:ascii="Arabic Typesetting" w:eastAsia="Times New Roman" w:hAnsi="Arabic Typesetting"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17">
    <w:nsid w:val="1C9358C4"/>
    <w:multiLevelType w:val="hybridMultilevel"/>
    <w:tmpl w:val="4530BF50"/>
    <w:lvl w:ilvl="0" w:tplc="028ACE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990ECF"/>
    <w:multiLevelType w:val="hybridMultilevel"/>
    <w:tmpl w:val="2FD8CC54"/>
    <w:lvl w:ilvl="0" w:tplc="52D413C8">
      <w:start w:val="1"/>
      <w:numFmt w:val="decimal"/>
      <w:lvlText w:val="%1.15."/>
      <w:lvlJc w:val="left"/>
      <w:pPr>
        <w:ind w:left="1080" w:hanging="360"/>
      </w:pPr>
      <w:rPr>
        <w:rFonts w:hint="default"/>
        <w:b w:val="0"/>
        <w:bCs w:val="0"/>
        <w:i w:val="0"/>
        <w:iCs w:val="0"/>
        <w:caps w:val="0"/>
        <w:smallCaps w:val="0"/>
        <w:strike w:val="0"/>
        <w:dstrike w:val="0"/>
        <w:vanish w:val="0"/>
        <w:color w:val="000000"/>
        <w:spacing w:val="0"/>
        <w:kern w:val="0"/>
        <w:position w:val="0"/>
        <w:sz w:val="34"/>
        <w:szCs w:val="3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E87973"/>
    <w:multiLevelType w:val="hybridMultilevel"/>
    <w:tmpl w:val="890AB270"/>
    <w:lvl w:ilvl="0" w:tplc="80189F08">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9F606B"/>
    <w:multiLevelType w:val="hybridMultilevel"/>
    <w:tmpl w:val="383A62F2"/>
    <w:lvl w:ilvl="0" w:tplc="4ADE7D12">
      <w:start w:val="1"/>
      <w:numFmt w:val="decimal"/>
      <w:lvlText w:val="%1.24."/>
      <w:lvlJc w:val="left"/>
      <w:pPr>
        <w:tabs>
          <w:tab w:val="num" w:pos="692"/>
        </w:tabs>
        <w:ind w:left="6"/>
      </w:pPr>
      <w:rPr>
        <w:rFonts w:ascii="Arabic Typesetting" w:hAnsi="Arabic Typesetting" w:cs="Arabic Typesetting" w:hint="default"/>
        <w:bCs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27CA1DDD"/>
    <w:multiLevelType w:val="hybridMultilevel"/>
    <w:tmpl w:val="C7E8BC46"/>
    <w:lvl w:ilvl="0" w:tplc="17EAEB06">
      <w:start w:val="1"/>
      <w:numFmt w:val="decimal"/>
      <w:lvlText w:val="%1.25."/>
      <w:lvlJc w:val="left"/>
      <w:pPr>
        <w:tabs>
          <w:tab w:val="num" w:pos="680"/>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280A3731"/>
    <w:multiLevelType w:val="multilevel"/>
    <w:tmpl w:val="B274A70A"/>
    <w:lvl w:ilvl="0">
      <w:start w:val="8"/>
      <w:numFmt w:val="decimal"/>
      <w:lvlText w:val="%1"/>
      <w:lvlJc w:val="left"/>
      <w:pPr>
        <w:tabs>
          <w:tab w:val="num" w:pos="570"/>
        </w:tabs>
        <w:ind w:left="570" w:hanging="570"/>
      </w:pPr>
      <w:rPr>
        <w:rFonts w:hint="default"/>
      </w:rPr>
    </w:lvl>
    <w:lvl w:ilvl="1">
      <w:start w:val="1"/>
      <w:numFmt w:val="decimal"/>
      <w:lvlRestart w:val="0"/>
      <w:lvlText w:val="%2.8."/>
      <w:lvlJc w:val="left"/>
      <w:pPr>
        <w:tabs>
          <w:tab w:val="num" w:pos="680"/>
        </w:tabs>
        <w:ind w:left="0" w:firstLine="0"/>
      </w:pPr>
      <w:rPr>
        <w:rFonts w:ascii="Arabic Typesetting" w:hAnsi="Arabic Typesetting" w:cs="Arabic Typesetting" w:hint="default"/>
        <w:b/>
        <w:bCs w:val="0"/>
        <w:sz w:val="34"/>
        <w:szCs w:val="3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BE23B93"/>
    <w:multiLevelType w:val="hybridMultilevel"/>
    <w:tmpl w:val="2092E820"/>
    <w:lvl w:ilvl="0" w:tplc="677C6B74">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136CF2"/>
    <w:multiLevelType w:val="hybridMultilevel"/>
    <w:tmpl w:val="F1665778"/>
    <w:lvl w:ilvl="0" w:tplc="1EBC68D4">
      <w:start w:val="1"/>
      <w:numFmt w:val="decimal"/>
      <w:lvlText w:val="%1.22."/>
      <w:lvlJc w:val="left"/>
      <w:pPr>
        <w:tabs>
          <w:tab w:val="num" w:pos="692"/>
        </w:tabs>
        <w:ind w:left="6"/>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33E93FDC"/>
    <w:multiLevelType w:val="hybridMultilevel"/>
    <w:tmpl w:val="B0EA976A"/>
    <w:lvl w:ilvl="0" w:tplc="515EE23E">
      <w:start w:val="1"/>
      <w:numFmt w:val="bullet"/>
      <w:lvlText w:val=""/>
      <w:lvlJc w:val="left"/>
      <w:pPr>
        <w:ind w:left="720" w:hanging="360"/>
      </w:pPr>
      <w:rPr>
        <w:rFonts w:ascii="Symbol" w:hAnsi="Symbol" w:hint="default"/>
        <w:sz w:val="22"/>
        <w:szCs w:val="22"/>
      </w:rPr>
    </w:lvl>
    <w:lvl w:ilvl="1" w:tplc="CBE48860">
      <w:start w:val="315"/>
      <w:numFmt w:val="bullet"/>
      <w:lvlText w:val=""/>
      <w:lvlJc w:val="left"/>
      <w:pPr>
        <w:ind w:left="1440" w:hanging="360"/>
      </w:pPr>
      <w:rPr>
        <w:rFonts w:ascii="Symbol" w:eastAsia="Times New Roman" w:hAnsi="Symbol" w:cs="Times New Roman" w:hint="default"/>
        <w:color w:val="00000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CF35C5"/>
    <w:multiLevelType w:val="hybridMultilevel"/>
    <w:tmpl w:val="767C0484"/>
    <w:lvl w:ilvl="0" w:tplc="F87EC2F2">
      <w:start w:val="1"/>
      <w:numFmt w:val="decimal"/>
      <w:lvlText w:val="%1.6."/>
      <w:lvlJc w:val="left"/>
      <w:pPr>
        <w:tabs>
          <w:tab w:val="num" w:pos="680"/>
        </w:tabs>
      </w:pPr>
      <w:rPr>
        <w:rFonts w:ascii="Arabic Typesetting" w:hAnsi="Arabic Typesetting" w:cs="Arabic Typesetting" w:hint="default"/>
        <w:sz w:val="34"/>
        <w:szCs w:val="3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3567624"/>
    <w:multiLevelType w:val="hybridMultilevel"/>
    <w:tmpl w:val="8A0A4854"/>
    <w:lvl w:ilvl="0" w:tplc="E3F23FFE">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437768"/>
    <w:multiLevelType w:val="hybridMultilevel"/>
    <w:tmpl w:val="57EC7626"/>
    <w:lvl w:ilvl="0" w:tplc="CB0C23D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4EC51BC"/>
    <w:multiLevelType w:val="hybridMultilevel"/>
    <w:tmpl w:val="9F340874"/>
    <w:lvl w:ilvl="0" w:tplc="FD3479CA">
      <w:start w:val="1"/>
      <w:numFmt w:val="decimal"/>
      <w:lvlText w:val="%1.26."/>
      <w:lvlJc w:val="left"/>
      <w:pPr>
        <w:tabs>
          <w:tab w:val="num" w:pos="680"/>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4AE56928"/>
    <w:multiLevelType w:val="hybridMultilevel"/>
    <w:tmpl w:val="C8285B3A"/>
    <w:lvl w:ilvl="0" w:tplc="034CE3B8">
      <w:start w:val="1"/>
      <w:numFmt w:val="arabicAbjad"/>
      <w:lvlText w:val="(%1)"/>
      <w:lvlJc w:val="left"/>
      <w:pPr>
        <w:ind w:left="928" w:hanging="360"/>
      </w:pPr>
      <w:rPr>
        <w:rFonts w:hint="default"/>
        <w:lang w:val="fr-CH"/>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nsid w:val="4D381E2C"/>
    <w:multiLevelType w:val="hybridMultilevel"/>
    <w:tmpl w:val="77987378"/>
    <w:lvl w:ilvl="0" w:tplc="84261EB6">
      <w:start w:val="1"/>
      <w:numFmt w:val="decimal"/>
      <w:lvlText w:val="%1.27."/>
      <w:lvlJc w:val="left"/>
      <w:pPr>
        <w:tabs>
          <w:tab w:val="num" w:pos="680"/>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51C41104"/>
    <w:multiLevelType w:val="hybridMultilevel"/>
    <w:tmpl w:val="74229C94"/>
    <w:lvl w:ilvl="0" w:tplc="55BCA152">
      <w:start w:val="1"/>
      <w:numFmt w:val="decimal"/>
      <w:lvlText w:val="%1.5."/>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035DF8"/>
    <w:multiLevelType w:val="hybridMultilevel"/>
    <w:tmpl w:val="7EE6B996"/>
    <w:lvl w:ilvl="0" w:tplc="3A960142">
      <w:start w:val="1"/>
      <w:numFmt w:val="decimal"/>
      <w:lvlText w:val="%1.19."/>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BE737C"/>
    <w:multiLevelType w:val="hybridMultilevel"/>
    <w:tmpl w:val="E534C0FA"/>
    <w:lvl w:ilvl="0" w:tplc="D6A4F666">
      <w:start w:val="1"/>
      <w:numFmt w:val="decimal"/>
      <w:lvlText w:val="%1.18."/>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B4036F"/>
    <w:multiLevelType w:val="hybridMultilevel"/>
    <w:tmpl w:val="16E0D496"/>
    <w:lvl w:ilvl="0" w:tplc="0D0A8F34">
      <w:start w:val="1"/>
      <w:numFmt w:val="decimal"/>
      <w:lvlText w:val="%1.23."/>
      <w:lvlJc w:val="left"/>
      <w:pPr>
        <w:tabs>
          <w:tab w:val="num" w:pos="683"/>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57EA66C9"/>
    <w:multiLevelType w:val="hybridMultilevel"/>
    <w:tmpl w:val="BD04B556"/>
    <w:lvl w:ilvl="0" w:tplc="C60C5622">
      <w:start w:val="1"/>
      <w:numFmt w:val="decimal"/>
      <w:lvlText w:val="%1.17."/>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8905BC8"/>
    <w:multiLevelType w:val="hybridMultilevel"/>
    <w:tmpl w:val="F41A2BD0"/>
    <w:lvl w:ilvl="0" w:tplc="555AE0CE">
      <w:start w:val="1"/>
      <w:numFmt w:val="decimal"/>
      <w:lvlRestart w:val="0"/>
      <w:lvlText w:val="%1.9."/>
      <w:lvlJc w:val="left"/>
      <w:pPr>
        <w:tabs>
          <w:tab w:val="num" w:pos="680"/>
        </w:tabs>
        <w:ind w:left="426" w:firstLine="0"/>
      </w:pPr>
      <w:rPr>
        <w:rFonts w:ascii="Arabic Typesetting" w:hAnsi="Arabic Typesetting" w:cs="Arabic Typesetting" w:hint="default"/>
        <w:sz w:val="34"/>
        <w:szCs w:val="34"/>
        <w:lang w:val="de-C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93462FE"/>
    <w:multiLevelType w:val="hybridMultilevel"/>
    <w:tmpl w:val="CB1EE990"/>
    <w:lvl w:ilvl="0" w:tplc="A6C08E84">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342860"/>
    <w:multiLevelType w:val="hybridMultilevel"/>
    <w:tmpl w:val="98F464D2"/>
    <w:lvl w:ilvl="0" w:tplc="51185FBE">
      <w:start w:val="1"/>
      <w:numFmt w:val="decimal"/>
      <w:pStyle w:val="ListNumber"/>
      <w:lvlText w:val="1.%1."/>
      <w:lvlJc w:val="left"/>
      <w:pPr>
        <w:tabs>
          <w:tab w:val="num" w:pos="567"/>
        </w:tabs>
      </w:pPr>
      <w:rPr>
        <w:rFonts w:ascii="Arial" w:hAnsi="Arial" w:cs="Arial"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5E472367"/>
    <w:multiLevelType w:val="hybridMultilevel"/>
    <w:tmpl w:val="F06A9B50"/>
    <w:lvl w:ilvl="0" w:tplc="DE82A5E2">
      <w:start w:val="1"/>
      <w:numFmt w:val="bullet"/>
      <w:lvlText w:val=""/>
      <w:lvlJc w:val="left"/>
      <w:pPr>
        <w:ind w:left="720" w:hanging="360"/>
      </w:pPr>
      <w:rPr>
        <w:rFonts w:ascii="Symbol" w:hAnsi="Symbol" w:hint="default"/>
        <w:sz w:val="24"/>
        <w:szCs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nsid w:val="60EA4D48"/>
    <w:multiLevelType w:val="hybridMultilevel"/>
    <w:tmpl w:val="F9DC18EA"/>
    <w:lvl w:ilvl="0" w:tplc="A6D85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6C1E57"/>
    <w:multiLevelType w:val="hybridMultilevel"/>
    <w:tmpl w:val="A0264332"/>
    <w:lvl w:ilvl="0" w:tplc="29BA28A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79629FB"/>
    <w:multiLevelType w:val="hybridMultilevel"/>
    <w:tmpl w:val="B7108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34598E"/>
    <w:multiLevelType w:val="hybridMultilevel"/>
    <w:tmpl w:val="930CDEC0"/>
    <w:lvl w:ilvl="0" w:tplc="2794AF36">
      <w:start w:val="1"/>
      <w:numFmt w:val="decimal"/>
      <w:lvlText w:val="%1.16."/>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6E004E1A"/>
    <w:multiLevelType w:val="hybridMultilevel"/>
    <w:tmpl w:val="E6D898D2"/>
    <w:lvl w:ilvl="0" w:tplc="B59CD640">
      <w:start w:val="1"/>
      <w:numFmt w:val="decimal"/>
      <w:pStyle w:val="ARNumbered11"/>
      <w:lvlText w:val="%1.14"/>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EFB57BE"/>
    <w:multiLevelType w:val="hybridMultilevel"/>
    <w:tmpl w:val="A60EF8D4"/>
    <w:lvl w:ilvl="0" w:tplc="B3EC0D2E">
      <w:start w:val="315"/>
      <w:numFmt w:val="bullet"/>
      <w:lvlText w:val=""/>
      <w:lvlJc w:val="left"/>
      <w:pPr>
        <w:tabs>
          <w:tab w:val="num" w:pos="567"/>
        </w:tabs>
        <w:ind w:left="737" w:hanging="170"/>
      </w:pPr>
      <w:rPr>
        <w:rFonts w:ascii="Symbol" w:eastAsia="Times New Roman" w:hAnsi="Symbol" w:hint="default"/>
        <w:color w:val="000000"/>
        <w:sz w:val="22"/>
      </w:rPr>
    </w:lvl>
    <w:lvl w:ilvl="1" w:tplc="04090019" w:tentative="1">
      <w:start w:val="1"/>
      <w:numFmt w:val="bullet"/>
      <w:lvlText w:val=""/>
      <w:lvlJc w:val="left"/>
      <w:pPr>
        <w:tabs>
          <w:tab w:val="num" w:pos="1407"/>
        </w:tabs>
        <w:ind w:left="1407" w:hanging="420"/>
      </w:pPr>
      <w:rPr>
        <w:rFonts w:ascii="Wingdings" w:hAnsi="Wingdings" w:hint="default"/>
      </w:rPr>
    </w:lvl>
    <w:lvl w:ilvl="2" w:tplc="0409001B" w:tentative="1">
      <w:start w:val="1"/>
      <w:numFmt w:val="bullet"/>
      <w:lvlText w:val=""/>
      <w:lvlJc w:val="left"/>
      <w:pPr>
        <w:tabs>
          <w:tab w:val="num" w:pos="1827"/>
        </w:tabs>
        <w:ind w:left="1827" w:hanging="420"/>
      </w:pPr>
      <w:rPr>
        <w:rFonts w:ascii="Wingdings" w:hAnsi="Wingdings" w:hint="default"/>
      </w:rPr>
    </w:lvl>
    <w:lvl w:ilvl="3" w:tplc="0409000F" w:tentative="1">
      <w:start w:val="1"/>
      <w:numFmt w:val="bullet"/>
      <w:lvlText w:val=""/>
      <w:lvlJc w:val="left"/>
      <w:pPr>
        <w:tabs>
          <w:tab w:val="num" w:pos="2247"/>
        </w:tabs>
        <w:ind w:left="2247" w:hanging="420"/>
      </w:pPr>
      <w:rPr>
        <w:rFonts w:ascii="Wingdings" w:hAnsi="Wingdings" w:hint="default"/>
      </w:rPr>
    </w:lvl>
    <w:lvl w:ilvl="4" w:tplc="04090019" w:tentative="1">
      <w:start w:val="1"/>
      <w:numFmt w:val="bullet"/>
      <w:lvlText w:val=""/>
      <w:lvlJc w:val="left"/>
      <w:pPr>
        <w:tabs>
          <w:tab w:val="num" w:pos="2667"/>
        </w:tabs>
        <w:ind w:left="2667" w:hanging="420"/>
      </w:pPr>
      <w:rPr>
        <w:rFonts w:ascii="Wingdings" w:hAnsi="Wingdings" w:hint="default"/>
      </w:rPr>
    </w:lvl>
    <w:lvl w:ilvl="5" w:tplc="0409001B" w:tentative="1">
      <w:start w:val="1"/>
      <w:numFmt w:val="bullet"/>
      <w:lvlText w:val=""/>
      <w:lvlJc w:val="left"/>
      <w:pPr>
        <w:tabs>
          <w:tab w:val="num" w:pos="3087"/>
        </w:tabs>
        <w:ind w:left="3087" w:hanging="420"/>
      </w:pPr>
      <w:rPr>
        <w:rFonts w:ascii="Wingdings" w:hAnsi="Wingdings" w:hint="default"/>
      </w:rPr>
    </w:lvl>
    <w:lvl w:ilvl="6" w:tplc="0409000F" w:tentative="1">
      <w:start w:val="1"/>
      <w:numFmt w:val="bullet"/>
      <w:lvlText w:val=""/>
      <w:lvlJc w:val="left"/>
      <w:pPr>
        <w:tabs>
          <w:tab w:val="num" w:pos="3507"/>
        </w:tabs>
        <w:ind w:left="3507" w:hanging="420"/>
      </w:pPr>
      <w:rPr>
        <w:rFonts w:ascii="Wingdings" w:hAnsi="Wingdings" w:hint="default"/>
      </w:rPr>
    </w:lvl>
    <w:lvl w:ilvl="7" w:tplc="04090019" w:tentative="1">
      <w:start w:val="1"/>
      <w:numFmt w:val="bullet"/>
      <w:lvlText w:val=""/>
      <w:lvlJc w:val="left"/>
      <w:pPr>
        <w:tabs>
          <w:tab w:val="num" w:pos="3927"/>
        </w:tabs>
        <w:ind w:left="3927" w:hanging="420"/>
      </w:pPr>
      <w:rPr>
        <w:rFonts w:ascii="Wingdings" w:hAnsi="Wingdings" w:hint="default"/>
      </w:rPr>
    </w:lvl>
    <w:lvl w:ilvl="8" w:tplc="0409001B" w:tentative="1">
      <w:start w:val="1"/>
      <w:numFmt w:val="bullet"/>
      <w:lvlText w:val=""/>
      <w:lvlJc w:val="left"/>
      <w:pPr>
        <w:tabs>
          <w:tab w:val="num" w:pos="4347"/>
        </w:tabs>
        <w:ind w:left="4347" w:hanging="420"/>
      </w:pPr>
      <w:rPr>
        <w:rFonts w:ascii="Wingdings" w:hAnsi="Wingdings" w:hint="default"/>
      </w:rPr>
    </w:lvl>
  </w:abstractNum>
  <w:abstractNum w:abstractNumId="47">
    <w:nsid w:val="6FE612FE"/>
    <w:multiLevelType w:val="hybridMultilevel"/>
    <w:tmpl w:val="D4624230"/>
    <w:lvl w:ilvl="0" w:tplc="E1287274">
      <w:start w:val="1"/>
      <w:numFmt w:val="decimal"/>
      <w:lvlText w:val="%1."/>
      <w:lvlJc w:val="left"/>
      <w:pPr>
        <w:tabs>
          <w:tab w:val="num" w:pos="567"/>
        </w:tabs>
        <w:ind w:left="0" w:firstLine="0"/>
      </w:pPr>
      <w:rPr>
        <w:rFonts w:hint="default"/>
      </w:rPr>
    </w:lvl>
    <w:lvl w:ilvl="1" w:tplc="5286338A">
      <w:start w:val="1"/>
      <w:numFmt w:val="bullet"/>
      <w:lvlText w:val=""/>
      <w:lvlJc w:val="left"/>
      <w:pPr>
        <w:tabs>
          <w:tab w:val="num" w:pos="927"/>
        </w:tabs>
        <w:ind w:left="927" w:hanging="360"/>
      </w:pPr>
      <w:rPr>
        <w:rFonts w:ascii="Wingdings" w:hAnsi="Wingdings" w:hint="default"/>
        <w:sz w:val="16"/>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1895AD8"/>
    <w:multiLevelType w:val="hybridMultilevel"/>
    <w:tmpl w:val="22346D38"/>
    <w:lvl w:ilvl="0" w:tplc="0BD8AAA6">
      <w:start w:val="1"/>
      <w:numFmt w:val="decimal"/>
      <w:lvlText w:val="%1.13."/>
      <w:lvlJc w:val="left"/>
      <w:pPr>
        <w:ind w:left="144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3D62589"/>
    <w:multiLevelType w:val="hybridMultilevel"/>
    <w:tmpl w:val="D4543E04"/>
    <w:lvl w:ilvl="0" w:tplc="584CD52E">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3EC7C57"/>
    <w:multiLevelType w:val="hybridMultilevel"/>
    <w:tmpl w:val="BE5C7D8A"/>
    <w:lvl w:ilvl="0" w:tplc="04090001">
      <w:start w:val="1"/>
      <w:numFmt w:val="bullet"/>
      <w:lvlText w:val=""/>
      <w:lvlJc w:val="left"/>
      <w:pPr>
        <w:ind w:left="720" w:hanging="360"/>
      </w:pPr>
      <w:rPr>
        <w:rFonts w:ascii="Symbol" w:hAnsi="Symbo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8A0A6E"/>
    <w:multiLevelType w:val="hybridMultilevel"/>
    <w:tmpl w:val="795AF96E"/>
    <w:lvl w:ilvl="0" w:tplc="55A651CC">
      <w:start w:val="1"/>
      <w:numFmt w:val="decimal"/>
      <w:lvlRestart w:val="0"/>
      <w:lvlText w:val="%1.7."/>
      <w:lvlJc w:val="left"/>
      <w:pPr>
        <w:tabs>
          <w:tab w:val="num" w:pos="680"/>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8831806"/>
    <w:multiLevelType w:val="hybridMultilevel"/>
    <w:tmpl w:val="77243BC6"/>
    <w:lvl w:ilvl="0" w:tplc="95C2BDDC">
      <w:start w:val="1"/>
      <w:numFmt w:val="decimal"/>
      <w:pStyle w:val="ARNumbered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D11FE8"/>
    <w:multiLevelType w:val="hybridMultilevel"/>
    <w:tmpl w:val="E252276C"/>
    <w:lvl w:ilvl="0" w:tplc="2910D4D0">
      <w:start w:val="1"/>
      <w:numFmt w:val="decimal"/>
      <w:lvlText w:val="%1.31."/>
      <w:lvlJc w:val="left"/>
      <w:pPr>
        <w:tabs>
          <w:tab w:val="num" w:pos="680"/>
        </w:tabs>
      </w:pPr>
      <w:rPr>
        <w:rFonts w:ascii="Arabic Typesetting" w:hAnsi="Arabic Typesetting" w:cs="Arabic Typesetting" w:hint="default"/>
        <w:sz w:val="34"/>
        <w:szCs w:val="3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4">
    <w:nsid w:val="7D1F740C"/>
    <w:multiLevelType w:val="hybridMultilevel"/>
    <w:tmpl w:val="DA849008"/>
    <w:lvl w:ilvl="0" w:tplc="4A4EE74C">
      <w:start w:val="1"/>
      <w:numFmt w:val="bullet"/>
      <w:lvlText w:val="-"/>
      <w:lvlJc w:val="left"/>
      <w:pPr>
        <w:tabs>
          <w:tab w:val="num" w:pos="1140"/>
        </w:tabs>
        <w:ind w:left="1140" w:hanging="576"/>
      </w:pPr>
      <w:rPr>
        <w:rFonts w:ascii="Arabic Typesetting" w:eastAsia="Times New Roman" w:hAnsi="Arabic Typesetting" w:hint="default"/>
      </w:rPr>
    </w:lvl>
    <w:lvl w:ilvl="1" w:tplc="04090003" w:tentative="1">
      <w:start w:val="1"/>
      <w:numFmt w:val="bullet"/>
      <w:lvlText w:val="o"/>
      <w:lvlJc w:val="left"/>
      <w:pPr>
        <w:tabs>
          <w:tab w:val="num" w:pos="1644"/>
        </w:tabs>
        <w:ind w:left="1644" w:hanging="360"/>
      </w:pPr>
      <w:rPr>
        <w:rFonts w:ascii="Courier New" w:hAnsi="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num w:numId="1">
    <w:abstractNumId w:val="52"/>
  </w:num>
  <w:num w:numId="2">
    <w:abstractNumId w:val="39"/>
  </w:num>
  <w:num w:numId="3">
    <w:abstractNumId w:val="14"/>
  </w:num>
  <w:num w:numId="4">
    <w:abstractNumId w:val="4"/>
  </w:num>
  <w:num w:numId="5">
    <w:abstractNumId w:val="45"/>
  </w:num>
  <w:num w:numId="6">
    <w:abstractNumId w:val="19"/>
  </w:num>
  <w:num w:numId="7">
    <w:abstractNumId w:val="25"/>
  </w:num>
  <w:num w:numId="8">
    <w:abstractNumId w:val="43"/>
  </w:num>
  <w:num w:numId="9">
    <w:abstractNumId w:val="50"/>
  </w:num>
  <w:num w:numId="10">
    <w:abstractNumId w:val="54"/>
  </w:num>
  <w:num w:numId="11">
    <w:abstractNumId w:val="11"/>
  </w:num>
  <w:num w:numId="12">
    <w:abstractNumId w:val="27"/>
  </w:num>
  <w:num w:numId="13">
    <w:abstractNumId w:val="15"/>
  </w:num>
  <w:num w:numId="14">
    <w:abstractNumId w:val="16"/>
  </w:num>
  <w:num w:numId="15">
    <w:abstractNumId w:val="49"/>
  </w:num>
  <w:num w:numId="16">
    <w:abstractNumId w:val="46"/>
  </w:num>
  <w:num w:numId="17">
    <w:abstractNumId w:val="32"/>
  </w:num>
  <w:num w:numId="18">
    <w:abstractNumId w:val="26"/>
  </w:num>
  <w:num w:numId="19">
    <w:abstractNumId w:val="53"/>
  </w:num>
  <w:num w:numId="20">
    <w:abstractNumId w:val="51"/>
  </w:num>
  <w:num w:numId="21">
    <w:abstractNumId w:val="22"/>
  </w:num>
  <w:num w:numId="22">
    <w:abstractNumId w:val="37"/>
  </w:num>
  <w:num w:numId="23">
    <w:abstractNumId w:val="1"/>
  </w:num>
  <w:num w:numId="24">
    <w:abstractNumId w:val="12"/>
  </w:num>
  <w:num w:numId="25">
    <w:abstractNumId w:val="23"/>
  </w:num>
  <w:num w:numId="26">
    <w:abstractNumId w:val="48"/>
  </w:num>
  <w:num w:numId="27">
    <w:abstractNumId w:val="41"/>
  </w:num>
  <w:num w:numId="28">
    <w:abstractNumId w:val="18"/>
  </w:num>
  <w:num w:numId="29">
    <w:abstractNumId w:val="44"/>
  </w:num>
  <w:num w:numId="30">
    <w:abstractNumId w:val="36"/>
  </w:num>
  <w:num w:numId="31">
    <w:abstractNumId w:val="34"/>
  </w:num>
  <w:num w:numId="32">
    <w:abstractNumId w:val="33"/>
  </w:num>
  <w:num w:numId="33">
    <w:abstractNumId w:val="8"/>
  </w:num>
  <w:num w:numId="34">
    <w:abstractNumId w:val="38"/>
  </w:num>
  <w:num w:numId="35">
    <w:abstractNumId w:val="6"/>
  </w:num>
  <w:num w:numId="36">
    <w:abstractNumId w:val="10"/>
  </w:num>
  <w:num w:numId="37">
    <w:abstractNumId w:val="24"/>
  </w:num>
  <w:num w:numId="38">
    <w:abstractNumId w:val="35"/>
  </w:num>
  <w:num w:numId="39">
    <w:abstractNumId w:val="20"/>
  </w:num>
  <w:num w:numId="40">
    <w:abstractNumId w:val="21"/>
  </w:num>
  <w:num w:numId="41">
    <w:abstractNumId w:val="29"/>
  </w:num>
  <w:num w:numId="42">
    <w:abstractNumId w:val="31"/>
  </w:num>
  <w:num w:numId="43">
    <w:abstractNumId w:val="0"/>
  </w:num>
  <w:num w:numId="44">
    <w:abstractNumId w:val="47"/>
  </w:num>
  <w:num w:numId="45">
    <w:abstractNumId w:val="42"/>
  </w:num>
  <w:num w:numId="46">
    <w:abstractNumId w:val="19"/>
    <w:lvlOverride w:ilvl="0">
      <w:startOverride w:val="1"/>
    </w:lvlOverride>
  </w:num>
  <w:num w:numId="47">
    <w:abstractNumId w:val="19"/>
    <w:lvlOverride w:ilvl="0">
      <w:startOverride w:val="1"/>
    </w:lvlOverride>
  </w:num>
  <w:num w:numId="48">
    <w:abstractNumId w:val="19"/>
    <w:lvlOverride w:ilvl="0">
      <w:startOverride w:val="1"/>
    </w:lvlOverride>
  </w:num>
  <w:num w:numId="49">
    <w:abstractNumId w:val="19"/>
    <w:lvlOverride w:ilvl="0">
      <w:startOverride w:val="1"/>
    </w:lvlOverride>
  </w:num>
  <w:num w:numId="50">
    <w:abstractNumId w:val="17"/>
  </w:num>
  <w:num w:numId="51">
    <w:abstractNumId w:val="7"/>
  </w:num>
  <w:num w:numId="52">
    <w:abstractNumId w:val="3"/>
  </w:num>
  <w:num w:numId="53">
    <w:abstractNumId w:val="2"/>
  </w:num>
  <w:num w:numId="54">
    <w:abstractNumId w:val="40"/>
  </w:num>
  <w:num w:numId="55">
    <w:abstractNumId w:val="28"/>
  </w:num>
  <w:num w:numId="56">
    <w:abstractNumId w:val="13"/>
  </w:num>
  <w:num w:numId="57">
    <w:abstractNumId w:val="9"/>
  </w:num>
  <w:num w:numId="58">
    <w:abstractNumId w:val="52"/>
  </w:num>
  <w:num w:numId="59">
    <w:abstractNumId w:val="52"/>
  </w:num>
  <w:num w:numId="60">
    <w:abstractNumId w:val="30"/>
  </w:num>
  <w:num w:numId="61">
    <w:abstractNumId w:val="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9F9"/>
    <w:rsid w:val="00001BCD"/>
    <w:rsid w:val="00002FD3"/>
    <w:rsid w:val="000047AC"/>
    <w:rsid w:val="00004CDA"/>
    <w:rsid w:val="00004F4F"/>
    <w:rsid w:val="00006315"/>
    <w:rsid w:val="00006AE7"/>
    <w:rsid w:val="00006E77"/>
    <w:rsid w:val="000079BC"/>
    <w:rsid w:val="00007DF9"/>
    <w:rsid w:val="0001203F"/>
    <w:rsid w:val="00012FBC"/>
    <w:rsid w:val="00014AE6"/>
    <w:rsid w:val="00015087"/>
    <w:rsid w:val="000178A6"/>
    <w:rsid w:val="000209DD"/>
    <w:rsid w:val="00021A5C"/>
    <w:rsid w:val="000223FD"/>
    <w:rsid w:val="00023473"/>
    <w:rsid w:val="00023C04"/>
    <w:rsid w:val="0002420D"/>
    <w:rsid w:val="000257C9"/>
    <w:rsid w:val="00025AC0"/>
    <w:rsid w:val="00026028"/>
    <w:rsid w:val="0002706C"/>
    <w:rsid w:val="00030F9C"/>
    <w:rsid w:val="0003148D"/>
    <w:rsid w:val="00032475"/>
    <w:rsid w:val="000332F2"/>
    <w:rsid w:val="00033461"/>
    <w:rsid w:val="0003387E"/>
    <w:rsid w:val="00034B9D"/>
    <w:rsid w:val="00036AB9"/>
    <w:rsid w:val="000377D8"/>
    <w:rsid w:val="0004158B"/>
    <w:rsid w:val="00042445"/>
    <w:rsid w:val="000425E1"/>
    <w:rsid w:val="0004371C"/>
    <w:rsid w:val="00043A19"/>
    <w:rsid w:val="0004404A"/>
    <w:rsid w:val="00045D57"/>
    <w:rsid w:val="00045ECF"/>
    <w:rsid w:val="00045EDC"/>
    <w:rsid w:val="00046BB5"/>
    <w:rsid w:val="00046CA4"/>
    <w:rsid w:val="000476FD"/>
    <w:rsid w:val="00050ABD"/>
    <w:rsid w:val="00050CC5"/>
    <w:rsid w:val="0005110C"/>
    <w:rsid w:val="00051955"/>
    <w:rsid w:val="00051BCA"/>
    <w:rsid w:val="0005250B"/>
    <w:rsid w:val="0005250C"/>
    <w:rsid w:val="0005293F"/>
    <w:rsid w:val="00052C5C"/>
    <w:rsid w:val="000532E7"/>
    <w:rsid w:val="00053394"/>
    <w:rsid w:val="000538A2"/>
    <w:rsid w:val="000541E0"/>
    <w:rsid w:val="00054295"/>
    <w:rsid w:val="0005458B"/>
    <w:rsid w:val="00054B76"/>
    <w:rsid w:val="0005529A"/>
    <w:rsid w:val="00056CAA"/>
    <w:rsid w:val="00056CB0"/>
    <w:rsid w:val="00060540"/>
    <w:rsid w:val="00060709"/>
    <w:rsid w:val="00060CD1"/>
    <w:rsid w:val="00061AEE"/>
    <w:rsid w:val="00062299"/>
    <w:rsid w:val="00065797"/>
    <w:rsid w:val="00065978"/>
    <w:rsid w:val="000700C6"/>
    <w:rsid w:val="00070338"/>
    <w:rsid w:val="00072E5F"/>
    <w:rsid w:val="00073D7A"/>
    <w:rsid w:val="000741A5"/>
    <w:rsid w:val="00075DE9"/>
    <w:rsid w:val="000770CC"/>
    <w:rsid w:val="000773BD"/>
    <w:rsid w:val="00077E00"/>
    <w:rsid w:val="00081148"/>
    <w:rsid w:val="000817F7"/>
    <w:rsid w:val="00082CDD"/>
    <w:rsid w:val="00083B66"/>
    <w:rsid w:val="00083CF9"/>
    <w:rsid w:val="00084420"/>
    <w:rsid w:val="00085F1C"/>
    <w:rsid w:val="000868FC"/>
    <w:rsid w:val="00090862"/>
    <w:rsid w:val="0009382D"/>
    <w:rsid w:val="000944C2"/>
    <w:rsid w:val="0009452F"/>
    <w:rsid w:val="00094D96"/>
    <w:rsid w:val="000950D7"/>
    <w:rsid w:val="000973C6"/>
    <w:rsid w:val="000A289B"/>
    <w:rsid w:val="000A2B43"/>
    <w:rsid w:val="000A3073"/>
    <w:rsid w:val="000A427C"/>
    <w:rsid w:val="000A4900"/>
    <w:rsid w:val="000A4F7B"/>
    <w:rsid w:val="000A517C"/>
    <w:rsid w:val="000B2B69"/>
    <w:rsid w:val="000B340E"/>
    <w:rsid w:val="000B6B4D"/>
    <w:rsid w:val="000C0267"/>
    <w:rsid w:val="000C0793"/>
    <w:rsid w:val="000C1490"/>
    <w:rsid w:val="000C26AE"/>
    <w:rsid w:val="000C6025"/>
    <w:rsid w:val="000C6A63"/>
    <w:rsid w:val="000C7729"/>
    <w:rsid w:val="000C775D"/>
    <w:rsid w:val="000D1437"/>
    <w:rsid w:val="000D17BA"/>
    <w:rsid w:val="000D2788"/>
    <w:rsid w:val="000D283A"/>
    <w:rsid w:val="000D540C"/>
    <w:rsid w:val="000D5BD3"/>
    <w:rsid w:val="000D794F"/>
    <w:rsid w:val="000E03C0"/>
    <w:rsid w:val="000E04FA"/>
    <w:rsid w:val="000E0848"/>
    <w:rsid w:val="000E0A18"/>
    <w:rsid w:val="000E0D42"/>
    <w:rsid w:val="000E1425"/>
    <w:rsid w:val="000E18CB"/>
    <w:rsid w:val="000E1D40"/>
    <w:rsid w:val="000E2DC4"/>
    <w:rsid w:val="000E4383"/>
    <w:rsid w:val="000E4AE2"/>
    <w:rsid w:val="000E4CA4"/>
    <w:rsid w:val="000E5099"/>
    <w:rsid w:val="000E60FF"/>
    <w:rsid w:val="000E6D96"/>
    <w:rsid w:val="000F03C6"/>
    <w:rsid w:val="000F1036"/>
    <w:rsid w:val="000F1A2A"/>
    <w:rsid w:val="000F25A6"/>
    <w:rsid w:val="000F2C39"/>
    <w:rsid w:val="000F3A0A"/>
    <w:rsid w:val="000F3B94"/>
    <w:rsid w:val="000F400E"/>
    <w:rsid w:val="000F69C6"/>
    <w:rsid w:val="000F7A19"/>
    <w:rsid w:val="0010046E"/>
    <w:rsid w:val="00101702"/>
    <w:rsid w:val="0010363A"/>
    <w:rsid w:val="001043BF"/>
    <w:rsid w:val="001045E9"/>
    <w:rsid w:val="00104E47"/>
    <w:rsid w:val="001052C2"/>
    <w:rsid w:val="001057A5"/>
    <w:rsid w:val="00105962"/>
    <w:rsid w:val="00105C68"/>
    <w:rsid w:val="001065B7"/>
    <w:rsid w:val="00106B14"/>
    <w:rsid w:val="00106B40"/>
    <w:rsid w:val="00106FD2"/>
    <w:rsid w:val="00107CCC"/>
    <w:rsid w:val="00110C3F"/>
    <w:rsid w:val="001119EC"/>
    <w:rsid w:val="00111BE5"/>
    <w:rsid w:val="00111E2C"/>
    <w:rsid w:val="00112035"/>
    <w:rsid w:val="00112296"/>
    <w:rsid w:val="001134F2"/>
    <w:rsid w:val="00113D9C"/>
    <w:rsid w:val="00114649"/>
    <w:rsid w:val="001161A4"/>
    <w:rsid w:val="001201FF"/>
    <w:rsid w:val="00120414"/>
    <w:rsid w:val="0012199F"/>
    <w:rsid w:val="00121F2A"/>
    <w:rsid w:val="00122DF2"/>
    <w:rsid w:val="00123A24"/>
    <w:rsid w:val="00123FAF"/>
    <w:rsid w:val="00124250"/>
    <w:rsid w:val="00124851"/>
    <w:rsid w:val="00125640"/>
    <w:rsid w:val="001258BB"/>
    <w:rsid w:val="00126F2A"/>
    <w:rsid w:val="00127AB9"/>
    <w:rsid w:val="0013081E"/>
    <w:rsid w:val="00132588"/>
    <w:rsid w:val="00132F1A"/>
    <w:rsid w:val="00133038"/>
    <w:rsid w:val="0013397E"/>
    <w:rsid w:val="00133B25"/>
    <w:rsid w:val="001357EE"/>
    <w:rsid w:val="00135EF8"/>
    <w:rsid w:val="00136474"/>
    <w:rsid w:val="001364E0"/>
    <w:rsid w:val="00136735"/>
    <w:rsid w:val="0013683C"/>
    <w:rsid w:val="00137298"/>
    <w:rsid w:val="0013780D"/>
    <w:rsid w:val="001404BC"/>
    <w:rsid w:val="00141256"/>
    <w:rsid w:val="0014190C"/>
    <w:rsid w:val="00142DB2"/>
    <w:rsid w:val="0014311B"/>
    <w:rsid w:val="0014345C"/>
    <w:rsid w:val="0014372C"/>
    <w:rsid w:val="00143B06"/>
    <w:rsid w:val="00143FDC"/>
    <w:rsid w:val="00144CAC"/>
    <w:rsid w:val="00147C11"/>
    <w:rsid w:val="00150EAE"/>
    <w:rsid w:val="0015195C"/>
    <w:rsid w:val="001521B5"/>
    <w:rsid w:val="001523AA"/>
    <w:rsid w:val="001523F7"/>
    <w:rsid w:val="00152EDA"/>
    <w:rsid w:val="00153265"/>
    <w:rsid w:val="001571D6"/>
    <w:rsid w:val="001575DA"/>
    <w:rsid w:val="001601CE"/>
    <w:rsid w:val="00161830"/>
    <w:rsid w:val="001653B9"/>
    <w:rsid w:val="001656F4"/>
    <w:rsid w:val="00167376"/>
    <w:rsid w:val="00167828"/>
    <w:rsid w:val="0017014D"/>
    <w:rsid w:val="001709F9"/>
    <w:rsid w:val="00171563"/>
    <w:rsid w:val="0017184F"/>
    <w:rsid w:val="00171909"/>
    <w:rsid w:val="00172002"/>
    <w:rsid w:val="00172B3C"/>
    <w:rsid w:val="00172F5C"/>
    <w:rsid w:val="001734BB"/>
    <w:rsid w:val="0017350B"/>
    <w:rsid w:val="00173758"/>
    <w:rsid w:val="0017393D"/>
    <w:rsid w:val="001741FA"/>
    <w:rsid w:val="001753F3"/>
    <w:rsid w:val="0017565C"/>
    <w:rsid w:val="0018071A"/>
    <w:rsid w:val="0018075A"/>
    <w:rsid w:val="00181440"/>
    <w:rsid w:val="00182C6A"/>
    <w:rsid w:val="001833B5"/>
    <w:rsid w:val="00184008"/>
    <w:rsid w:val="0018472B"/>
    <w:rsid w:val="00185155"/>
    <w:rsid w:val="00185A6A"/>
    <w:rsid w:val="00185B0D"/>
    <w:rsid w:val="00185E43"/>
    <w:rsid w:val="00185E57"/>
    <w:rsid w:val="001866E2"/>
    <w:rsid w:val="00186DA3"/>
    <w:rsid w:val="0018723F"/>
    <w:rsid w:val="00187883"/>
    <w:rsid w:val="00187AF1"/>
    <w:rsid w:val="00190344"/>
    <w:rsid w:val="0019038F"/>
    <w:rsid w:val="001911D7"/>
    <w:rsid w:val="00191A50"/>
    <w:rsid w:val="00192040"/>
    <w:rsid w:val="001923A4"/>
    <w:rsid w:val="00195452"/>
    <w:rsid w:val="00196243"/>
    <w:rsid w:val="00196938"/>
    <w:rsid w:val="00196F70"/>
    <w:rsid w:val="00197862"/>
    <w:rsid w:val="001A08EB"/>
    <w:rsid w:val="001A096A"/>
    <w:rsid w:val="001A0B0F"/>
    <w:rsid w:val="001A0BD0"/>
    <w:rsid w:val="001A2765"/>
    <w:rsid w:val="001A292F"/>
    <w:rsid w:val="001A50E1"/>
    <w:rsid w:val="001A5368"/>
    <w:rsid w:val="001A53F8"/>
    <w:rsid w:val="001A748D"/>
    <w:rsid w:val="001A787F"/>
    <w:rsid w:val="001B13E6"/>
    <w:rsid w:val="001B1596"/>
    <w:rsid w:val="001B4464"/>
    <w:rsid w:val="001B6A86"/>
    <w:rsid w:val="001B7154"/>
    <w:rsid w:val="001B73F9"/>
    <w:rsid w:val="001C026C"/>
    <w:rsid w:val="001C0298"/>
    <w:rsid w:val="001C0DE1"/>
    <w:rsid w:val="001C1C86"/>
    <w:rsid w:val="001C277B"/>
    <w:rsid w:val="001C31BD"/>
    <w:rsid w:val="001C3F87"/>
    <w:rsid w:val="001C58A7"/>
    <w:rsid w:val="001C7DD8"/>
    <w:rsid w:val="001D0CD1"/>
    <w:rsid w:val="001D14C5"/>
    <w:rsid w:val="001D2DB6"/>
    <w:rsid w:val="001D31E5"/>
    <w:rsid w:val="001D3B99"/>
    <w:rsid w:val="001D4892"/>
    <w:rsid w:val="001D55E0"/>
    <w:rsid w:val="001D5912"/>
    <w:rsid w:val="001D61A5"/>
    <w:rsid w:val="001D6275"/>
    <w:rsid w:val="001D70B9"/>
    <w:rsid w:val="001E004B"/>
    <w:rsid w:val="001E13A7"/>
    <w:rsid w:val="001E1F25"/>
    <w:rsid w:val="001E4431"/>
    <w:rsid w:val="001E4D28"/>
    <w:rsid w:val="001E50AA"/>
    <w:rsid w:val="001E532C"/>
    <w:rsid w:val="001E56EC"/>
    <w:rsid w:val="001E57B1"/>
    <w:rsid w:val="001E5D7B"/>
    <w:rsid w:val="001E65B5"/>
    <w:rsid w:val="001E7097"/>
    <w:rsid w:val="001F16DC"/>
    <w:rsid w:val="001F1B3F"/>
    <w:rsid w:val="001F1B82"/>
    <w:rsid w:val="001F32BA"/>
    <w:rsid w:val="001F3B07"/>
    <w:rsid w:val="001F45FB"/>
    <w:rsid w:val="001F52F6"/>
    <w:rsid w:val="001F5B6F"/>
    <w:rsid w:val="001F5FAB"/>
    <w:rsid w:val="001F6789"/>
    <w:rsid w:val="001F6811"/>
    <w:rsid w:val="00200829"/>
    <w:rsid w:val="00201E35"/>
    <w:rsid w:val="00202231"/>
    <w:rsid w:val="00202DEA"/>
    <w:rsid w:val="0020428B"/>
    <w:rsid w:val="00204EF9"/>
    <w:rsid w:val="002069DA"/>
    <w:rsid w:val="00207616"/>
    <w:rsid w:val="002109E5"/>
    <w:rsid w:val="00210B72"/>
    <w:rsid w:val="00211AE7"/>
    <w:rsid w:val="00211F3F"/>
    <w:rsid w:val="00212CB2"/>
    <w:rsid w:val="00212E89"/>
    <w:rsid w:val="00214925"/>
    <w:rsid w:val="00215024"/>
    <w:rsid w:val="00215B60"/>
    <w:rsid w:val="0021605A"/>
    <w:rsid w:val="00217167"/>
    <w:rsid w:val="002179CA"/>
    <w:rsid w:val="00220276"/>
    <w:rsid w:val="00220957"/>
    <w:rsid w:val="00220C8A"/>
    <w:rsid w:val="002228DB"/>
    <w:rsid w:val="00222910"/>
    <w:rsid w:val="002238FB"/>
    <w:rsid w:val="00225037"/>
    <w:rsid w:val="0022612E"/>
    <w:rsid w:val="002272D3"/>
    <w:rsid w:val="00227DE2"/>
    <w:rsid w:val="002311BA"/>
    <w:rsid w:val="002314B9"/>
    <w:rsid w:val="00233323"/>
    <w:rsid w:val="00233C4B"/>
    <w:rsid w:val="00233D66"/>
    <w:rsid w:val="00234BC6"/>
    <w:rsid w:val="00234EC2"/>
    <w:rsid w:val="00236824"/>
    <w:rsid w:val="00236F14"/>
    <w:rsid w:val="00237F1F"/>
    <w:rsid w:val="0024051B"/>
    <w:rsid w:val="0024119D"/>
    <w:rsid w:val="0024154B"/>
    <w:rsid w:val="0024183E"/>
    <w:rsid w:val="00241D4F"/>
    <w:rsid w:val="00241FD3"/>
    <w:rsid w:val="002420AD"/>
    <w:rsid w:val="002420E2"/>
    <w:rsid w:val="00242C9A"/>
    <w:rsid w:val="002442AC"/>
    <w:rsid w:val="0024548B"/>
    <w:rsid w:val="002455BA"/>
    <w:rsid w:val="002455BD"/>
    <w:rsid w:val="002458E3"/>
    <w:rsid w:val="002459CC"/>
    <w:rsid w:val="0024665E"/>
    <w:rsid w:val="002468EB"/>
    <w:rsid w:val="00246B1B"/>
    <w:rsid w:val="002476EF"/>
    <w:rsid w:val="00247D5C"/>
    <w:rsid w:val="002506F8"/>
    <w:rsid w:val="00250F98"/>
    <w:rsid w:val="002516E8"/>
    <w:rsid w:val="002526F1"/>
    <w:rsid w:val="002534C8"/>
    <w:rsid w:val="002549F6"/>
    <w:rsid w:val="00254A9C"/>
    <w:rsid w:val="00255140"/>
    <w:rsid w:val="00255842"/>
    <w:rsid w:val="00255AF2"/>
    <w:rsid w:val="002576D1"/>
    <w:rsid w:val="00260AE4"/>
    <w:rsid w:val="00260D1A"/>
    <w:rsid w:val="00261705"/>
    <w:rsid w:val="002642EF"/>
    <w:rsid w:val="00264759"/>
    <w:rsid w:val="00265860"/>
    <w:rsid w:val="00265981"/>
    <w:rsid w:val="00266427"/>
    <w:rsid w:val="00267E15"/>
    <w:rsid w:val="002708EC"/>
    <w:rsid w:val="00270D7E"/>
    <w:rsid w:val="002712F2"/>
    <w:rsid w:val="0027199B"/>
    <w:rsid w:val="0027650A"/>
    <w:rsid w:val="00276B29"/>
    <w:rsid w:val="002778E2"/>
    <w:rsid w:val="00280265"/>
    <w:rsid w:val="0028098C"/>
    <w:rsid w:val="00281FA2"/>
    <w:rsid w:val="002820D6"/>
    <w:rsid w:val="00282A12"/>
    <w:rsid w:val="0028420D"/>
    <w:rsid w:val="00284AB7"/>
    <w:rsid w:val="0028604D"/>
    <w:rsid w:val="00286B17"/>
    <w:rsid w:val="00290529"/>
    <w:rsid w:val="002918A4"/>
    <w:rsid w:val="0029269C"/>
    <w:rsid w:val="002927D5"/>
    <w:rsid w:val="00293EC7"/>
    <w:rsid w:val="00293F16"/>
    <w:rsid w:val="0029530D"/>
    <w:rsid w:val="00295A2C"/>
    <w:rsid w:val="00295E66"/>
    <w:rsid w:val="00297DCF"/>
    <w:rsid w:val="002A046A"/>
    <w:rsid w:val="002A1786"/>
    <w:rsid w:val="002A1F47"/>
    <w:rsid w:val="002A2213"/>
    <w:rsid w:val="002A5DCD"/>
    <w:rsid w:val="002A6542"/>
    <w:rsid w:val="002A6B07"/>
    <w:rsid w:val="002A7FE5"/>
    <w:rsid w:val="002B263F"/>
    <w:rsid w:val="002B35AE"/>
    <w:rsid w:val="002B3A38"/>
    <w:rsid w:val="002B3A6B"/>
    <w:rsid w:val="002B4CE0"/>
    <w:rsid w:val="002B6031"/>
    <w:rsid w:val="002B6449"/>
    <w:rsid w:val="002B6C56"/>
    <w:rsid w:val="002B7391"/>
    <w:rsid w:val="002B7A82"/>
    <w:rsid w:val="002B7CA6"/>
    <w:rsid w:val="002C01CF"/>
    <w:rsid w:val="002C03B9"/>
    <w:rsid w:val="002C123F"/>
    <w:rsid w:val="002C225B"/>
    <w:rsid w:val="002C2950"/>
    <w:rsid w:val="002C31CF"/>
    <w:rsid w:val="002C3C33"/>
    <w:rsid w:val="002C4B59"/>
    <w:rsid w:val="002C588F"/>
    <w:rsid w:val="002C5EC7"/>
    <w:rsid w:val="002C623C"/>
    <w:rsid w:val="002C764D"/>
    <w:rsid w:val="002C78E8"/>
    <w:rsid w:val="002D021B"/>
    <w:rsid w:val="002D0CBA"/>
    <w:rsid w:val="002D0D3E"/>
    <w:rsid w:val="002D1435"/>
    <w:rsid w:val="002D1520"/>
    <w:rsid w:val="002D2351"/>
    <w:rsid w:val="002D3A1D"/>
    <w:rsid w:val="002D4601"/>
    <w:rsid w:val="002D578B"/>
    <w:rsid w:val="002D5889"/>
    <w:rsid w:val="002D677A"/>
    <w:rsid w:val="002E056A"/>
    <w:rsid w:val="002E2358"/>
    <w:rsid w:val="002E2452"/>
    <w:rsid w:val="002E27E3"/>
    <w:rsid w:val="002E2CDF"/>
    <w:rsid w:val="002E774E"/>
    <w:rsid w:val="002E7A0E"/>
    <w:rsid w:val="002E7CAE"/>
    <w:rsid w:val="002F000F"/>
    <w:rsid w:val="002F4382"/>
    <w:rsid w:val="002F72FF"/>
    <w:rsid w:val="00300BA4"/>
    <w:rsid w:val="00300E5F"/>
    <w:rsid w:val="003026FE"/>
    <w:rsid w:val="00302EBB"/>
    <w:rsid w:val="00303285"/>
    <w:rsid w:val="00304402"/>
    <w:rsid w:val="00304B14"/>
    <w:rsid w:val="00304C94"/>
    <w:rsid w:val="0030536F"/>
    <w:rsid w:val="003063AC"/>
    <w:rsid w:val="00307232"/>
    <w:rsid w:val="0030758F"/>
    <w:rsid w:val="003108C2"/>
    <w:rsid w:val="00310F1E"/>
    <w:rsid w:val="003117FC"/>
    <w:rsid w:val="0031252C"/>
    <w:rsid w:val="003134B1"/>
    <w:rsid w:val="0031375C"/>
    <w:rsid w:val="00314C4C"/>
    <w:rsid w:val="00315B3F"/>
    <w:rsid w:val="00316052"/>
    <w:rsid w:val="00316A12"/>
    <w:rsid w:val="0031789B"/>
    <w:rsid w:val="00317BA3"/>
    <w:rsid w:val="00320663"/>
    <w:rsid w:val="0032139C"/>
    <w:rsid w:val="00322BFB"/>
    <w:rsid w:val="00323931"/>
    <w:rsid w:val="00323A2B"/>
    <w:rsid w:val="00324BF2"/>
    <w:rsid w:val="00324FA6"/>
    <w:rsid w:val="0032534F"/>
    <w:rsid w:val="00325571"/>
    <w:rsid w:val="003269D3"/>
    <w:rsid w:val="0032709F"/>
    <w:rsid w:val="003273A1"/>
    <w:rsid w:val="003276CB"/>
    <w:rsid w:val="0032787E"/>
    <w:rsid w:val="00330256"/>
    <w:rsid w:val="0033077D"/>
    <w:rsid w:val="003309CB"/>
    <w:rsid w:val="00330B00"/>
    <w:rsid w:val="003313B6"/>
    <w:rsid w:val="00332987"/>
    <w:rsid w:val="0033531D"/>
    <w:rsid w:val="00335391"/>
    <w:rsid w:val="00335C17"/>
    <w:rsid w:val="003371BE"/>
    <w:rsid w:val="00337213"/>
    <w:rsid w:val="003376B5"/>
    <w:rsid w:val="0034026B"/>
    <w:rsid w:val="0034031B"/>
    <w:rsid w:val="00340415"/>
    <w:rsid w:val="0034081D"/>
    <w:rsid w:val="00341282"/>
    <w:rsid w:val="00342850"/>
    <w:rsid w:val="003428DE"/>
    <w:rsid w:val="00344EB3"/>
    <w:rsid w:val="00346D86"/>
    <w:rsid w:val="00346EB5"/>
    <w:rsid w:val="003475A7"/>
    <w:rsid w:val="00347D75"/>
    <w:rsid w:val="003501F6"/>
    <w:rsid w:val="0035046F"/>
    <w:rsid w:val="00351999"/>
    <w:rsid w:val="00351A6D"/>
    <w:rsid w:val="003527C5"/>
    <w:rsid w:val="00354B0D"/>
    <w:rsid w:val="00354EA6"/>
    <w:rsid w:val="00354EE7"/>
    <w:rsid w:val="00356299"/>
    <w:rsid w:val="003562B1"/>
    <w:rsid w:val="00356C96"/>
    <w:rsid w:val="00357647"/>
    <w:rsid w:val="0036027F"/>
    <w:rsid w:val="003608C0"/>
    <w:rsid w:val="00361639"/>
    <w:rsid w:val="003624D2"/>
    <w:rsid w:val="00362E0D"/>
    <w:rsid w:val="00363DA0"/>
    <w:rsid w:val="003650D9"/>
    <w:rsid w:val="00365536"/>
    <w:rsid w:val="0036570C"/>
    <w:rsid w:val="003669B3"/>
    <w:rsid w:val="00367A0D"/>
    <w:rsid w:val="00372307"/>
    <w:rsid w:val="00372CC3"/>
    <w:rsid w:val="00373652"/>
    <w:rsid w:val="003744E1"/>
    <w:rsid w:val="003750E5"/>
    <w:rsid w:val="003751E9"/>
    <w:rsid w:val="0037524D"/>
    <w:rsid w:val="00376088"/>
    <w:rsid w:val="00376495"/>
    <w:rsid w:val="0037720C"/>
    <w:rsid w:val="003776C3"/>
    <w:rsid w:val="00377E19"/>
    <w:rsid w:val="00380703"/>
    <w:rsid w:val="0038295F"/>
    <w:rsid w:val="00382B68"/>
    <w:rsid w:val="00383675"/>
    <w:rsid w:val="00383A29"/>
    <w:rsid w:val="00383FC9"/>
    <w:rsid w:val="003842F1"/>
    <w:rsid w:val="003846DE"/>
    <w:rsid w:val="00384AF0"/>
    <w:rsid w:val="00385398"/>
    <w:rsid w:val="003855F9"/>
    <w:rsid w:val="00385C1E"/>
    <w:rsid w:val="00386BD0"/>
    <w:rsid w:val="00390254"/>
    <w:rsid w:val="00390D53"/>
    <w:rsid w:val="003912D0"/>
    <w:rsid w:val="00392C8F"/>
    <w:rsid w:val="003939CB"/>
    <w:rsid w:val="0039543C"/>
    <w:rsid w:val="00395F70"/>
    <w:rsid w:val="00397064"/>
    <w:rsid w:val="00397716"/>
    <w:rsid w:val="003A031D"/>
    <w:rsid w:val="003A1F67"/>
    <w:rsid w:val="003A2150"/>
    <w:rsid w:val="003A25E1"/>
    <w:rsid w:val="003A4892"/>
    <w:rsid w:val="003A5FB6"/>
    <w:rsid w:val="003A60CB"/>
    <w:rsid w:val="003A6BC4"/>
    <w:rsid w:val="003A6E99"/>
    <w:rsid w:val="003A7B35"/>
    <w:rsid w:val="003B0F49"/>
    <w:rsid w:val="003B1151"/>
    <w:rsid w:val="003B282A"/>
    <w:rsid w:val="003B618B"/>
    <w:rsid w:val="003B646F"/>
    <w:rsid w:val="003B78FD"/>
    <w:rsid w:val="003C1501"/>
    <w:rsid w:val="003C1957"/>
    <w:rsid w:val="003C19EA"/>
    <w:rsid w:val="003C2038"/>
    <w:rsid w:val="003C3B97"/>
    <w:rsid w:val="003C50D7"/>
    <w:rsid w:val="003C5227"/>
    <w:rsid w:val="003C60AF"/>
    <w:rsid w:val="003D03A5"/>
    <w:rsid w:val="003D1AD3"/>
    <w:rsid w:val="003D2ABC"/>
    <w:rsid w:val="003D2DE5"/>
    <w:rsid w:val="003D4220"/>
    <w:rsid w:val="003D46BE"/>
    <w:rsid w:val="003D6CCB"/>
    <w:rsid w:val="003D7BD6"/>
    <w:rsid w:val="003E01BE"/>
    <w:rsid w:val="003E0A5D"/>
    <w:rsid w:val="003E1539"/>
    <w:rsid w:val="003E5CC7"/>
    <w:rsid w:val="003E5E40"/>
    <w:rsid w:val="003E78B4"/>
    <w:rsid w:val="003F0C69"/>
    <w:rsid w:val="003F219A"/>
    <w:rsid w:val="003F2371"/>
    <w:rsid w:val="003F3EAD"/>
    <w:rsid w:val="003F41E7"/>
    <w:rsid w:val="003F4A28"/>
    <w:rsid w:val="003F53E4"/>
    <w:rsid w:val="003F5927"/>
    <w:rsid w:val="003F6DC0"/>
    <w:rsid w:val="003F7AE4"/>
    <w:rsid w:val="004014BC"/>
    <w:rsid w:val="00404B27"/>
    <w:rsid w:val="00404DAA"/>
    <w:rsid w:val="004055CD"/>
    <w:rsid w:val="00405B15"/>
    <w:rsid w:val="00406787"/>
    <w:rsid w:val="00407D07"/>
    <w:rsid w:val="00410DF7"/>
    <w:rsid w:val="00411311"/>
    <w:rsid w:val="00411EB2"/>
    <w:rsid w:val="004143A7"/>
    <w:rsid w:val="00416321"/>
    <w:rsid w:val="0041632B"/>
    <w:rsid w:val="00416E08"/>
    <w:rsid w:val="00417285"/>
    <w:rsid w:val="0042039B"/>
    <w:rsid w:val="00420A87"/>
    <w:rsid w:val="00420D69"/>
    <w:rsid w:val="00422253"/>
    <w:rsid w:val="004231D1"/>
    <w:rsid w:val="00423C17"/>
    <w:rsid w:val="00425424"/>
    <w:rsid w:val="0042555D"/>
    <w:rsid w:val="00426BBC"/>
    <w:rsid w:val="00430672"/>
    <w:rsid w:val="00430CF2"/>
    <w:rsid w:val="00431932"/>
    <w:rsid w:val="00431FFB"/>
    <w:rsid w:val="00432D34"/>
    <w:rsid w:val="004341F6"/>
    <w:rsid w:val="0043498C"/>
    <w:rsid w:val="00436163"/>
    <w:rsid w:val="0043684C"/>
    <w:rsid w:val="00437B2E"/>
    <w:rsid w:val="004401F9"/>
    <w:rsid w:val="0044045A"/>
    <w:rsid w:val="00441BDF"/>
    <w:rsid w:val="00441FB5"/>
    <w:rsid w:val="00442700"/>
    <w:rsid w:val="00444199"/>
    <w:rsid w:val="00444520"/>
    <w:rsid w:val="00445D1A"/>
    <w:rsid w:val="00445E29"/>
    <w:rsid w:val="00446BE5"/>
    <w:rsid w:val="00446F75"/>
    <w:rsid w:val="004476A2"/>
    <w:rsid w:val="00447FD1"/>
    <w:rsid w:val="0045193B"/>
    <w:rsid w:val="004519D9"/>
    <w:rsid w:val="00451F3B"/>
    <w:rsid w:val="004524C5"/>
    <w:rsid w:val="00452D86"/>
    <w:rsid w:val="00452DD7"/>
    <w:rsid w:val="004532C1"/>
    <w:rsid w:val="00453837"/>
    <w:rsid w:val="0045402B"/>
    <w:rsid w:val="0045678D"/>
    <w:rsid w:val="00457950"/>
    <w:rsid w:val="004602B7"/>
    <w:rsid w:val="00460E76"/>
    <w:rsid w:val="00460F77"/>
    <w:rsid w:val="004621C7"/>
    <w:rsid w:val="004623C8"/>
    <w:rsid w:val="004627D6"/>
    <w:rsid w:val="0046300C"/>
    <w:rsid w:val="00463C06"/>
    <w:rsid w:val="00463E5E"/>
    <w:rsid w:val="004643C3"/>
    <w:rsid w:val="004656B7"/>
    <w:rsid w:val="004664B9"/>
    <w:rsid w:val="00466E37"/>
    <w:rsid w:val="00470085"/>
    <w:rsid w:val="00470485"/>
    <w:rsid w:val="00470E42"/>
    <w:rsid w:val="00471056"/>
    <w:rsid w:val="0047141B"/>
    <w:rsid w:val="0047192A"/>
    <w:rsid w:val="0047396F"/>
    <w:rsid w:val="00473E0D"/>
    <w:rsid w:val="004741D4"/>
    <w:rsid w:val="00474206"/>
    <w:rsid w:val="00475AB0"/>
    <w:rsid w:val="00475EFE"/>
    <w:rsid w:val="00476EB9"/>
    <w:rsid w:val="00476F22"/>
    <w:rsid w:val="00477133"/>
    <w:rsid w:val="00480CE3"/>
    <w:rsid w:val="0048189E"/>
    <w:rsid w:val="0048240C"/>
    <w:rsid w:val="00482553"/>
    <w:rsid w:val="00482B33"/>
    <w:rsid w:val="00482D2C"/>
    <w:rsid w:val="00483081"/>
    <w:rsid w:val="004830EE"/>
    <w:rsid w:val="004834B8"/>
    <w:rsid w:val="004855DA"/>
    <w:rsid w:val="00487660"/>
    <w:rsid w:val="00487B05"/>
    <w:rsid w:val="00490185"/>
    <w:rsid w:val="0049019D"/>
    <w:rsid w:val="00490DB9"/>
    <w:rsid w:val="0049189D"/>
    <w:rsid w:val="00491DB1"/>
    <w:rsid w:val="004936BA"/>
    <w:rsid w:val="00493815"/>
    <w:rsid w:val="00494C02"/>
    <w:rsid w:val="004967FC"/>
    <w:rsid w:val="00496BA8"/>
    <w:rsid w:val="00496F8E"/>
    <w:rsid w:val="00497406"/>
    <w:rsid w:val="0049769B"/>
    <w:rsid w:val="004978F5"/>
    <w:rsid w:val="00497CD4"/>
    <w:rsid w:val="00497CFB"/>
    <w:rsid w:val="004A1355"/>
    <w:rsid w:val="004A1A52"/>
    <w:rsid w:val="004A23D9"/>
    <w:rsid w:val="004A2780"/>
    <w:rsid w:val="004A31ED"/>
    <w:rsid w:val="004A5B2C"/>
    <w:rsid w:val="004A6ADF"/>
    <w:rsid w:val="004A7932"/>
    <w:rsid w:val="004A7B4C"/>
    <w:rsid w:val="004B01A1"/>
    <w:rsid w:val="004B09E3"/>
    <w:rsid w:val="004B1AA4"/>
    <w:rsid w:val="004B2321"/>
    <w:rsid w:val="004B3949"/>
    <w:rsid w:val="004B4857"/>
    <w:rsid w:val="004B4EFA"/>
    <w:rsid w:val="004B5643"/>
    <w:rsid w:val="004B7293"/>
    <w:rsid w:val="004B79F5"/>
    <w:rsid w:val="004B7A5B"/>
    <w:rsid w:val="004B7D7F"/>
    <w:rsid w:val="004C023B"/>
    <w:rsid w:val="004C0611"/>
    <w:rsid w:val="004C0A22"/>
    <w:rsid w:val="004C0A6E"/>
    <w:rsid w:val="004C0B89"/>
    <w:rsid w:val="004C40E9"/>
    <w:rsid w:val="004C421A"/>
    <w:rsid w:val="004C479D"/>
    <w:rsid w:val="004C5D98"/>
    <w:rsid w:val="004C6F1A"/>
    <w:rsid w:val="004D0ABE"/>
    <w:rsid w:val="004D18B0"/>
    <w:rsid w:val="004D1A47"/>
    <w:rsid w:val="004D2324"/>
    <w:rsid w:val="004D2FE3"/>
    <w:rsid w:val="004D309A"/>
    <w:rsid w:val="004D373E"/>
    <w:rsid w:val="004D3887"/>
    <w:rsid w:val="004D4226"/>
    <w:rsid w:val="004D4397"/>
    <w:rsid w:val="004D4653"/>
    <w:rsid w:val="004D49D2"/>
    <w:rsid w:val="004D58D2"/>
    <w:rsid w:val="004D6AC7"/>
    <w:rsid w:val="004D761E"/>
    <w:rsid w:val="004D7CAB"/>
    <w:rsid w:val="004E2FC6"/>
    <w:rsid w:val="004E443D"/>
    <w:rsid w:val="004E54A5"/>
    <w:rsid w:val="004E5F50"/>
    <w:rsid w:val="004E723F"/>
    <w:rsid w:val="004E767C"/>
    <w:rsid w:val="004E7690"/>
    <w:rsid w:val="004F0208"/>
    <w:rsid w:val="004F1859"/>
    <w:rsid w:val="004F43F6"/>
    <w:rsid w:val="004F49F9"/>
    <w:rsid w:val="004F4D44"/>
    <w:rsid w:val="004F512E"/>
    <w:rsid w:val="004F5436"/>
    <w:rsid w:val="004F5B71"/>
    <w:rsid w:val="004F5FD1"/>
    <w:rsid w:val="004F6DA3"/>
    <w:rsid w:val="004F77B2"/>
    <w:rsid w:val="004F7AFA"/>
    <w:rsid w:val="0050039D"/>
    <w:rsid w:val="00500EF3"/>
    <w:rsid w:val="00502819"/>
    <w:rsid w:val="00504A70"/>
    <w:rsid w:val="00507333"/>
    <w:rsid w:val="00507F72"/>
    <w:rsid w:val="005102F2"/>
    <w:rsid w:val="005104C6"/>
    <w:rsid w:val="00511174"/>
    <w:rsid w:val="005111F8"/>
    <w:rsid w:val="005118B0"/>
    <w:rsid w:val="005135F6"/>
    <w:rsid w:val="00513B0F"/>
    <w:rsid w:val="005144CE"/>
    <w:rsid w:val="005151E3"/>
    <w:rsid w:val="005157FE"/>
    <w:rsid w:val="00515B11"/>
    <w:rsid w:val="005200E3"/>
    <w:rsid w:val="005205B8"/>
    <w:rsid w:val="00522183"/>
    <w:rsid w:val="00523AA6"/>
    <w:rsid w:val="005243D3"/>
    <w:rsid w:val="00524780"/>
    <w:rsid w:val="00525E5E"/>
    <w:rsid w:val="005260F6"/>
    <w:rsid w:val="00526AEF"/>
    <w:rsid w:val="00526F7A"/>
    <w:rsid w:val="00527061"/>
    <w:rsid w:val="005270BC"/>
    <w:rsid w:val="00527165"/>
    <w:rsid w:val="00527722"/>
    <w:rsid w:val="005301F6"/>
    <w:rsid w:val="005302AD"/>
    <w:rsid w:val="005346E7"/>
    <w:rsid w:val="00536221"/>
    <w:rsid w:val="0053798B"/>
    <w:rsid w:val="00537B80"/>
    <w:rsid w:val="0054153A"/>
    <w:rsid w:val="00541840"/>
    <w:rsid w:val="00541AF6"/>
    <w:rsid w:val="00541FA1"/>
    <w:rsid w:val="00542A50"/>
    <w:rsid w:val="0054395C"/>
    <w:rsid w:val="0054442F"/>
    <w:rsid w:val="00544C2A"/>
    <w:rsid w:val="005453D6"/>
    <w:rsid w:val="00547F06"/>
    <w:rsid w:val="0055058B"/>
    <w:rsid w:val="00550C18"/>
    <w:rsid w:val="00550D69"/>
    <w:rsid w:val="005513F8"/>
    <w:rsid w:val="0055381B"/>
    <w:rsid w:val="005545F4"/>
    <w:rsid w:val="005559C2"/>
    <w:rsid w:val="00555CEE"/>
    <w:rsid w:val="00555F0B"/>
    <w:rsid w:val="00557596"/>
    <w:rsid w:val="005575B1"/>
    <w:rsid w:val="00557B1D"/>
    <w:rsid w:val="00557BA4"/>
    <w:rsid w:val="00557F17"/>
    <w:rsid w:val="0056138B"/>
    <w:rsid w:val="00562327"/>
    <w:rsid w:val="00563992"/>
    <w:rsid w:val="005640C6"/>
    <w:rsid w:val="005645CD"/>
    <w:rsid w:val="0056475A"/>
    <w:rsid w:val="0056483B"/>
    <w:rsid w:val="00565CCE"/>
    <w:rsid w:val="0056729D"/>
    <w:rsid w:val="005675B5"/>
    <w:rsid w:val="00570D9F"/>
    <w:rsid w:val="005715CA"/>
    <w:rsid w:val="00571D42"/>
    <w:rsid w:val="00572F0E"/>
    <w:rsid w:val="00573C9B"/>
    <w:rsid w:val="00574C30"/>
    <w:rsid w:val="00574D91"/>
    <w:rsid w:val="00575955"/>
    <w:rsid w:val="00576820"/>
    <w:rsid w:val="00577D82"/>
    <w:rsid w:val="00580672"/>
    <w:rsid w:val="005833E4"/>
    <w:rsid w:val="005852DB"/>
    <w:rsid w:val="0058544D"/>
    <w:rsid w:val="00586929"/>
    <w:rsid w:val="0058774A"/>
    <w:rsid w:val="00587CEC"/>
    <w:rsid w:val="00590E10"/>
    <w:rsid w:val="0059153E"/>
    <w:rsid w:val="00591AEC"/>
    <w:rsid w:val="00593A73"/>
    <w:rsid w:val="00594249"/>
    <w:rsid w:val="00594946"/>
    <w:rsid w:val="00595B3C"/>
    <w:rsid w:val="005964C7"/>
    <w:rsid w:val="0059694C"/>
    <w:rsid w:val="00596C52"/>
    <w:rsid w:val="005971DD"/>
    <w:rsid w:val="005A0990"/>
    <w:rsid w:val="005A0EB6"/>
    <w:rsid w:val="005A1CD0"/>
    <w:rsid w:val="005A2E5F"/>
    <w:rsid w:val="005A3827"/>
    <w:rsid w:val="005A3FE9"/>
    <w:rsid w:val="005A6D5D"/>
    <w:rsid w:val="005A75DE"/>
    <w:rsid w:val="005B0238"/>
    <w:rsid w:val="005B0CBB"/>
    <w:rsid w:val="005B1052"/>
    <w:rsid w:val="005B1533"/>
    <w:rsid w:val="005B43EE"/>
    <w:rsid w:val="005B50AC"/>
    <w:rsid w:val="005B56F1"/>
    <w:rsid w:val="005B6D1A"/>
    <w:rsid w:val="005C0A7D"/>
    <w:rsid w:val="005C0FD1"/>
    <w:rsid w:val="005C47D7"/>
    <w:rsid w:val="005C552F"/>
    <w:rsid w:val="005C619F"/>
    <w:rsid w:val="005C74A4"/>
    <w:rsid w:val="005C758F"/>
    <w:rsid w:val="005C7CD8"/>
    <w:rsid w:val="005C7D4D"/>
    <w:rsid w:val="005D0754"/>
    <w:rsid w:val="005D178E"/>
    <w:rsid w:val="005D1E4D"/>
    <w:rsid w:val="005D2964"/>
    <w:rsid w:val="005D2E87"/>
    <w:rsid w:val="005D35F9"/>
    <w:rsid w:val="005D38BA"/>
    <w:rsid w:val="005D6386"/>
    <w:rsid w:val="005D69A9"/>
    <w:rsid w:val="005D6A17"/>
    <w:rsid w:val="005D72AB"/>
    <w:rsid w:val="005E0FE3"/>
    <w:rsid w:val="005E1726"/>
    <w:rsid w:val="005E1924"/>
    <w:rsid w:val="005E28B9"/>
    <w:rsid w:val="005E2F2A"/>
    <w:rsid w:val="005E35E0"/>
    <w:rsid w:val="005E4012"/>
    <w:rsid w:val="005E6022"/>
    <w:rsid w:val="005E7BD0"/>
    <w:rsid w:val="005E7CA4"/>
    <w:rsid w:val="005E7E02"/>
    <w:rsid w:val="005F042A"/>
    <w:rsid w:val="005F052E"/>
    <w:rsid w:val="005F0B89"/>
    <w:rsid w:val="005F0CF8"/>
    <w:rsid w:val="005F1135"/>
    <w:rsid w:val="005F283B"/>
    <w:rsid w:val="005F380D"/>
    <w:rsid w:val="005F3D2A"/>
    <w:rsid w:val="005F3FB6"/>
    <w:rsid w:val="005F500F"/>
    <w:rsid w:val="005F50BE"/>
    <w:rsid w:val="005F671F"/>
    <w:rsid w:val="006003BE"/>
    <w:rsid w:val="00600AE7"/>
    <w:rsid w:val="00603170"/>
    <w:rsid w:val="00603B7C"/>
    <w:rsid w:val="006044A5"/>
    <w:rsid w:val="00604A30"/>
    <w:rsid w:val="00604E45"/>
    <w:rsid w:val="00606120"/>
    <w:rsid w:val="00606C12"/>
    <w:rsid w:val="0060780B"/>
    <w:rsid w:val="006078A3"/>
    <w:rsid w:val="00607D63"/>
    <w:rsid w:val="006129F9"/>
    <w:rsid w:val="00612A9D"/>
    <w:rsid w:val="00612F87"/>
    <w:rsid w:val="006136C8"/>
    <w:rsid w:val="00613CC8"/>
    <w:rsid w:val="00613FDB"/>
    <w:rsid w:val="00614C23"/>
    <w:rsid w:val="00615AE3"/>
    <w:rsid w:val="00616487"/>
    <w:rsid w:val="00616F02"/>
    <w:rsid w:val="00617A70"/>
    <w:rsid w:val="00617F53"/>
    <w:rsid w:val="00617F9B"/>
    <w:rsid w:val="0062044C"/>
    <w:rsid w:val="00620700"/>
    <w:rsid w:val="0062142B"/>
    <w:rsid w:val="00621BD6"/>
    <w:rsid w:val="00622B10"/>
    <w:rsid w:val="006233A8"/>
    <w:rsid w:val="00623A57"/>
    <w:rsid w:val="00624D1F"/>
    <w:rsid w:val="006250AD"/>
    <w:rsid w:val="00625700"/>
    <w:rsid w:val="0062596E"/>
    <w:rsid w:val="0063139B"/>
    <w:rsid w:val="00631827"/>
    <w:rsid w:val="00631E8D"/>
    <w:rsid w:val="00633704"/>
    <w:rsid w:val="006339A8"/>
    <w:rsid w:val="006339C2"/>
    <w:rsid w:val="00633B3E"/>
    <w:rsid w:val="00635689"/>
    <w:rsid w:val="0063678E"/>
    <w:rsid w:val="00636859"/>
    <w:rsid w:val="00640284"/>
    <w:rsid w:val="00640AB8"/>
    <w:rsid w:val="00640E41"/>
    <w:rsid w:val="00642B22"/>
    <w:rsid w:val="00642D71"/>
    <w:rsid w:val="006436FD"/>
    <w:rsid w:val="00643B8B"/>
    <w:rsid w:val="00644CC4"/>
    <w:rsid w:val="006450EA"/>
    <w:rsid w:val="006458DB"/>
    <w:rsid w:val="00645923"/>
    <w:rsid w:val="00646773"/>
    <w:rsid w:val="006500B9"/>
    <w:rsid w:val="006521AA"/>
    <w:rsid w:val="006532FF"/>
    <w:rsid w:val="00653574"/>
    <w:rsid w:val="00654408"/>
    <w:rsid w:val="00654A9F"/>
    <w:rsid w:val="006551B1"/>
    <w:rsid w:val="00656CB9"/>
    <w:rsid w:val="006572DC"/>
    <w:rsid w:val="00657572"/>
    <w:rsid w:val="00657B3D"/>
    <w:rsid w:val="006601CA"/>
    <w:rsid w:val="0066255F"/>
    <w:rsid w:val="0066362C"/>
    <w:rsid w:val="00663760"/>
    <w:rsid w:val="00664674"/>
    <w:rsid w:val="00665719"/>
    <w:rsid w:val="00665D44"/>
    <w:rsid w:val="00665D61"/>
    <w:rsid w:val="0067068D"/>
    <w:rsid w:val="00671293"/>
    <w:rsid w:val="0067235F"/>
    <w:rsid w:val="006725A6"/>
    <w:rsid w:val="0067327C"/>
    <w:rsid w:val="006749DC"/>
    <w:rsid w:val="006754B9"/>
    <w:rsid w:val="006755BC"/>
    <w:rsid w:val="00676802"/>
    <w:rsid w:val="006770E8"/>
    <w:rsid w:val="006774DC"/>
    <w:rsid w:val="00677DEC"/>
    <w:rsid w:val="00677F89"/>
    <w:rsid w:val="00682C7F"/>
    <w:rsid w:val="006857F8"/>
    <w:rsid w:val="00685EB4"/>
    <w:rsid w:val="00685EFB"/>
    <w:rsid w:val="00686138"/>
    <w:rsid w:val="00686F9E"/>
    <w:rsid w:val="0068760E"/>
    <w:rsid w:val="00687ECF"/>
    <w:rsid w:val="006902DB"/>
    <w:rsid w:val="00690CB3"/>
    <w:rsid w:val="00691015"/>
    <w:rsid w:val="00691714"/>
    <w:rsid w:val="00691737"/>
    <w:rsid w:val="00691D01"/>
    <w:rsid w:val="00692E6B"/>
    <w:rsid w:val="0069434B"/>
    <w:rsid w:val="00694F67"/>
    <w:rsid w:val="00695C6B"/>
    <w:rsid w:val="0069718F"/>
    <w:rsid w:val="006A1281"/>
    <w:rsid w:val="006A2182"/>
    <w:rsid w:val="006A31E3"/>
    <w:rsid w:val="006A4E31"/>
    <w:rsid w:val="006A4F45"/>
    <w:rsid w:val="006A55B5"/>
    <w:rsid w:val="006A7BA5"/>
    <w:rsid w:val="006A7C9A"/>
    <w:rsid w:val="006B03FE"/>
    <w:rsid w:val="006B04BF"/>
    <w:rsid w:val="006B050A"/>
    <w:rsid w:val="006B0573"/>
    <w:rsid w:val="006B0CBE"/>
    <w:rsid w:val="006B1AF7"/>
    <w:rsid w:val="006B1DCA"/>
    <w:rsid w:val="006B2B29"/>
    <w:rsid w:val="006B3265"/>
    <w:rsid w:val="006B3A49"/>
    <w:rsid w:val="006B3F9C"/>
    <w:rsid w:val="006B3FA7"/>
    <w:rsid w:val="006B4AA8"/>
    <w:rsid w:val="006B6774"/>
    <w:rsid w:val="006B7478"/>
    <w:rsid w:val="006B7594"/>
    <w:rsid w:val="006B76F4"/>
    <w:rsid w:val="006B79A4"/>
    <w:rsid w:val="006C021F"/>
    <w:rsid w:val="006C09DD"/>
    <w:rsid w:val="006C0F7E"/>
    <w:rsid w:val="006C16AC"/>
    <w:rsid w:val="006C1B9A"/>
    <w:rsid w:val="006C1CE1"/>
    <w:rsid w:val="006C1D3D"/>
    <w:rsid w:val="006C1F53"/>
    <w:rsid w:val="006C2036"/>
    <w:rsid w:val="006C21FD"/>
    <w:rsid w:val="006C24CF"/>
    <w:rsid w:val="006C50D1"/>
    <w:rsid w:val="006C548F"/>
    <w:rsid w:val="006C5B80"/>
    <w:rsid w:val="006C6B90"/>
    <w:rsid w:val="006C7005"/>
    <w:rsid w:val="006D0204"/>
    <w:rsid w:val="006D02B0"/>
    <w:rsid w:val="006D04F8"/>
    <w:rsid w:val="006D0F9C"/>
    <w:rsid w:val="006D19F2"/>
    <w:rsid w:val="006D23E0"/>
    <w:rsid w:val="006D2CAE"/>
    <w:rsid w:val="006D37A6"/>
    <w:rsid w:val="006D40F8"/>
    <w:rsid w:val="006D6669"/>
    <w:rsid w:val="006D7321"/>
    <w:rsid w:val="006D746D"/>
    <w:rsid w:val="006E17E4"/>
    <w:rsid w:val="006E3A9B"/>
    <w:rsid w:val="006E4579"/>
    <w:rsid w:val="006E5762"/>
    <w:rsid w:val="006E5A10"/>
    <w:rsid w:val="006E6770"/>
    <w:rsid w:val="006E6E34"/>
    <w:rsid w:val="006E7A3D"/>
    <w:rsid w:val="006F072A"/>
    <w:rsid w:val="006F12A4"/>
    <w:rsid w:val="006F1F80"/>
    <w:rsid w:val="006F28D0"/>
    <w:rsid w:val="006F2CAE"/>
    <w:rsid w:val="006F2CD8"/>
    <w:rsid w:val="006F3159"/>
    <w:rsid w:val="006F34A3"/>
    <w:rsid w:val="006F3937"/>
    <w:rsid w:val="006F458B"/>
    <w:rsid w:val="006F48E7"/>
    <w:rsid w:val="006F4F5A"/>
    <w:rsid w:val="006F4F66"/>
    <w:rsid w:val="006F6DB6"/>
    <w:rsid w:val="006F78A4"/>
    <w:rsid w:val="007009F1"/>
    <w:rsid w:val="00701B0E"/>
    <w:rsid w:val="00702B5D"/>
    <w:rsid w:val="007032FB"/>
    <w:rsid w:val="0070378B"/>
    <w:rsid w:val="00703B3A"/>
    <w:rsid w:val="00703D0C"/>
    <w:rsid w:val="00704E3D"/>
    <w:rsid w:val="007054ED"/>
    <w:rsid w:val="00705ED4"/>
    <w:rsid w:val="0070703E"/>
    <w:rsid w:val="00707BCB"/>
    <w:rsid w:val="00710960"/>
    <w:rsid w:val="007110DE"/>
    <w:rsid w:val="007118F8"/>
    <w:rsid w:val="007132D6"/>
    <w:rsid w:val="007133F9"/>
    <w:rsid w:val="00713812"/>
    <w:rsid w:val="00717BE3"/>
    <w:rsid w:val="00720322"/>
    <w:rsid w:val="007225B0"/>
    <w:rsid w:val="00722954"/>
    <w:rsid w:val="00725C70"/>
    <w:rsid w:val="00726A5D"/>
    <w:rsid w:val="007270B1"/>
    <w:rsid w:val="007308CD"/>
    <w:rsid w:val="0073093D"/>
    <w:rsid w:val="00731B4D"/>
    <w:rsid w:val="00731F8F"/>
    <w:rsid w:val="00732FE8"/>
    <w:rsid w:val="00733A58"/>
    <w:rsid w:val="0073440F"/>
    <w:rsid w:val="00734CEB"/>
    <w:rsid w:val="00735AC6"/>
    <w:rsid w:val="00735B50"/>
    <w:rsid w:val="00741691"/>
    <w:rsid w:val="00742A11"/>
    <w:rsid w:val="00743C2C"/>
    <w:rsid w:val="00744A01"/>
    <w:rsid w:val="00745715"/>
    <w:rsid w:val="00745CAC"/>
    <w:rsid w:val="00745D9D"/>
    <w:rsid w:val="00745E72"/>
    <w:rsid w:val="007466C9"/>
    <w:rsid w:val="007479B8"/>
    <w:rsid w:val="00751655"/>
    <w:rsid w:val="00751995"/>
    <w:rsid w:val="00751FCD"/>
    <w:rsid w:val="00752A65"/>
    <w:rsid w:val="00753C3F"/>
    <w:rsid w:val="00754263"/>
    <w:rsid w:val="00754C6B"/>
    <w:rsid w:val="00755034"/>
    <w:rsid w:val="00755297"/>
    <w:rsid w:val="00756BC9"/>
    <w:rsid w:val="007602F1"/>
    <w:rsid w:val="00760AA1"/>
    <w:rsid w:val="00760B3E"/>
    <w:rsid w:val="007616D0"/>
    <w:rsid w:val="00762C9A"/>
    <w:rsid w:val="007630A7"/>
    <w:rsid w:val="00765657"/>
    <w:rsid w:val="00765DE5"/>
    <w:rsid w:val="00767FA4"/>
    <w:rsid w:val="00767FE8"/>
    <w:rsid w:val="00770587"/>
    <w:rsid w:val="007706FD"/>
    <w:rsid w:val="00772262"/>
    <w:rsid w:val="007724B0"/>
    <w:rsid w:val="0077437B"/>
    <w:rsid w:val="00774DFB"/>
    <w:rsid w:val="007755D4"/>
    <w:rsid w:val="00775F80"/>
    <w:rsid w:val="0077708A"/>
    <w:rsid w:val="0077733B"/>
    <w:rsid w:val="007806E2"/>
    <w:rsid w:val="00782852"/>
    <w:rsid w:val="00782C22"/>
    <w:rsid w:val="007830C1"/>
    <w:rsid w:val="00784004"/>
    <w:rsid w:val="007840BB"/>
    <w:rsid w:val="007843AB"/>
    <w:rsid w:val="00784712"/>
    <w:rsid w:val="00785655"/>
    <w:rsid w:val="00785819"/>
    <w:rsid w:val="007865F3"/>
    <w:rsid w:val="00786944"/>
    <w:rsid w:val="00786A7F"/>
    <w:rsid w:val="00786BB3"/>
    <w:rsid w:val="00786D94"/>
    <w:rsid w:val="00787989"/>
    <w:rsid w:val="00787D96"/>
    <w:rsid w:val="00787DD8"/>
    <w:rsid w:val="0079187A"/>
    <w:rsid w:val="00792B06"/>
    <w:rsid w:val="00792EB1"/>
    <w:rsid w:val="00793100"/>
    <w:rsid w:val="007934E1"/>
    <w:rsid w:val="00794811"/>
    <w:rsid w:val="007951DD"/>
    <w:rsid w:val="007979A8"/>
    <w:rsid w:val="007979CA"/>
    <w:rsid w:val="007A030B"/>
    <w:rsid w:val="007A0EE7"/>
    <w:rsid w:val="007A239F"/>
    <w:rsid w:val="007A2BCC"/>
    <w:rsid w:val="007A2CBB"/>
    <w:rsid w:val="007A3398"/>
    <w:rsid w:val="007A3BCD"/>
    <w:rsid w:val="007A410F"/>
    <w:rsid w:val="007A590B"/>
    <w:rsid w:val="007A5B11"/>
    <w:rsid w:val="007A6857"/>
    <w:rsid w:val="007A6BDD"/>
    <w:rsid w:val="007A712F"/>
    <w:rsid w:val="007A73CD"/>
    <w:rsid w:val="007B11D6"/>
    <w:rsid w:val="007B18E9"/>
    <w:rsid w:val="007B1CDA"/>
    <w:rsid w:val="007B1DC0"/>
    <w:rsid w:val="007B24D3"/>
    <w:rsid w:val="007B41BA"/>
    <w:rsid w:val="007B4224"/>
    <w:rsid w:val="007B48DF"/>
    <w:rsid w:val="007B5518"/>
    <w:rsid w:val="007B70EF"/>
    <w:rsid w:val="007B71C8"/>
    <w:rsid w:val="007C06E7"/>
    <w:rsid w:val="007C0FEF"/>
    <w:rsid w:val="007C1C25"/>
    <w:rsid w:val="007C2F9D"/>
    <w:rsid w:val="007C3BDF"/>
    <w:rsid w:val="007C437F"/>
    <w:rsid w:val="007C4BF2"/>
    <w:rsid w:val="007C5DAC"/>
    <w:rsid w:val="007C5F74"/>
    <w:rsid w:val="007C6022"/>
    <w:rsid w:val="007C6742"/>
    <w:rsid w:val="007C6A8E"/>
    <w:rsid w:val="007C6ACC"/>
    <w:rsid w:val="007C6BF3"/>
    <w:rsid w:val="007D0307"/>
    <w:rsid w:val="007D14B2"/>
    <w:rsid w:val="007D29CF"/>
    <w:rsid w:val="007D4092"/>
    <w:rsid w:val="007D5930"/>
    <w:rsid w:val="007D6F57"/>
    <w:rsid w:val="007E0DC2"/>
    <w:rsid w:val="007E188D"/>
    <w:rsid w:val="007E21F1"/>
    <w:rsid w:val="007E22B0"/>
    <w:rsid w:val="007E24A8"/>
    <w:rsid w:val="007E3E99"/>
    <w:rsid w:val="007E4CA6"/>
    <w:rsid w:val="007E5272"/>
    <w:rsid w:val="007E5D82"/>
    <w:rsid w:val="007E61B9"/>
    <w:rsid w:val="007E6CAF"/>
    <w:rsid w:val="007E6D1A"/>
    <w:rsid w:val="007F17A5"/>
    <w:rsid w:val="007F2352"/>
    <w:rsid w:val="007F324B"/>
    <w:rsid w:val="007F3A1E"/>
    <w:rsid w:val="007F4140"/>
    <w:rsid w:val="007F67CB"/>
    <w:rsid w:val="007F6E96"/>
    <w:rsid w:val="007F7CA5"/>
    <w:rsid w:val="00800B25"/>
    <w:rsid w:val="00800C0E"/>
    <w:rsid w:val="00801041"/>
    <w:rsid w:val="00801131"/>
    <w:rsid w:val="0080149F"/>
    <w:rsid w:val="008028B8"/>
    <w:rsid w:val="0080347F"/>
    <w:rsid w:val="00803FE0"/>
    <w:rsid w:val="008052A4"/>
    <w:rsid w:val="0080638E"/>
    <w:rsid w:val="008065A4"/>
    <w:rsid w:val="008065A6"/>
    <w:rsid w:val="0080667C"/>
    <w:rsid w:val="00807DBF"/>
    <w:rsid w:val="00810E84"/>
    <w:rsid w:val="008126A4"/>
    <w:rsid w:val="00813E52"/>
    <w:rsid w:val="0081457A"/>
    <w:rsid w:val="00814B1F"/>
    <w:rsid w:val="00824DEA"/>
    <w:rsid w:val="00825ABC"/>
    <w:rsid w:val="0082715F"/>
    <w:rsid w:val="008271C2"/>
    <w:rsid w:val="00827F31"/>
    <w:rsid w:val="008320E6"/>
    <w:rsid w:val="008334C5"/>
    <w:rsid w:val="00833D10"/>
    <w:rsid w:val="008346E4"/>
    <w:rsid w:val="00834905"/>
    <w:rsid w:val="00836CE5"/>
    <w:rsid w:val="008374CD"/>
    <w:rsid w:val="00837A3E"/>
    <w:rsid w:val="0084045F"/>
    <w:rsid w:val="00840984"/>
    <w:rsid w:val="008411FE"/>
    <w:rsid w:val="00841557"/>
    <w:rsid w:val="00841F43"/>
    <w:rsid w:val="00842C37"/>
    <w:rsid w:val="0084336C"/>
    <w:rsid w:val="00844236"/>
    <w:rsid w:val="008467BD"/>
    <w:rsid w:val="008473C2"/>
    <w:rsid w:val="0085076B"/>
    <w:rsid w:val="00850DE6"/>
    <w:rsid w:val="00851382"/>
    <w:rsid w:val="00851496"/>
    <w:rsid w:val="008522C8"/>
    <w:rsid w:val="0085347C"/>
    <w:rsid w:val="008539EB"/>
    <w:rsid w:val="00853FB7"/>
    <w:rsid w:val="008545F3"/>
    <w:rsid w:val="008546C6"/>
    <w:rsid w:val="00855A50"/>
    <w:rsid w:val="008575BB"/>
    <w:rsid w:val="00857D25"/>
    <w:rsid w:val="00860BED"/>
    <w:rsid w:val="0086178C"/>
    <w:rsid w:val="00861CFF"/>
    <w:rsid w:val="00862268"/>
    <w:rsid w:val="0086256E"/>
    <w:rsid w:val="008628CB"/>
    <w:rsid w:val="00863ACB"/>
    <w:rsid w:val="00863B29"/>
    <w:rsid w:val="00864292"/>
    <w:rsid w:val="00864D4E"/>
    <w:rsid w:val="00865587"/>
    <w:rsid w:val="00866CA8"/>
    <w:rsid w:val="00866E45"/>
    <w:rsid w:val="008672B7"/>
    <w:rsid w:val="00867562"/>
    <w:rsid w:val="0087261D"/>
    <w:rsid w:val="008729AC"/>
    <w:rsid w:val="00872BA7"/>
    <w:rsid w:val="00873821"/>
    <w:rsid w:val="00874228"/>
    <w:rsid w:val="00874677"/>
    <w:rsid w:val="00875F45"/>
    <w:rsid w:val="00876ECC"/>
    <w:rsid w:val="00876FBF"/>
    <w:rsid w:val="0087764E"/>
    <w:rsid w:val="00882771"/>
    <w:rsid w:val="008838B8"/>
    <w:rsid w:val="00883995"/>
    <w:rsid w:val="0088489C"/>
    <w:rsid w:val="00884CF0"/>
    <w:rsid w:val="00885B1F"/>
    <w:rsid w:val="00885FBA"/>
    <w:rsid w:val="00886238"/>
    <w:rsid w:val="0088780D"/>
    <w:rsid w:val="0089162C"/>
    <w:rsid w:val="00891836"/>
    <w:rsid w:val="00891ADA"/>
    <w:rsid w:val="0089216D"/>
    <w:rsid w:val="00892629"/>
    <w:rsid w:val="00893737"/>
    <w:rsid w:val="00893B68"/>
    <w:rsid w:val="00894277"/>
    <w:rsid w:val="008945F0"/>
    <w:rsid w:val="00894D78"/>
    <w:rsid w:val="008954A8"/>
    <w:rsid w:val="00895AAB"/>
    <w:rsid w:val="008963D6"/>
    <w:rsid w:val="008967B0"/>
    <w:rsid w:val="008A1E7E"/>
    <w:rsid w:val="008A2BB8"/>
    <w:rsid w:val="008A4C76"/>
    <w:rsid w:val="008A5597"/>
    <w:rsid w:val="008A74DA"/>
    <w:rsid w:val="008A76C8"/>
    <w:rsid w:val="008A7B3A"/>
    <w:rsid w:val="008B04E5"/>
    <w:rsid w:val="008B0EC2"/>
    <w:rsid w:val="008B1AB2"/>
    <w:rsid w:val="008B3F8F"/>
    <w:rsid w:val="008B70B7"/>
    <w:rsid w:val="008C2BFF"/>
    <w:rsid w:val="008C337A"/>
    <w:rsid w:val="008C38D4"/>
    <w:rsid w:val="008C4F37"/>
    <w:rsid w:val="008C54D0"/>
    <w:rsid w:val="008C5536"/>
    <w:rsid w:val="008C559C"/>
    <w:rsid w:val="008C626A"/>
    <w:rsid w:val="008C7A01"/>
    <w:rsid w:val="008D0F0F"/>
    <w:rsid w:val="008D1771"/>
    <w:rsid w:val="008D31F1"/>
    <w:rsid w:val="008D33B6"/>
    <w:rsid w:val="008D4309"/>
    <w:rsid w:val="008D57E9"/>
    <w:rsid w:val="008D60F4"/>
    <w:rsid w:val="008D6BA7"/>
    <w:rsid w:val="008E0160"/>
    <w:rsid w:val="008E1346"/>
    <w:rsid w:val="008E1347"/>
    <w:rsid w:val="008E1860"/>
    <w:rsid w:val="008E2B10"/>
    <w:rsid w:val="008E3C80"/>
    <w:rsid w:val="008E4DB3"/>
    <w:rsid w:val="008E5B3B"/>
    <w:rsid w:val="008E5C05"/>
    <w:rsid w:val="008E6A8C"/>
    <w:rsid w:val="008E6D46"/>
    <w:rsid w:val="008F03D9"/>
    <w:rsid w:val="008F12DE"/>
    <w:rsid w:val="008F1E79"/>
    <w:rsid w:val="008F35CE"/>
    <w:rsid w:val="008F4B84"/>
    <w:rsid w:val="008F7540"/>
    <w:rsid w:val="008F7927"/>
    <w:rsid w:val="00900200"/>
    <w:rsid w:val="009009A0"/>
    <w:rsid w:val="0090405A"/>
    <w:rsid w:val="009048D4"/>
    <w:rsid w:val="00907EC0"/>
    <w:rsid w:val="0091022C"/>
    <w:rsid w:val="00911AE4"/>
    <w:rsid w:val="00912C64"/>
    <w:rsid w:val="0091327D"/>
    <w:rsid w:val="0091427C"/>
    <w:rsid w:val="00915975"/>
    <w:rsid w:val="00915B44"/>
    <w:rsid w:val="00916189"/>
    <w:rsid w:val="00917A0F"/>
    <w:rsid w:val="00921057"/>
    <w:rsid w:val="0092276B"/>
    <w:rsid w:val="00923AA1"/>
    <w:rsid w:val="00924A30"/>
    <w:rsid w:val="00924E34"/>
    <w:rsid w:val="0092529F"/>
    <w:rsid w:val="00925692"/>
    <w:rsid w:val="00925853"/>
    <w:rsid w:val="00926F32"/>
    <w:rsid w:val="0092782B"/>
    <w:rsid w:val="00933487"/>
    <w:rsid w:val="00933640"/>
    <w:rsid w:val="009336DA"/>
    <w:rsid w:val="00936AB7"/>
    <w:rsid w:val="00936C83"/>
    <w:rsid w:val="00937324"/>
    <w:rsid w:val="00940269"/>
    <w:rsid w:val="009414D7"/>
    <w:rsid w:val="00941A9D"/>
    <w:rsid w:val="00942DFE"/>
    <w:rsid w:val="00942EEB"/>
    <w:rsid w:val="00942FE0"/>
    <w:rsid w:val="00943161"/>
    <w:rsid w:val="00943A6D"/>
    <w:rsid w:val="00943CEA"/>
    <w:rsid w:val="00944CDC"/>
    <w:rsid w:val="00946365"/>
    <w:rsid w:val="00946792"/>
    <w:rsid w:val="009469AD"/>
    <w:rsid w:val="00947878"/>
    <w:rsid w:val="00950A9C"/>
    <w:rsid w:val="00952923"/>
    <w:rsid w:val="00952B31"/>
    <w:rsid w:val="009542FD"/>
    <w:rsid w:val="009547A4"/>
    <w:rsid w:val="009560E1"/>
    <w:rsid w:val="00956E1A"/>
    <w:rsid w:val="00957385"/>
    <w:rsid w:val="00957BA7"/>
    <w:rsid w:val="00957FAD"/>
    <w:rsid w:val="00962372"/>
    <w:rsid w:val="00962511"/>
    <w:rsid w:val="00962778"/>
    <w:rsid w:val="00962D14"/>
    <w:rsid w:val="00963506"/>
    <w:rsid w:val="0096351D"/>
    <w:rsid w:val="00963741"/>
    <w:rsid w:val="00963AEE"/>
    <w:rsid w:val="009640BC"/>
    <w:rsid w:val="00964886"/>
    <w:rsid w:val="0096549C"/>
    <w:rsid w:val="00965D35"/>
    <w:rsid w:val="00967B32"/>
    <w:rsid w:val="00970100"/>
    <w:rsid w:val="009724F8"/>
    <w:rsid w:val="009738FC"/>
    <w:rsid w:val="00973959"/>
    <w:rsid w:val="00977170"/>
    <w:rsid w:val="009800D4"/>
    <w:rsid w:val="00980136"/>
    <w:rsid w:val="00982563"/>
    <w:rsid w:val="00983FAB"/>
    <w:rsid w:val="009845F7"/>
    <w:rsid w:val="00984D8E"/>
    <w:rsid w:val="00985543"/>
    <w:rsid w:val="009857A4"/>
    <w:rsid w:val="00986885"/>
    <w:rsid w:val="00986BFA"/>
    <w:rsid w:val="00990A0B"/>
    <w:rsid w:val="00990CF4"/>
    <w:rsid w:val="009915CA"/>
    <w:rsid w:val="009920A4"/>
    <w:rsid w:val="00992699"/>
    <w:rsid w:val="00992E7F"/>
    <w:rsid w:val="00992EFE"/>
    <w:rsid w:val="00994D42"/>
    <w:rsid w:val="00995826"/>
    <w:rsid w:val="00995F64"/>
    <w:rsid w:val="0099614E"/>
    <w:rsid w:val="0099622D"/>
    <w:rsid w:val="009963E2"/>
    <w:rsid w:val="0099761B"/>
    <w:rsid w:val="009A1A2A"/>
    <w:rsid w:val="009A52C2"/>
    <w:rsid w:val="009A56E6"/>
    <w:rsid w:val="009A596B"/>
    <w:rsid w:val="009A6A04"/>
    <w:rsid w:val="009A7BA3"/>
    <w:rsid w:val="009B0DFD"/>
    <w:rsid w:val="009B17A1"/>
    <w:rsid w:val="009B42DD"/>
    <w:rsid w:val="009B4354"/>
    <w:rsid w:val="009B4523"/>
    <w:rsid w:val="009B48D1"/>
    <w:rsid w:val="009B4BC6"/>
    <w:rsid w:val="009B4D5E"/>
    <w:rsid w:val="009B60D9"/>
    <w:rsid w:val="009B7BD3"/>
    <w:rsid w:val="009C009F"/>
    <w:rsid w:val="009C0108"/>
    <w:rsid w:val="009C04D7"/>
    <w:rsid w:val="009C1973"/>
    <w:rsid w:val="009C357F"/>
    <w:rsid w:val="009C479F"/>
    <w:rsid w:val="009C4B52"/>
    <w:rsid w:val="009C53DB"/>
    <w:rsid w:val="009C569E"/>
    <w:rsid w:val="009C6AC7"/>
    <w:rsid w:val="009C6B29"/>
    <w:rsid w:val="009D093F"/>
    <w:rsid w:val="009D2D16"/>
    <w:rsid w:val="009D2FDF"/>
    <w:rsid w:val="009D30CD"/>
    <w:rsid w:val="009D37B2"/>
    <w:rsid w:val="009D4098"/>
    <w:rsid w:val="009D42EC"/>
    <w:rsid w:val="009D491E"/>
    <w:rsid w:val="009D5951"/>
    <w:rsid w:val="009D5CA2"/>
    <w:rsid w:val="009D5E55"/>
    <w:rsid w:val="009D67C1"/>
    <w:rsid w:val="009D77DF"/>
    <w:rsid w:val="009E00CD"/>
    <w:rsid w:val="009E0AC8"/>
    <w:rsid w:val="009E0CB9"/>
    <w:rsid w:val="009E0F4D"/>
    <w:rsid w:val="009E0FE6"/>
    <w:rsid w:val="009E2463"/>
    <w:rsid w:val="009E2A16"/>
    <w:rsid w:val="009E2B9A"/>
    <w:rsid w:val="009E3DDE"/>
    <w:rsid w:val="009E3F13"/>
    <w:rsid w:val="009E599D"/>
    <w:rsid w:val="009E667A"/>
    <w:rsid w:val="009E7321"/>
    <w:rsid w:val="009E758E"/>
    <w:rsid w:val="009E7ABE"/>
    <w:rsid w:val="009F07C0"/>
    <w:rsid w:val="009F0E44"/>
    <w:rsid w:val="009F107E"/>
    <w:rsid w:val="009F12AE"/>
    <w:rsid w:val="009F15EC"/>
    <w:rsid w:val="009F1EEF"/>
    <w:rsid w:val="009F3A81"/>
    <w:rsid w:val="009F3C61"/>
    <w:rsid w:val="009F41FB"/>
    <w:rsid w:val="009F442A"/>
    <w:rsid w:val="009F5AC5"/>
    <w:rsid w:val="009F5F11"/>
    <w:rsid w:val="009F6285"/>
    <w:rsid w:val="009F6316"/>
    <w:rsid w:val="009F6628"/>
    <w:rsid w:val="009F79D5"/>
    <w:rsid w:val="00A01162"/>
    <w:rsid w:val="00A02607"/>
    <w:rsid w:val="00A0285D"/>
    <w:rsid w:val="00A02A50"/>
    <w:rsid w:val="00A03327"/>
    <w:rsid w:val="00A038D8"/>
    <w:rsid w:val="00A0706F"/>
    <w:rsid w:val="00A07734"/>
    <w:rsid w:val="00A07900"/>
    <w:rsid w:val="00A13442"/>
    <w:rsid w:val="00A136CC"/>
    <w:rsid w:val="00A13BC2"/>
    <w:rsid w:val="00A13C60"/>
    <w:rsid w:val="00A158FB"/>
    <w:rsid w:val="00A15AF4"/>
    <w:rsid w:val="00A15DA0"/>
    <w:rsid w:val="00A16C52"/>
    <w:rsid w:val="00A16C5E"/>
    <w:rsid w:val="00A17D2F"/>
    <w:rsid w:val="00A17DC8"/>
    <w:rsid w:val="00A17FF2"/>
    <w:rsid w:val="00A20251"/>
    <w:rsid w:val="00A20625"/>
    <w:rsid w:val="00A2077E"/>
    <w:rsid w:val="00A20A84"/>
    <w:rsid w:val="00A21124"/>
    <w:rsid w:val="00A2151C"/>
    <w:rsid w:val="00A22018"/>
    <w:rsid w:val="00A22C35"/>
    <w:rsid w:val="00A24D9A"/>
    <w:rsid w:val="00A25B20"/>
    <w:rsid w:val="00A25DAA"/>
    <w:rsid w:val="00A26B31"/>
    <w:rsid w:val="00A26BF9"/>
    <w:rsid w:val="00A26E40"/>
    <w:rsid w:val="00A3411B"/>
    <w:rsid w:val="00A3476F"/>
    <w:rsid w:val="00A350E1"/>
    <w:rsid w:val="00A35DD2"/>
    <w:rsid w:val="00A361F4"/>
    <w:rsid w:val="00A365EB"/>
    <w:rsid w:val="00A366D2"/>
    <w:rsid w:val="00A3692C"/>
    <w:rsid w:val="00A3694E"/>
    <w:rsid w:val="00A36EC4"/>
    <w:rsid w:val="00A40798"/>
    <w:rsid w:val="00A40D09"/>
    <w:rsid w:val="00A43A75"/>
    <w:rsid w:val="00A46980"/>
    <w:rsid w:val="00A46DF1"/>
    <w:rsid w:val="00A46EF0"/>
    <w:rsid w:val="00A47937"/>
    <w:rsid w:val="00A47CC2"/>
    <w:rsid w:val="00A51F83"/>
    <w:rsid w:val="00A52F4C"/>
    <w:rsid w:val="00A53492"/>
    <w:rsid w:val="00A5478F"/>
    <w:rsid w:val="00A569A9"/>
    <w:rsid w:val="00A56DB5"/>
    <w:rsid w:val="00A57CDE"/>
    <w:rsid w:val="00A61596"/>
    <w:rsid w:val="00A62820"/>
    <w:rsid w:val="00A62A70"/>
    <w:rsid w:val="00A63AF0"/>
    <w:rsid w:val="00A63F51"/>
    <w:rsid w:val="00A64DAF"/>
    <w:rsid w:val="00A65303"/>
    <w:rsid w:val="00A65575"/>
    <w:rsid w:val="00A658A0"/>
    <w:rsid w:val="00A66C8D"/>
    <w:rsid w:val="00A67728"/>
    <w:rsid w:val="00A6781F"/>
    <w:rsid w:val="00A70391"/>
    <w:rsid w:val="00A71D42"/>
    <w:rsid w:val="00A72FC5"/>
    <w:rsid w:val="00A7358D"/>
    <w:rsid w:val="00A73DA0"/>
    <w:rsid w:val="00A7437A"/>
    <w:rsid w:val="00A74CB2"/>
    <w:rsid w:val="00A77018"/>
    <w:rsid w:val="00A803B9"/>
    <w:rsid w:val="00A80D50"/>
    <w:rsid w:val="00A818F8"/>
    <w:rsid w:val="00A81E65"/>
    <w:rsid w:val="00A81F7A"/>
    <w:rsid w:val="00A825FF"/>
    <w:rsid w:val="00A82E81"/>
    <w:rsid w:val="00A8466A"/>
    <w:rsid w:val="00A84D0E"/>
    <w:rsid w:val="00A851CC"/>
    <w:rsid w:val="00A86234"/>
    <w:rsid w:val="00A86F40"/>
    <w:rsid w:val="00A90DD3"/>
    <w:rsid w:val="00A92A28"/>
    <w:rsid w:val="00A92CC0"/>
    <w:rsid w:val="00A92E38"/>
    <w:rsid w:val="00A9340D"/>
    <w:rsid w:val="00A93695"/>
    <w:rsid w:val="00A936C8"/>
    <w:rsid w:val="00A9397F"/>
    <w:rsid w:val="00A93C05"/>
    <w:rsid w:val="00A9410E"/>
    <w:rsid w:val="00A96134"/>
    <w:rsid w:val="00A96A96"/>
    <w:rsid w:val="00A97C04"/>
    <w:rsid w:val="00A97D4C"/>
    <w:rsid w:val="00AA0DA4"/>
    <w:rsid w:val="00AA0DCF"/>
    <w:rsid w:val="00AA1A55"/>
    <w:rsid w:val="00AA3054"/>
    <w:rsid w:val="00AA3DB1"/>
    <w:rsid w:val="00AA3EF8"/>
    <w:rsid w:val="00AA47BF"/>
    <w:rsid w:val="00AA5376"/>
    <w:rsid w:val="00AA5889"/>
    <w:rsid w:val="00AA5A6B"/>
    <w:rsid w:val="00AA5CBD"/>
    <w:rsid w:val="00AA66C1"/>
    <w:rsid w:val="00AA6C90"/>
    <w:rsid w:val="00AA7B54"/>
    <w:rsid w:val="00AA7DE2"/>
    <w:rsid w:val="00AB177D"/>
    <w:rsid w:val="00AB18E8"/>
    <w:rsid w:val="00AB2DC6"/>
    <w:rsid w:val="00AB338B"/>
    <w:rsid w:val="00AB37A0"/>
    <w:rsid w:val="00AB3DDF"/>
    <w:rsid w:val="00AB607A"/>
    <w:rsid w:val="00AB66E2"/>
    <w:rsid w:val="00AB6B6E"/>
    <w:rsid w:val="00AB7813"/>
    <w:rsid w:val="00AB7DA0"/>
    <w:rsid w:val="00AB7DC7"/>
    <w:rsid w:val="00AC07B1"/>
    <w:rsid w:val="00AC1097"/>
    <w:rsid w:val="00AC1166"/>
    <w:rsid w:val="00AC1C8D"/>
    <w:rsid w:val="00AC2832"/>
    <w:rsid w:val="00AC3A64"/>
    <w:rsid w:val="00AC50E4"/>
    <w:rsid w:val="00AC74EE"/>
    <w:rsid w:val="00AD22BC"/>
    <w:rsid w:val="00AD27C9"/>
    <w:rsid w:val="00AD3F71"/>
    <w:rsid w:val="00AD5921"/>
    <w:rsid w:val="00AE0D26"/>
    <w:rsid w:val="00AE1D7C"/>
    <w:rsid w:val="00AE1E9D"/>
    <w:rsid w:val="00AE3064"/>
    <w:rsid w:val="00AE3167"/>
    <w:rsid w:val="00AE3171"/>
    <w:rsid w:val="00AE3CA7"/>
    <w:rsid w:val="00AE3CB6"/>
    <w:rsid w:val="00AE4AF5"/>
    <w:rsid w:val="00AE61B7"/>
    <w:rsid w:val="00AE6B82"/>
    <w:rsid w:val="00AE7558"/>
    <w:rsid w:val="00AE7CFD"/>
    <w:rsid w:val="00AF14C2"/>
    <w:rsid w:val="00AF1BD5"/>
    <w:rsid w:val="00AF3D37"/>
    <w:rsid w:val="00AF46A9"/>
    <w:rsid w:val="00AF4DAB"/>
    <w:rsid w:val="00AF71F0"/>
    <w:rsid w:val="00AF79AD"/>
    <w:rsid w:val="00B015B5"/>
    <w:rsid w:val="00B016F0"/>
    <w:rsid w:val="00B01FA4"/>
    <w:rsid w:val="00B028FD"/>
    <w:rsid w:val="00B03159"/>
    <w:rsid w:val="00B03844"/>
    <w:rsid w:val="00B03FD0"/>
    <w:rsid w:val="00B040C1"/>
    <w:rsid w:val="00B05ECF"/>
    <w:rsid w:val="00B05F01"/>
    <w:rsid w:val="00B060CA"/>
    <w:rsid w:val="00B07C61"/>
    <w:rsid w:val="00B10DA7"/>
    <w:rsid w:val="00B12650"/>
    <w:rsid w:val="00B126A1"/>
    <w:rsid w:val="00B12B97"/>
    <w:rsid w:val="00B13D90"/>
    <w:rsid w:val="00B15922"/>
    <w:rsid w:val="00B16506"/>
    <w:rsid w:val="00B17763"/>
    <w:rsid w:val="00B179E4"/>
    <w:rsid w:val="00B200AE"/>
    <w:rsid w:val="00B20904"/>
    <w:rsid w:val="00B20A22"/>
    <w:rsid w:val="00B21D25"/>
    <w:rsid w:val="00B22213"/>
    <w:rsid w:val="00B22CF0"/>
    <w:rsid w:val="00B25558"/>
    <w:rsid w:val="00B255A1"/>
    <w:rsid w:val="00B25DFA"/>
    <w:rsid w:val="00B25F0C"/>
    <w:rsid w:val="00B26066"/>
    <w:rsid w:val="00B26726"/>
    <w:rsid w:val="00B27EC6"/>
    <w:rsid w:val="00B30750"/>
    <w:rsid w:val="00B3081A"/>
    <w:rsid w:val="00B31ADF"/>
    <w:rsid w:val="00B31D4D"/>
    <w:rsid w:val="00B332A4"/>
    <w:rsid w:val="00B34306"/>
    <w:rsid w:val="00B34358"/>
    <w:rsid w:val="00B34382"/>
    <w:rsid w:val="00B34A21"/>
    <w:rsid w:val="00B364E0"/>
    <w:rsid w:val="00B370EE"/>
    <w:rsid w:val="00B37863"/>
    <w:rsid w:val="00B37D64"/>
    <w:rsid w:val="00B40C34"/>
    <w:rsid w:val="00B4289B"/>
    <w:rsid w:val="00B43BBD"/>
    <w:rsid w:val="00B447BE"/>
    <w:rsid w:val="00B4496D"/>
    <w:rsid w:val="00B45C1F"/>
    <w:rsid w:val="00B50533"/>
    <w:rsid w:val="00B508FE"/>
    <w:rsid w:val="00B5094A"/>
    <w:rsid w:val="00B50A26"/>
    <w:rsid w:val="00B52C0B"/>
    <w:rsid w:val="00B52DBF"/>
    <w:rsid w:val="00B54DE2"/>
    <w:rsid w:val="00B55695"/>
    <w:rsid w:val="00B55B76"/>
    <w:rsid w:val="00B55DBA"/>
    <w:rsid w:val="00B56788"/>
    <w:rsid w:val="00B56EC9"/>
    <w:rsid w:val="00B57C45"/>
    <w:rsid w:val="00B6023E"/>
    <w:rsid w:val="00B60570"/>
    <w:rsid w:val="00B607B9"/>
    <w:rsid w:val="00B61BDD"/>
    <w:rsid w:val="00B62520"/>
    <w:rsid w:val="00B62944"/>
    <w:rsid w:val="00B63098"/>
    <w:rsid w:val="00B631A9"/>
    <w:rsid w:val="00B668CB"/>
    <w:rsid w:val="00B67EC7"/>
    <w:rsid w:val="00B70007"/>
    <w:rsid w:val="00B70028"/>
    <w:rsid w:val="00B70BB5"/>
    <w:rsid w:val="00B721F4"/>
    <w:rsid w:val="00B729B5"/>
    <w:rsid w:val="00B73014"/>
    <w:rsid w:val="00B73959"/>
    <w:rsid w:val="00B74781"/>
    <w:rsid w:val="00B74DCF"/>
    <w:rsid w:val="00B77F73"/>
    <w:rsid w:val="00B8022A"/>
    <w:rsid w:val="00B80B10"/>
    <w:rsid w:val="00B81B5C"/>
    <w:rsid w:val="00B820F9"/>
    <w:rsid w:val="00B82D25"/>
    <w:rsid w:val="00B84E75"/>
    <w:rsid w:val="00B86BC3"/>
    <w:rsid w:val="00B86E2F"/>
    <w:rsid w:val="00B87B68"/>
    <w:rsid w:val="00B90A91"/>
    <w:rsid w:val="00B9220E"/>
    <w:rsid w:val="00B9264D"/>
    <w:rsid w:val="00B92AA2"/>
    <w:rsid w:val="00B92D09"/>
    <w:rsid w:val="00B931BB"/>
    <w:rsid w:val="00B9351F"/>
    <w:rsid w:val="00B9375E"/>
    <w:rsid w:val="00B93976"/>
    <w:rsid w:val="00B94686"/>
    <w:rsid w:val="00B97BAB"/>
    <w:rsid w:val="00BA06A1"/>
    <w:rsid w:val="00BA0BDF"/>
    <w:rsid w:val="00BA17DF"/>
    <w:rsid w:val="00BA1978"/>
    <w:rsid w:val="00BA1E6A"/>
    <w:rsid w:val="00BA2C8D"/>
    <w:rsid w:val="00BA2F50"/>
    <w:rsid w:val="00BA38EC"/>
    <w:rsid w:val="00BA3AD8"/>
    <w:rsid w:val="00BA3E0B"/>
    <w:rsid w:val="00BA3EB9"/>
    <w:rsid w:val="00BA4088"/>
    <w:rsid w:val="00BA5616"/>
    <w:rsid w:val="00BB090F"/>
    <w:rsid w:val="00BB0BF9"/>
    <w:rsid w:val="00BB0D54"/>
    <w:rsid w:val="00BB1429"/>
    <w:rsid w:val="00BB22F4"/>
    <w:rsid w:val="00BB29B8"/>
    <w:rsid w:val="00BB310C"/>
    <w:rsid w:val="00BB38E4"/>
    <w:rsid w:val="00BB57D3"/>
    <w:rsid w:val="00BB7112"/>
    <w:rsid w:val="00BC012A"/>
    <w:rsid w:val="00BC05BB"/>
    <w:rsid w:val="00BC0807"/>
    <w:rsid w:val="00BC2970"/>
    <w:rsid w:val="00BD0653"/>
    <w:rsid w:val="00BD08BF"/>
    <w:rsid w:val="00BD1027"/>
    <w:rsid w:val="00BD1F85"/>
    <w:rsid w:val="00BD51CD"/>
    <w:rsid w:val="00BD51EB"/>
    <w:rsid w:val="00BD5FBF"/>
    <w:rsid w:val="00BD6C0F"/>
    <w:rsid w:val="00BD71E0"/>
    <w:rsid w:val="00BD7AE2"/>
    <w:rsid w:val="00BE14F4"/>
    <w:rsid w:val="00BE1531"/>
    <w:rsid w:val="00BE15E2"/>
    <w:rsid w:val="00BE33C3"/>
    <w:rsid w:val="00BE3DED"/>
    <w:rsid w:val="00BE48BA"/>
    <w:rsid w:val="00BE5094"/>
    <w:rsid w:val="00BE51D5"/>
    <w:rsid w:val="00BE6443"/>
    <w:rsid w:val="00BE6BB5"/>
    <w:rsid w:val="00BE6D63"/>
    <w:rsid w:val="00BE7CB7"/>
    <w:rsid w:val="00BF160B"/>
    <w:rsid w:val="00BF1CE4"/>
    <w:rsid w:val="00BF2285"/>
    <w:rsid w:val="00BF2C6F"/>
    <w:rsid w:val="00BF2CCA"/>
    <w:rsid w:val="00BF3AFB"/>
    <w:rsid w:val="00BF3CD6"/>
    <w:rsid w:val="00BF433B"/>
    <w:rsid w:val="00BF43C6"/>
    <w:rsid w:val="00BF533B"/>
    <w:rsid w:val="00BF57F5"/>
    <w:rsid w:val="00BF5CA7"/>
    <w:rsid w:val="00BF5F01"/>
    <w:rsid w:val="00BF6A2B"/>
    <w:rsid w:val="00C00146"/>
    <w:rsid w:val="00C003C1"/>
    <w:rsid w:val="00C01DF7"/>
    <w:rsid w:val="00C02A59"/>
    <w:rsid w:val="00C05BAE"/>
    <w:rsid w:val="00C05CDD"/>
    <w:rsid w:val="00C075BB"/>
    <w:rsid w:val="00C07AA0"/>
    <w:rsid w:val="00C10920"/>
    <w:rsid w:val="00C1164B"/>
    <w:rsid w:val="00C11EFD"/>
    <w:rsid w:val="00C130CD"/>
    <w:rsid w:val="00C13DC8"/>
    <w:rsid w:val="00C146A1"/>
    <w:rsid w:val="00C14B97"/>
    <w:rsid w:val="00C1507F"/>
    <w:rsid w:val="00C153A5"/>
    <w:rsid w:val="00C15625"/>
    <w:rsid w:val="00C15823"/>
    <w:rsid w:val="00C161C7"/>
    <w:rsid w:val="00C165C7"/>
    <w:rsid w:val="00C168CF"/>
    <w:rsid w:val="00C16DD4"/>
    <w:rsid w:val="00C200D6"/>
    <w:rsid w:val="00C201A9"/>
    <w:rsid w:val="00C2144E"/>
    <w:rsid w:val="00C2159E"/>
    <w:rsid w:val="00C2164A"/>
    <w:rsid w:val="00C219E6"/>
    <w:rsid w:val="00C224EA"/>
    <w:rsid w:val="00C22A50"/>
    <w:rsid w:val="00C23063"/>
    <w:rsid w:val="00C27E80"/>
    <w:rsid w:val="00C3069D"/>
    <w:rsid w:val="00C320C9"/>
    <w:rsid w:val="00C32A02"/>
    <w:rsid w:val="00C32A2E"/>
    <w:rsid w:val="00C33369"/>
    <w:rsid w:val="00C33FC9"/>
    <w:rsid w:val="00C347F8"/>
    <w:rsid w:val="00C35923"/>
    <w:rsid w:val="00C359AF"/>
    <w:rsid w:val="00C37500"/>
    <w:rsid w:val="00C407BE"/>
    <w:rsid w:val="00C41A00"/>
    <w:rsid w:val="00C41DC9"/>
    <w:rsid w:val="00C41F89"/>
    <w:rsid w:val="00C426E1"/>
    <w:rsid w:val="00C42791"/>
    <w:rsid w:val="00C427D9"/>
    <w:rsid w:val="00C436DF"/>
    <w:rsid w:val="00C44AC5"/>
    <w:rsid w:val="00C46C97"/>
    <w:rsid w:val="00C47AF4"/>
    <w:rsid w:val="00C50BE8"/>
    <w:rsid w:val="00C50C06"/>
    <w:rsid w:val="00C52817"/>
    <w:rsid w:val="00C52C53"/>
    <w:rsid w:val="00C52D0F"/>
    <w:rsid w:val="00C53624"/>
    <w:rsid w:val="00C537F2"/>
    <w:rsid w:val="00C5409D"/>
    <w:rsid w:val="00C567F2"/>
    <w:rsid w:val="00C56FD8"/>
    <w:rsid w:val="00C579DE"/>
    <w:rsid w:val="00C57BE8"/>
    <w:rsid w:val="00C57DA9"/>
    <w:rsid w:val="00C60F78"/>
    <w:rsid w:val="00C613A9"/>
    <w:rsid w:val="00C61EA9"/>
    <w:rsid w:val="00C63369"/>
    <w:rsid w:val="00C640E6"/>
    <w:rsid w:val="00C6479A"/>
    <w:rsid w:val="00C656C1"/>
    <w:rsid w:val="00C65A54"/>
    <w:rsid w:val="00C66A0D"/>
    <w:rsid w:val="00C67A5E"/>
    <w:rsid w:val="00C7239D"/>
    <w:rsid w:val="00C725BD"/>
    <w:rsid w:val="00C72D18"/>
    <w:rsid w:val="00C7307D"/>
    <w:rsid w:val="00C733D5"/>
    <w:rsid w:val="00C75B5E"/>
    <w:rsid w:val="00C76557"/>
    <w:rsid w:val="00C76929"/>
    <w:rsid w:val="00C76DED"/>
    <w:rsid w:val="00C7722A"/>
    <w:rsid w:val="00C80E95"/>
    <w:rsid w:val="00C812B3"/>
    <w:rsid w:val="00C812C8"/>
    <w:rsid w:val="00C83BF9"/>
    <w:rsid w:val="00C8485D"/>
    <w:rsid w:val="00C85738"/>
    <w:rsid w:val="00C85C08"/>
    <w:rsid w:val="00C8640E"/>
    <w:rsid w:val="00C86F43"/>
    <w:rsid w:val="00C87C41"/>
    <w:rsid w:val="00C907D2"/>
    <w:rsid w:val="00C90B32"/>
    <w:rsid w:val="00C90F7D"/>
    <w:rsid w:val="00C91169"/>
    <w:rsid w:val="00C912C2"/>
    <w:rsid w:val="00C91719"/>
    <w:rsid w:val="00C92921"/>
    <w:rsid w:val="00C92BF1"/>
    <w:rsid w:val="00C9351A"/>
    <w:rsid w:val="00C935C1"/>
    <w:rsid w:val="00C9573B"/>
    <w:rsid w:val="00C96349"/>
    <w:rsid w:val="00C963AC"/>
    <w:rsid w:val="00C964FD"/>
    <w:rsid w:val="00C96E6B"/>
    <w:rsid w:val="00C970AB"/>
    <w:rsid w:val="00C97483"/>
    <w:rsid w:val="00CA209D"/>
    <w:rsid w:val="00CA2325"/>
    <w:rsid w:val="00CA24DE"/>
    <w:rsid w:val="00CA2731"/>
    <w:rsid w:val="00CA2F1E"/>
    <w:rsid w:val="00CA6646"/>
    <w:rsid w:val="00CA6FAC"/>
    <w:rsid w:val="00CA7050"/>
    <w:rsid w:val="00CA7541"/>
    <w:rsid w:val="00CB08A7"/>
    <w:rsid w:val="00CB3388"/>
    <w:rsid w:val="00CB39EA"/>
    <w:rsid w:val="00CB61B9"/>
    <w:rsid w:val="00CB64C5"/>
    <w:rsid w:val="00CB6E5C"/>
    <w:rsid w:val="00CB6EA6"/>
    <w:rsid w:val="00CB75A8"/>
    <w:rsid w:val="00CB7646"/>
    <w:rsid w:val="00CB768C"/>
    <w:rsid w:val="00CB7CC6"/>
    <w:rsid w:val="00CC0531"/>
    <w:rsid w:val="00CC1AEE"/>
    <w:rsid w:val="00CC28FE"/>
    <w:rsid w:val="00CC39B5"/>
    <w:rsid w:val="00CC3C3D"/>
    <w:rsid w:val="00CC3D78"/>
    <w:rsid w:val="00CC48A9"/>
    <w:rsid w:val="00CC56BF"/>
    <w:rsid w:val="00CC5886"/>
    <w:rsid w:val="00CC5E31"/>
    <w:rsid w:val="00CC6529"/>
    <w:rsid w:val="00CD0B4C"/>
    <w:rsid w:val="00CD13AB"/>
    <w:rsid w:val="00CD1A42"/>
    <w:rsid w:val="00CD418C"/>
    <w:rsid w:val="00CD6A06"/>
    <w:rsid w:val="00CD7168"/>
    <w:rsid w:val="00CD73E8"/>
    <w:rsid w:val="00CE0553"/>
    <w:rsid w:val="00CE0845"/>
    <w:rsid w:val="00CE0906"/>
    <w:rsid w:val="00CE0D83"/>
    <w:rsid w:val="00CE1720"/>
    <w:rsid w:val="00CE1A2E"/>
    <w:rsid w:val="00CE1E4E"/>
    <w:rsid w:val="00CE2F7B"/>
    <w:rsid w:val="00CE52EA"/>
    <w:rsid w:val="00CE5F6E"/>
    <w:rsid w:val="00CE669C"/>
    <w:rsid w:val="00CE6F96"/>
    <w:rsid w:val="00CE7887"/>
    <w:rsid w:val="00CE7F7C"/>
    <w:rsid w:val="00CF0ED5"/>
    <w:rsid w:val="00CF1FED"/>
    <w:rsid w:val="00CF33A3"/>
    <w:rsid w:val="00CF3FE0"/>
    <w:rsid w:val="00CF5A42"/>
    <w:rsid w:val="00CF6215"/>
    <w:rsid w:val="00CF6C7D"/>
    <w:rsid w:val="00CF6D25"/>
    <w:rsid w:val="00CF7DB5"/>
    <w:rsid w:val="00D00364"/>
    <w:rsid w:val="00D00409"/>
    <w:rsid w:val="00D00C96"/>
    <w:rsid w:val="00D02622"/>
    <w:rsid w:val="00D02FF0"/>
    <w:rsid w:val="00D03D56"/>
    <w:rsid w:val="00D04DAB"/>
    <w:rsid w:val="00D055FC"/>
    <w:rsid w:val="00D05FA6"/>
    <w:rsid w:val="00D0636D"/>
    <w:rsid w:val="00D06917"/>
    <w:rsid w:val="00D06DBC"/>
    <w:rsid w:val="00D07A5B"/>
    <w:rsid w:val="00D07EFF"/>
    <w:rsid w:val="00D1004B"/>
    <w:rsid w:val="00D11973"/>
    <w:rsid w:val="00D11FCE"/>
    <w:rsid w:val="00D121D7"/>
    <w:rsid w:val="00D1222A"/>
    <w:rsid w:val="00D13117"/>
    <w:rsid w:val="00D134BC"/>
    <w:rsid w:val="00D13DC0"/>
    <w:rsid w:val="00D149AA"/>
    <w:rsid w:val="00D16174"/>
    <w:rsid w:val="00D17905"/>
    <w:rsid w:val="00D17C90"/>
    <w:rsid w:val="00D219CC"/>
    <w:rsid w:val="00D2359D"/>
    <w:rsid w:val="00D2360E"/>
    <w:rsid w:val="00D23B97"/>
    <w:rsid w:val="00D24D96"/>
    <w:rsid w:val="00D25403"/>
    <w:rsid w:val="00D25463"/>
    <w:rsid w:val="00D254F2"/>
    <w:rsid w:val="00D26D0F"/>
    <w:rsid w:val="00D26DFD"/>
    <w:rsid w:val="00D27311"/>
    <w:rsid w:val="00D27440"/>
    <w:rsid w:val="00D2767F"/>
    <w:rsid w:val="00D2798F"/>
    <w:rsid w:val="00D30113"/>
    <w:rsid w:val="00D3179B"/>
    <w:rsid w:val="00D3353C"/>
    <w:rsid w:val="00D33574"/>
    <w:rsid w:val="00D33FB9"/>
    <w:rsid w:val="00D3466F"/>
    <w:rsid w:val="00D348E7"/>
    <w:rsid w:val="00D37A48"/>
    <w:rsid w:val="00D37D54"/>
    <w:rsid w:val="00D4141D"/>
    <w:rsid w:val="00D41795"/>
    <w:rsid w:val="00D417F2"/>
    <w:rsid w:val="00D41B64"/>
    <w:rsid w:val="00D41DD7"/>
    <w:rsid w:val="00D4551C"/>
    <w:rsid w:val="00D45C76"/>
    <w:rsid w:val="00D46086"/>
    <w:rsid w:val="00D46188"/>
    <w:rsid w:val="00D46A9A"/>
    <w:rsid w:val="00D50844"/>
    <w:rsid w:val="00D50B32"/>
    <w:rsid w:val="00D50C53"/>
    <w:rsid w:val="00D5394D"/>
    <w:rsid w:val="00D53DEB"/>
    <w:rsid w:val="00D54743"/>
    <w:rsid w:val="00D5490E"/>
    <w:rsid w:val="00D561E2"/>
    <w:rsid w:val="00D56588"/>
    <w:rsid w:val="00D60389"/>
    <w:rsid w:val="00D60DFD"/>
    <w:rsid w:val="00D61706"/>
    <w:rsid w:val="00D62E1B"/>
    <w:rsid w:val="00D63590"/>
    <w:rsid w:val="00D63920"/>
    <w:rsid w:val="00D6450E"/>
    <w:rsid w:val="00D648C4"/>
    <w:rsid w:val="00D65112"/>
    <w:rsid w:val="00D65CB4"/>
    <w:rsid w:val="00D65E82"/>
    <w:rsid w:val="00D66D83"/>
    <w:rsid w:val="00D67883"/>
    <w:rsid w:val="00D705D6"/>
    <w:rsid w:val="00D706F7"/>
    <w:rsid w:val="00D7185D"/>
    <w:rsid w:val="00D71F1D"/>
    <w:rsid w:val="00D720D6"/>
    <w:rsid w:val="00D7216C"/>
    <w:rsid w:val="00D735CD"/>
    <w:rsid w:val="00D75EF8"/>
    <w:rsid w:val="00D766BD"/>
    <w:rsid w:val="00D76E64"/>
    <w:rsid w:val="00D802EB"/>
    <w:rsid w:val="00D83849"/>
    <w:rsid w:val="00D83E69"/>
    <w:rsid w:val="00D84CD4"/>
    <w:rsid w:val="00D8537E"/>
    <w:rsid w:val="00D902FD"/>
    <w:rsid w:val="00D90B8A"/>
    <w:rsid w:val="00D90C1C"/>
    <w:rsid w:val="00D91DE1"/>
    <w:rsid w:val="00D935C7"/>
    <w:rsid w:val="00D937D7"/>
    <w:rsid w:val="00D94F9D"/>
    <w:rsid w:val="00D956AE"/>
    <w:rsid w:val="00D969C4"/>
    <w:rsid w:val="00D97A93"/>
    <w:rsid w:val="00DA0685"/>
    <w:rsid w:val="00DA0F8D"/>
    <w:rsid w:val="00DA15A4"/>
    <w:rsid w:val="00DA1B3B"/>
    <w:rsid w:val="00DA223B"/>
    <w:rsid w:val="00DA353F"/>
    <w:rsid w:val="00DA47B8"/>
    <w:rsid w:val="00DA5475"/>
    <w:rsid w:val="00DA5CDF"/>
    <w:rsid w:val="00DA7C0C"/>
    <w:rsid w:val="00DB10AF"/>
    <w:rsid w:val="00DB1ABF"/>
    <w:rsid w:val="00DB2D79"/>
    <w:rsid w:val="00DB3056"/>
    <w:rsid w:val="00DB30E1"/>
    <w:rsid w:val="00DB580C"/>
    <w:rsid w:val="00DB72BA"/>
    <w:rsid w:val="00DC08DA"/>
    <w:rsid w:val="00DC1691"/>
    <w:rsid w:val="00DC2C4C"/>
    <w:rsid w:val="00DC2FE0"/>
    <w:rsid w:val="00DC3080"/>
    <w:rsid w:val="00DC43BB"/>
    <w:rsid w:val="00DC5A12"/>
    <w:rsid w:val="00DC6979"/>
    <w:rsid w:val="00DC6B17"/>
    <w:rsid w:val="00DD05AB"/>
    <w:rsid w:val="00DD0A28"/>
    <w:rsid w:val="00DD0E28"/>
    <w:rsid w:val="00DD1185"/>
    <w:rsid w:val="00DD132B"/>
    <w:rsid w:val="00DD1A4B"/>
    <w:rsid w:val="00DD1EE8"/>
    <w:rsid w:val="00DD3FDF"/>
    <w:rsid w:val="00DD4E54"/>
    <w:rsid w:val="00DD5F15"/>
    <w:rsid w:val="00DD62F9"/>
    <w:rsid w:val="00DD6E74"/>
    <w:rsid w:val="00DD7D3D"/>
    <w:rsid w:val="00DE174F"/>
    <w:rsid w:val="00DE3842"/>
    <w:rsid w:val="00DE46CF"/>
    <w:rsid w:val="00DE5F02"/>
    <w:rsid w:val="00DE618F"/>
    <w:rsid w:val="00DE6735"/>
    <w:rsid w:val="00DE6B73"/>
    <w:rsid w:val="00DF032B"/>
    <w:rsid w:val="00DF09F8"/>
    <w:rsid w:val="00DF162B"/>
    <w:rsid w:val="00DF1A2D"/>
    <w:rsid w:val="00DF2F6B"/>
    <w:rsid w:val="00DF4AC0"/>
    <w:rsid w:val="00DF5A61"/>
    <w:rsid w:val="00DF7737"/>
    <w:rsid w:val="00DF7E16"/>
    <w:rsid w:val="00E01B0A"/>
    <w:rsid w:val="00E01D76"/>
    <w:rsid w:val="00E023F7"/>
    <w:rsid w:val="00E04188"/>
    <w:rsid w:val="00E04943"/>
    <w:rsid w:val="00E05CD1"/>
    <w:rsid w:val="00E07DB8"/>
    <w:rsid w:val="00E07DF1"/>
    <w:rsid w:val="00E105B5"/>
    <w:rsid w:val="00E10ADD"/>
    <w:rsid w:val="00E11108"/>
    <w:rsid w:val="00E115B8"/>
    <w:rsid w:val="00E14006"/>
    <w:rsid w:val="00E147DE"/>
    <w:rsid w:val="00E14A55"/>
    <w:rsid w:val="00E14D05"/>
    <w:rsid w:val="00E155E3"/>
    <w:rsid w:val="00E16030"/>
    <w:rsid w:val="00E162C9"/>
    <w:rsid w:val="00E17465"/>
    <w:rsid w:val="00E1772E"/>
    <w:rsid w:val="00E177E1"/>
    <w:rsid w:val="00E200FD"/>
    <w:rsid w:val="00E20110"/>
    <w:rsid w:val="00E20B81"/>
    <w:rsid w:val="00E20E04"/>
    <w:rsid w:val="00E22D1C"/>
    <w:rsid w:val="00E2311D"/>
    <w:rsid w:val="00E236A2"/>
    <w:rsid w:val="00E23ED5"/>
    <w:rsid w:val="00E24197"/>
    <w:rsid w:val="00E252A8"/>
    <w:rsid w:val="00E252E2"/>
    <w:rsid w:val="00E2600C"/>
    <w:rsid w:val="00E26B89"/>
    <w:rsid w:val="00E271F9"/>
    <w:rsid w:val="00E27291"/>
    <w:rsid w:val="00E272E5"/>
    <w:rsid w:val="00E27C25"/>
    <w:rsid w:val="00E31C12"/>
    <w:rsid w:val="00E32463"/>
    <w:rsid w:val="00E32DB9"/>
    <w:rsid w:val="00E33B5E"/>
    <w:rsid w:val="00E33C94"/>
    <w:rsid w:val="00E360C5"/>
    <w:rsid w:val="00E410BA"/>
    <w:rsid w:val="00E41262"/>
    <w:rsid w:val="00E42F85"/>
    <w:rsid w:val="00E430DF"/>
    <w:rsid w:val="00E449B1"/>
    <w:rsid w:val="00E44B75"/>
    <w:rsid w:val="00E45366"/>
    <w:rsid w:val="00E462F2"/>
    <w:rsid w:val="00E51986"/>
    <w:rsid w:val="00E5217F"/>
    <w:rsid w:val="00E521B4"/>
    <w:rsid w:val="00E52269"/>
    <w:rsid w:val="00E52B97"/>
    <w:rsid w:val="00E5399C"/>
    <w:rsid w:val="00E54321"/>
    <w:rsid w:val="00E54CD4"/>
    <w:rsid w:val="00E54DE3"/>
    <w:rsid w:val="00E561CB"/>
    <w:rsid w:val="00E5748B"/>
    <w:rsid w:val="00E5760C"/>
    <w:rsid w:val="00E6012F"/>
    <w:rsid w:val="00E60F47"/>
    <w:rsid w:val="00E620FC"/>
    <w:rsid w:val="00E62973"/>
    <w:rsid w:val="00E63949"/>
    <w:rsid w:val="00E64E62"/>
    <w:rsid w:val="00E65342"/>
    <w:rsid w:val="00E6612D"/>
    <w:rsid w:val="00E672B5"/>
    <w:rsid w:val="00E67798"/>
    <w:rsid w:val="00E678A3"/>
    <w:rsid w:val="00E71D00"/>
    <w:rsid w:val="00E73131"/>
    <w:rsid w:val="00E74E6E"/>
    <w:rsid w:val="00E75D02"/>
    <w:rsid w:val="00E76F30"/>
    <w:rsid w:val="00E77365"/>
    <w:rsid w:val="00E80077"/>
    <w:rsid w:val="00E82112"/>
    <w:rsid w:val="00E82A4E"/>
    <w:rsid w:val="00E84316"/>
    <w:rsid w:val="00E84817"/>
    <w:rsid w:val="00E84A0A"/>
    <w:rsid w:val="00E85456"/>
    <w:rsid w:val="00E85661"/>
    <w:rsid w:val="00E85E4D"/>
    <w:rsid w:val="00E85EB3"/>
    <w:rsid w:val="00E86861"/>
    <w:rsid w:val="00E8722F"/>
    <w:rsid w:val="00E8768E"/>
    <w:rsid w:val="00E8772B"/>
    <w:rsid w:val="00E879E1"/>
    <w:rsid w:val="00E9199C"/>
    <w:rsid w:val="00E9333A"/>
    <w:rsid w:val="00E9418F"/>
    <w:rsid w:val="00E949C7"/>
    <w:rsid w:val="00E95A76"/>
    <w:rsid w:val="00E96231"/>
    <w:rsid w:val="00E96BDB"/>
    <w:rsid w:val="00E96F1C"/>
    <w:rsid w:val="00E9709B"/>
    <w:rsid w:val="00E97C87"/>
    <w:rsid w:val="00EA3279"/>
    <w:rsid w:val="00EA42EB"/>
    <w:rsid w:val="00EA45B8"/>
    <w:rsid w:val="00EA484A"/>
    <w:rsid w:val="00EA5565"/>
    <w:rsid w:val="00EA5693"/>
    <w:rsid w:val="00EA619B"/>
    <w:rsid w:val="00EA6E9D"/>
    <w:rsid w:val="00EA7DBD"/>
    <w:rsid w:val="00EB0169"/>
    <w:rsid w:val="00EB0721"/>
    <w:rsid w:val="00EB075F"/>
    <w:rsid w:val="00EB0AE6"/>
    <w:rsid w:val="00EB0B56"/>
    <w:rsid w:val="00EB0BF3"/>
    <w:rsid w:val="00EB132A"/>
    <w:rsid w:val="00EB1A5E"/>
    <w:rsid w:val="00EB1F13"/>
    <w:rsid w:val="00EB2034"/>
    <w:rsid w:val="00EB2CAC"/>
    <w:rsid w:val="00EB31BB"/>
    <w:rsid w:val="00EB38DD"/>
    <w:rsid w:val="00EB435A"/>
    <w:rsid w:val="00EB54FF"/>
    <w:rsid w:val="00EB5B26"/>
    <w:rsid w:val="00EB5E1A"/>
    <w:rsid w:val="00EB771C"/>
    <w:rsid w:val="00EB7F77"/>
    <w:rsid w:val="00EC123D"/>
    <w:rsid w:val="00EC1DB8"/>
    <w:rsid w:val="00EC1F83"/>
    <w:rsid w:val="00EC4D38"/>
    <w:rsid w:val="00EC613E"/>
    <w:rsid w:val="00EC6283"/>
    <w:rsid w:val="00EC657B"/>
    <w:rsid w:val="00EC69A9"/>
    <w:rsid w:val="00ED00CB"/>
    <w:rsid w:val="00ED01FE"/>
    <w:rsid w:val="00ED3378"/>
    <w:rsid w:val="00ED47D2"/>
    <w:rsid w:val="00ED49E9"/>
    <w:rsid w:val="00ED5102"/>
    <w:rsid w:val="00ED553D"/>
    <w:rsid w:val="00ED6189"/>
    <w:rsid w:val="00EE04EF"/>
    <w:rsid w:val="00EE0741"/>
    <w:rsid w:val="00EE0900"/>
    <w:rsid w:val="00EE0EF5"/>
    <w:rsid w:val="00EE1812"/>
    <w:rsid w:val="00EE219F"/>
    <w:rsid w:val="00EE24EC"/>
    <w:rsid w:val="00EE3577"/>
    <w:rsid w:val="00EE4A57"/>
    <w:rsid w:val="00EE4EF3"/>
    <w:rsid w:val="00EF0D32"/>
    <w:rsid w:val="00EF1E1F"/>
    <w:rsid w:val="00EF297A"/>
    <w:rsid w:val="00EF3B2D"/>
    <w:rsid w:val="00EF5211"/>
    <w:rsid w:val="00EF72D2"/>
    <w:rsid w:val="00EF7B76"/>
    <w:rsid w:val="00F01A85"/>
    <w:rsid w:val="00F01EA8"/>
    <w:rsid w:val="00F02B85"/>
    <w:rsid w:val="00F03C60"/>
    <w:rsid w:val="00F0417E"/>
    <w:rsid w:val="00F05028"/>
    <w:rsid w:val="00F05271"/>
    <w:rsid w:val="00F06780"/>
    <w:rsid w:val="00F0782C"/>
    <w:rsid w:val="00F11AC1"/>
    <w:rsid w:val="00F136CB"/>
    <w:rsid w:val="00F14D1C"/>
    <w:rsid w:val="00F1520A"/>
    <w:rsid w:val="00F174B2"/>
    <w:rsid w:val="00F21BC5"/>
    <w:rsid w:val="00F22B7D"/>
    <w:rsid w:val="00F22F45"/>
    <w:rsid w:val="00F23FC3"/>
    <w:rsid w:val="00F24BBD"/>
    <w:rsid w:val="00F24BDA"/>
    <w:rsid w:val="00F25911"/>
    <w:rsid w:val="00F25F5F"/>
    <w:rsid w:val="00F2625D"/>
    <w:rsid w:val="00F26853"/>
    <w:rsid w:val="00F26EA9"/>
    <w:rsid w:val="00F27A96"/>
    <w:rsid w:val="00F30DEF"/>
    <w:rsid w:val="00F3143E"/>
    <w:rsid w:val="00F31A19"/>
    <w:rsid w:val="00F31AE2"/>
    <w:rsid w:val="00F31C96"/>
    <w:rsid w:val="00F32097"/>
    <w:rsid w:val="00F3289B"/>
    <w:rsid w:val="00F341BA"/>
    <w:rsid w:val="00F35DF7"/>
    <w:rsid w:val="00F36022"/>
    <w:rsid w:val="00F36ADA"/>
    <w:rsid w:val="00F37013"/>
    <w:rsid w:val="00F3760B"/>
    <w:rsid w:val="00F409C9"/>
    <w:rsid w:val="00F4102B"/>
    <w:rsid w:val="00F431FB"/>
    <w:rsid w:val="00F432F8"/>
    <w:rsid w:val="00F43A0B"/>
    <w:rsid w:val="00F4489E"/>
    <w:rsid w:val="00F45429"/>
    <w:rsid w:val="00F4594E"/>
    <w:rsid w:val="00F46CE2"/>
    <w:rsid w:val="00F476E4"/>
    <w:rsid w:val="00F477DD"/>
    <w:rsid w:val="00F47ECD"/>
    <w:rsid w:val="00F50467"/>
    <w:rsid w:val="00F50710"/>
    <w:rsid w:val="00F528C7"/>
    <w:rsid w:val="00F52B70"/>
    <w:rsid w:val="00F5478E"/>
    <w:rsid w:val="00F547CF"/>
    <w:rsid w:val="00F549D8"/>
    <w:rsid w:val="00F56238"/>
    <w:rsid w:val="00F564B2"/>
    <w:rsid w:val="00F61E17"/>
    <w:rsid w:val="00F620CE"/>
    <w:rsid w:val="00F62FFC"/>
    <w:rsid w:val="00F63C17"/>
    <w:rsid w:val="00F6400E"/>
    <w:rsid w:val="00F66E51"/>
    <w:rsid w:val="00F6769D"/>
    <w:rsid w:val="00F67938"/>
    <w:rsid w:val="00F67BD2"/>
    <w:rsid w:val="00F67F16"/>
    <w:rsid w:val="00F704DD"/>
    <w:rsid w:val="00F7356A"/>
    <w:rsid w:val="00F74D1E"/>
    <w:rsid w:val="00F74D66"/>
    <w:rsid w:val="00F74D9B"/>
    <w:rsid w:val="00F75576"/>
    <w:rsid w:val="00F767AC"/>
    <w:rsid w:val="00F76CED"/>
    <w:rsid w:val="00F77119"/>
    <w:rsid w:val="00F7737C"/>
    <w:rsid w:val="00F80B6E"/>
    <w:rsid w:val="00F82942"/>
    <w:rsid w:val="00F83D90"/>
    <w:rsid w:val="00F84AA1"/>
    <w:rsid w:val="00F85D05"/>
    <w:rsid w:val="00F86C39"/>
    <w:rsid w:val="00F86F2F"/>
    <w:rsid w:val="00F8701F"/>
    <w:rsid w:val="00F876F7"/>
    <w:rsid w:val="00F87B40"/>
    <w:rsid w:val="00F903C1"/>
    <w:rsid w:val="00F91E66"/>
    <w:rsid w:val="00F91F3C"/>
    <w:rsid w:val="00F9489E"/>
    <w:rsid w:val="00F96930"/>
    <w:rsid w:val="00FA0413"/>
    <w:rsid w:val="00FA0AC0"/>
    <w:rsid w:val="00FA1D26"/>
    <w:rsid w:val="00FA2428"/>
    <w:rsid w:val="00FA3241"/>
    <w:rsid w:val="00FA34EB"/>
    <w:rsid w:val="00FA4370"/>
    <w:rsid w:val="00FA44CE"/>
    <w:rsid w:val="00FA5DC6"/>
    <w:rsid w:val="00FB1456"/>
    <w:rsid w:val="00FB256F"/>
    <w:rsid w:val="00FB2DE0"/>
    <w:rsid w:val="00FB31F6"/>
    <w:rsid w:val="00FB459B"/>
    <w:rsid w:val="00FB54C7"/>
    <w:rsid w:val="00FB590B"/>
    <w:rsid w:val="00FB5F35"/>
    <w:rsid w:val="00FC02C6"/>
    <w:rsid w:val="00FC061D"/>
    <w:rsid w:val="00FC0822"/>
    <w:rsid w:val="00FC10EF"/>
    <w:rsid w:val="00FC2670"/>
    <w:rsid w:val="00FC2ACA"/>
    <w:rsid w:val="00FC2EC4"/>
    <w:rsid w:val="00FC378C"/>
    <w:rsid w:val="00FC420C"/>
    <w:rsid w:val="00FC47C8"/>
    <w:rsid w:val="00FC4E28"/>
    <w:rsid w:val="00FC577F"/>
    <w:rsid w:val="00FC5945"/>
    <w:rsid w:val="00FC702F"/>
    <w:rsid w:val="00FC7DEE"/>
    <w:rsid w:val="00FD008C"/>
    <w:rsid w:val="00FD06E5"/>
    <w:rsid w:val="00FD0F0A"/>
    <w:rsid w:val="00FD10DB"/>
    <w:rsid w:val="00FD2565"/>
    <w:rsid w:val="00FD2B02"/>
    <w:rsid w:val="00FD2C5D"/>
    <w:rsid w:val="00FD38F2"/>
    <w:rsid w:val="00FD3CD4"/>
    <w:rsid w:val="00FD4876"/>
    <w:rsid w:val="00FD4DD7"/>
    <w:rsid w:val="00FD64C1"/>
    <w:rsid w:val="00FD653C"/>
    <w:rsid w:val="00FD7D86"/>
    <w:rsid w:val="00FE0188"/>
    <w:rsid w:val="00FE13EA"/>
    <w:rsid w:val="00FE1864"/>
    <w:rsid w:val="00FE200B"/>
    <w:rsid w:val="00FE395C"/>
    <w:rsid w:val="00FE46AC"/>
    <w:rsid w:val="00FE6086"/>
    <w:rsid w:val="00FF0734"/>
    <w:rsid w:val="00FF0811"/>
    <w:rsid w:val="00FF17D1"/>
    <w:rsid w:val="00FF273C"/>
    <w:rsid w:val="00FF27D8"/>
    <w:rsid w:val="00FF48D5"/>
    <w:rsid w:val="00FF4BA8"/>
    <w:rsid w:val="00FF4C95"/>
    <w:rsid w:val="00FF4F82"/>
    <w:rsid w:val="00FF5014"/>
    <w:rsid w:val="00FF53FA"/>
    <w:rsid w:val="00FF5609"/>
    <w:rsid w:val="00FF616F"/>
    <w:rsid w:val="00FF668B"/>
    <w:rsid w:val="00FF7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ersonName"/>
  <w:shapeDefaults>
    <o:shapedefaults v:ext="edit" spidmax="135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2F1"/>
    <w:pPr>
      <w:bidi/>
    </w:pPr>
    <w:rPr>
      <w:szCs w:val="24"/>
      <w:lang w:bidi="ar-EG"/>
    </w:rPr>
  </w:style>
  <w:style w:type="paragraph" w:styleId="Heading1">
    <w:name w:val="heading 1"/>
    <w:basedOn w:val="Normal"/>
    <w:next w:val="Normal"/>
    <w:link w:val="Heading1Char"/>
    <w:qFormat/>
    <w:rsid w:val="00AC74EE"/>
    <w:pPr>
      <w:keepNext/>
      <w:keepLines/>
      <w:spacing w:before="480"/>
      <w:outlineLvl w:val="0"/>
    </w:pPr>
    <w:rPr>
      <w:rFonts w:ascii="Cambria" w:hAnsi="Cambria" w:cs="Times New Roman"/>
      <w:b/>
      <w:bCs/>
      <w:color w:val="365F91"/>
      <w:sz w:val="28"/>
      <w:szCs w:val="28"/>
    </w:rPr>
  </w:style>
  <w:style w:type="paragraph" w:styleId="Heading2">
    <w:name w:val="heading 2"/>
    <w:basedOn w:val="Normal"/>
    <w:next w:val="Normal"/>
    <w:link w:val="Heading2Char"/>
    <w:unhideWhenUsed/>
    <w:qFormat/>
    <w:rsid w:val="00884CF0"/>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nhideWhenUsed/>
    <w:qFormat/>
    <w:rsid w:val="00884CF0"/>
    <w:pPr>
      <w:keepNext/>
      <w:spacing w:before="240" w:after="60"/>
      <w:outlineLvl w:val="2"/>
    </w:pPr>
    <w:rPr>
      <w:rFonts w:ascii="Cambria" w:hAnsi="Cambria" w:cs="Times New Roman"/>
      <w:b/>
      <w:bCs/>
      <w:sz w:val="26"/>
      <w:szCs w:val="26"/>
    </w:rPr>
  </w:style>
  <w:style w:type="paragraph" w:styleId="Heading4">
    <w:name w:val="heading 4"/>
    <w:basedOn w:val="Heading3"/>
    <w:next w:val="Normal"/>
    <w:link w:val="Heading4Char"/>
    <w:qFormat/>
    <w:rsid w:val="00884CF0"/>
    <w:pPr>
      <w:tabs>
        <w:tab w:val="num" w:pos="864"/>
      </w:tabs>
      <w:spacing w:before="0" w:after="0" w:line="300" w:lineRule="atLeast"/>
      <w:ind w:left="864" w:hanging="864"/>
      <w:outlineLvl w:val="3"/>
    </w:pPr>
    <w:rPr>
      <w:rFonts w:ascii="Calibri" w:hAnsi="Calibri"/>
      <w:sz w:val="28"/>
      <w:szCs w:val="28"/>
      <w:lang w:val="x-none" w:eastAsia="x-none"/>
    </w:rPr>
  </w:style>
  <w:style w:type="paragraph" w:styleId="Heading5">
    <w:name w:val="heading 5"/>
    <w:basedOn w:val="Heading4"/>
    <w:next w:val="Normal"/>
    <w:link w:val="Heading5Char"/>
    <w:qFormat/>
    <w:rsid w:val="00884CF0"/>
    <w:pPr>
      <w:tabs>
        <w:tab w:val="clear" w:pos="864"/>
        <w:tab w:val="num" w:pos="1008"/>
      </w:tabs>
      <w:ind w:left="1008" w:hanging="1008"/>
      <w:outlineLvl w:val="4"/>
    </w:pPr>
    <w:rPr>
      <w:i/>
      <w:iCs/>
      <w:caps/>
      <w:sz w:val="26"/>
    </w:rPr>
  </w:style>
  <w:style w:type="paragraph" w:styleId="Heading6">
    <w:name w:val="heading 6"/>
    <w:basedOn w:val="Heading5"/>
    <w:next w:val="Normal"/>
    <w:link w:val="Heading6Char"/>
    <w:qFormat/>
    <w:rsid w:val="00884CF0"/>
    <w:pPr>
      <w:tabs>
        <w:tab w:val="clear" w:pos="1008"/>
        <w:tab w:val="num" w:pos="1152"/>
      </w:tabs>
      <w:ind w:left="1152" w:hanging="1152"/>
      <w:outlineLvl w:val="5"/>
    </w:pPr>
    <w:rPr>
      <w:caps w:val="0"/>
      <w:szCs w:val="22"/>
    </w:rPr>
  </w:style>
  <w:style w:type="paragraph" w:styleId="Heading7">
    <w:name w:val="heading 7"/>
    <w:basedOn w:val="Heading6"/>
    <w:next w:val="Normal"/>
    <w:link w:val="Heading7Char"/>
    <w:qFormat/>
    <w:rsid w:val="00884CF0"/>
    <w:pPr>
      <w:tabs>
        <w:tab w:val="clear" w:pos="1152"/>
        <w:tab w:val="num" w:pos="1296"/>
      </w:tabs>
      <w:ind w:left="1296" w:hanging="1296"/>
      <w:outlineLvl w:val="6"/>
    </w:pPr>
    <w:rPr>
      <w:b w:val="0"/>
      <w:bCs w:val="0"/>
      <w:caps/>
      <w:sz w:val="24"/>
      <w:szCs w:val="24"/>
    </w:rPr>
  </w:style>
  <w:style w:type="paragraph" w:styleId="Heading8">
    <w:name w:val="heading 8"/>
    <w:basedOn w:val="Normal"/>
    <w:next w:val="Normal"/>
    <w:link w:val="Heading8Char"/>
    <w:unhideWhenUsed/>
    <w:qFormat/>
    <w:rsid w:val="00431932"/>
    <w:pPr>
      <w:keepNext/>
      <w:keepLines/>
      <w:spacing w:before="200"/>
      <w:outlineLvl w:val="7"/>
    </w:pPr>
    <w:rPr>
      <w:rFonts w:ascii="Cambria" w:hAnsi="Cambria" w:cs="Times New Roman"/>
      <w:color w:val="404040"/>
      <w:szCs w:val="20"/>
    </w:rPr>
  </w:style>
  <w:style w:type="paragraph" w:styleId="Heading9">
    <w:name w:val="heading 9"/>
    <w:basedOn w:val="Heading8"/>
    <w:next w:val="Normal"/>
    <w:link w:val="Heading9Char"/>
    <w:qFormat/>
    <w:rsid w:val="00884CF0"/>
    <w:pPr>
      <w:keepLines w:val="0"/>
      <w:tabs>
        <w:tab w:val="num" w:pos="1584"/>
      </w:tabs>
      <w:spacing w:before="0" w:line="300" w:lineRule="atLeast"/>
      <w:ind w:left="1584" w:hanging="1584"/>
      <w:outlineLvl w:val="8"/>
    </w:pPr>
    <w:rPr>
      <w:rFonts w:ascii="Calibri Light" w:hAnsi="Calibri Light"/>
      <w:caps/>
      <w:color w:val="auto"/>
      <w:sz w:val="24"/>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table" w:styleId="TableGrid">
    <w:name w:val="Table Grid"/>
    <w:basedOn w:val="TableNormal"/>
    <w:rsid w:val="00A6772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pPr>
      <w:spacing w:line="240" w:lineRule="exact"/>
    </w:pPr>
    <w:rPr>
      <w:rFonts w:cs="Simplified Arabic"/>
    </w:rPr>
  </w:style>
  <w:style w:type="character" w:styleId="FootnoteReference">
    <w:name w:val="footnote reference"/>
    <w:aliases w:val="Footnote"/>
    <w:rPr>
      <w:rFonts w:cs="Simplified Arabic"/>
      <w:szCs w:val="24"/>
      <w:vertAlign w:val="superscript"/>
    </w:rPr>
  </w:style>
  <w:style w:type="paragraph" w:customStyle="1" w:styleId="ARNormal">
    <w:name w:val="AR_Normal"/>
    <w:basedOn w:val="Normal"/>
    <w:qFormat/>
    <w:rsid w:val="00335C17"/>
    <w:pPr>
      <w:spacing w:after="120" w:line="340" w:lineRule="exact"/>
      <w:jc w:val="both"/>
    </w:pPr>
    <w:rPr>
      <w:rFonts w:ascii="Arabic Typesetting" w:hAnsi="Arabic Typesetting" w:cs="Arabic Typesetting"/>
      <w:sz w:val="34"/>
      <w:szCs w:val="34"/>
      <w:lang w:val="fr-CH" w:bidi="ar-SA"/>
    </w:rPr>
  </w:style>
  <w:style w:type="paragraph" w:customStyle="1" w:styleId="ARHeading1">
    <w:name w:val="AR_Heading1"/>
    <w:basedOn w:val="Normal"/>
    <w:next w:val="ARNormal"/>
    <w:rsid w:val="00335C17"/>
    <w:pPr>
      <w:keepNext/>
      <w:spacing w:after="240" w:line="320" w:lineRule="exact"/>
    </w:pPr>
    <w:rPr>
      <w:rFonts w:ascii="Arabic Typesetting" w:hAnsi="Arabic Typesetting" w:cs="Arabic Typesetting"/>
      <w:b/>
      <w:bCs/>
      <w:sz w:val="38"/>
      <w:szCs w:val="38"/>
    </w:rPr>
  </w:style>
  <w:style w:type="paragraph" w:styleId="NormalWeb">
    <w:name w:val="Normal (Web)"/>
    <w:basedOn w:val="Normal"/>
    <w:rsid w:val="00335C17"/>
    <w:pPr>
      <w:bidi w:val="0"/>
      <w:spacing w:before="100" w:beforeAutospacing="1" w:after="100" w:afterAutospacing="1"/>
    </w:pPr>
    <w:rPr>
      <w:rFonts w:cs="Times New Roman"/>
      <w:sz w:val="24"/>
      <w:lang w:val="en-GB" w:eastAsia="en-GB" w:bidi="ar-SA"/>
    </w:rPr>
  </w:style>
  <w:style w:type="paragraph" w:customStyle="1" w:styleId="ARHeading2">
    <w:name w:val="AR_Heading2"/>
    <w:basedOn w:val="Normal"/>
    <w:next w:val="ARNormal"/>
    <w:qFormat/>
    <w:rsid w:val="00335C17"/>
    <w:pPr>
      <w:keepNext/>
      <w:spacing w:after="120" w:line="340" w:lineRule="exact"/>
      <w:jc w:val="both"/>
    </w:pPr>
    <w:rPr>
      <w:rFonts w:ascii="Arabic Typesetting" w:hAnsi="Arabic Typesetting" w:cs="Arabic Typesetting"/>
      <w:b/>
      <w:bCs/>
      <w:sz w:val="34"/>
      <w:szCs w:val="34"/>
    </w:rPr>
  </w:style>
  <w:style w:type="paragraph" w:customStyle="1" w:styleId="ARNumbered1">
    <w:name w:val="AR_Numbered1"/>
    <w:basedOn w:val="Normal"/>
    <w:qFormat/>
    <w:rsid w:val="00D27440"/>
    <w:pPr>
      <w:numPr>
        <w:numId w:val="1"/>
      </w:numPr>
      <w:spacing w:after="120" w:line="340" w:lineRule="exact"/>
      <w:jc w:val="both"/>
    </w:pPr>
    <w:rPr>
      <w:rFonts w:ascii="Arabic Typesetting" w:hAnsi="Arabic Typesetting" w:cs="Arabic Typesetting"/>
      <w:sz w:val="34"/>
      <w:szCs w:val="34"/>
      <w:lang w:val="fr-CH"/>
    </w:rPr>
  </w:style>
  <w:style w:type="paragraph" w:customStyle="1" w:styleId="ARHeading3">
    <w:name w:val="AR_Heading3"/>
    <w:basedOn w:val="ARHeading2"/>
    <w:next w:val="ARNormal"/>
    <w:qFormat/>
    <w:rsid w:val="00D27440"/>
    <w:rPr>
      <w:b w:val="0"/>
      <w:bCs w:val="0"/>
      <w:u w:val="single"/>
    </w:rPr>
  </w:style>
  <w:style w:type="character" w:customStyle="1" w:styleId="Heading1Char">
    <w:name w:val="Heading 1 Char"/>
    <w:link w:val="Heading1"/>
    <w:rsid w:val="00AC74EE"/>
    <w:rPr>
      <w:rFonts w:ascii="Cambria" w:eastAsia="Times New Roman" w:hAnsi="Cambria" w:cs="Times New Roman"/>
      <w:b/>
      <w:bCs/>
      <w:color w:val="365F91"/>
      <w:sz w:val="28"/>
      <w:szCs w:val="28"/>
      <w:lang w:bidi="ar-EG"/>
    </w:rPr>
  </w:style>
  <w:style w:type="paragraph" w:styleId="ListParagraph">
    <w:name w:val="List Paragraph"/>
    <w:basedOn w:val="Normal"/>
    <w:uiPriority w:val="72"/>
    <w:qFormat/>
    <w:rsid w:val="0028098C"/>
    <w:pPr>
      <w:ind w:left="720"/>
      <w:contextualSpacing/>
    </w:pPr>
  </w:style>
  <w:style w:type="paragraph" w:styleId="BalloonText">
    <w:name w:val="Balloon Text"/>
    <w:basedOn w:val="Normal"/>
    <w:link w:val="BalloonTextChar"/>
    <w:rsid w:val="00181440"/>
    <w:rPr>
      <w:rFonts w:ascii="Tahoma" w:hAnsi="Tahoma" w:cs="Tahoma"/>
      <w:sz w:val="16"/>
      <w:szCs w:val="16"/>
    </w:rPr>
  </w:style>
  <w:style w:type="character" w:customStyle="1" w:styleId="BalloonTextChar">
    <w:name w:val="Balloon Text Char"/>
    <w:link w:val="BalloonText"/>
    <w:rsid w:val="00181440"/>
    <w:rPr>
      <w:rFonts w:ascii="Tahoma" w:hAnsi="Tahoma" w:cs="Tahoma"/>
      <w:sz w:val="16"/>
      <w:szCs w:val="16"/>
      <w:lang w:bidi="ar-EG"/>
    </w:rPr>
  </w:style>
  <w:style w:type="character" w:customStyle="1" w:styleId="tw4winMark">
    <w:name w:val="tw4winMark"/>
    <w:rsid w:val="00AA0DA4"/>
    <w:rPr>
      <w:rFonts w:ascii="Courier New" w:hAnsi="Courier New" w:cs="Courier New"/>
      <w:vanish/>
      <w:color w:val="800080"/>
      <w:sz w:val="20"/>
      <w:vertAlign w:val="subscript"/>
    </w:rPr>
  </w:style>
  <w:style w:type="character" w:customStyle="1" w:styleId="Heading8Char">
    <w:name w:val="Heading 8 Char"/>
    <w:link w:val="Heading8"/>
    <w:rsid w:val="00431932"/>
    <w:rPr>
      <w:rFonts w:ascii="Cambria" w:eastAsia="Times New Roman" w:hAnsi="Cambria" w:cs="Times New Roman"/>
      <w:color w:val="404040"/>
      <w:lang w:bidi="ar-EG"/>
    </w:rPr>
  </w:style>
  <w:style w:type="character" w:customStyle="1" w:styleId="HeaderChar">
    <w:name w:val="Header Char"/>
    <w:link w:val="Header"/>
    <w:uiPriority w:val="99"/>
    <w:rsid w:val="00AB66E2"/>
    <w:rPr>
      <w:szCs w:val="24"/>
      <w:lang w:bidi="ar-EG"/>
    </w:rPr>
  </w:style>
  <w:style w:type="character" w:customStyle="1" w:styleId="FooterChar">
    <w:name w:val="Footer Char"/>
    <w:link w:val="Footer"/>
    <w:locked/>
    <w:rsid w:val="00884CF0"/>
    <w:rPr>
      <w:szCs w:val="24"/>
      <w:lang w:bidi="ar-EG"/>
    </w:rPr>
  </w:style>
  <w:style w:type="character" w:customStyle="1" w:styleId="FootnoteTextChar">
    <w:name w:val="Footnote Text Char"/>
    <w:link w:val="FootnoteText"/>
    <w:locked/>
    <w:rsid w:val="00884CF0"/>
    <w:rPr>
      <w:rFonts w:cs="Simplified Arabic"/>
      <w:szCs w:val="24"/>
      <w:lang w:bidi="ar-EG"/>
    </w:rPr>
  </w:style>
  <w:style w:type="paragraph" w:customStyle="1" w:styleId="ARProgramHeading2">
    <w:name w:val="AR_Program_Heading2"/>
    <w:basedOn w:val="Normal"/>
    <w:next w:val="ARNormal"/>
    <w:rsid w:val="00884CF0"/>
    <w:pPr>
      <w:keepNext/>
      <w:spacing w:before="240" w:after="120" w:line="340" w:lineRule="exact"/>
      <w:jc w:val="both"/>
    </w:pPr>
    <w:rPr>
      <w:rFonts w:ascii="Arabic Typesetting" w:hAnsi="Arabic Typesetting" w:cs="Arabic Typesetting"/>
      <w:sz w:val="38"/>
      <w:szCs w:val="38"/>
    </w:rPr>
  </w:style>
  <w:style w:type="paragraph" w:customStyle="1" w:styleId="ARProgramTableHeading">
    <w:name w:val="AR_Program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ARProgramTableText">
    <w:name w:val="AR_Program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Text">
    <w:name w:val="AR_SG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Heading">
    <w:name w:val="AR_SG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StyleHeading214ptAuto">
    <w:name w:val="Style Heading 2 + 14 pt Auto"/>
    <w:basedOn w:val="Heading2"/>
    <w:rsid w:val="00884CF0"/>
    <w:pPr>
      <w:keepNext w:val="0"/>
      <w:widowControl w:val="0"/>
      <w:tabs>
        <w:tab w:val="num" w:pos="567"/>
      </w:tabs>
      <w:spacing w:before="0" w:after="0" w:line="300" w:lineRule="atLeast"/>
      <w:ind w:left="567" w:hanging="567"/>
      <w:jc w:val="center"/>
    </w:pPr>
    <w:rPr>
      <w:rFonts w:ascii="Arial Bold" w:hAnsi="Arial Bold" w:cs="Arial"/>
      <w:i w:val="0"/>
      <w:caps/>
      <w:sz w:val="20"/>
      <w:lang w:val="en-GB"/>
    </w:rPr>
  </w:style>
  <w:style w:type="paragraph" w:customStyle="1" w:styleId="StyleHeading3ComplexItalic">
    <w:name w:val="Style Heading 3 + (Complex) Italic"/>
    <w:basedOn w:val="Heading3"/>
    <w:rsid w:val="00884CF0"/>
    <w:pPr>
      <w:tabs>
        <w:tab w:val="left" w:pos="1985"/>
      </w:tabs>
      <w:bidi w:val="0"/>
      <w:spacing w:before="0" w:after="0"/>
    </w:pPr>
    <w:rPr>
      <w:rFonts w:ascii="Arial" w:hAnsi="Arial" w:cs="Arial"/>
      <w:bCs w:val="0"/>
      <w:iCs/>
      <w:caps/>
      <w:snapToGrid w:val="0"/>
      <w:sz w:val="22"/>
      <w:szCs w:val="22"/>
      <w:lang w:bidi="ar-SA"/>
    </w:rPr>
  </w:style>
  <w:style w:type="paragraph" w:styleId="BodyTextIndent">
    <w:name w:val="Body Text Indent"/>
    <w:basedOn w:val="Normal"/>
    <w:link w:val="BodyTextIndentChar"/>
    <w:rsid w:val="00884CF0"/>
    <w:pPr>
      <w:bidi w:val="0"/>
      <w:ind w:left="567"/>
    </w:pPr>
    <w:rPr>
      <w:rFonts w:cs="Times New Roman"/>
      <w:snapToGrid w:val="0"/>
      <w:sz w:val="24"/>
      <w:szCs w:val="20"/>
      <w:lang w:bidi="ar-SA"/>
    </w:rPr>
  </w:style>
  <w:style w:type="character" w:customStyle="1" w:styleId="BodyTextIndentChar">
    <w:name w:val="Body Text Indent Char"/>
    <w:link w:val="BodyTextIndent"/>
    <w:rsid w:val="00884CF0"/>
    <w:rPr>
      <w:rFonts w:cs="Times New Roman"/>
      <w:snapToGrid w:val="0"/>
      <w:sz w:val="24"/>
    </w:rPr>
  </w:style>
  <w:style w:type="character" w:customStyle="1" w:styleId="Heading2Char">
    <w:name w:val="Heading 2 Char"/>
    <w:link w:val="Heading2"/>
    <w:rsid w:val="00884CF0"/>
    <w:rPr>
      <w:rFonts w:ascii="Cambria" w:eastAsia="Times New Roman" w:hAnsi="Cambria" w:cs="Times New Roman"/>
      <w:b/>
      <w:bCs/>
      <w:i/>
      <w:iCs/>
      <w:sz w:val="28"/>
      <w:szCs w:val="28"/>
      <w:lang w:bidi="ar-EG"/>
    </w:rPr>
  </w:style>
  <w:style w:type="character" w:customStyle="1" w:styleId="Heading3Char">
    <w:name w:val="Heading 3 Char"/>
    <w:link w:val="Heading3"/>
    <w:rsid w:val="00884CF0"/>
    <w:rPr>
      <w:rFonts w:ascii="Cambria" w:eastAsia="Times New Roman" w:hAnsi="Cambria" w:cs="Times New Roman"/>
      <w:b/>
      <w:bCs/>
      <w:sz w:val="26"/>
      <w:szCs w:val="26"/>
      <w:lang w:bidi="ar-EG"/>
    </w:rPr>
  </w:style>
  <w:style w:type="character" w:customStyle="1" w:styleId="Heading4Char">
    <w:name w:val="Heading 4 Char"/>
    <w:link w:val="Heading4"/>
    <w:rsid w:val="00884CF0"/>
    <w:rPr>
      <w:rFonts w:ascii="Calibri" w:hAnsi="Calibri" w:cs="Times New Roman"/>
      <w:b/>
      <w:bCs/>
      <w:sz w:val="28"/>
      <w:szCs w:val="28"/>
      <w:lang w:val="x-none" w:eastAsia="x-none" w:bidi="ar-EG"/>
    </w:rPr>
  </w:style>
  <w:style w:type="character" w:customStyle="1" w:styleId="Heading5Char">
    <w:name w:val="Heading 5 Char"/>
    <w:link w:val="Heading5"/>
    <w:rsid w:val="00884CF0"/>
    <w:rPr>
      <w:rFonts w:ascii="Calibri" w:hAnsi="Calibri" w:cs="Times New Roman"/>
      <w:b/>
      <w:bCs/>
      <w:i/>
      <w:iCs/>
      <w:caps/>
      <w:sz w:val="26"/>
      <w:szCs w:val="28"/>
      <w:lang w:val="x-none" w:eastAsia="x-none" w:bidi="ar-EG"/>
    </w:rPr>
  </w:style>
  <w:style w:type="character" w:customStyle="1" w:styleId="Heading6Char">
    <w:name w:val="Heading 6 Char"/>
    <w:link w:val="Heading6"/>
    <w:rsid w:val="00884CF0"/>
    <w:rPr>
      <w:rFonts w:ascii="Calibri" w:hAnsi="Calibri" w:cs="Times New Roman"/>
      <w:b/>
      <w:bCs/>
      <w:i/>
      <w:iCs/>
      <w:sz w:val="26"/>
      <w:szCs w:val="22"/>
      <w:lang w:val="x-none" w:eastAsia="x-none" w:bidi="ar-EG"/>
    </w:rPr>
  </w:style>
  <w:style w:type="character" w:customStyle="1" w:styleId="Heading7Char">
    <w:name w:val="Heading 7 Char"/>
    <w:link w:val="Heading7"/>
    <w:rsid w:val="00884CF0"/>
    <w:rPr>
      <w:rFonts w:ascii="Calibri" w:hAnsi="Calibri" w:cs="Times New Roman"/>
      <w:i/>
      <w:iCs/>
      <w:caps/>
      <w:sz w:val="24"/>
      <w:szCs w:val="24"/>
      <w:lang w:val="x-none" w:eastAsia="x-none" w:bidi="ar-EG"/>
    </w:rPr>
  </w:style>
  <w:style w:type="character" w:customStyle="1" w:styleId="Heading9Char">
    <w:name w:val="Heading 9 Char"/>
    <w:link w:val="Heading9"/>
    <w:rsid w:val="00884CF0"/>
    <w:rPr>
      <w:rFonts w:ascii="Calibri Light" w:hAnsi="Calibri Light" w:cs="Times New Roman"/>
      <w:caps/>
      <w:sz w:val="24"/>
      <w:szCs w:val="22"/>
      <w:lang w:val="x-none" w:eastAsia="x-none" w:bidi="ar-EG"/>
    </w:rPr>
  </w:style>
  <w:style w:type="paragraph" w:customStyle="1" w:styleId="CharCharCharChar">
    <w:name w:val="Char Char Char Char"/>
    <w:basedOn w:val="Normal"/>
    <w:rsid w:val="00884CF0"/>
    <w:pPr>
      <w:spacing w:after="160" w:line="240" w:lineRule="exact"/>
    </w:pPr>
    <w:rPr>
      <w:lang w:val="en-GB"/>
    </w:rPr>
  </w:style>
  <w:style w:type="character" w:customStyle="1" w:styleId="hps">
    <w:name w:val="hps"/>
    <w:rsid w:val="00884CF0"/>
    <w:rPr>
      <w:rFonts w:cs="Times New Roman"/>
    </w:rPr>
  </w:style>
  <w:style w:type="paragraph" w:customStyle="1" w:styleId="1">
    <w:name w:val="1"/>
    <w:basedOn w:val="Normal"/>
    <w:rsid w:val="00884CF0"/>
    <w:pPr>
      <w:spacing w:after="160" w:line="240" w:lineRule="exact"/>
    </w:pPr>
    <w:rPr>
      <w:lang w:val="en-GB"/>
    </w:rPr>
  </w:style>
  <w:style w:type="paragraph" w:styleId="TOC2">
    <w:name w:val="toc 2"/>
    <w:basedOn w:val="Normal"/>
    <w:next w:val="Normal"/>
    <w:autoRedefine/>
    <w:uiPriority w:val="39"/>
    <w:qFormat/>
    <w:rsid w:val="003744E1"/>
    <w:pPr>
      <w:tabs>
        <w:tab w:val="left" w:pos="8929"/>
      </w:tabs>
      <w:spacing w:after="60" w:line="280" w:lineRule="exact"/>
      <w:ind w:left="283"/>
    </w:pPr>
    <w:rPr>
      <w:rFonts w:asciiTheme="minorHAnsi" w:hAnsiTheme="minorHAnsi" w:cs="Times New Roman"/>
      <w:b/>
      <w:bCs/>
    </w:rPr>
  </w:style>
  <w:style w:type="character" w:styleId="Hyperlink">
    <w:name w:val="Hyperlink"/>
    <w:uiPriority w:val="99"/>
    <w:rsid w:val="00884CF0"/>
    <w:rPr>
      <w:color w:val="0000FF"/>
      <w:u w:val="single"/>
    </w:rPr>
  </w:style>
  <w:style w:type="character" w:customStyle="1" w:styleId="StyleHeading3ComplexItalicChar">
    <w:name w:val="Style Heading 3 + (Complex) Italic Char"/>
    <w:locked/>
    <w:rsid w:val="00884CF0"/>
    <w:rPr>
      <w:rFonts w:ascii="Arial" w:hAnsi="Arial"/>
      <w:b/>
      <w:caps/>
      <w:sz w:val="22"/>
      <w:lang w:val="en-US"/>
    </w:rPr>
  </w:style>
  <w:style w:type="paragraph" w:styleId="TOC3">
    <w:name w:val="toc 3"/>
    <w:basedOn w:val="Normal"/>
    <w:next w:val="Normal"/>
    <w:autoRedefine/>
    <w:uiPriority w:val="39"/>
    <w:qFormat/>
    <w:rsid w:val="000178A6"/>
    <w:pPr>
      <w:tabs>
        <w:tab w:val="left" w:pos="1984"/>
        <w:tab w:val="right" w:leader="dot" w:pos="9345"/>
      </w:tabs>
      <w:spacing w:after="60" w:line="280" w:lineRule="exact"/>
      <w:ind w:left="566"/>
    </w:pPr>
    <w:rPr>
      <w:rFonts w:ascii="Arabic Typesetting" w:hAnsi="Arabic Typesetting" w:cs="Arabic Typesetting"/>
      <w:b/>
      <w:noProof/>
      <w:sz w:val="28"/>
      <w:szCs w:val="28"/>
    </w:rPr>
  </w:style>
  <w:style w:type="paragraph" w:styleId="TOC1">
    <w:name w:val="toc 1"/>
    <w:basedOn w:val="Normal"/>
    <w:next w:val="Normal"/>
    <w:autoRedefine/>
    <w:uiPriority w:val="39"/>
    <w:qFormat/>
    <w:rsid w:val="009920A4"/>
    <w:pPr>
      <w:tabs>
        <w:tab w:val="left" w:pos="566"/>
        <w:tab w:val="right" w:leader="dot" w:pos="9345"/>
      </w:tabs>
      <w:spacing w:after="60" w:line="280" w:lineRule="exact"/>
    </w:pPr>
    <w:rPr>
      <w:rFonts w:asciiTheme="majorHAnsi" w:hAnsiTheme="majorHAnsi" w:cs="Times New Roman"/>
      <w:b/>
      <w:bCs/>
      <w:caps/>
      <w:sz w:val="24"/>
      <w:szCs w:val="28"/>
    </w:rPr>
  </w:style>
  <w:style w:type="paragraph" w:customStyle="1" w:styleId="NormalArial">
    <w:name w:val="Normal + Arial"/>
    <w:aliases w:val="10 pt"/>
    <w:basedOn w:val="ListParagraph"/>
    <w:rsid w:val="00884CF0"/>
    <w:pPr>
      <w:ind w:left="-28"/>
      <w:contextualSpacing w:val="0"/>
    </w:pPr>
    <w:rPr>
      <w:rFonts w:ascii="Arial" w:hAnsi="Arial" w:cs="Arial"/>
      <w:bCs/>
      <w:szCs w:val="20"/>
    </w:rPr>
  </w:style>
  <w:style w:type="paragraph" w:customStyle="1" w:styleId="Default">
    <w:name w:val="Default"/>
    <w:rsid w:val="00884CF0"/>
    <w:pPr>
      <w:autoSpaceDE w:val="0"/>
      <w:autoSpaceDN w:val="0"/>
      <w:adjustRightInd w:val="0"/>
    </w:pPr>
    <w:rPr>
      <w:rFonts w:ascii="Arial" w:hAnsi="Arial" w:cs="Arial"/>
      <w:snapToGrid w:val="0"/>
      <w:color w:val="000000"/>
      <w:sz w:val="24"/>
      <w:szCs w:val="24"/>
    </w:rPr>
  </w:style>
  <w:style w:type="paragraph" w:customStyle="1" w:styleId="Normal6">
    <w:name w:val="Normal+6"/>
    <w:basedOn w:val="Normal"/>
    <w:next w:val="Normal"/>
    <w:rsid w:val="00884CF0"/>
    <w:pPr>
      <w:autoSpaceDE w:val="0"/>
      <w:autoSpaceDN w:val="0"/>
      <w:adjustRightInd w:val="0"/>
    </w:pPr>
    <w:rPr>
      <w:rFonts w:ascii="Arial" w:hAnsi="Arial"/>
    </w:rPr>
  </w:style>
  <w:style w:type="character" w:styleId="CommentReference">
    <w:name w:val="annotation reference"/>
    <w:rsid w:val="00884CF0"/>
    <w:rPr>
      <w:sz w:val="16"/>
    </w:rPr>
  </w:style>
  <w:style w:type="paragraph" w:styleId="CommentText">
    <w:name w:val="annotation text"/>
    <w:basedOn w:val="Normal"/>
    <w:link w:val="CommentTextChar"/>
    <w:rsid w:val="00884CF0"/>
    <w:rPr>
      <w:lang w:eastAsia="x-none"/>
    </w:rPr>
  </w:style>
  <w:style w:type="character" w:customStyle="1" w:styleId="CommentTextChar">
    <w:name w:val="Comment Text Char"/>
    <w:link w:val="CommentText"/>
    <w:rsid w:val="00884CF0"/>
    <w:rPr>
      <w:szCs w:val="24"/>
      <w:lang w:eastAsia="x-none" w:bidi="ar-EG"/>
    </w:rPr>
  </w:style>
  <w:style w:type="paragraph" w:customStyle="1" w:styleId="StyleStyleHeading3ComplexItalicLatin12pt">
    <w:name w:val="Style Style Heading 3 + (Complex) Italic + (Latin) 12 pt"/>
    <w:basedOn w:val="StyleHeading3ComplexItalic"/>
    <w:rsid w:val="00884CF0"/>
    <w:pPr>
      <w:bidi/>
    </w:pPr>
    <w:rPr>
      <w:snapToGrid/>
      <w:lang w:bidi="ar-EG"/>
    </w:rPr>
  </w:style>
  <w:style w:type="character" w:customStyle="1" w:styleId="StyleStyleHeading3ComplexItalicLatin12ptChar">
    <w:name w:val="Style Style Heading 3 + (Complex) Italic + (Latin) 12 pt Char"/>
    <w:locked/>
    <w:rsid w:val="00884CF0"/>
    <w:rPr>
      <w:rFonts w:ascii="Arial" w:hAnsi="Arial" w:cs="Arial"/>
      <w:b/>
      <w:iCs/>
      <w:caps/>
      <w:sz w:val="22"/>
      <w:szCs w:val="22"/>
      <w:lang w:val="en-US" w:bidi="ar-SA"/>
    </w:rPr>
  </w:style>
  <w:style w:type="character" w:customStyle="1" w:styleId="paracolourtext1">
    <w:name w:val="paracolourtext1"/>
    <w:rsid w:val="00884CF0"/>
    <w:rPr>
      <w:color w:val="800000"/>
      <w:sz w:val="20"/>
    </w:rPr>
  </w:style>
  <w:style w:type="paragraph" w:styleId="BodyText">
    <w:name w:val="Body Text"/>
    <w:basedOn w:val="Normal"/>
    <w:link w:val="BodyTextChar"/>
    <w:qFormat/>
    <w:rsid w:val="00884CF0"/>
    <w:pPr>
      <w:spacing w:after="120"/>
    </w:pPr>
    <w:rPr>
      <w:lang w:val="x-none" w:eastAsia="x-none"/>
    </w:rPr>
  </w:style>
  <w:style w:type="character" w:customStyle="1" w:styleId="BodyTextChar">
    <w:name w:val="Body Text Char"/>
    <w:link w:val="BodyText"/>
    <w:rsid w:val="00884CF0"/>
    <w:rPr>
      <w:szCs w:val="24"/>
      <w:lang w:val="x-none" w:eastAsia="x-none" w:bidi="ar-EG"/>
    </w:rPr>
  </w:style>
  <w:style w:type="paragraph" w:customStyle="1" w:styleId="Body">
    <w:name w:val="Body"/>
    <w:rsid w:val="00884CF0"/>
    <w:rPr>
      <w:rFonts w:cs="Times New Roman"/>
      <w:snapToGrid w:val="0"/>
      <w:color w:val="000000"/>
      <w:sz w:val="24"/>
      <w:lang w:bidi="th-TH"/>
    </w:rPr>
  </w:style>
  <w:style w:type="paragraph" w:customStyle="1" w:styleId="tes1">
    <w:name w:val="tes1"/>
    <w:basedOn w:val="Normal"/>
    <w:rsid w:val="00884CF0"/>
    <w:pPr>
      <w:suppressAutoHyphens/>
      <w:ind w:left="1134" w:right="2195"/>
      <w:jc w:val="both"/>
    </w:pPr>
    <w:rPr>
      <w:b/>
      <w:spacing w:val="4"/>
      <w:w w:val="103"/>
      <w:kern w:val="14"/>
      <w:lang w:val="en-GB"/>
    </w:rPr>
  </w:style>
  <w:style w:type="paragraph" w:customStyle="1" w:styleId="Style10">
    <w:name w:val="Style10"/>
    <w:basedOn w:val="Normal"/>
    <w:autoRedefine/>
    <w:rsid w:val="00884CF0"/>
    <w:pPr>
      <w:tabs>
        <w:tab w:val="left" w:pos="340"/>
        <w:tab w:val="left" w:pos="680"/>
        <w:tab w:val="left" w:pos="1021"/>
        <w:tab w:val="left" w:pos="1361"/>
      </w:tabs>
      <w:suppressAutoHyphens/>
      <w:jc w:val="both"/>
    </w:pPr>
  </w:style>
  <w:style w:type="paragraph" w:customStyle="1" w:styleId="Style11">
    <w:name w:val="Style11"/>
    <w:basedOn w:val="FootnoteText"/>
    <w:autoRedefine/>
    <w:rsid w:val="00884CF0"/>
    <w:pPr>
      <w:suppressAutoHyphens/>
      <w:ind w:firstLine="340"/>
      <w:jc w:val="both"/>
    </w:pPr>
    <w:rPr>
      <w:sz w:val="16"/>
    </w:rPr>
  </w:style>
  <w:style w:type="paragraph" w:styleId="Title">
    <w:name w:val="Title"/>
    <w:basedOn w:val="Normal"/>
    <w:link w:val="TitleChar"/>
    <w:qFormat/>
    <w:rsid w:val="00884CF0"/>
    <w:pPr>
      <w:jc w:val="center"/>
    </w:pPr>
    <w:rPr>
      <w:rFonts w:ascii="Calibri Light" w:hAnsi="Calibri Light"/>
      <w:b/>
      <w:bCs/>
      <w:kern w:val="28"/>
      <w:sz w:val="32"/>
      <w:szCs w:val="32"/>
      <w:lang w:val="x-none" w:eastAsia="x-none"/>
    </w:rPr>
  </w:style>
  <w:style w:type="character" w:customStyle="1" w:styleId="TitleChar">
    <w:name w:val="Title Char"/>
    <w:link w:val="Title"/>
    <w:rsid w:val="00884CF0"/>
    <w:rPr>
      <w:rFonts w:ascii="Calibri Light" w:hAnsi="Calibri Light"/>
      <w:b/>
      <w:bCs/>
      <w:kern w:val="28"/>
      <w:sz w:val="32"/>
      <w:szCs w:val="32"/>
      <w:lang w:val="x-none" w:eastAsia="x-none" w:bidi="ar-EG"/>
    </w:rPr>
  </w:style>
  <w:style w:type="paragraph" w:styleId="Subtitle">
    <w:name w:val="Subtitle"/>
    <w:basedOn w:val="Normal"/>
    <w:link w:val="SubtitleChar"/>
    <w:qFormat/>
    <w:rsid w:val="00884CF0"/>
    <w:pPr>
      <w:jc w:val="center"/>
    </w:pPr>
    <w:rPr>
      <w:rFonts w:ascii="Calibri Light" w:hAnsi="Calibri Light"/>
      <w:lang w:val="x-none" w:eastAsia="x-none"/>
    </w:rPr>
  </w:style>
  <w:style w:type="character" w:customStyle="1" w:styleId="SubtitleChar">
    <w:name w:val="Subtitle Char"/>
    <w:link w:val="Subtitle"/>
    <w:rsid w:val="00884CF0"/>
    <w:rPr>
      <w:rFonts w:ascii="Calibri Light" w:hAnsi="Calibri Light"/>
      <w:szCs w:val="24"/>
      <w:lang w:val="x-none" w:eastAsia="x-none" w:bidi="ar-EG"/>
    </w:rPr>
  </w:style>
  <w:style w:type="paragraph" w:customStyle="1" w:styleId="Endofdocument">
    <w:name w:val="End of document"/>
    <w:basedOn w:val="Normal"/>
    <w:rsid w:val="00884CF0"/>
    <w:pPr>
      <w:ind w:left="4536"/>
      <w:jc w:val="center"/>
    </w:pPr>
  </w:style>
  <w:style w:type="paragraph" w:styleId="BodyTextIndent2">
    <w:name w:val="Body Text Indent 2"/>
    <w:basedOn w:val="Normal"/>
    <w:link w:val="BodyTextIndent2Char"/>
    <w:rsid w:val="00884CF0"/>
    <w:pPr>
      <w:tabs>
        <w:tab w:val="left" w:pos="714"/>
      </w:tabs>
      <w:spacing w:after="100"/>
      <w:ind w:hanging="6"/>
      <w:jc w:val="both"/>
    </w:pPr>
    <w:rPr>
      <w:lang w:val="x-none" w:eastAsia="x-none"/>
    </w:rPr>
  </w:style>
  <w:style w:type="character" w:customStyle="1" w:styleId="BodyTextIndent2Char">
    <w:name w:val="Body Text Indent 2 Char"/>
    <w:link w:val="BodyTextIndent2"/>
    <w:rsid w:val="00884CF0"/>
    <w:rPr>
      <w:szCs w:val="24"/>
      <w:lang w:val="x-none" w:eastAsia="x-none" w:bidi="ar-EG"/>
    </w:rPr>
  </w:style>
  <w:style w:type="paragraph" w:customStyle="1" w:styleId="3029-Titrechapitre">
    <w:name w:val="3029-Titre chapitre"/>
    <w:basedOn w:val="Heading1"/>
    <w:rsid w:val="00884CF0"/>
    <w:pPr>
      <w:keepLines w:val="0"/>
      <w:spacing w:before="0"/>
    </w:pPr>
    <w:rPr>
      <w:rFonts w:ascii="Times New Roman" w:hAnsi="Times New Roman"/>
      <w:b w:val="0"/>
      <w:bCs w:val="0"/>
      <w:color w:val="000080"/>
      <w:sz w:val="30"/>
      <w:szCs w:val="20"/>
      <w:lang w:val="fr-FR" w:eastAsia="x-none"/>
    </w:rPr>
  </w:style>
  <w:style w:type="character" w:customStyle="1" w:styleId="underline">
    <w:name w:val="underline"/>
    <w:rsid w:val="00884CF0"/>
    <w:rPr>
      <w:u w:val="single"/>
    </w:rPr>
  </w:style>
  <w:style w:type="paragraph" w:customStyle="1" w:styleId="zanxhead">
    <w:name w:val="zanxhead"/>
    <w:basedOn w:val="Normal"/>
    <w:rsid w:val="00884CF0"/>
    <w:pPr>
      <w:spacing w:before="200"/>
    </w:pPr>
    <w:rPr>
      <w:b/>
      <w:color w:val="0000FF"/>
    </w:rPr>
  </w:style>
  <w:style w:type="paragraph" w:customStyle="1" w:styleId="zanxtext">
    <w:name w:val="zanxtext"/>
    <w:basedOn w:val="Normal"/>
    <w:rsid w:val="00884CF0"/>
    <w:pPr>
      <w:spacing w:before="120"/>
    </w:pPr>
  </w:style>
  <w:style w:type="paragraph" w:styleId="BodyText2">
    <w:name w:val="Body Text 2"/>
    <w:basedOn w:val="Normal"/>
    <w:link w:val="BodyText2Char"/>
    <w:rsid w:val="00884CF0"/>
    <w:pPr>
      <w:keepNext/>
      <w:jc w:val="both"/>
    </w:pPr>
    <w:rPr>
      <w:lang w:val="x-none" w:eastAsia="x-none"/>
    </w:rPr>
  </w:style>
  <w:style w:type="character" w:customStyle="1" w:styleId="BodyText2Char">
    <w:name w:val="Body Text 2 Char"/>
    <w:link w:val="BodyText2"/>
    <w:rsid w:val="00884CF0"/>
    <w:rPr>
      <w:szCs w:val="24"/>
      <w:lang w:val="x-none" w:eastAsia="x-none" w:bidi="ar-EG"/>
    </w:rPr>
  </w:style>
  <w:style w:type="paragraph" w:styleId="BlockText">
    <w:name w:val="Block Text"/>
    <w:basedOn w:val="Normal"/>
    <w:rsid w:val="00884CF0"/>
    <w:pPr>
      <w:tabs>
        <w:tab w:val="left" w:pos="2127"/>
      </w:tabs>
      <w:spacing w:after="40"/>
      <w:ind w:left="2127" w:right="896" w:hanging="2127"/>
    </w:pPr>
  </w:style>
  <w:style w:type="character" w:styleId="Emphasis">
    <w:name w:val="Emphasis"/>
    <w:uiPriority w:val="20"/>
    <w:qFormat/>
    <w:rsid w:val="00884CF0"/>
    <w:rPr>
      <w:i/>
    </w:rPr>
  </w:style>
  <w:style w:type="character" w:styleId="Strong">
    <w:name w:val="Strong"/>
    <w:qFormat/>
    <w:rsid w:val="00884CF0"/>
    <w:rPr>
      <w:b/>
    </w:rPr>
  </w:style>
  <w:style w:type="paragraph" w:customStyle="1" w:styleId="preparedby">
    <w:name w:val="prepared by"/>
    <w:basedOn w:val="Normal"/>
    <w:next w:val="Normal"/>
    <w:rsid w:val="00884CF0"/>
    <w:pPr>
      <w:spacing w:before="120" w:after="480" w:line="260" w:lineRule="atLeast"/>
      <w:ind w:left="1021"/>
      <w:contextualSpacing/>
    </w:pPr>
    <w:rPr>
      <w:rFonts w:ascii="Arial" w:hAnsi="Arial"/>
      <w:i/>
    </w:rPr>
  </w:style>
  <w:style w:type="paragraph" w:customStyle="1" w:styleId="Documenttitle">
    <w:name w:val="Document title"/>
    <w:basedOn w:val="Normal"/>
    <w:next w:val="preparedby"/>
    <w:rsid w:val="00884CF0"/>
    <w:pPr>
      <w:spacing w:before="840" w:line="336" w:lineRule="exact"/>
      <w:ind w:left="1021"/>
      <w:contextualSpacing/>
    </w:pPr>
    <w:rPr>
      <w:rFonts w:ascii="Arial" w:hAnsi="Arial"/>
    </w:rPr>
  </w:style>
  <w:style w:type="paragraph" w:customStyle="1" w:styleId="MeetinglanguageDate">
    <w:name w:val="Meeting language &amp; Date"/>
    <w:basedOn w:val="Normal"/>
    <w:next w:val="Meetingtitle"/>
    <w:rsid w:val="00884CF0"/>
    <w:pPr>
      <w:spacing w:after="1680" w:line="160" w:lineRule="exact"/>
      <w:ind w:left="1021"/>
      <w:contextualSpacing/>
      <w:jc w:val="right"/>
    </w:pPr>
    <w:rPr>
      <w:b/>
      <w:caps/>
      <w:sz w:val="15"/>
    </w:rPr>
  </w:style>
  <w:style w:type="paragraph" w:customStyle="1" w:styleId="Meetingtitle">
    <w:name w:val="Meeting title"/>
    <w:basedOn w:val="Normal"/>
    <w:next w:val="Sessiontitle"/>
    <w:rsid w:val="00884CF0"/>
    <w:pPr>
      <w:spacing w:line="336" w:lineRule="exact"/>
      <w:ind w:left="1021"/>
    </w:pPr>
    <w:rPr>
      <w:rFonts w:ascii="Arial" w:hAnsi="Arial"/>
      <w:b/>
      <w:sz w:val="28"/>
    </w:rPr>
  </w:style>
  <w:style w:type="paragraph" w:customStyle="1" w:styleId="Sessiontitle">
    <w:name w:val="Session title"/>
    <w:basedOn w:val="Meetingtitle"/>
    <w:next w:val="Meetingplacedate"/>
    <w:rsid w:val="00884CF0"/>
    <w:pPr>
      <w:spacing w:before="480"/>
      <w:contextualSpacing/>
    </w:pPr>
    <w:rPr>
      <w:sz w:val="24"/>
    </w:rPr>
  </w:style>
  <w:style w:type="paragraph" w:customStyle="1" w:styleId="Meetingplacedate">
    <w:name w:val="Meeting place &amp; date"/>
    <w:basedOn w:val="Sessiontitle"/>
    <w:next w:val="Documenttitle"/>
    <w:rsid w:val="00884CF0"/>
    <w:pPr>
      <w:spacing w:before="0"/>
      <w:contextualSpacing w:val="0"/>
    </w:pPr>
  </w:style>
  <w:style w:type="paragraph" w:customStyle="1" w:styleId="Language">
    <w:name w:val="Language"/>
    <w:basedOn w:val="Normal"/>
    <w:next w:val="Normal"/>
    <w:rsid w:val="00884CF0"/>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884CF0"/>
    <w:pPr>
      <w:spacing w:before="1800" w:after="0"/>
    </w:pPr>
  </w:style>
  <w:style w:type="paragraph" w:customStyle="1" w:styleId="CarCarCar">
    <w:name w:val="Car Car Car"/>
    <w:basedOn w:val="Normal"/>
    <w:rsid w:val="00884CF0"/>
    <w:pPr>
      <w:spacing w:after="160" w:line="240" w:lineRule="exact"/>
    </w:pPr>
  </w:style>
  <w:style w:type="paragraph" w:customStyle="1" w:styleId="Paragraphedeliste">
    <w:name w:val="Paragraphe de liste"/>
    <w:autoRedefine/>
    <w:rsid w:val="00884CF0"/>
    <w:pPr>
      <w:spacing w:after="200" w:line="276" w:lineRule="auto"/>
      <w:ind w:left="720"/>
    </w:pPr>
    <w:rPr>
      <w:rFonts w:cs="Times New Roman"/>
      <w:snapToGrid w:val="0"/>
      <w:color w:val="000000"/>
      <w:sz w:val="22"/>
      <w:lang w:val="en-GB"/>
    </w:rPr>
  </w:style>
  <w:style w:type="paragraph" w:customStyle="1" w:styleId="ONUME">
    <w:name w:val="ONUM E"/>
    <w:basedOn w:val="Normal"/>
    <w:link w:val="ONUMEChar"/>
    <w:rsid w:val="00884CF0"/>
    <w:pPr>
      <w:numPr>
        <w:numId w:val="3"/>
      </w:numPr>
    </w:pPr>
  </w:style>
  <w:style w:type="character" w:styleId="FollowedHyperlink">
    <w:name w:val="FollowedHyperlink"/>
    <w:rsid w:val="00884CF0"/>
    <w:rPr>
      <w:color w:val="606420"/>
      <w:u w:val="single"/>
    </w:rPr>
  </w:style>
  <w:style w:type="paragraph" w:customStyle="1" w:styleId="Body1">
    <w:name w:val="Body 1"/>
    <w:rsid w:val="00884CF0"/>
    <w:rPr>
      <w:rFonts w:cs="Times New Roman"/>
      <w:snapToGrid w:val="0"/>
      <w:color w:val="000000"/>
      <w:sz w:val="24"/>
    </w:rPr>
  </w:style>
  <w:style w:type="paragraph" w:styleId="PlainText">
    <w:name w:val="Plain Text"/>
    <w:basedOn w:val="Normal"/>
    <w:link w:val="PlainTextChar"/>
    <w:uiPriority w:val="99"/>
    <w:rsid w:val="00884CF0"/>
    <w:rPr>
      <w:rFonts w:ascii="Courier New" w:hAnsi="Courier New"/>
      <w:lang w:val="x-none" w:eastAsia="x-none"/>
    </w:rPr>
  </w:style>
  <w:style w:type="character" w:customStyle="1" w:styleId="PlainTextChar">
    <w:name w:val="Plain Text Char"/>
    <w:link w:val="PlainText"/>
    <w:uiPriority w:val="99"/>
    <w:rsid w:val="00884CF0"/>
    <w:rPr>
      <w:rFonts w:ascii="Courier New" w:hAnsi="Courier New"/>
      <w:szCs w:val="24"/>
      <w:lang w:val="x-none" w:eastAsia="x-none" w:bidi="ar-EG"/>
    </w:rPr>
  </w:style>
  <w:style w:type="paragraph" w:customStyle="1" w:styleId="ONUMFS">
    <w:name w:val="ONUM FS"/>
    <w:basedOn w:val="BodyText"/>
    <w:rsid w:val="00884CF0"/>
    <w:pPr>
      <w:numPr>
        <w:numId w:val="4"/>
      </w:numPr>
      <w:tabs>
        <w:tab w:val="clear" w:pos="967"/>
        <w:tab w:val="num" w:pos="683"/>
      </w:tabs>
      <w:spacing w:after="220"/>
    </w:pPr>
  </w:style>
  <w:style w:type="paragraph" w:styleId="Salutation">
    <w:name w:val="Salutation"/>
    <w:basedOn w:val="Normal"/>
    <w:next w:val="Normal"/>
    <w:link w:val="SalutationChar"/>
    <w:rsid w:val="00884CF0"/>
    <w:rPr>
      <w:lang w:val="x-none" w:eastAsia="x-none"/>
    </w:rPr>
  </w:style>
  <w:style w:type="character" w:customStyle="1" w:styleId="SalutationChar">
    <w:name w:val="Salutation Char"/>
    <w:link w:val="Salutation"/>
    <w:rsid w:val="00884CF0"/>
    <w:rPr>
      <w:szCs w:val="24"/>
      <w:lang w:val="x-none" w:eastAsia="x-none" w:bidi="ar-EG"/>
    </w:rPr>
  </w:style>
  <w:style w:type="paragraph" w:styleId="Signature">
    <w:name w:val="Signature"/>
    <w:basedOn w:val="Normal"/>
    <w:link w:val="SignatureChar"/>
    <w:rsid w:val="00884CF0"/>
    <w:pPr>
      <w:ind w:left="5250"/>
    </w:pPr>
    <w:rPr>
      <w:lang w:val="x-none" w:eastAsia="x-none"/>
    </w:rPr>
  </w:style>
  <w:style w:type="character" w:customStyle="1" w:styleId="SignatureChar">
    <w:name w:val="Signature Char"/>
    <w:link w:val="Signature"/>
    <w:rsid w:val="00884CF0"/>
    <w:rPr>
      <w:szCs w:val="24"/>
      <w:lang w:val="x-none" w:eastAsia="x-none" w:bidi="ar-EG"/>
    </w:rPr>
  </w:style>
  <w:style w:type="paragraph" w:styleId="EndnoteText">
    <w:name w:val="endnote text"/>
    <w:basedOn w:val="Normal"/>
    <w:link w:val="EndnoteTextChar"/>
    <w:rsid w:val="00884CF0"/>
    <w:rPr>
      <w:lang w:val="x-none" w:eastAsia="x-none"/>
    </w:rPr>
  </w:style>
  <w:style w:type="character" w:customStyle="1" w:styleId="EndnoteTextChar">
    <w:name w:val="Endnote Text Char"/>
    <w:link w:val="EndnoteText"/>
    <w:rsid w:val="00884CF0"/>
    <w:rPr>
      <w:szCs w:val="24"/>
      <w:lang w:val="x-none" w:eastAsia="x-none" w:bidi="ar-EG"/>
    </w:rPr>
  </w:style>
  <w:style w:type="paragraph" w:styleId="Caption">
    <w:name w:val="caption"/>
    <w:basedOn w:val="Normal"/>
    <w:next w:val="Normal"/>
    <w:qFormat/>
    <w:rsid w:val="00884CF0"/>
    <w:rPr>
      <w:b/>
      <w:bCs/>
      <w:sz w:val="18"/>
    </w:rPr>
  </w:style>
  <w:style w:type="paragraph" w:styleId="ListNumber">
    <w:name w:val="List Number"/>
    <w:basedOn w:val="Normal"/>
    <w:rsid w:val="00884CF0"/>
    <w:pPr>
      <w:numPr>
        <w:numId w:val="2"/>
      </w:numPr>
    </w:pPr>
  </w:style>
  <w:style w:type="character" w:customStyle="1" w:styleId="Bona">
    <w:name w:val="Bona"/>
    <w:semiHidden/>
    <w:rsid w:val="00884CF0"/>
    <w:rPr>
      <w:rFonts w:ascii="Arial" w:hAnsi="Arial"/>
      <w:color w:val="000080"/>
      <w:sz w:val="20"/>
    </w:rPr>
  </w:style>
  <w:style w:type="character" w:customStyle="1" w:styleId="tw4winError">
    <w:name w:val="tw4winError"/>
    <w:rsid w:val="00884CF0"/>
    <w:rPr>
      <w:rFonts w:ascii="Courier New" w:hAnsi="Courier New"/>
      <w:color w:val="00FF00"/>
      <w:sz w:val="40"/>
    </w:rPr>
  </w:style>
  <w:style w:type="character" w:customStyle="1" w:styleId="tw4winTerm">
    <w:name w:val="tw4winTerm"/>
    <w:rsid w:val="00884CF0"/>
    <w:rPr>
      <w:color w:val="0000FF"/>
    </w:rPr>
  </w:style>
  <w:style w:type="character" w:customStyle="1" w:styleId="tw4winPopup">
    <w:name w:val="tw4winPopup"/>
    <w:rsid w:val="00884CF0"/>
    <w:rPr>
      <w:rFonts w:ascii="Courier New" w:hAnsi="Courier New"/>
      <w:noProof/>
      <w:color w:val="008000"/>
    </w:rPr>
  </w:style>
  <w:style w:type="character" w:customStyle="1" w:styleId="tw4winJump">
    <w:name w:val="tw4winJump"/>
    <w:rsid w:val="00884CF0"/>
    <w:rPr>
      <w:rFonts w:ascii="Courier New" w:hAnsi="Courier New"/>
      <w:noProof/>
      <w:color w:val="008080"/>
    </w:rPr>
  </w:style>
  <w:style w:type="character" w:customStyle="1" w:styleId="tw4winExternal">
    <w:name w:val="tw4winExternal"/>
    <w:rsid w:val="00884CF0"/>
    <w:rPr>
      <w:rFonts w:ascii="Courier New" w:hAnsi="Courier New"/>
      <w:noProof/>
      <w:color w:val="808080"/>
    </w:rPr>
  </w:style>
  <w:style w:type="character" w:customStyle="1" w:styleId="tw4winInternal">
    <w:name w:val="tw4winInternal"/>
    <w:rsid w:val="00884CF0"/>
    <w:rPr>
      <w:rFonts w:ascii="Courier New" w:hAnsi="Courier New"/>
      <w:noProof/>
      <w:color w:val="FF0000"/>
    </w:rPr>
  </w:style>
  <w:style w:type="character" w:customStyle="1" w:styleId="DONOTTRANSLATE">
    <w:name w:val="DO_NOT_TRANSLATE"/>
    <w:rsid w:val="00884CF0"/>
    <w:rPr>
      <w:rFonts w:ascii="Courier New" w:hAnsi="Courier New"/>
      <w:noProof/>
      <w:color w:val="800000"/>
    </w:rPr>
  </w:style>
  <w:style w:type="paragraph" w:styleId="CommentSubject">
    <w:name w:val="annotation subject"/>
    <w:basedOn w:val="CommentText"/>
    <w:next w:val="CommentText"/>
    <w:link w:val="CommentSubjectChar"/>
    <w:rsid w:val="00884CF0"/>
    <w:rPr>
      <w:b/>
      <w:bCs/>
    </w:rPr>
  </w:style>
  <w:style w:type="character" w:customStyle="1" w:styleId="CommentSubjectChar">
    <w:name w:val="Comment Subject Char"/>
    <w:link w:val="CommentSubject"/>
    <w:rsid w:val="00884CF0"/>
    <w:rPr>
      <w:b/>
      <w:bCs/>
      <w:szCs w:val="24"/>
      <w:lang w:eastAsia="x-none" w:bidi="ar-EG"/>
    </w:rPr>
  </w:style>
  <w:style w:type="paragraph" w:customStyle="1" w:styleId="ARProgramHeading1">
    <w:name w:val="AR_Program_Heading1"/>
    <w:basedOn w:val="Normal"/>
    <w:next w:val="ARProgramHeading2"/>
    <w:rsid w:val="00884CF0"/>
    <w:pPr>
      <w:keepNext/>
      <w:spacing w:after="120" w:line="340" w:lineRule="exact"/>
      <w:ind w:left="2268" w:hanging="2268"/>
      <w:jc w:val="both"/>
    </w:pPr>
    <w:rPr>
      <w:rFonts w:ascii="Arabic Typesetting" w:hAnsi="Arabic Typesetting" w:cs="Arabic Typesetting"/>
      <w:b/>
      <w:bCs/>
      <w:sz w:val="42"/>
      <w:szCs w:val="42"/>
    </w:rPr>
  </w:style>
  <w:style w:type="paragraph" w:customStyle="1" w:styleId="ARNumbered11">
    <w:name w:val="AR_Numbered1.1"/>
    <w:basedOn w:val="ARNormal"/>
    <w:qFormat/>
    <w:rsid w:val="00884CF0"/>
    <w:pPr>
      <w:numPr>
        <w:numId w:val="5"/>
      </w:numPr>
    </w:pPr>
  </w:style>
  <w:style w:type="paragraph" w:customStyle="1" w:styleId="ARSGHeading">
    <w:name w:val="AR_SG_Heading"/>
    <w:basedOn w:val="Normal"/>
    <w:rsid w:val="00884CF0"/>
    <w:pPr>
      <w:spacing w:after="120" w:line="340" w:lineRule="exact"/>
      <w:jc w:val="center"/>
    </w:pPr>
    <w:rPr>
      <w:rFonts w:ascii="Arabic Typesetting" w:hAnsi="Arabic Typesetting" w:cs="Arabic Typesetting"/>
      <w:b/>
      <w:bCs/>
      <w:sz w:val="42"/>
      <w:szCs w:val="42"/>
    </w:rPr>
  </w:style>
  <w:style w:type="paragraph" w:customStyle="1" w:styleId="ARNumbered117">
    <w:name w:val="AR_Numbered1.17"/>
    <w:basedOn w:val="ARNormal"/>
    <w:qFormat/>
    <w:rsid w:val="00884CF0"/>
    <w:rPr>
      <w:sz w:val="38"/>
      <w:szCs w:val="38"/>
    </w:rPr>
  </w:style>
  <w:style w:type="paragraph" w:customStyle="1" w:styleId="ARNumbered113">
    <w:name w:val="AR_Numbered.1.13"/>
    <w:basedOn w:val="Normal"/>
    <w:rsid w:val="00884CF0"/>
    <w:pPr>
      <w:ind w:left="360" w:hanging="360"/>
    </w:pPr>
  </w:style>
  <w:style w:type="paragraph" w:customStyle="1" w:styleId="StyleARNumbered11517pt">
    <w:name w:val="Style AR_Numbered1.15 + 17 pt"/>
    <w:basedOn w:val="ARNumbered117"/>
    <w:rsid w:val="00884CF0"/>
    <w:rPr>
      <w:sz w:val="34"/>
      <w:szCs w:val="34"/>
    </w:rPr>
  </w:style>
  <w:style w:type="paragraph" w:customStyle="1" w:styleId="ARNumbered116">
    <w:name w:val="AR_Numbered1.16"/>
    <w:basedOn w:val="Normal"/>
    <w:rsid w:val="00884CF0"/>
  </w:style>
  <w:style w:type="character" w:customStyle="1" w:styleId="CharChar2">
    <w:name w:val="Char Char2"/>
    <w:locked/>
    <w:rsid w:val="00884CF0"/>
    <w:rPr>
      <w:rFonts w:ascii="Arial Bold" w:hAnsi="Arial Bold"/>
      <w:b/>
      <w:caps/>
      <w:sz w:val="28"/>
      <w:lang w:val="en-GB"/>
    </w:rPr>
  </w:style>
  <w:style w:type="character" w:customStyle="1" w:styleId="CharChar1">
    <w:name w:val="Char Char1"/>
    <w:locked/>
    <w:rsid w:val="00884CF0"/>
    <w:rPr>
      <w:rFonts w:ascii="Arial" w:hAnsi="Arial"/>
      <w:caps/>
      <w:sz w:val="22"/>
      <w:lang w:val="en-US"/>
    </w:rPr>
  </w:style>
  <w:style w:type="character" w:customStyle="1" w:styleId="CharChar">
    <w:name w:val="Char Char"/>
    <w:semiHidden/>
    <w:locked/>
    <w:rsid w:val="00884CF0"/>
    <w:rPr>
      <w:lang w:val="en-US"/>
    </w:rPr>
  </w:style>
  <w:style w:type="character" w:customStyle="1" w:styleId="FootnoteRefAR">
    <w:name w:val="Footnote Ref AR"/>
    <w:rsid w:val="00884CF0"/>
    <w:rPr>
      <w:rFonts w:ascii="Arabic Typesetting" w:hAnsi="Arabic Typesetting" w:cs="Arabic Typesetting"/>
      <w:sz w:val="34"/>
      <w:szCs w:val="34"/>
      <w:vertAlign w:val="superscript"/>
    </w:rPr>
  </w:style>
  <w:style w:type="paragraph" w:customStyle="1" w:styleId="NormalAR">
    <w:name w:val="Normal AR"/>
    <w:basedOn w:val="Normal"/>
    <w:rsid w:val="00884CF0"/>
    <w:pPr>
      <w:spacing w:after="120" w:line="340" w:lineRule="exact"/>
      <w:ind w:left="1021"/>
    </w:pPr>
    <w:rPr>
      <w:rFonts w:ascii="Arabic Typesetting" w:hAnsi="Arabic Typesetting" w:cs="Arabic Typesetting"/>
      <w:sz w:val="34"/>
      <w:szCs w:val="34"/>
    </w:rPr>
  </w:style>
  <w:style w:type="paragraph" w:customStyle="1" w:styleId="FootnoteTextAR">
    <w:name w:val="Footnote Text AR"/>
    <w:basedOn w:val="NormalAR"/>
    <w:rsid w:val="00884CF0"/>
    <w:pPr>
      <w:spacing w:after="60" w:line="280" w:lineRule="exact"/>
    </w:pPr>
    <w:rPr>
      <w:sz w:val="28"/>
      <w:szCs w:val="28"/>
    </w:rPr>
  </w:style>
  <w:style w:type="paragraph" w:customStyle="1" w:styleId="DecisionParagraphAR">
    <w:name w:val="Decision Paragraph AR"/>
    <w:basedOn w:val="NormalAR"/>
    <w:rsid w:val="00884CF0"/>
    <w:pPr>
      <w:ind w:left="5534"/>
    </w:pPr>
    <w:rPr>
      <w:i/>
      <w:iCs/>
    </w:rPr>
  </w:style>
  <w:style w:type="paragraph" w:customStyle="1" w:styleId="EndofDocument0">
    <w:name w:val="End of Document"/>
    <w:basedOn w:val="DecisionParagraphAR"/>
    <w:rsid w:val="00884CF0"/>
    <w:rPr>
      <w:i w:val="0"/>
      <w:iCs w:val="0"/>
      <w:lang w:bidi="ar-SA"/>
    </w:rPr>
  </w:style>
  <w:style w:type="paragraph" w:customStyle="1" w:styleId="MeetingTitleAR">
    <w:name w:val="Meeting Title AR"/>
    <w:basedOn w:val="NormalAR"/>
    <w:next w:val="SessionTitleAR"/>
    <w:rsid w:val="00884CF0"/>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884CF0"/>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
    <w:rsid w:val="00884CF0"/>
    <w:pPr>
      <w:spacing w:after="0"/>
    </w:pPr>
    <w:rPr>
      <w:b/>
      <w:bCs/>
      <w:lang w:bidi="ar-SA"/>
    </w:rPr>
  </w:style>
  <w:style w:type="paragraph" w:customStyle="1" w:styleId="DocumentTitleAR">
    <w:name w:val="Document Title AR"/>
    <w:basedOn w:val="NormalAR"/>
    <w:next w:val="preparedbyAR"/>
    <w:rsid w:val="00884CF0"/>
    <w:pPr>
      <w:spacing w:before="1200" w:after="0"/>
    </w:pPr>
    <w:rPr>
      <w:rFonts w:ascii="Arial Black" w:hAnsi="Arial Black" w:cs="PT Bold Heading"/>
      <w:sz w:val="24"/>
      <w:szCs w:val="24"/>
      <w:lang w:bidi="ar-SA"/>
    </w:rPr>
  </w:style>
  <w:style w:type="paragraph" w:customStyle="1" w:styleId="preparedbyAR">
    <w:name w:val="prepared by AR"/>
    <w:basedOn w:val="NormalAR"/>
    <w:next w:val="NormalAR"/>
    <w:rsid w:val="00884CF0"/>
    <w:pPr>
      <w:spacing w:after="480"/>
    </w:pPr>
    <w:rPr>
      <w:i/>
      <w:iCs/>
      <w:lang w:bidi="ar-SA"/>
    </w:rPr>
  </w:style>
  <w:style w:type="paragraph" w:customStyle="1" w:styleId="DocumentCodeAR">
    <w:name w:val="Document Code AR"/>
    <w:basedOn w:val="NormalAR"/>
    <w:next w:val="DocumentLanguageAR"/>
    <w:rsid w:val="00884CF0"/>
    <w:pPr>
      <w:spacing w:before="300" w:after="0" w:line="160" w:lineRule="exact"/>
      <w:jc w:val="right"/>
    </w:pPr>
    <w:rPr>
      <w:rFonts w:ascii="Arial Black" w:hAnsi="Arial Black" w:cs="Arial"/>
      <w:bCs/>
      <w:sz w:val="15"/>
      <w:szCs w:val="15"/>
      <w:lang w:bidi="ar-SA"/>
    </w:rPr>
  </w:style>
  <w:style w:type="paragraph" w:customStyle="1" w:styleId="DocumentLanguageAR">
    <w:name w:val="Document Language AR"/>
    <w:basedOn w:val="NormalAR"/>
    <w:next w:val="DocumentDateAR"/>
    <w:rsid w:val="00884CF0"/>
    <w:pPr>
      <w:spacing w:after="0" w:line="220" w:lineRule="exact"/>
      <w:jc w:val="right"/>
    </w:pPr>
    <w:rPr>
      <w:b/>
      <w:bCs/>
      <w:sz w:val="28"/>
      <w:szCs w:val="28"/>
      <w:lang w:bidi="ar-SA"/>
    </w:rPr>
  </w:style>
  <w:style w:type="paragraph" w:customStyle="1" w:styleId="DocumentDateAR">
    <w:name w:val="Document Date AR"/>
    <w:basedOn w:val="DocumentLanguageAR"/>
    <w:next w:val="MeetingTitleAR"/>
    <w:rsid w:val="00884CF0"/>
    <w:pPr>
      <w:spacing w:after="1680"/>
    </w:pPr>
  </w:style>
  <w:style w:type="paragraph" w:customStyle="1" w:styleId="AutomaticparagraphNoAR">
    <w:name w:val="Automatic paragraph No AR"/>
    <w:basedOn w:val="NormalAR"/>
    <w:rsid w:val="00884CF0"/>
    <w:pPr>
      <w:ind w:left="1701" w:hanging="680"/>
    </w:pPr>
    <w:rPr>
      <w:lang w:bidi="ar-SA"/>
    </w:rPr>
  </w:style>
  <w:style w:type="paragraph" w:customStyle="1" w:styleId="language0">
    <w:name w:val="language"/>
    <w:basedOn w:val="Normal"/>
    <w:next w:val="Normal"/>
    <w:autoRedefine/>
    <w:rsid w:val="00884CF0"/>
    <w:pPr>
      <w:framePr w:w="266" w:h="363" w:hRule="exact" w:hSpace="181" w:wrap="notBeside" w:vAnchor="page" w:hAnchor="page" w:x="10774" w:y="568" w:anchorLock="1"/>
      <w:bidi w:val="0"/>
      <w:spacing w:after="120" w:line="340" w:lineRule="atLeast"/>
      <w:ind w:right="42"/>
    </w:pPr>
    <w:rPr>
      <w:rFonts w:ascii="Arial" w:hAnsi="Arial" w:cs="Times New Roman"/>
      <w:b/>
      <w:caps/>
      <w:sz w:val="40"/>
      <w:szCs w:val="20"/>
      <w:lang w:val="pt-BR" w:bidi="ar-SA"/>
    </w:rPr>
  </w:style>
  <w:style w:type="paragraph" w:customStyle="1" w:styleId="CharCharCharChar0">
    <w:name w:val="Char Char Char Char"/>
    <w:basedOn w:val="Normal"/>
    <w:rsid w:val="00884CF0"/>
    <w:pPr>
      <w:bidi w:val="0"/>
      <w:spacing w:after="160" w:line="240" w:lineRule="exact"/>
    </w:pPr>
    <w:rPr>
      <w:rFonts w:ascii="Verdana" w:hAnsi="Verdana" w:cs="Times New Roman"/>
      <w:szCs w:val="20"/>
      <w:lang w:val="en-GB" w:bidi="ar-SA"/>
    </w:rPr>
  </w:style>
  <w:style w:type="paragraph" w:customStyle="1" w:styleId="NormalParaAR">
    <w:name w:val="Normal_Para_AR"/>
    <w:rsid w:val="00884CF0"/>
    <w:pPr>
      <w:bidi/>
      <w:spacing w:after="240" w:line="360" w:lineRule="exact"/>
    </w:pPr>
    <w:rPr>
      <w:rFonts w:ascii="Arabic Typesetting" w:hAnsi="Arabic Typesetting" w:cs="Arabic Typesetting"/>
      <w:sz w:val="36"/>
      <w:szCs w:val="36"/>
    </w:rPr>
  </w:style>
  <w:style w:type="paragraph" w:customStyle="1" w:styleId="NumberedParaAR">
    <w:name w:val="Numbered_Para_AR"/>
    <w:basedOn w:val="NormalParaAR"/>
    <w:rsid w:val="00884CF0"/>
    <w:pPr>
      <w:numPr>
        <w:numId w:val="6"/>
      </w:numPr>
    </w:pPr>
  </w:style>
  <w:style w:type="paragraph" w:customStyle="1" w:styleId="DocumentCodeAR0">
    <w:name w:val="Document_Code_AR"/>
    <w:basedOn w:val="Normal"/>
    <w:next w:val="DocumentLanguageAR0"/>
    <w:rsid w:val="00884CF0"/>
    <w:pPr>
      <w:bidi w:val="0"/>
      <w:jc w:val="right"/>
    </w:pPr>
    <w:rPr>
      <w:rFonts w:ascii="Arial Black" w:hAnsi="Arial Black" w:cs="Arabic Typesetting"/>
      <w:b/>
      <w:bCs/>
      <w:sz w:val="16"/>
      <w:szCs w:val="16"/>
      <w:lang w:bidi="ar-SA"/>
    </w:rPr>
  </w:style>
  <w:style w:type="paragraph" w:customStyle="1" w:styleId="DocumentLanguageAR0">
    <w:name w:val="Document_Language_AR"/>
    <w:basedOn w:val="Normal"/>
    <w:next w:val="DocumentDateAR0"/>
    <w:rsid w:val="00884CF0"/>
    <w:pPr>
      <w:bidi w:val="0"/>
      <w:spacing w:line="240" w:lineRule="exact"/>
      <w:jc w:val="right"/>
    </w:pPr>
    <w:rPr>
      <w:rFonts w:ascii="Arabic Typesetting" w:hAnsi="Arabic Typesetting" w:cs="Arabic Typesetting"/>
      <w:b/>
      <w:bCs/>
      <w:sz w:val="30"/>
      <w:szCs w:val="30"/>
      <w:lang w:bidi="ar-SA"/>
    </w:rPr>
  </w:style>
  <w:style w:type="paragraph" w:customStyle="1" w:styleId="DocumentDateAR0">
    <w:name w:val="Document_Date_AR"/>
    <w:basedOn w:val="Normal"/>
    <w:next w:val="NormalParaAR"/>
    <w:rsid w:val="00884CF0"/>
    <w:pPr>
      <w:bidi w:val="0"/>
      <w:jc w:val="right"/>
    </w:pPr>
    <w:rPr>
      <w:rFonts w:ascii="Arabic Typesetting" w:hAnsi="Arabic Typesetting" w:cs="Arabic Typesetting"/>
      <w:b/>
      <w:bCs/>
      <w:sz w:val="30"/>
      <w:szCs w:val="30"/>
      <w:lang w:bidi="ar-SA"/>
    </w:rPr>
  </w:style>
  <w:style w:type="paragraph" w:customStyle="1" w:styleId="MeetingTitleAR0">
    <w:name w:val="Meeting_Title_AR"/>
    <w:basedOn w:val="Normal"/>
    <w:next w:val="NormalParaAR"/>
    <w:rsid w:val="00884CF0"/>
    <w:pPr>
      <w:bidi w:val="0"/>
      <w:spacing w:line="360" w:lineRule="exact"/>
    </w:pPr>
    <w:rPr>
      <w:rFonts w:ascii="Arabic Typesetting" w:hAnsi="Arabic Typesetting" w:cs="PT Bold Heading"/>
      <w:sz w:val="34"/>
      <w:szCs w:val="34"/>
      <w:lang w:bidi="ar-SA"/>
    </w:rPr>
  </w:style>
  <w:style w:type="paragraph" w:customStyle="1" w:styleId="MeetingSessionAR">
    <w:name w:val="Meeting_Session_AR"/>
    <w:basedOn w:val="Normal"/>
    <w:next w:val="NormalParaAR"/>
    <w:rsid w:val="00884CF0"/>
    <w:pPr>
      <w:bidi w:val="0"/>
      <w:spacing w:line="360" w:lineRule="exact"/>
    </w:pPr>
    <w:rPr>
      <w:rFonts w:ascii="Arabic Typesetting" w:hAnsi="Arabic Typesetting" w:cs="PT Bold Heading"/>
      <w:sz w:val="30"/>
      <w:szCs w:val="30"/>
      <w:lang w:bidi="ar-SA"/>
    </w:rPr>
  </w:style>
  <w:style w:type="paragraph" w:customStyle="1" w:styleId="MeetingDatesAR">
    <w:name w:val="Meeting_Dates_AR"/>
    <w:basedOn w:val="Normal"/>
    <w:next w:val="NormalParaAR"/>
    <w:rsid w:val="00884CF0"/>
    <w:pPr>
      <w:bidi w:val="0"/>
      <w:spacing w:line="360" w:lineRule="exact"/>
    </w:pPr>
    <w:rPr>
      <w:rFonts w:ascii="Arabic Typesetting" w:hAnsi="Arabic Typesetting" w:cs="Arabic Typesetting"/>
      <w:b/>
      <w:bCs/>
      <w:sz w:val="36"/>
      <w:szCs w:val="36"/>
      <w:lang w:bidi="ar-SA"/>
    </w:rPr>
  </w:style>
  <w:style w:type="paragraph" w:customStyle="1" w:styleId="DocumentTitleAR0">
    <w:name w:val="Document_Title_AR"/>
    <w:basedOn w:val="Normal"/>
    <w:next w:val="PreparedbyAR0"/>
    <w:rsid w:val="00884CF0"/>
    <w:pPr>
      <w:bidi w:val="0"/>
      <w:spacing w:line="360" w:lineRule="exact"/>
    </w:pPr>
    <w:rPr>
      <w:rFonts w:ascii="Arabic Typesetting" w:hAnsi="Arabic Typesetting" w:cs="PT Bold Heading"/>
      <w:sz w:val="26"/>
      <w:szCs w:val="26"/>
      <w:lang w:bidi="ar-SA"/>
    </w:rPr>
  </w:style>
  <w:style w:type="paragraph" w:customStyle="1" w:styleId="PreparedbyAR0">
    <w:name w:val="Prepared_by_AR"/>
    <w:basedOn w:val="Normal"/>
    <w:next w:val="NormalParaAR"/>
    <w:rsid w:val="00884CF0"/>
    <w:pPr>
      <w:bidi w:val="0"/>
      <w:spacing w:after="1080" w:line="360" w:lineRule="exact"/>
    </w:pPr>
    <w:rPr>
      <w:rFonts w:ascii="Arabic Typesetting" w:hAnsi="Arabic Typesetting" w:cs="Arabic Typesetting"/>
      <w:i/>
      <w:iCs/>
      <w:sz w:val="36"/>
      <w:szCs w:val="36"/>
      <w:lang w:bidi="ar-SA"/>
    </w:rPr>
  </w:style>
  <w:style w:type="paragraph" w:customStyle="1" w:styleId="DecisionParaAR">
    <w:name w:val="Decision_Para_AR"/>
    <w:basedOn w:val="NumberedParaAR"/>
    <w:rsid w:val="00884CF0"/>
    <w:pPr>
      <w:ind w:left="5534"/>
    </w:pPr>
    <w:rPr>
      <w:i/>
      <w:iCs/>
    </w:rPr>
  </w:style>
  <w:style w:type="paragraph" w:customStyle="1" w:styleId="EndofDocumentAR">
    <w:name w:val="End_of_Document_AR"/>
    <w:basedOn w:val="NormalParaAR"/>
    <w:next w:val="NormalParaAR"/>
    <w:rsid w:val="00884CF0"/>
    <w:pPr>
      <w:ind w:left="5534"/>
    </w:pPr>
  </w:style>
  <w:style w:type="paragraph" w:styleId="TOCHeading">
    <w:name w:val="TOC Heading"/>
    <w:basedOn w:val="Heading1"/>
    <w:next w:val="Normal"/>
    <w:uiPriority w:val="39"/>
    <w:semiHidden/>
    <w:unhideWhenUsed/>
    <w:qFormat/>
    <w:rsid w:val="004E2FC6"/>
    <w:pPr>
      <w:bidi w:val="0"/>
      <w:spacing w:line="276" w:lineRule="auto"/>
      <w:outlineLvl w:val="9"/>
    </w:pPr>
    <w:rPr>
      <w:rFonts w:asciiTheme="majorHAnsi" w:eastAsiaTheme="majorEastAsia" w:hAnsiTheme="majorHAnsi" w:cstheme="majorBidi"/>
      <w:color w:val="365F91" w:themeColor="accent1" w:themeShade="BF"/>
      <w:lang w:eastAsia="ja-JP" w:bidi="ar-SA"/>
    </w:rPr>
  </w:style>
  <w:style w:type="paragraph" w:styleId="TOC4">
    <w:name w:val="toc 4"/>
    <w:basedOn w:val="Normal"/>
    <w:next w:val="Normal"/>
    <w:autoRedefine/>
    <w:uiPriority w:val="39"/>
    <w:rsid w:val="0033077D"/>
    <w:pPr>
      <w:bidi w:val="0"/>
      <w:ind w:left="400"/>
    </w:pPr>
    <w:rPr>
      <w:rFonts w:asciiTheme="minorHAnsi" w:hAnsiTheme="minorHAnsi" w:cs="Times New Roman"/>
    </w:rPr>
  </w:style>
  <w:style w:type="paragraph" w:styleId="TOC5">
    <w:name w:val="toc 5"/>
    <w:basedOn w:val="Normal"/>
    <w:next w:val="Normal"/>
    <w:autoRedefine/>
    <w:uiPriority w:val="39"/>
    <w:rsid w:val="0033077D"/>
    <w:pPr>
      <w:bidi w:val="0"/>
      <w:ind w:left="600"/>
    </w:pPr>
    <w:rPr>
      <w:rFonts w:asciiTheme="minorHAnsi" w:hAnsiTheme="minorHAnsi" w:cs="Times New Roman"/>
    </w:rPr>
  </w:style>
  <w:style w:type="paragraph" w:styleId="TOC6">
    <w:name w:val="toc 6"/>
    <w:basedOn w:val="Normal"/>
    <w:next w:val="Normal"/>
    <w:autoRedefine/>
    <w:uiPriority w:val="39"/>
    <w:rsid w:val="0033077D"/>
    <w:pPr>
      <w:bidi w:val="0"/>
      <w:ind w:left="800"/>
    </w:pPr>
    <w:rPr>
      <w:rFonts w:asciiTheme="minorHAnsi" w:hAnsiTheme="minorHAnsi" w:cs="Times New Roman"/>
    </w:rPr>
  </w:style>
  <w:style w:type="paragraph" w:styleId="TOC7">
    <w:name w:val="toc 7"/>
    <w:basedOn w:val="Normal"/>
    <w:next w:val="Normal"/>
    <w:autoRedefine/>
    <w:uiPriority w:val="39"/>
    <w:rsid w:val="0033077D"/>
    <w:pPr>
      <w:bidi w:val="0"/>
      <w:ind w:left="1000"/>
    </w:pPr>
    <w:rPr>
      <w:rFonts w:asciiTheme="minorHAnsi" w:hAnsiTheme="minorHAnsi" w:cs="Times New Roman"/>
    </w:rPr>
  </w:style>
  <w:style w:type="paragraph" w:styleId="TOC8">
    <w:name w:val="toc 8"/>
    <w:basedOn w:val="Normal"/>
    <w:next w:val="Normal"/>
    <w:autoRedefine/>
    <w:uiPriority w:val="39"/>
    <w:rsid w:val="00A84D0E"/>
    <w:pPr>
      <w:tabs>
        <w:tab w:val="left" w:pos="2551"/>
        <w:tab w:val="right" w:leader="dot" w:pos="9345"/>
      </w:tabs>
      <w:spacing w:after="60" w:line="280" w:lineRule="exact"/>
      <w:ind w:left="283"/>
    </w:pPr>
    <w:rPr>
      <w:rFonts w:ascii="Arabic Typesetting" w:hAnsi="Arabic Typesetting" w:cs="Arabic Typesetting"/>
      <w:b/>
      <w:bCs/>
      <w:caps/>
      <w:noProof/>
      <w:sz w:val="28"/>
      <w:szCs w:val="28"/>
    </w:rPr>
  </w:style>
  <w:style w:type="paragraph" w:styleId="TOC9">
    <w:name w:val="toc 9"/>
    <w:basedOn w:val="Normal"/>
    <w:next w:val="Normal"/>
    <w:autoRedefine/>
    <w:uiPriority w:val="39"/>
    <w:rsid w:val="0033077D"/>
    <w:pPr>
      <w:bidi w:val="0"/>
      <w:ind w:left="1400"/>
    </w:pPr>
    <w:rPr>
      <w:rFonts w:asciiTheme="minorHAnsi" w:hAnsiTheme="minorHAnsi" w:cs="Times New Roman"/>
    </w:rPr>
  </w:style>
  <w:style w:type="character" w:styleId="EndnoteReference">
    <w:name w:val="endnote reference"/>
    <w:basedOn w:val="DefaultParagraphFont"/>
    <w:rsid w:val="00BE6D63"/>
    <w:rPr>
      <w:vertAlign w:val="superscript"/>
    </w:rPr>
  </w:style>
  <w:style w:type="table" w:customStyle="1" w:styleId="TableGrid1">
    <w:name w:val="Table Grid1"/>
    <w:basedOn w:val="TableNormal"/>
    <w:next w:val="TableGrid"/>
    <w:rsid w:val="00861C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61C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332F2"/>
  </w:style>
  <w:style w:type="paragraph" w:customStyle="1" w:styleId="p1">
    <w:name w:val="p1"/>
    <w:basedOn w:val="Normal"/>
    <w:rsid w:val="000332F2"/>
    <w:pPr>
      <w:suppressAutoHyphens/>
      <w:bidi w:val="0"/>
    </w:pPr>
    <w:rPr>
      <w:rFonts w:eastAsia="Calibri" w:cs="Times New Roman"/>
      <w:sz w:val="24"/>
      <w:lang w:eastAsia="ar-SA" w:bidi="ar-SA"/>
    </w:rPr>
  </w:style>
  <w:style w:type="paragraph" w:customStyle="1" w:styleId="p2">
    <w:name w:val="p2"/>
    <w:basedOn w:val="Normal"/>
    <w:rsid w:val="000332F2"/>
    <w:pPr>
      <w:suppressAutoHyphens/>
      <w:bidi w:val="0"/>
    </w:pPr>
    <w:rPr>
      <w:rFonts w:eastAsia="Calibri" w:cs="Times New Roman"/>
      <w:sz w:val="24"/>
      <w:lang w:eastAsia="ar-SA" w:bidi="ar-SA"/>
    </w:rPr>
  </w:style>
  <w:style w:type="paragraph" w:styleId="Revision">
    <w:name w:val="Revision"/>
    <w:hidden/>
    <w:uiPriority w:val="99"/>
    <w:semiHidden/>
    <w:rsid w:val="000332F2"/>
    <w:rPr>
      <w:rFonts w:asciiTheme="minorHAnsi" w:eastAsiaTheme="minorEastAsia" w:hAnsiTheme="minorHAnsi" w:cstheme="minorBidi"/>
      <w:sz w:val="22"/>
      <w:szCs w:val="22"/>
      <w:lang w:eastAsia="ja-JP"/>
    </w:rPr>
  </w:style>
  <w:style w:type="character" w:customStyle="1" w:styleId="ONUMEChar">
    <w:name w:val="ONUM E Char"/>
    <w:link w:val="ONUME"/>
    <w:rsid w:val="000332F2"/>
    <w:rPr>
      <w:szCs w:val="24"/>
      <w:lang w:bidi="ar-EG"/>
    </w:rPr>
  </w:style>
  <w:style w:type="character" w:customStyle="1" w:styleId="st">
    <w:name w:val="st"/>
    <w:basedOn w:val="DefaultParagraphFont"/>
    <w:rsid w:val="000332F2"/>
  </w:style>
  <w:style w:type="paragraph" w:customStyle="1" w:styleId="Endofdocument-Annex">
    <w:name w:val="[End of document - Annex]"/>
    <w:basedOn w:val="Normal"/>
    <w:rsid w:val="000332F2"/>
    <w:pPr>
      <w:bidi w:val="0"/>
      <w:ind w:left="5534"/>
    </w:pPr>
    <w:rPr>
      <w:rFonts w:ascii="Arial" w:eastAsia="SimSun" w:hAnsi="Arial" w:cs="Arial"/>
      <w:sz w:val="22"/>
      <w:szCs w:val="20"/>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2F1"/>
    <w:pPr>
      <w:bidi/>
    </w:pPr>
    <w:rPr>
      <w:szCs w:val="24"/>
      <w:lang w:bidi="ar-EG"/>
    </w:rPr>
  </w:style>
  <w:style w:type="paragraph" w:styleId="Heading1">
    <w:name w:val="heading 1"/>
    <w:basedOn w:val="Normal"/>
    <w:next w:val="Normal"/>
    <w:link w:val="Heading1Char"/>
    <w:qFormat/>
    <w:rsid w:val="00AC74EE"/>
    <w:pPr>
      <w:keepNext/>
      <w:keepLines/>
      <w:spacing w:before="480"/>
      <w:outlineLvl w:val="0"/>
    </w:pPr>
    <w:rPr>
      <w:rFonts w:ascii="Cambria" w:hAnsi="Cambria" w:cs="Times New Roman"/>
      <w:b/>
      <w:bCs/>
      <w:color w:val="365F91"/>
      <w:sz w:val="28"/>
      <w:szCs w:val="28"/>
    </w:rPr>
  </w:style>
  <w:style w:type="paragraph" w:styleId="Heading2">
    <w:name w:val="heading 2"/>
    <w:basedOn w:val="Normal"/>
    <w:next w:val="Normal"/>
    <w:link w:val="Heading2Char"/>
    <w:unhideWhenUsed/>
    <w:qFormat/>
    <w:rsid w:val="00884CF0"/>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nhideWhenUsed/>
    <w:qFormat/>
    <w:rsid w:val="00884CF0"/>
    <w:pPr>
      <w:keepNext/>
      <w:spacing w:before="240" w:after="60"/>
      <w:outlineLvl w:val="2"/>
    </w:pPr>
    <w:rPr>
      <w:rFonts w:ascii="Cambria" w:hAnsi="Cambria" w:cs="Times New Roman"/>
      <w:b/>
      <w:bCs/>
      <w:sz w:val="26"/>
      <w:szCs w:val="26"/>
    </w:rPr>
  </w:style>
  <w:style w:type="paragraph" w:styleId="Heading4">
    <w:name w:val="heading 4"/>
    <w:basedOn w:val="Heading3"/>
    <w:next w:val="Normal"/>
    <w:link w:val="Heading4Char"/>
    <w:qFormat/>
    <w:rsid w:val="00884CF0"/>
    <w:pPr>
      <w:tabs>
        <w:tab w:val="num" w:pos="864"/>
      </w:tabs>
      <w:spacing w:before="0" w:after="0" w:line="300" w:lineRule="atLeast"/>
      <w:ind w:left="864" w:hanging="864"/>
      <w:outlineLvl w:val="3"/>
    </w:pPr>
    <w:rPr>
      <w:rFonts w:ascii="Calibri" w:hAnsi="Calibri"/>
      <w:sz w:val="28"/>
      <w:szCs w:val="28"/>
      <w:lang w:val="x-none" w:eastAsia="x-none"/>
    </w:rPr>
  </w:style>
  <w:style w:type="paragraph" w:styleId="Heading5">
    <w:name w:val="heading 5"/>
    <w:basedOn w:val="Heading4"/>
    <w:next w:val="Normal"/>
    <w:link w:val="Heading5Char"/>
    <w:qFormat/>
    <w:rsid w:val="00884CF0"/>
    <w:pPr>
      <w:tabs>
        <w:tab w:val="clear" w:pos="864"/>
        <w:tab w:val="num" w:pos="1008"/>
      </w:tabs>
      <w:ind w:left="1008" w:hanging="1008"/>
      <w:outlineLvl w:val="4"/>
    </w:pPr>
    <w:rPr>
      <w:i/>
      <w:iCs/>
      <w:caps/>
      <w:sz w:val="26"/>
    </w:rPr>
  </w:style>
  <w:style w:type="paragraph" w:styleId="Heading6">
    <w:name w:val="heading 6"/>
    <w:basedOn w:val="Heading5"/>
    <w:next w:val="Normal"/>
    <w:link w:val="Heading6Char"/>
    <w:qFormat/>
    <w:rsid w:val="00884CF0"/>
    <w:pPr>
      <w:tabs>
        <w:tab w:val="clear" w:pos="1008"/>
        <w:tab w:val="num" w:pos="1152"/>
      </w:tabs>
      <w:ind w:left="1152" w:hanging="1152"/>
      <w:outlineLvl w:val="5"/>
    </w:pPr>
    <w:rPr>
      <w:caps w:val="0"/>
      <w:szCs w:val="22"/>
    </w:rPr>
  </w:style>
  <w:style w:type="paragraph" w:styleId="Heading7">
    <w:name w:val="heading 7"/>
    <w:basedOn w:val="Heading6"/>
    <w:next w:val="Normal"/>
    <w:link w:val="Heading7Char"/>
    <w:qFormat/>
    <w:rsid w:val="00884CF0"/>
    <w:pPr>
      <w:tabs>
        <w:tab w:val="clear" w:pos="1152"/>
        <w:tab w:val="num" w:pos="1296"/>
      </w:tabs>
      <w:ind w:left="1296" w:hanging="1296"/>
      <w:outlineLvl w:val="6"/>
    </w:pPr>
    <w:rPr>
      <w:b w:val="0"/>
      <w:bCs w:val="0"/>
      <w:caps/>
      <w:sz w:val="24"/>
      <w:szCs w:val="24"/>
    </w:rPr>
  </w:style>
  <w:style w:type="paragraph" w:styleId="Heading8">
    <w:name w:val="heading 8"/>
    <w:basedOn w:val="Normal"/>
    <w:next w:val="Normal"/>
    <w:link w:val="Heading8Char"/>
    <w:unhideWhenUsed/>
    <w:qFormat/>
    <w:rsid w:val="00431932"/>
    <w:pPr>
      <w:keepNext/>
      <w:keepLines/>
      <w:spacing w:before="200"/>
      <w:outlineLvl w:val="7"/>
    </w:pPr>
    <w:rPr>
      <w:rFonts w:ascii="Cambria" w:hAnsi="Cambria" w:cs="Times New Roman"/>
      <w:color w:val="404040"/>
      <w:szCs w:val="20"/>
    </w:rPr>
  </w:style>
  <w:style w:type="paragraph" w:styleId="Heading9">
    <w:name w:val="heading 9"/>
    <w:basedOn w:val="Heading8"/>
    <w:next w:val="Normal"/>
    <w:link w:val="Heading9Char"/>
    <w:qFormat/>
    <w:rsid w:val="00884CF0"/>
    <w:pPr>
      <w:keepLines w:val="0"/>
      <w:tabs>
        <w:tab w:val="num" w:pos="1584"/>
      </w:tabs>
      <w:spacing w:before="0" w:line="300" w:lineRule="atLeast"/>
      <w:ind w:left="1584" w:hanging="1584"/>
      <w:outlineLvl w:val="8"/>
    </w:pPr>
    <w:rPr>
      <w:rFonts w:ascii="Calibri Light" w:hAnsi="Calibri Light"/>
      <w:caps/>
      <w:color w:val="auto"/>
      <w:sz w:val="24"/>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table" w:styleId="TableGrid">
    <w:name w:val="Table Grid"/>
    <w:basedOn w:val="TableNormal"/>
    <w:rsid w:val="00A6772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pPr>
      <w:spacing w:line="240" w:lineRule="exact"/>
    </w:pPr>
    <w:rPr>
      <w:rFonts w:cs="Simplified Arabic"/>
    </w:rPr>
  </w:style>
  <w:style w:type="character" w:styleId="FootnoteReference">
    <w:name w:val="footnote reference"/>
    <w:aliases w:val="Footnote"/>
    <w:rPr>
      <w:rFonts w:cs="Simplified Arabic"/>
      <w:szCs w:val="24"/>
      <w:vertAlign w:val="superscript"/>
    </w:rPr>
  </w:style>
  <w:style w:type="paragraph" w:customStyle="1" w:styleId="ARNormal">
    <w:name w:val="AR_Normal"/>
    <w:basedOn w:val="Normal"/>
    <w:qFormat/>
    <w:rsid w:val="00335C17"/>
    <w:pPr>
      <w:spacing w:after="120" w:line="340" w:lineRule="exact"/>
      <w:jc w:val="both"/>
    </w:pPr>
    <w:rPr>
      <w:rFonts w:ascii="Arabic Typesetting" w:hAnsi="Arabic Typesetting" w:cs="Arabic Typesetting"/>
      <w:sz w:val="34"/>
      <w:szCs w:val="34"/>
      <w:lang w:val="fr-CH" w:bidi="ar-SA"/>
    </w:rPr>
  </w:style>
  <w:style w:type="paragraph" w:customStyle="1" w:styleId="ARHeading1">
    <w:name w:val="AR_Heading1"/>
    <w:basedOn w:val="Normal"/>
    <w:next w:val="ARNormal"/>
    <w:rsid w:val="00335C17"/>
    <w:pPr>
      <w:keepNext/>
      <w:spacing w:after="240" w:line="320" w:lineRule="exact"/>
    </w:pPr>
    <w:rPr>
      <w:rFonts w:ascii="Arabic Typesetting" w:hAnsi="Arabic Typesetting" w:cs="Arabic Typesetting"/>
      <w:b/>
      <w:bCs/>
      <w:sz w:val="38"/>
      <w:szCs w:val="38"/>
    </w:rPr>
  </w:style>
  <w:style w:type="paragraph" w:styleId="NormalWeb">
    <w:name w:val="Normal (Web)"/>
    <w:basedOn w:val="Normal"/>
    <w:rsid w:val="00335C17"/>
    <w:pPr>
      <w:bidi w:val="0"/>
      <w:spacing w:before="100" w:beforeAutospacing="1" w:after="100" w:afterAutospacing="1"/>
    </w:pPr>
    <w:rPr>
      <w:rFonts w:cs="Times New Roman"/>
      <w:sz w:val="24"/>
      <w:lang w:val="en-GB" w:eastAsia="en-GB" w:bidi="ar-SA"/>
    </w:rPr>
  </w:style>
  <w:style w:type="paragraph" w:customStyle="1" w:styleId="ARHeading2">
    <w:name w:val="AR_Heading2"/>
    <w:basedOn w:val="Normal"/>
    <w:next w:val="ARNormal"/>
    <w:qFormat/>
    <w:rsid w:val="00335C17"/>
    <w:pPr>
      <w:keepNext/>
      <w:spacing w:after="120" w:line="340" w:lineRule="exact"/>
      <w:jc w:val="both"/>
    </w:pPr>
    <w:rPr>
      <w:rFonts w:ascii="Arabic Typesetting" w:hAnsi="Arabic Typesetting" w:cs="Arabic Typesetting"/>
      <w:b/>
      <w:bCs/>
      <w:sz w:val="34"/>
      <w:szCs w:val="34"/>
    </w:rPr>
  </w:style>
  <w:style w:type="paragraph" w:customStyle="1" w:styleId="ARNumbered1">
    <w:name w:val="AR_Numbered1"/>
    <w:basedOn w:val="Normal"/>
    <w:qFormat/>
    <w:rsid w:val="00D27440"/>
    <w:pPr>
      <w:numPr>
        <w:numId w:val="1"/>
      </w:numPr>
      <w:spacing w:after="120" w:line="340" w:lineRule="exact"/>
      <w:jc w:val="both"/>
    </w:pPr>
    <w:rPr>
      <w:rFonts w:ascii="Arabic Typesetting" w:hAnsi="Arabic Typesetting" w:cs="Arabic Typesetting"/>
      <w:sz w:val="34"/>
      <w:szCs w:val="34"/>
      <w:lang w:val="fr-CH"/>
    </w:rPr>
  </w:style>
  <w:style w:type="paragraph" w:customStyle="1" w:styleId="ARHeading3">
    <w:name w:val="AR_Heading3"/>
    <w:basedOn w:val="ARHeading2"/>
    <w:next w:val="ARNormal"/>
    <w:qFormat/>
    <w:rsid w:val="00D27440"/>
    <w:rPr>
      <w:b w:val="0"/>
      <w:bCs w:val="0"/>
      <w:u w:val="single"/>
    </w:rPr>
  </w:style>
  <w:style w:type="character" w:customStyle="1" w:styleId="Heading1Char">
    <w:name w:val="Heading 1 Char"/>
    <w:link w:val="Heading1"/>
    <w:rsid w:val="00AC74EE"/>
    <w:rPr>
      <w:rFonts w:ascii="Cambria" w:eastAsia="Times New Roman" w:hAnsi="Cambria" w:cs="Times New Roman"/>
      <w:b/>
      <w:bCs/>
      <w:color w:val="365F91"/>
      <w:sz w:val="28"/>
      <w:szCs w:val="28"/>
      <w:lang w:bidi="ar-EG"/>
    </w:rPr>
  </w:style>
  <w:style w:type="paragraph" w:styleId="ListParagraph">
    <w:name w:val="List Paragraph"/>
    <w:basedOn w:val="Normal"/>
    <w:uiPriority w:val="72"/>
    <w:qFormat/>
    <w:rsid w:val="0028098C"/>
    <w:pPr>
      <w:ind w:left="720"/>
      <w:contextualSpacing/>
    </w:pPr>
  </w:style>
  <w:style w:type="paragraph" w:styleId="BalloonText">
    <w:name w:val="Balloon Text"/>
    <w:basedOn w:val="Normal"/>
    <w:link w:val="BalloonTextChar"/>
    <w:rsid w:val="00181440"/>
    <w:rPr>
      <w:rFonts w:ascii="Tahoma" w:hAnsi="Tahoma" w:cs="Tahoma"/>
      <w:sz w:val="16"/>
      <w:szCs w:val="16"/>
    </w:rPr>
  </w:style>
  <w:style w:type="character" w:customStyle="1" w:styleId="BalloonTextChar">
    <w:name w:val="Balloon Text Char"/>
    <w:link w:val="BalloonText"/>
    <w:rsid w:val="00181440"/>
    <w:rPr>
      <w:rFonts w:ascii="Tahoma" w:hAnsi="Tahoma" w:cs="Tahoma"/>
      <w:sz w:val="16"/>
      <w:szCs w:val="16"/>
      <w:lang w:bidi="ar-EG"/>
    </w:rPr>
  </w:style>
  <w:style w:type="character" w:customStyle="1" w:styleId="tw4winMark">
    <w:name w:val="tw4winMark"/>
    <w:rsid w:val="00AA0DA4"/>
    <w:rPr>
      <w:rFonts w:ascii="Courier New" w:hAnsi="Courier New" w:cs="Courier New"/>
      <w:vanish/>
      <w:color w:val="800080"/>
      <w:sz w:val="20"/>
      <w:vertAlign w:val="subscript"/>
    </w:rPr>
  </w:style>
  <w:style w:type="character" w:customStyle="1" w:styleId="Heading8Char">
    <w:name w:val="Heading 8 Char"/>
    <w:link w:val="Heading8"/>
    <w:rsid w:val="00431932"/>
    <w:rPr>
      <w:rFonts w:ascii="Cambria" w:eastAsia="Times New Roman" w:hAnsi="Cambria" w:cs="Times New Roman"/>
      <w:color w:val="404040"/>
      <w:lang w:bidi="ar-EG"/>
    </w:rPr>
  </w:style>
  <w:style w:type="character" w:customStyle="1" w:styleId="HeaderChar">
    <w:name w:val="Header Char"/>
    <w:link w:val="Header"/>
    <w:uiPriority w:val="99"/>
    <w:rsid w:val="00AB66E2"/>
    <w:rPr>
      <w:szCs w:val="24"/>
      <w:lang w:bidi="ar-EG"/>
    </w:rPr>
  </w:style>
  <w:style w:type="character" w:customStyle="1" w:styleId="FooterChar">
    <w:name w:val="Footer Char"/>
    <w:link w:val="Footer"/>
    <w:locked/>
    <w:rsid w:val="00884CF0"/>
    <w:rPr>
      <w:szCs w:val="24"/>
      <w:lang w:bidi="ar-EG"/>
    </w:rPr>
  </w:style>
  <w:style w:type="character" w:customStyle="1" w:styleId="FootnoteTextChar">
    <w:name w:val="Footnote Text Char"/>
    <w:link w:val="FootnoteText"/>
    <w:locked/>
    <w:rsid w:val="00884CF0"/>
    <w:rPr>
      <w:rFonts w:cs="Simplified Arabic"/>
      <w:szCs w:val="24"/>
      <w:lang w:bidi="ar-EG"/>
    </w:rPr>
  </w:style>
  <w:style w:type="paragraph" w:customStyle="1" w:styleId="ARProgramHeading2">
    <w:name w:val="AR_Program_Heading2"/>
    <w:basedOn w:val="Normal"/>
    <w:next w:val="ARNormal"/>
    <w:rsid w:val="00884CF0"/>
    <w:pPr>
      <w:keepNext/>
      <w:spacing w:before="240" w:after="120" w:line="340" w:lineRule="exact"/>
      <w:jc w:val="both"/>
    </w:pPr>
    <w:rPr>
      <w:rFonts w:ascii="Arabic Typesetting" w:hAnsi="Arabic Typesetting" w:cs="Arabic Typesetting"/>
      <w:sz w:val="38"/>
      <w:szCs w:val="38"/>
    </w:rPr>
  </w:style>
  <w:style w:type="paragraph" w:customStyle="1" w:styleId="ARProgramTableHeading">
    <w:name w:val="AR_Program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ARProgramTableText">
    <w:name w:val="AR_Program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Text">
    <w:name w:val="AR_SG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Heading">
    <w:name w:val="AR_SG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StyleHeading214ptAuto">
    <w:name w:val="Style Heading 2 + 14 pt Auto"/>
    <w:basedOn w:val="Heading2"/>
    <w:rsid w:val="00884CF0"/>
    <w:pPr>
      <w:keepNext w:val="0"/>
      <w:widowControl w:val="0"/>
      <w:tabs>
        <w:tab w:val="num" w:pos="567"/>
      </w:tabs>
      <w:spacing w:before="0" w:after="0" w:line="300" w:lineRule="atLeast"/>
      <w:ind w:left="567" w:hanging="567"/>
      <w:jc w:val="center"/>
    </w:pPr>
    <w:rPr>
      <w:rFonts w:ascii="Arial Bold" w:hAnsi="Arial Bold" w:cs="Arial"/>
      <w:i w:val="0"/>
      <w:caps/>
      <w:sz w:val="20"/>
      <w:lang w:val="en-GB"/>
    </w:rPr>
  </w:style>
  <w:style w:type="paragraph" w:customStyle="1" w:styleId="StyleHeading3ComplexItalic">
    <w:name w:val="Style Heading 3 + (Complex) Italic"/>
    <w:basedOn w:val="Heading3"/>
    <w:rsid w:val="00884CF0"/>
    <w:pPr>
      <w:tabs>
        <w:tab w:val="left" w:pos="1985"/>
      </w:tabs>
      <w:bidi w:val="0"/>
      <w:spacing w:before="0" w:after="0"/>
    </w:pPr>
    <w:rPr>
      <w:rFonts w:ascii="Arial" w:hAnsi="Arial" w:cs="Arial"/>
      <w:bCs w:val="0"/>
      <w:iCs/>
      <w:caps/>
      <w:snapToGrid w:val="0"/>
      <w:sz w:val="22"/>
      <w:szCs w:val="22"/>
      <w:lang w:bidi="ar-SA"/>
    </w:rPr>
  </w:style>
  <w:style w:type="paragraph" w:styleId="BodyTextIndent">
    <w:name w:val="Body Text Indent"/>
    <w:basedOn w:val="Normal"/>
    <w:link w:val="BodyTextIndentChar"/>
    <w:rsid w:val="00884CF0"/>
    <w:pPr>
      <w:bidi w:val="0"/>
      <w:ind w:left="567"/>
    </w:pPr>
    <w:rPr>
      <w:rFonts w:cs="Times New Roman"/>
      <w:snapToGrid w:val="0"/>
      <w:sz w:val="24"/>
      <w:szCs w:val="20"/>
      <w:lang w:bidi="ar-SA"/>
    </w:rPr>
  </w:style>
  <w:style w:type="character" w:customStyle="1" w:styleId="BodyTextIndentChar">
    <w:name w:val="Body Text Indent Char"/>
    <w:link w:val="BodyTextIndent"/>
    <w:rsid w:val="00884CF0"/>
    <w:rPr>
      <w:rFonts w:cs="Times New Roman"/>
      <w:snapToGrid w:val="0"/>
      <w:sz w:val="24"/>
    </w:rPr>
  </w:style>
  <w:style w:type="character" w:customStyle="1" w:styleId="Heading2Char">
    <w:name w:val="Heading 2 Char"/>
    <w:link w:val="Heading2"/>
    <w:rsid w:val="00884CF0"/>
    <w:rPr>
      <w:rFonts w:ascii="Cambria" w:eastAsia="Times New Roman" w:hAnsi="Cambria" w:cs="Times New Roman"/>
      <w:b/>
      <w:bCs/>
      <w:i/>
      <w:iCs/>
      <w:sz w:val="28"/>
      <w:szCs w:val="28"/>
      <w:lang w:bidi="ar-EG"/>
    </w:rPr>
  </w:style>
  <w:style w:type="character" w:customStyle="1" w:styleId="Heading3Char">
    <w:name w:val="Heading 3 Char"/>
    <w:link w:val="Heading3"/>
    <w:rsid w:val="00884CF0"/>
    <w:rPr>
      <w:rFonts w:ascii="Cambria" w:eastAsia="Times New Roman" w:hAnsi="Cambria" w:cs="Times New Roman"/>
      <w:b/>
      <w:bCs/>
      <w:sz w:val="26"/>
      <w:szCs w:val="26"/>
      <w:lang w:bidi="ar-EG"/>
    </w:rPr>
  </w:style>
  <w:style w:type="character" w:customStyle="1" w:styleId="Heading4Char">
    <w:name w:val="Heading 4 Char"/>
    <w:link w:val="Heading4"/>
    <w:rsid w:val="00884CF0"/>
    <w:rPr>
      <w:rFonts w:ascii="Calibri" w:hAnsi="Calibri" w:cs="Times New Roman"/>
      <w:b/>
      <w:bCs/>
      <w:sz w:val="28"/>
      <w:szCs w:val="28"/>
      <w:lang w:val="x-none" w:eastAsia="x-none" w:bidi="ar-EG"/>
    </w:rPr>
  </w:style>
  <w:style w:type="character" w:customStyle="1" w:styleId="Heading5Char">
    <w:name w:val="Heading 5 Char"/>
    <w:link w:val="Heading5"/>
    <w:rsid w:val="00884CF0"/>
    <w:rPr>
      <w:rFonts w:ascii="Calibri" w:hAnsi="Calibri" w:cs="Times New Roman"/>
      <w:b/>
      <w:bCs/>
      <w:i/>
      <w:iCs/>
      <w:caps/>
      <w:sz w:val="26"/>
      <w:szCs w:val="28"/>
      <w:lang w:val="x-none" w:eastAsia="x-none" w:bidi="ar-EG"/>
    </w:rPr>
  </w:style>
  <w:style w:type="character" w:customStyle="1" w:styleId="Heading6Char">
    <w:name w:val="Heading 6 Char"/>
    <w:link w:val="Heading6"/>
    <w:rsid w:val="00884CF0"/>
    <w:rPr>
      <w:rFonts w:ascii="Calibri" w:hAnsi="Calibri" w:cs="Times New Roman"/>
      <w:b/>
      <w:bCs/>
      <w:i/>
      <w:iCs/>
      <w:sz w:val="26"/>
      <w:szCs w:val="22"/>
      <w:lang w:val="x-none" w:eastAsia="x-none" w:bidi="ar-EG"/>
    </w:rPr>
  </w:style>
  <w:style w:type="character" w:customStyle="1" w:styleId="Heading7Char">
    <w:name w:val="Heading 7 Char"/>
    <w:link w:val="Heading7"/>
    <w:rsid w:val="00884CF0"/>
    <w:rPr>
      <w:rFonts w:ascii="Calibri" w:hAnsi="Calibri" w:cs="Times New Roman"/>
      <w:i/>
      <w:iCs/>
      <w:caps/>
      <w:sz w:val="24"/>
      <w:szCs w:val="24"/>
      <w:lang w:val="x-none" w:eastAsia="x-none" w:bidi="ar-EG"/>
    </w:rPr>
  </w:style>
  <w:style w:type="character" w:customStyle="1" w:styleId="Heading9Char">
    <w:name w:val="Heading 9 Char"/>
    <w:link w:val="Heading9"/>
    <w:rsid w:val="00884CF0"/>
    <w:rPr>
      <w:rFonts w:ascii="Calibri Light" w:hAnsi="Calibri Light" w:cs="Times New Roman"/>
      <w:caps/>
      <w:sz w:val="24"/>
      <w:szCs w:val="22"/>
      <w:lang w:val="x-none" w:eastAsia="x-none" w:bidi="ar-EG"/>
    </w:rPr>
  </w:style>
  <w:style w:type="paragraph" w:customStyle="1" w:styleId="CharCharCharChar">
    <w:name w:val="Char Char Char Char"/>
    <w:basedOn w:val="Normal"/>
    <w:rsid w:val="00884CF0"/>
    <w:pPr>
      <w:spacing w:after="160" w:line="240" w:lineRule="exact"/>
    </w:pPr>
    <w:rPr>
      <w:lang w:val="en-GB"/>
    </w:rPr>
  </w:style>
  <w:style w:type="character" w:customStyle="1" w:styleId="hps">
    <w:name w:val="hps"/>
    <w:rsid w:val="00884CF0"/>
    <w:rPr>
      <w:rFonts w:cs="Times New Roman"/>
    </w:rPr>
  </w:style>
  <w:style w:type="paragraph" w:customStyle="1" w:styleId="1">
    <w:name w:val="1"/>
    <w:basedOn w:val="Normal"/>
    <w:rsid w:val="00884CF0"/>
    <w:pPr>
      <w:spacing w:after="160" w:line="240" w:lineRule="exact"/>
    </w:pPr>
    <w:rPr>
      <w:lang w:val="en-GB"/>
    </w:rPr>
  </w:style>
  <w:style w:type="paragraph" w:styleId="TOC2">
    <w:name w:val="toc 2"/>
    <w:basedOn w:val="Normal"/>
    <w:next w:val="Normal"/>
    <w:autoRedefine/>
    <w:uiPriority w:val="39"/>
    <w:qFormat/>
    <w:rsid w:val="003744E1"/>
    <w:pPr>
      <w:tabs>
        <w:tab w:val="left" w:pos="8929"/>
      </w:tabs>
      <w:spacing w:after="60" w:line="280" w:lineRule="exact"/>
      <w:ind w:left="283"/>
    </w:pPr>
    <w:rPr>
      <w:rFonts w:asciiTheme="minorHAnsi" w:hAnsiTheme="minorHAnsi" w:cs="Times New Roman"/>
      <w:b/>
      <w:bCs/>
    </w:rPr>
  </w:style>
  <w:style w:type="character" w:styleId="Hyperlink">
    <w:name w:val="Hyperlink"/>
    <w:uiPriority w:val="99"/>
    <w:rsid w:val="00884CF0"/>
    <w:rPr>
      <w:color w:val="0000FF"/>
      <w:u w:val="single"/>
    </w:rPr>
  </w:style>
  <w:style w:type="character" w:customStyle="1" w:styleId="StyleHeading3ComplexItalicChar">
    <w:name w:val="Style Heading 3 + (Complex) Italic Char"/>
    <w:locked/>
    <w:rsid w:val="00884CF0"/>
    <w:rPr>
      <w:rFonts w:ascii="Arial" w:hAnsi="Arial"/>
      <w:b/>
      <w:caps/>
      <w:sz w:val="22"/>
      <w:lang w:val="en-US"/>
    </w:rPr>
  </w:style>
  <w:style w:type="paragraph" w:styleId="TOC3">
    <w:name w:val="toc 3"/>
    <w:basedOn w:val="Normal"/>
    <w:next w:val="Normal"/>
    <w:autoRedefine/>
    <w:uiPriority w:val="39"/>
    <w:qFormat/>
    <w:rsid w:val="000178A6"/>
    <w:pPr>
      <w:tabs>
        <w:tab w:val="left" w:pos="1984"/>
        <w:tab w:val="right" w:leader="dot" w:pos="9345"/>
      </w:tabs>
      <w:spacing w:after="60" w:line="280" w:lineRule="exact"/>
      <w:ind w:left="566"/>
    </w:pPr>
    <w:rPr>
      <w:rFonts w:ascii="Arabic Typesetting" w:hAnsi="Arabic Typesetting" w:cs="Arabic Typesetting"/>
      <w:b/>
      <w:noProof/>
      <w:sz w:val="28"/>
      <w:szCs w:val="28"/>
    </w:rPr>
  </w:style>
  <w:style w:type="paragraph" w:styleId="TOC1">
    <w:name w:val="toc 1"/>
    <w:basedOn w:val="Normal"/>
    <w:next w:val="Normal"/>
    <w:autoRedefine/>
    <w:uiPriority w:val="39"/>
    <w:qFormat/>
    <w:rsid w:val="009920A4"/>
    <w:pPr>
      <w:tabs>
        <w:tab w:val="left" w:pos="566"/>
        <w:tab w:val="right" w:leader="dot" w:pos="9345"/>
      </w:tabs>
      <w:spacing w:after="60" w:line="280" w:lineRule="exact"/>
    </w:pPr>
    <w:rPr>
      <w:rFonts w:asciiTheme="majorHAnsi" w:hAnsiTheme="majorHAnsi" w:cs="Times New Roman"/>
      <w:b/>
      <w:bCs/>
      <w:caps/>
      <w:sz w:val="24"/>
      <w:szCs w:val="28"/>
    </w:rPr>
  </w:style>
  <w:style w:type="paragraph" w:customStyle="1" w:styleId="NormalArial">
    <w:name w:val="Normal + Arial"/>
    <w:aliases w:val="10 pt"/>
    <w:basedOn w:val="ListParagraph"/>
    <w:rsid w:val="00884CF0"/>
    <w:pPr>
      <w:ind w:left="-28"/>
      <w:contextualSpacing w:val="0"/>
    </w:pPr>
    <w:rPr>
      <w:rFonts w:ascii="Arial" w:hAnsi="Arial" w:cs="Arial"/>
      <w:bCs/>
      <w:szCs w:val="20"/>
    </w:rPr>
  </w:style>
  <w:style w:type="paragraph" w:customStyle="1" w:styleId="Default">
    <w:name w:val="Default"/>
    <w:rsid w:val="00884CF0"/>
    <w:pPr>
      <w:autoSpaceDE w:val="0"/>
      <w:autoSpaceDN w:val="0"/>
      <w:adjustRightInd w:val="0"/>
    </w:pPr>
    <w:rPr>
      <w:rFonts w:ascii="Arial" w:hAnsi="Arial" w:cs="Arial"/>
      <w:snapToGrid w:val="0"/>
      <w:color w:val="000000"/>
      <w:sz w:val="24"/>
      <w:szCs w:val="24"/>
    </w:rPr>
  </w:style>
  <w:style w:type="paragraph" w:customStyle="1" w:styleId="Normal6">
    <w:name w:val="Normal+6"/>
    <w:basedOn w:val="Normal"/>
    <w:next w:val="Normal"/>
    <w:rsid w:val="00884CF0"/>
    <w:pPr>
      <w:autoSpaceDE w:val="0"/>
      <w:autoSpaceDN w:val="0"/>
      <w:adjustRightInd w:val="0"/>
    </w:pPr>
    <w:rPr>
      <w:rFonts w:ascii="Arial" w:hAnsi="Arial"/>
    </w:rPr>
  </w:style>
  <w:style w:type="character" w:styleId="CommentReference">
    <w:name w:val="annotation reference"/>
    <w:rsid w:val="00884CF0"/>
    <w:rPr>
      <w:sz w:val="16"/>
    </w:rPr>
  </w:style>
  <w:style w:type="paragraph" w:styleId="CommentText">
    <w:name w:val="annotation text"/>
    <w:basedOn w:val="Normal"/>
    <w:link w:val="CommentTextChar"/>
    <w:rsid w:val="00884CF0"/>
    <w:rPr>
      <w:lang w:eastAsia="x-none"/>
    </w:rPr>
  </w:style>
  <w:style w:type="character" w:customStyle="1" w:styleId="CommentTextChar">
    <w:name w:val="Comment Text Char"/>
    <w:link w:val="CommentText"/>
    <w:rsid w:val="00884CF0"/>
    <w:rPr>
      <w:szCs w:val="24"/>
      <w:lang w:eastAsia="x-none" w:bidi="ar-EG"/>
    </w:rPr>
  </w:style>
  <w:style w:type="paragraph" w:customStyle="1" w:styleId="StyleStyleHeading3ComplexItalicLatin12pt">
    <w:name w:val="Style Style Heading 3 + (Complex) Italic + (Latin) 12 pt"/>
    <w:basedOn w:val="StyleHeading3ComplexItalic"/>
    <w:rsid w:val="00884CF0"/>
    <w:pPr>
      <w:bidi/>
    </w:pPr>
    <w:rPr>
      <w:snapToGrid/>
      <w:lang w:bidi="ar-EG"/>
    </w:rPr>
  </w:style>
  <w:style w:type="character" w:customStyle="1" w:styleId="StyleStyleHeading3ComplexItalicLatin12ptChar">
    <w:name w:val="Style Style Heading 3 + (Complex) Italic + (Latin) 12 pt Char"/>
    <w:locked/>
    <w:rsid w:val="00884CF0"/>
    <w:rPr>
      <w:rFonts w:ascii="Arial" w:hAnsi="Arial" w:cs="Arial"/>
      <w:b/>
      <w:iCs/>
      <w:caps/>
      <w:sz w:val="22"/>
      <w:szCs w:val="22"/>
      <w:lang w:val="en-US" w:bidi="ar-SA"/>
    </w:rPr>
  </w:style>
  <w:style w:type="character" w:customStyle="1" w:styleId="paracolourtext1">
    <w:name w:val="paracolourtext1"/>
    <w:rsid w:val="00884CF0"/>
    <w:rPr>
      <w:color w:val="800000"/>
      <w:sz w:val="20"/>
    </w:rPr>
  </w:style>
  <w:style w:type="paragraph" w:styleId="BodyText">
    <w:name w:val="Body Text"/>
    <w:basedOn w:val="Normal"/>
    <w:link w:val="BodyTextChar"/>
    <w:qFormat/>
    <w:rsid w:val="00884CF0"/>
    <w:pPr>
      <w:spacing w:after="120"/>
    </w:pPr>
    <w:rPr>
      <w:lang w:val="x-none" w:eastAsia="x-none"/>
    </w:rPr>
  </w:style>
  <w:style w:type="character" w:customStyle="1" w:styleId="BodyTextChar">
    <w:name w:val="Body Text Char"/>
    <w:link w:val="BodyText"/>
    <w:rsid w:val="00884CF0"/>
    <w:rPr>
      <w:szCs w:val="24"/>
      <w:lang w:val="x-none" w:eastAsia="x-none" w:bidi="ar-EG"/>
    </w:rPr>
  </w:style>
  <w:style w:type="paragraph" w:customStyle="1" w:styleId="Body">
    <w:name w:val="Body"/>
    <w:rsid w:val="00884CF0"/>
    <w:rPr>
      <w:rFonts w:cs="Times New Roman"/>
      <w:snapToGrid w:val="0"/>
      <w:color w:val="000000"/>
      <w:sz w:val="24"/>
      <w:lang w:bidi="th-TH"/>
    </w:rPr>
  </w:style>
  <w:style w:type="paragraph" w:customStyle="1" w:styleId="tes1">
    <w:name w:val="tes1"/>
    <w:basedOn w:val="Normal"/>
    <w:rsid w:val="00884CF0"/>
    <w:pPr>
      <w:suppressAutoHyphens/>
      <w:ind w:left="1134" w:right="2195"/>
      <w:jc w:val="both"/>
    </w:pPr>
    <w:rPr>
      <w:b/>
      <w:spacing w:val="4"/>
      <w:w w:val="103"/>
      <w:kern w:val="14"/>
      <w:lang w:val="en-GB"/>
    </w:rPr>
  </w:style>
  <w:style w:type="paragraph" w:customStyle="1" w:styleId="Style10">
    <w:name w:val="Style10"/>
    <w:basedOn w:val="Normal"/>
    <w:autoRedefine/>
    <w:rsid w:val="00884CF0"/>
    <w:pPr>
      <w:tabs>
        <w:tab w:val="left" w:pos="340"/>
        <w:tab w:val="left" w:pos="680"/>
        <w:tab w:val="left" w:pos="1021"/>
        <w:tab w:val="left" w:pos="1361"/>
      </w:tabs>
      <w:suppressAutoHyphens/>
      <w:jc w:val="both"/>
    </w:pPr>
  </w:style>
  <w:style w:type="paragraph" w:customStyle="1" w:styleId="Style11">
    <w:name w:val="Style11"/>
    <w:basedOn w:val="FootnoteText"/>
    <w:autoRedefine/>
    <w:rsid w:val="00884CF0"/>
    <w:pPr>
      <w:suppressAutoHyphens/>
      <w:ind w:firstLine="340"/>
      <w:jc w:val="both"/>
    </w:pPr>
    <w:rPr>
      <w:sz w:val="16"/>
    </w:rPr>
  </w:style>
  <w:style w:type="paragraph" w:styleId="Title">
    <w:name w:val="Title"/>
    <w:basedOn w:val="Normal"/>
    <w:link w:val="TitleChar"/>
    <w:qFormat/>
    <w:rsid w:val="00884CF0"/>
    <w:pPr>
      <w:jc w:val="center"/>
    </w:pPr>
    <w:rPr>
      <w:rFonts w:ascii="Calibri Light" w:hAnsi="Calibri Light"/>
      <w:b/>
      <w:bCs/>
      <w:kern w:val="28"/>
      <w:sz w:val="32"/>
      <w:szCs w:val="32"/>
      <w:lang w:val="x-none" w:eastAsia="x-none"/>
    </w:rPr>
  </w:style>
  <w:style w:type="character" w:customStyle="1" w:styleId="TitleChar">
    <w:name w:val="Title Char"/>
    <w:link w:val="Title"/>
    <w:rsid w:val="00884CF0"/>
    <w:rPr>
      <w:rFonts w:ascii="Calibri Light" w:hAnsi="Calibri Light"/>
      <w:b/>
      <w:bCs/>
      <w:kern w:val="28"/>
      <w:sz w:val="32"/>
      <w:szCs w:val="32"/>
      <w:lang w:val="x-none" w:eastAsia="x-none" w:bidi="ar-EG"/>
    </w:rPr>
  </w:style>
  <w:style w:type="paragraph" w:styleId="Subtitle">
    <w:name w:val="Subtitle"/>
    <w:basedOn w:val="Normal"/>
    <w:link w:val="SubtitleChar"/>
    <w:qFormat/>
    <w:rsid w:val="00884CF0"/>
    <w:pPr>
      <w:jc w:val="center"/>
    </w:pPr>
    <w:rPr>
      <w:rFonts w:ascii="Calibri Light" w:hAnsi="Calibri Light"/>
      <w:lang w:val="x-none" w:eastAsia="x-none"/>
    </w:rPr>
  </w:style>
  <w:style w:type="character" w:customStyle="1" w:styleId="SubtitleChar">
    <w:name w:val="Subtitle Char"/>
    <w:link w:val="Subtitle"/>
    <w:rsid w:val="00884CF0"/>
    <w:rPr>
      <w:rFonts w:ascii="Calibri Light" w:hAnsi="Calibri Light"/>
      <w:szCs w:val="24"/>
      <w:lang w:val="x-none" w:eastAsia="x-none" w:bidi="ar-EG"/>
    </w:rPr>
  </w:style>
  <w:style w:type="paragraph" w:customStyle="1" w:styleId="Endofdocument">
    <w:name w:val="End of document"/>
    <w:basedOn w:val="Normal"/>
    <w:rsid w:val="00884CF0"/>
    <w:pPr>
      <w:ind w:left="4536"/>
      <w:jc w:val="center"/>
    </w:pPr>
  </w:style>
  <w:style w:type="paragraph" w:styleId="BodyTextIndent2">
    <w:name w:val="Body Text Indent 2"/>
    <w:basedOn w:val="Normal"/>
    <w:link w:val="BodyTextIndent2Char"/>
    <w:rsid w:val="00884CF0"/>
    <w:pPr>
      <w:tabs>
        <w:tab w:val="left" w:pos="714"/>
      </w:tabs>
      <w:spacing w:after="100"/>
      <w:ind w:hanging="6"/>
      <w:jc w:val="both"/>
    </w:pPr>
    <w:rPr>
      <w:lang w:val="x-none" w:eastAsia="x-none"/>
    </w:rPr>
  </w:style>
  <w:style w:type="character" w:customStyle="1" w:styleId="BodyTextIndent2Char">
    <w:name w:val="Body Text Indent 2 Char"/>
    <w:link w:val="BodyTextIndent2"/>
    <w:rsid w:val="00884CF0"/>
    <w:rPr>
      <w:szCs w:val="24"/>
      <w:lang w:val="x-none" w:eastAsia="x-none" w:bidi="ar-EG"/>
    </w:rPr>
  </w:style>
  <w:style w:type="paragraph" w:customStyle="1" w:styleId="3029-Titrechapitre">
    <w:name w:val="3029-Titre chapitre"/>
    <w:basedOn w:val="Heading1"/>
    <w:rsid w:val="00884CF0"/>
    <w:pPr>
      <w:keepLines w:val="0"/>
      <w:spacing w:before="0"/>
    </w:pPr>
    <w:rPr>
      <w:rFonts w:ascii="Times New Roman" w:hAnsi="Times New Roman"/>
      <w:b w:val="0"/>
      <w:bCs w:val="0"/>
      <w:color w:val="000080"/>
      <w:sz w:val="30"/>
      <w:szCs w:val="20"/>
      <w:lang w:val="fr-FR" w:eastAsia="x-none"/>
    </w:rPr>
  </w:style>
  <w:style w:type="character" w:customStyle="1" w:styleId="underline">
    <w:name w:val="underline"/>
    <w:rsid w:val="00884CF0"/>
    <w:rPr>
      <w:u w:val="single"/>
    </w:rPr>
  </w:style>
  <w:style w:type="paragraph" w:customStyle="1" w:styleId="zanxhead">
    <w:name w:val="zanxhead"/>
    <w:basedOn w:val="Normal"/>
    <w:rsid w:val="00884CF0"/>
    <w:pPr>
      <w:spacing w:before="200"/>
    </w:pPr>
    <w:rPr>
      <w:b/>
      <w:color w:val="0000FF"/>
    </w:rPr>
  </w:style>
  <w:style w:type="paragraph" w:customStyle="1" w:styleId="zanxtext">
    <w:name w:val="zanxtext"/>
    <w:basedOn w:val="Normal"/>
    <w:rsid w:val="00884CF0"/>
    <w:pPr>
      <w:spacing w:before="120"/>
    </w:pPr>
  </w:style>
  <w:style w:type="paragraph" w:styleId="BodyText2">
    <w:name w:val="Body Text 2"/>
    <w:basedOn w:val="Normal"/>
    <w:link w:val="BodyText2Char"/>
    <w:rsid w:val="00884CF0"/>
    <w:pPr>
      <w:keepNext/>
      <w:jc w:val="both"/>
    </w:pPr>
    <w:rPr>
      <w:lang w:val="x-none" w:eastAsia="x-none"/>
    </w:rPr>
  </w:style>
  <w:style w:type="character" w:customStyle="1" w:styleId="BodyText2Char">
    <w:name w:val="Body Text 2 Char"/>
    <w:link w:val="BodyText2"/>
    <w:rsid w:val="00884CF0"/>
    <w:rPr>
      <w:szCs w:val="24"/>
      <w:lang w:val="x-none" w:eastAsia="x-none" w:bidi="ar-EG"/>
    </w:rPr>
  </w:style>
  <w:style w:type="paragraph" w:styleId="BlockText">
    <w:name w:val="Block Text"/>
    <w:basedOn w:val="Normal"/>
    <w:rsid w:val="00884CF0"/>
    <w:pPr>
      <w:tabs>
        <w:tab w:val="left" w:pos="2127"/>
      </w:tabs>
      <w:spacing w:after="40"/>
      <w:ind w:left="2127" w:right="896" w:hanging="2127"/>
    </w:pPr>
  </w:style>
  <w:style w:type="character" w:styleId="Emphasis">
    <w:name w:val="Emphasis"/>
    <w:uiPriority w:val="20"/>
    <w:qFormat/>
    <w:rsid w:val="00884CF0"/>
    <w:rPr>
      <w:i/>
    </w:rPr>
  </w:style>
  <w:style w:type="character" w:styleId="Strong">
    <w:name w:val="Strong"/>
    <w:qFormat/>
    <w:rsid w:val="00884CF0"/>
    <w:rPr>
      <w:b/>
    </w:rPr>
  </w:style>
  <w:style w:type="paragraph" w:customStyle="1" w:styleId="preparedby">
    <w:name w:val="prepared by"/>
    <w:basedOn w:val="Normal"/>
    <w:next w:val="Normal"/>
    <w:rsid w:val="00884CF0"/>
    <w:pPr>
      <w:spacing w:before="120" w:after="480" w:line="260" w:lineRule="atLeast"/>
      <w:ind w:left="1021"/>
      <w:contextualSpacing/>
    </w:pPr>
    <w:rPr>
      <w:rFonts w:ascii="Arial" w:hAnsi="Arial"/>
      <w:i/>
    </w:rPr>
  </w:style>
  <w:style w:type="paragraph" w:customStyle="1" w:styleId="Documenttitle">
    <w:name w:val="Document title"/>
    <w:basedOn w:val="Normal"/>
    <w:next w:val="preparedby"/>
    <w:rsid w:val="00884CF0"/>
    <w:pPr>
      <w:spacing w:before="840" w:line="336" w:lineRule="exact"/>
      <w:ind w:left="1021"/>
      <w:contextualSpacing/>
    </w:pPr>
    <w:rPr>
      <w:rFonts w:ascii="Arial" w:hAnsi="Arial"/>
    </w:rPr>
  </w:style>
  <w:style w:type="paragraph" w:customStyle="1" w:styleId="MeetinglanguageDate">
    <w:name w:val="Meeting language &amp; Date"/>
    <w:basedOn w:val="Normal"/>
    <w:next w:val="Meetingtitle"/>
    <w:rsid w:val="00884CF0"/>
    <w:pPr>
      <w:spacing w:after="1680" w:line="160" w:lineRule="exact"/>
      <w:ind w:left="1021"/>
      <w:contextualSpacing/>
      <w:jc w:val="right"/>
    </w:pPr>
    <w:rPr>
      <w:b/>
      <w:caps/>
      <w:sz w:val="15"/>
    </w:rPr>
  </w:style>
  <w:style w:type="paragraph" w:customStyle="1" w:styleId="Meetingtitle">
    <w:name w:val="Meeting title"/>
    <w:basedOn w:val="Normal"/>
    <w:next w:val="Sessiontitle"/>
    <w:rsid w:val="00884CF0"/>
    <w:pPr>
      <w:spacing w:line="336" w:lineRule="exact"/>
      <w:ind w:left="1021"/>
    </w:pPr>
    <w:rPr>
      <w:rFonts w:ascii="Arial" w:hAnsi="Arial"/>
      <w:b/>
      <w:sz w:val="28"/>
    </w:rPr>
  </w:style>
  <w:style w:type="paragraph" w:customStyle="1" w:styleId="Sessiontitle">
    <w:name w:val="Session title"/>
    <w:basedOn w:val="Meetingtitle"/>
    <w:next w:val="Meetingplacedate"/>
    <w:rsid w:val="00884CF0"/>
    <w:pPr>
      <w:spacing w:before="480"/>
      <w:contextualSpacing/>
    </w:pPr>
    <w:rPr>
      <w:sz w:val="24"/>
    </w:rPr>
  </w:style>
  <w:style w:type="paragraph" w:customStyle="1" w:styleId="Meetingplacedate">
    <w:name w:val="Meeting place &amp; date"/>
    <w:basedOn w:val="Sessiontitle"/>
    <w:next w:val="Documenttitle"/>
    <w:rsid w:val="00884CF0"/>
    <w:pPr>
      <w:spacing w:before="0"/>
      <w:contextualSpacing w:val="0"/>
    </w:pPr>
  </w:style>
  <w:style w:type="paragraph" w:customStyle="1" w:styleId="Language">
    <w:name w:val="Language"/>
    <w:basedOn w:val="Normal"/>
    <w:next w:val="Normal"/>
    <w:rsid w:val="00884CF0"/>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884CF0"/>
    <w:pPr>
      <w:spacing w:before="1800" w:after="0"/>
    </w:pPr>
  </w:style>
  <w:style w:type="paragraph" w:customStyle="1" w:styleId="CarCarCar">
    <w:name w:val="Car Car Car"/>
    <w:basedOn w:val="Normal"/>
    <w:rsid w:val="00884CF0"/>
    <w:pPr>
      <w:spacing w:after="160" w:line="240" w:lineRule="exact"/>
    </w:pPr>
  </w:style>
  <w:style w:type="paragraph" w:customStyle="1" w:styleId="Paragraphedeliste">
    <w:name w:val="Paragraphe de liste"/>
    <w:autoRedefine/>
    <w:rsid w:val="00884CF0"/>
    <w:pPr>
      <w:spacing w:after="200" w:line="276" w:lineRule="auto"/>
      <w:ind w:left="720"/>
    </w:pPr>
    <w:rPr>
      <w:rFonts w:cs="Times New Roman"/>
      <w:snapToGrid w:val="0"/>
      <w:color w:val="000000"/>
      <w:sz w:val="22"/>
      <w:lang w:val="en-GB"/>
    </w:rPr>
  </w:style>
  <w:style w:type="paragraph" w:customStyle="1" w:styleId="ONUME">
    <w:name w:val="ONUM E"/>
    <w:basedOn w:val="Normal"/>
    <w:link w:val="ONUMEChar"/>
    <w:rsid w:val="00884CF0"/>
    <w:pPr>
      <w:numPr>
        <w:numId w:val="3"/>
      </w:numPr>
    </w:pPr>
  </w:style>
  <w:style w:type="character" w:styleId="FollowedHyperlink">
    <w:name w:val="FollowedHyperlink"/>
    <w:rsid w:val="00884CF0"/>
    <w:rPr>
      <w:color w:val="606420"/>
      <w:u w:val="single"/>
    </w:rPr>
  </w:style>
  <w:style w:type="paragraph" w:customStyle="1" w:styleId="Body1">
    <w:name w:val="Body 1"/>
    <w:rsid w:val="00884CF0"/>
    <w:rPr>
      <w:rFonts w:cs="Times New Roman"/>
      <w:snapToGrid w:val="0"/>
      <w:color w:val="000000"/>
      <w:sz w:val="24"/>
    </w:rPr>
  </w:style>
  <w:style w:type="paragraph" w:styleId="PlainText">
    <w:name w:val="Plain Text"/>
    <w:basedOn w:val="Normal"/>
    <w:link w:val="PlainTextChar"/>
    <w:uiPriority w:val="99"/>
    <w:rsid w:val="00884CF0"/>
    <w:rPr>
      <w:rFonts w:ascii="Courier New" w:hAnsi="Courier New"/>
      <w:lang w:val="x-none" w:eastAsia="x-none"/>
    </w:rPr>
  </w:style>
  <w:style w:type="character" w:customStyle="1" w:styleId="PlainTextChar">
    <w:name w:val="Plain Text Char"/>
    <w:link w:val="PlainText"/>
    <w:uiPriority w:val="99"/>
    <w:rsid w:val="00884CF0"/>
    <w:rPr>
      <w:rFonts w:ascii="Courier New" w:hAnsi="Courier New"/>
      <w:szCs w:val="24"/>
      <w:lang w:val="x-none" w:eastAsia="x-none" w:bidi="ar-EG"/>
    </w:rPr>
  </w:style>
  <w:style w:type="paragraph" w:customStyle="1" w:styleId="ONUMFS">
    <w:name w:val="ONUM FS"/>
    <w:basedOn w:val="BodyText"/>
    <w:rsid w:val="00884CF0"/>
    <w:pPr>
      <w:numPr>
        <w:numId w:val="4"/>
      </w:numPr>
      <w:tabs>
        <w:tab w:val="clear" w:pos="967"/>
        <w:tab w:val="num" w:pos="683"/>
      </w:tabs>
      <w:spacing w:after="220"/>
    </w:pPr>
  </w:style>
  <w:style w:type="paragraph" w:styleId="Salutation">
    <w:name w:val="Salutation"/>
    <w:basedOn w:val="Normal"/>
    <w:next w:val="Normal"/>
    <w:link w:val="SalutationChar"/>
    <w:rsid w:val="00884CF0"/>
    <w:rPr>
      <w:lang w:val="x-none" w:eastAsia="x-none"/>
    </w:rPr>
  </w:style>
  <w:style w:type="character" w:customStyle="1" w:styleId="SalutationChar">
    <w:name w:val="Salutation Char"/>
    <w:link w:val="Salutation"/>
    <w:rsid w:val="00884CF0"/>
    <w:rPr>
      <w:szCs w:val="24"/>
      <w:lang w:val="x-none" w:eastAsia="x-none" w:bidi="ar-EG"/>
    </w:rPr>
  </w:style>
  <w:style w:type="paragraph" w:styleId="Signature">
    <w:name w:val="Signature"/>
    <w:basedOn w:val="Normal"/>
    <w:link w:val="SignatureChar"/>
    <w:rsid w:val="00884CF0"/>
    <w:pPr>
      <w:ind w:left="5250"/>
    </w:pPr>
    <w:rPr>
      <w:lang w:val="x-none" w:eastAsia="x-none"/>
    </w:rPr>
  </w:style>
  <w:style w:type="character" w:customStyle="1" w:styleId="SignatureChar">
    <w:name w:val="Signature Char"/>
    <w:link w:val="Signature"/>
    <w:rsid w:val="00884CF0"/>
    <w:rPr>
      <w:szCs w:val="24"/>
      <w:lang w:val="x-none" w:eastAsia="x-none" w:bidi="ar-EG"/>
    </w:rPr>
  </w:style>
  <w:style w:type="paragraph" w:styleId="EndnoteText">
    <w:name w:val="endnote text"/>
    <w:basedOn w:val="Normal"/>
    <w:link w:val="EndnoteTextChar"/>
    <w:rsid w:val="00884CF0"/>
    <w:rPr>
      <w:lang w:val="x-none" w:eastAsia="x-none"/>
    </w:rPr>
  </w:style>
  <w:style w:type="character" w:customStyle="1" w:styleId="EndnoteTextChar">
    <w:name w:val="Endnote Text Char"/>
    <w:link w:val="EndnoteText"/>
    <w:rsid w:val="00884CF0"/>
    <w:rPr>
      <w:szCs w:val="24"/>
      <w:lang w:val="x-none" w:eastAsia="x-none" w:bidi="ar-EG"/>
    </w:rPr>
  </w:style>
  <w:style w:type="paragraph" w:styleId="Caption">
    <w:name w:val="caption"/>
    <w:basedOn w:val="Normal"/>
    <w:next w:val="Normal"/>
    <w:qFormat/>
    <w:rsid w:val="00884CF0"/>
    <w:rPr>
      <w:b/>
      <w:bCs/>
      <w:sz w:val="18"/>
    </w:rPr>
  </w:style>
  <w:style w:type="paragraph" w:styleId="ListNumber">
    <w:name w:val="List Number"/>
    <w:basedOn w:val="Normal"/>
    <w:rsid w:val="00884CF0"/>
    <w:pPr>
      <w:numPr>
        <w:numId w:val="2"/>
      </w:numPr>
    </w:pPr>
  </w:style>
  <w:style w:type="character" w:customStyle="1" w:styleId="Bona">
    <w:name w:val="Bona"/>
    <w:semiHidden/>
    <w:rsid w:val="00884CF0"/>
    <w:rPr>
      <w:rFonts w:ascii="Arial" w:hAnsi="Arial"/>
      <w:color w:val="000080"/>
      <w:sz w:val="20"/>
    </w:rPr>
  </w:style>
  <w:style w:type="character" w:customStyle="1" w:styleId="tw4winError">
    <w:name w:val="tw4winError"/>
    <w:rsid w:val="00884CF0"/>
    <w:rPr>
      <w:rFonts w:ascii="Courier New" w:hAnsi="Courier New"/>
      <w:color w:val="00FF00"/>
      <w:sz w:val="40"/>
    </w:rPr>
  </w:style>
  <w:style w:type="character" w:customStyle="1" w:styleId="tw4winTerm">
    <w:name w:val="tw4winTerm"/>
    <w:rsid w:val="00884CF0"/>
    <w:rPr>
      <w:color w:val="0000FF"/>
    </w:rPr>
  </w:style>
  <w:style w:type="character" w:customStyle="1" w:styleId="tw4winPopup">
    <w:name w:val="tw4winPopup"/>
    <w:rsid w:val="00884CF0"/>
    <w:rPr>
      <w:rFonts w:ascii="Courier New" w:hAnsi="Courier New"/>
      <w:noProof/>
      <w:color w:val="008000"/>
    </w:rPr>
  </w:style>
  <w:style w:type="character" w:customStyle="1" w:styleId="tw4winJump">
    <w:name w:val="tw4winJump"/>
    <w:rsid w:val="00884CF0"/>
    <w:rPr>
      <w:rFonts w:ascii="Courier New" w:hAnsi="Courier New"/>
      <w:noProof/>
      <w:color w:val="008080"/>
    </w:rPr>
  </w:style>
  <w:style w:type="character" w:customStyle="1" w:styleId="tw4winExternal">
    <w:name w:val="tw4winExternal"/>
    <w:rsid w:val="00884CF0"/>
    <w:rPr>
      <w:rFonts w:ascii="Courier New" w:hAnsi="Courier New"/>
      <w:noProof/>
      <w:color w:val="808080"/>
    </w:rPr>
  </w:style>
  <w:style w:type="character" w:customStyle="1" w:styleId="tw4winInternal">
    <w:name w:val="tw4winInternal"/>
    <w:rsid w:val="00884CF0"/>
    <w:rPr>
      <w:rFonts w:ascii="Courier New" w:hAnsi="Courier New"/>
      <w:noProof/>
      <w:color w:val="FF0000"/>
    </w:rPr>
  </w:style>
  <w:style w:type="character" w:customStyle="1" w:styleId="DONOTTRANSLATE">
    <w:name w:val="DO_NOT_TRANSLATE"/>
    <w:rsid w:val="00884CF0"/>
    <w:rPr>
      <w:rFonts w:ascii="Courier New" w:hAnsi="Courier New"/>
      <w:noProof/>
      <w:color w:val="800000"/>
    </w:rPr>
  </w:style>
  <w:style w:type="paragraph" w:styleId="CommentSubject">
    <w:name w:val="annotation subject"/>
    <w:basedOn w:val="CommentText"/>
    <w:next w:val="CommentText"/>
    <w:link w:val="CommentSubjectChar"/>
    <w:rsid w:val="00884CF0"/>
    <w:rPr>
      <w:b/>
      <w:bCs/>
    </w:rPr>
  </w:style>
  <w:style w:type="character" w:customStyle="1" w:styleId="CommentSubjectChar">
    <w:name w:val="Comment Subject Char"/>
    <w:link w:val="CommentSubject"/>
    <w:rsid w:val="00884CF0"/>
    <w:rPr>
      <w:b/>
      <w:bCs/>
      <w:szCs w:val="24"/>
      <w:lang w:eastAsia="x-none" w:bidi="ar-EG"/>
    </w:rPr>
  </w:style>
  <w:style w:type="paragraph" w:customStyle="1" w:styleId="ARProgramHeading1">
    <w:name w:val="AR_Program_Heading1"/>
    <w:basedOn w:val="Normal"/>
    <w:next w:val="ARProgramHeading2"/>
    <w:rsid w:val="00884CF0"/>
    <w:pPr>
      <w:keepNext/>
      <w:spacing w:after="120" w:line="340" w:lineRule="exact"/>
      <w:ind w:left="2268" w:hanging="2268"/>
      <w:jc w:val="both"/>
    </w:pPr>
    <w:rPr>
      <w:rFonts w:ascii="Arabic Typesetting" w:hAnsi="Arabic Typesetting" w:cs="Arabic Typesetting"/>
      <w:b/>
      <w:bCs/>
      <w:sz w:val="42"/>
      <w:szCs w:val="42"/>
    </w:rPr>
  </w:style>
  <w:style w:type="paragraph" w:customStyle="1" w:styleId="ARNumbered11">
    <w:name w:val="AR_Numbered1.1"/>
    <w:basedOn w:val="ARNormal"/>
    <w:qFormat/>
    <w:rsid w:val="00884CF0"/>
    <w:pPr>
      <w:numPr>
        <w:numId w:val="5"/>
      </w:numPr>
    </w:pPr>
  </w:style>
  <w:style w:type="paragraph" w:customStyle="1" w:styleId="ARSGHeading">
    <w:name w:val="AR_SG_Heading"/>
    <w:basedOn w:val="Normal"/>
    <w:rsid w:val="00884CF0"/>
    <w:pPr>
      <w:spacing w:after="120" w:line="340" w:lineRule="exact"/>
      <w:jc w:val="center"/>
    </w:pPr>
    <w:rPr>
      <w:rFonts w:ascii="Arabic Typesetting" w:hAnsi="Arabic Typesetting" w:cs="Arabic Typesetting"/>
      <w:b/>
      <w:bCs/>
      <w:sz w:val="42"/>
      <w:szCs w:val="42"/>
    </w:rPr>
  </w:style>
  <w:style w:type="paragraph" w:customStyle="1" w:styleId="ARNumbered117">
    <w:name w:val="AR_Numbered1.17"/>
    <w:basedOn w:val="ARNormal"/>
    <w:qFormat/>
    <w:rsid w:val="00884CF0"/>
    <w:rPr>
      <w:sz w:val="38"/>
      <w:szCs w:val="38"/>
    </w:rPr>
  </w:style>
  <w:style w:type="paragraph" w:customStyle="1" w:styleId="ARNumbered113">
    <w:name w:val="AR_Numbered.1.13"/>
    <w:basedOn w:val="Normal"/>
    <w:rsid w:val="00884CF0"/>
    <w:pPr>
      <w:ind w:left="360" w:hanging="360"/>
    </w:pPr>
  </w:style>
  <w:style w:type="paragraph" w:customStyle="1" w:styleId="StyleARNumbered11517pt">
    <w:name w:val="Style AR_Numbered1.15 + 17 pt"/>
    <w:basedOn w:val="ARNumbered117"/>
    <w:rsid w:val="00884CF0"/>
    <w:rPr>
      <w:sz w:val="34"/>
      <w:szCs w:val="34"/>
    </w:rPr>
  </w:style>
  <w:style w:type="paragraph" w:customStyle="1" w:styleId="ARNumbered116">
    <w:name w:val="AR_Numbered1.16"/>
    <w:basedOn w:val="Normal"/>
    <w:rsid w:val="00884CF0"/>
  </w:style>
  <w:style w:type="character" w:customStyle="1" w:styleId="CharChar2">
    <w:name w:val="Char Char2"/>
    <w:locked/>
    <w:rsid w:val="00884CF0"/>
    <w:rPr>
      <w:rFonts w:ascii="Arial Bold" w:hAnsi="Arial Bold"/>
      <w:b/>
      <w:caps/>
      <w:sz w:val="28"/>
      <w:lang w:val="en-GB"/>
    </w:rPr>
  </w:style>
  <w:style w:type="character" w:customStyle="1" w:styleId="CharChar1">
    <w:name w:val="Char Char1"/>
    <w:locked/>
    <w:rsid w:val="00884CF0"/>
    <w:rPr>
      <w:rFonts w:ascii="Arial" w:hAnsi="Arial"/>
      <w:caps/>
      <w:sz w:val="22"/>
      <w:lang w:val="en-US"/>
    </w:rPr>
  </w:style>
  <w:style w:type="character" w:customStyle="1" w:styleId="CharChar">
    <w:name w:val="Char Char"/>
    <w:semiHidden/>
    <w:locked/>
    <w:rsid w:val="00884CF0"/>
    <w:rPr>
      <w:lang w:val="en-US"/>
    </w:rPr>
  </w:style>
  <w:style w:type="character" w:customStyle="1" w:styleId="FootnoteRefAR">
    <w:name w:val="Footnote Ref AR"/>
    <w:rsid w:val="00884CF0"/>
    <w:rPr>
      <w:rFonts w:ascii="Arabic Typesetting" w:hAnsi="Arabic Typesetting" w:cs="Arabic Typesetting"/>
      <w:sz w:val="34"/>
      <w:szCs w:val="34"/>
      <w:vertAlign w:val="superscript"/>
    </w:rPr>
  </w:style>
  <w:style w:type="paragraph" w:customStyle="1" w:styleId="NormalAR">
    <w:name w:val="Normal AR"/>
    <w:basedOn w:val="Normal"/>
    <w:rsid w:val="00884CF0"/>
    <w:pPr>
      <w:spacing w:after="120" w:line="340" w:lineRule="exact"/>
      <w:ind w:left="1021"/>
    </w:pPr>
    <w:rPr>
      <w:rFonts w:ascii="Arabic Typesetting" w:hAnsi="Arabic Typesetting" w:cs="Arabic Typesetting"/>
      <w:sz w:val="34"/>
      <w:szCs w:val="34"/>
    </w:rPr>
  </w:style>
  <w:style w:type="paragraph" w:customStyle="1" w:styleId="FootnoteTextAR">
    <w:name w:val="Footnote Text AR"/>
    <w:basedOn w:val="NormalAR"/>
    <w:rsid w:val="00884CF0"/>
    <w:pPr>
      <w:spacing w:after="60" w:line="280" w:lineRule="exact"/>
    </w:pPr>
    <w:rPr>
      <w:sz w:val="28"/>
      <w:szCs w:val="28"/>
    </w:rPr>
  </w:style>
  <w:style w:type="paragraph" w:customStyle="1" w:styleId="DecisionParagraphAR">
    <w:name w:val="Decision Paragraph AR"/>
    <w:basedOn w:val="NormalAR"/>
    <w:rsid w:val="00884CF0"/>
    <w:pPr>
      <w:ind w:left="5534"/>
    </w:pPr>
    <w:rPr>
      <w:i/>
      <w:iCs/>
    </w:rPr>
  </w:style>
  <w:style w:type="paragraph" w:customStyle="1" w:styleId="EndofDocument0">
    <w:name w:val="End of Document"/>
    <w:basedOn w:val="DecisionParagraphAR"/>
    <w:rsid w:val="00884CF0"/>
    <w:rPr>
      <w:i w:val="0"/>
      <w:iCs w:val="0"/>
      <w:lang w:bidi="ar-SA"/>
    </w:rPr>
  </w:style>
  <w:style w:type="paragraph" w:customStyle="1" w:styleId="MeetingTitleAR">
    <w:name w:val="Meeting Title AR"/>
    <w:basedOn w:val="NormalAR"/>
    <w:next w:val="SessionTitleAR"/>
    <w:rsid w:val="00884CF0"/>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884CF0"/>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
    <w:rsid w:val="00884CF0"/>
    <w:pPr>
      <w:spacing w:after="0"/>
    </w:pPr>
    <w:rPr>
      <w:b/>
      <w:bCs/>
      <w:lang w:bidi="ar-SA"/>
    </w:rPr>
  </w:style>
  <w:style w:type="paragraph" w:customStyle="1" w:styleId="DocumentTitleAR">
    <w:name w:val="Document Title AR"/>
    <w:basedOn w:val="NormalAR"/>
    <w:next w:val="preparedbyAR"/>
    <w:rsid w:val="00884CF0"/>
    <w:pPr>
      <w:spacing w:before="1200" w:after="0"/>
    </w:pPr>
    <w:rPr>
      <w:rFonts w:ascii="Arial Black" w:hAnsi="Arial Black" w:cs="PT Bold Heading"/>
      <w:sz w:val="24"/>
      <w:szCs w:val="24"/>
      <w:lang w:bidi="ar-SA"/>
    </w:rPr>
  </w:style>
  <w:style w:type="paragraph" w:customStyle="1" w:styleId="preparedbyAR">
    <w:name w:val="prepared by AR"/>
    <w:basedOn w:val="NormalAR"/>
    <w:next w:val="NormalAR"/>
    <w:rsid w:val="00884CF0"/>
    <w:pPr>
      <w:spacing w:after="480"/>
    </w:pPr>
    <w:rPr>
      <w:i/>
      <w:iCs/>
      <w:lang w:bidi="ar-SA"/>
    </w:rPr>
  </w:style>
  <w:style w:type="paragraph" w:customStyle="1" w:styleId="DocumentCodeAR">
    <w:name w:val="Document Code AR"/>
    <w:basedOn w:val="NormalAR"/>
    <w:next w:val="DocumentLanguageAR"/>
    <w:rsid w:val="00884CF0"/>
    <w:pPr>
      <w:spacing w:before="300" w:after="0" w:line="160" w:lineRule="exact"/>
      <w:jc w:val="right"/>
    </w:pPr>
    <w:rPr>
      <w:rFonts w:ascii="Arial Black" w:hAnsi="Arial Black" w:cs="Arial"/>
      <w:bCs/>
      <w:sz w:val="15"/>
      <w:szCs w:val="15"/>
      <w:lang w:bidi="ar-SA"/>
    </w:rPr>
  </w:style>
  <w:style w:type="paragraph" w:customStyle="1" w:styleId="DocumentLanguageAR">
    <w:name w:val="Document Language AR"/>
    <w:basedOn w:val="NormalAR"/>
    <w:next w:val="DocumentDateAR"/>
    <w:rsid w:val="00884CF0"/>
    <w:pPr>
      <w:spacing w:after="0" w:line="220" w:lineRule="exact"/>
      <w:jc w:val="right"/>
    </w:pPr>
    <w:rPr>
      <w:b/>
      <w:bCs/>
      <w:sz w:val="28"/>
      <w:szCs w:val="28"/>
      <w:lang w:bidi="ar-SA"/>
    </w:rPr>
  </w:style>
  <w:style w:type="paragraph" w:customStyle="1" w:styleId="DocumentDateAR">
    <w:name w:val="Document Date AR"/>
    <w:basedOn w:val="DocumentLanguageAR"/>
    <w:next w:val="MeetingTitleAR"/>
    <w:rsid w:val="00884CF0"/>
    <w:pPr>
      <w:spacing w:after="1680"/>
    </w:pPr>
  </w:style>
  <w:style w:type="paragraph" w:customStyle="1" w:styleId="AutomaticparagraphNoAR">
    <w:name w:val="Automatic paragraph No AR"/>
    <w:basedOn w:val="NormalAR"/>
    <w:rsid w:val="00884CF0"/>
    <w:pPr>
      <w:ind w:left="1701" w:hanging="680"/>
    </w:pPr>
    <w:rPr>
      <w:lang w:bidi="ar-SA"/>
    </w:rPr>
  </w:style>
  <w:style w:type="paragraph" w:customStyle="1" w:styleId="language0">
    <w:name w:val="language"/>
    <w:basedOn w:val="Normal"/>
    <w:next w:val="Normal"/>
    <w:autoRedefine/>
    <w:rsid w:val="00884CF0"/>
    <w:pPr>
      <w:framePr w:w="266" w:h="363" w:hRule="exact" w:hSpace="181" w:wrap="notBeside" w:vAnchor="page" w:hAnchor="page" w:x="10774" w:y="568" w:anchorLock="1"/>
      <w:bidi w:val="0"/>
      <w:spacing w:after="120" w:line="340" w:lineRule="atLeast"/>
      <w:ind w:right="42"/>
    </w:pPr>
    <w:rPr>
      <w:rFonts w:ascii="Arial" w:hAnsi="Arial" w:cs="Times New Roman"/>
      <w:b/>
      <w:caps/>
      <w:sz w:val="40"/>
      <w:szCs w:val="20"/>
      <w:lang w:val="pt-BR" w:bidi="ar-SA"/>
    </w:rPr>
  </w:style>
  <w:style w:type="paragraph" w:customStyle="1" w:styleId="CharCharCharChar0">
    <w:name w:val="Char Char Char Char"/>
    <w:basedOn w:val="Normal"/>
    <w:rsid w:val="00884CF0"/>
    <w:pPr>
      <w:bidi w:val="0"/>
      <w:spacing w:after="160" w:line="240" w:lineRule="exact"/>
    </w:pPr>
    <w:rPr>
      <w:rFonts w:ascii="Verdana" w:hAnsi="Verdana" w:cs="Times New Roman"/>
      <w:szCs w:val="20"/>
      <w:lang w:val="en-GB" w:bidi="ar-SA"/>
    </w:rPr>
  </w:style>
  <w:style w:type="paragraph" w:customStyle="1" w:styleId="NormalParaAR">
    <w:name w:val="Normal_Para_AR"/>
    <w:rsid w:val="00884CF0"/>
    <w:pPr>
      <w:bidi/>
      <w:spacing w:after="240" w:line="360" w:lineRule="exact"/>
    </w:pPr>
    <w:rPr>
      <w:rFonts w:ascii="Arabic Typesetting" w:hAnsi="Arabic Typesetting" w:cs="Arabic Typesetting"/>
      <w:sz w:val="36"/>
      <w:szCs w:val="36"/>
    </w:rPr>
  </w:style>
  <w:style w:type="paragraph" w:customStyle="1" w:styleId="NumberedParaAR">
    <w:name w:val="Numbered_Para_AR"/>
    <w:basedOn w:val="NormalParaAR"/>
    <w:rsid w:val="00884CF0"/>
    <w:pPr>
      <w:numPr>
        <w:numId w:val="6"/>
      </w:numPr>
    </w:pPr>
  </w:style>
  <w:style w:type="paragraph" w:customStyle="1" w:styleId="DocumentCodeAR0">
    <w:name w:val="Document_Code_AR"/>
    <w:basedOn w:val="Normal"/>
    <w:next w:val="DocumentLanguageAR0"/>
    <w:rsid w:val="00884CF0"/>
    <w:pPr>
      <w:bidi w:val="0"/>
      <w:jc w:val="right"/>
    </w:pPr>
    <w:rPr>
      <w:rFonts w:ascii="Arial Black" w:hAnsi="Arial Black" w:cs="Arabic Typesetting"/>
      <w:b/>
      <w:bCs/>
      <w:sz w:val="16"/>
      <w:szCs w:val="16"/>
      <w:lang w:bidi="ar-SA"/>
    </w:rPr>
  </w:style>
  <w:style w:type="paragraph" w:customStyle="1" w:styleId="DocumentLanguageAR0">
    <w:name w:val="Document_Language_AR"/>
    <w:basedOn w:val="Normal"/>
    <w:next w:val="DocumentDateAR0"/>
    <w:rsid w:val="00884CF0"/>
    <w:pPr>
      <w:bidi w:val="0"/>
      <w:spacing w:line="240" w:lineRule="exact"/>
      <w:jc w:val="right"/>
    </w:pPr>
    <w:rPr>
      <w:rFonts w:ascii="Arabic Typesetting" w:hAnsi="Arabic Typesetting" w:cs="Arabic Typesetting"/>
      <w:b/>
      <w:bCs/>
      <w:sz w:val="30"/>
      <w:szCs w:val="30"/>
      <w:lang w:bidi="ar-SA"/>
    </w:rPr>
  </w:style>
  <w:style w:type="paragraph" w:customStyle="1" w:styleId="DocumentDateAR0">
    <w:name w:val="Document_Date_AR"/>
    <w:basedOn w:val="Normal"/>
    <w:next w:val="NormalParaAR"/>
    <w:rsid w:val="00884CF0"/>
    <w:pPr>
      <w:bidi w:val="0"/>
      <w:jc w:val="right"/>
    </w:pPr>
    <w:rPr>
      <w:rFonts w:ascii="Arabic Typesetting" w:hAnsi="Arabic Typesetting" w:cs="Arabic Typesetting"/>
      <w:b/>
      <w:bCs/>
      <w:sz w:val="30"/>
      <w:szCs w:val="30"/>
      <w:lang w:bidi="ar-SA"/>
    </w:rPr>
  </w:style>
  <w:style w:type="paragraph" w:customStyle="1" w:styleId="MeetingTitleAR0">
    <w:name w:val="Meeting_Title_AR"/>
    <w:basedOn w:val="Normal"/>
    <w:next w:val="NormalParaAR"/>
    <w:rsid w:val="00884CF0"/>
    <w:pPr>
      <w:bidi w:val="0"/>
      <w:spacing w:line="360" w:lineRule="exact"/>
    </w:pPr>
    <w:rPr>
      <w:rFonts w:ascii="Arabic Typesetting" w:hAnsi="Arabic Typesetting" w:cs="PT Bold Heading"/>
      <w:sz w:val="34"/>
      <w:szCs w:val="34"/>
      <w:lang w:bidi="ar-SA"/>
    </w:rPr>
  </w:style>
  <w:style w:type="paragraph" w:customStyle="1" w:styleId="MeetingSessionAR">
    <w:name w:val="Meeting_Session_AR"/>
    <w:basedOn w:val="Normal"/>
    <w:next w:val="NormalParaAR"/>
    <w:rsid w:val="00884CF0"/>
    <w:pPr>
      <w:bidi w:val="0"/>
      <w:spacing w:line="360" w:lineRule="exact"/>
    </w:pPr>
    <w:rPr>
      <w:rFonts w:ascii="Arabic Typesetting" w:hAnsi="Arabic Typesetting" w:cs="PT Bold Heading"/>
      <w:sz w:val="30"/>
      <w:szCs w:val="30"/>
      <w:lang w:bidi="ar-SA"/>
    </w:rPr>
  </w:style>
  <w:style w:type="paragraph" w:customStyle="1" w:styleId="MeetingDatesAR">
    <w:name w:val="Meeting_Dates_AR"/>
    <w:basedOn w:val="Normal"/>
    <w:next w:val="NormalParaAR"/>
    <w:rsid w:val="00884CF0"/>
    <w:pPr>
      <w:bidi w:val="0"/>
      <w:spacing w:line="360" w:lineRule="exact"/>
    </w:pPr>
    <w:rPr>
      <w:rFonts w:ascii="Arabic Typesetting" w:hAnsi="Arabic Typesetting" w:cs="Arabic Typesetting"/>
      <w:b/>
      <w:bCs/>
      <w:sz w:val="36"/>
      <w:szCs w:val="36"/>
      <w:lang w:bidi="ar-SA"/>
    </w:rPr>
  </w:style>
  <w:style w:type="paragraph" w:customStyle="1" w:styleId="DocumentTitleAR0">
    <w:name w:val="Document_Title_AR"/>
    <w:basedOn w:val="Normal"/>
    <w:next w:val="PreparedbyAR0"/>
    <w:rsid w:val="00884CF0"/>
    <w:pPr>
      <w:bidi w:val="0"/>
      <w:spacing w:line="360" w:lineRule="exact"/>
    </w:pPr>
    <w:rPr>
      <w:rFonts w:ascii="Arabic Typesetting" w:hAnsi="Arabic Typesetting" w:cs="PT Bold Heading"/>
      <w:sz w:val="26"/>
      <w:szCs w:val="26"/>
      <w:lang w:bidi="ar-SA"/>
    </w:rPr>
  </w:style>
  <w:style w:type="paragraph" w:customStyle="1" w:styleId="PreparedbyAR0">
    <w:name w:val="Prepared_by_AR"/>
    <w:basedOn w:val="Normal"/>
    <w:next w:val="NormalParaAR"/>
    <w:rsid w:val="00884CF0"/>
    <w:pPr>
      <w:bidi w:val="0"/>
      <w:spacing w:after="1080" w:line="360" w:lineRule="exact"/>
    </w:pPr>
    <w:rPr>
      <w:rFonts w:ascii="Arabic Typesetting" w:hAnsi="Arabic Typesetting" w:cs="Arabic Typesetting"/>
      <w:i/>
      <w:iCs/>
      <w:sz w:val="36"/>
      <w:szCs w:val="36"/>
      <w:lang w:bidi="ar-SA"/>
    </w:rPr>
  </w:style>
  <w:style w:type="paragraph" w:customStyle="1" w:styleId="DecisionParaAR">
    <w:name w:val="Decision_Para_AR"/>
    <w:basedOn w:val="NumberedParaAR"/>
    <w:rsid w:val="00884CF0"/>
    <w:pPr>
      <w:ind w:left="5534"/>
    </w:pPr>
    <w:rPr>
      <w:i/>
      <w:iCs/>
    </w:rPr>
  </w:style>
  <w:style w:type="paragraph" w:customStyle="1" w:styleId="EndofDocumentAR">
    <w:name w:val="End_of_Document_AR"/>
    <w:basedOn w:val="NormalParaAR"/>
    <w:next w:val="NormalParaAR"/>
    <w:rsid w:val="00884CF0"/>
    <w:pPr>
      <w:ind w:left="5534"/>
    </w:pPr>
  </w:style>
  <w:style w:type="paragraph" w:styleId="TOCHeading">
    <w:name w:val="TOC Heading"/>
    <w:basedOn w:val="Heading1"/>
    <w:next w:val="Normal"/>
    <w:uiPriority w:val="39"/>
    <w:semiHidden/>
    <w:unhideWhenUsed/>
    <w:qFormat/>
    <w:rsid w:val="004E2FC6"/>
    <w:pPr>
      <w:bidi w:val="0"/>
      <w:spacing w:line="276" w:lineRule="auto"/>
      <w:outlineLvl w:val="9"/>
    </w:pPr>
    <w:rPr>
      <w:rFonts w:asciiTheme="majorHAnsi" w:eastAsiaTheme="majorEastAsia" w:hAnsiTheme="majorHAnsi" w:cstheme="majorBidi"/>
      <w:color w:val="365F91" w:themeColor="accent1" w:themeShade="BF"/>
      <w:lang w:eastAsia="ja-JP" w:bidi="ar-SA"/>
    </w:rPr>
  </w:style>
  <w:style w:type="paragraph" w:styleId="TOC4">
    <w:name w:val="toc 4"/>
    <w:basedOn w:val="Normal"/>
    <w:next w:val="Normal"/>
    <w:autoRedefine/>
    <w:uiPriority w:val="39"/>
    <w:rsid w:val="0033077D"/>
    <w:pPr>
      <w:bidi w:val="0"/>
      <w:ind w:left="400"/>
    </w:pPr>
    <w:rPr>
      <w:rFonts w:asciiTheme="minorHAnsi" w:hAnsiTheme="minorHAnsi" w:cs="Times New Roman"/>
    </w:rPr>
  </w:style>
  <w:style w:type="paragraph" w:styleId="TOC5">
    <w:name w:val="toc 5"/>
    <w:basedOn w:val="Normal"/>
    <w:next w:val="Normal"/>
    <w:autoRedefine/>
    <w:uiPriority w:val="39"/>
    <w:rsid w:val="0033077D"/>
    <w:pPr>
      <w:bidi w:val="0"/>
      <w:ind w:left="600"/>
    </w:pPr>
    <w:rPr>
      <w:rFonts w:asciiTheme="minorHAnsi" w:hAnsiTheme="minorHAnsi" w:cs="Times New Roman"/>
    </w:rPr>
  </w:style>
  <w:style w:type="paragraph" w:styleId="TOC6">
    <w:name w:val="toc 6"/>
    <w:basedOn w:val="Normal"/>
    <w:next w:val="Normal"/>
    <w:autoRedefine/>
    <w:uiPriority w:val="39"/>
    <w:rsid w:val="0033077D"/>
    <w:pPr>
      <w:bidi w:val="0"/>
      <w:ind w:left="800"/>
    </w:pPr>
    <w:rPr>
      <w:rFonts w:asciiTheme="minorHAnsi" w:hAnsiTheme="minorHAnsi" w:cs="Times New Roman"/>
    </w:rPr>
  </w:style>
  <w:style w:type="paragraph" w:styleId="TOC7">
    <w:name w:val="toc 7"/>
    <w:basedOn w:val="Normal"/>
    <w:next w:val="Normal"/>
    <w:autoRedefine/>
    <w:uiPriority w:val="39"/>
    <w:rsid w:val="0033077D"/>
    <w:pPr>
      <w:bidi w:val="0"/>
      <w:ind w:left="1000"/>
    </w:pPr>
    <w:rPr>
      <w:rFonts w:asciiTheme="minorHAnsi" w:hAnsiTheme="minorHAnsi" w:cs="Times New Roman"/>
    </w:rPr>
  </w:style>
  <w:style w:type="paragraph" w:styleId="TOC8">
    <w:name w:val="toc 8"/>
    <w:basedOn w:val="Normal"/>
    <w:next w:val="Normal"/>
    <w:autoRedefine/>
    <w:uiPriority w:val="39"/>
    <w:rsid w:val="00A84D0E"/>
    <w:pPr>
      <w:tabs>
        <w:tab w:val="left" w:pos="2551"/>
        <w:tab w:val="right" w:leader="dot" w:pos="9345"/>
      </w:tabs>
      <w:spacing w:after="60" w:line="280" w:lineRule="exact"/>
      <w:ind w:left="283"/>
    </w:pPr>
    <w:rPr>
      <w:rFonts w:ascii="Arabic Typesetting" w:hAnsi="Arabic Typesetting" w:cs="Arabic Typesetting"/>
      <w:b/>
      <w:bCs/>
      <w:caps/>
      <w:noProof/>
      <w:sz w:val="28"/>
      <w:szCs w:val="28"/>
    </w:rPr>
  </w:style>
  <w:style w:type="paragraph" w:styleId="TOC9">
    <w:name w:val="toc 9"/>
    <w:basedOn w:val="Normal"/>
    <w:next w:val="Normal"/>
    <w:autoRedefine/>
    <w:uiPriority w:val="39"/>
    <w:rsid w:val="0033077D"/>
    <w:pPr>
      <w:bidi w:val="0"/>
      <w:ind w:left="1400"/>
    </w:pPr>
    <w:rPr>
      <w:rFonts w:asciiTheme="minorHAnsi" w:hAnsiTheme="minorHAnsi" w:cs="Times New Roman"/>
    </w:rPr>
  </w:style>
  <w:style w:type="character" w:styleId="EndnoteReference">
    <w:name w:val="endnote reference"/>
    <w:basedOn w:val="DefaultParagraphFont"/>
    <w:rsid w:val="00BE6D63"/>
    <w:rPr>
      <w:vertAlign w:val="superscript"/>
    </w:rPr>
  </w:style>
  <w:style w:type="table" w:customStyle="1" w:styleId="TableGrid1">
    <w:name w:val="Table Grid1"/>
    <w:basedOn w:val="TableNormal"/>
    <w:next w:val="TableGrid"/>
    <w:rsid w:val="00861C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61C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332F2"/>
  </w:style>
  <w:style w:type="paragraph" w:customStyle="1" w:styleId="p1">
    <w:name w:val="p1"/>
    <w:basedOn w:val="Normal"/>
    <w:rsid w:val="000332F2"/>
    <w:pPr>
      <w:suppressAutoHyphens/>
      <w:bidi w:val="0"/>
    </w:pPr>
    <w:rPr>
      <w:rFonts w:eastAsia="Calibri" w:cs="Times New Roman"/>
      <w:sz w:val="24"/>
      <w:lang w:eastAsia="ar-SA" w:bidi="ar-SA"/>
    </w:rPr>
  </w:style>
  <w:style w:type="paragraph" w:customStyle="1" w:styleId="p2">
    <w:name w:val="p2"/>
    <w:basedOn w:val="Normal"/>
    <w:rsid w:val="000332F2"/>
    <w:pPr>
      <w:suppressAutoHyphens/>
      <w:bidi w:val="0"/>
    </w:pPr>
    <w:rPr>
      <w:rFonts w:eastAsia="Calibri" w:cs="Times New Roman"/>
      <w:sz w:val="24"/>
      <w:lang w:eastAsia="ar-SA" w:bidi="ar-SA"/>
    </w:rPr>
  </w:style>
  <w:style w:type="paragraph" w:styleId="Revision">
    <w:name w:val="Revision"/>
    <w:hidden/>
    <w:uiPriority w:val="99"/>
    <w:semiHidden/>
    <w:rsid w:val="000332F2"/>
    <w:rPr>
      <w:rFonts w:asciiTheme="minorHAnsi" w:eastAsiaTheme="minorEastAsia" w:hAnsiTheme="minorHAnsi" w:cstheme="minorBidi"/>
      <w:sz w:val="22"/>
      <w:szCs w:val="22"/>
      <w:lang w:eastAsia="ja-JP"/>
    </w:rPr>
  </w:style>
  <w:style w:type="character" w:customStyle="1" w:styleId="ONUMEChar">
    <w:name w:val="ONUM E Char"/>
    <w:link w:val="ONUME"/>
    <w:rsid w:val="000332F2"/>
    <w:rPr>
      <w:szCs w:val="24"/>
      <w:lang w:bidi="ar-EG"/>
    </w:rPr>
  </w:style>
  <w:style w:type="character" w:customStyle="1" w:styleId="st">
    <w:name w:val="st"/>
    <w:basedOn w:val="DefaultParagraphFont"/>
    <w:rsid w:val="000332F2"/>
  </w:style>
  <w:style w:type="paragraph" w:customStyle="1" w:styleId="Endofdocument-Annex">
    <w:name w:val="[End of document - Annex]"/>
    <w:basedOn w:val="Normal"/>
    <w:rsid w:val="000332F2"/>
    <w:pPr>
      <w:bidi w:val="0"/>
      <w:ind w:left="5534"/>
    </w:pPr>
    <w:rPr>
      <w:rFonts w:ascii="Arial" w:eastAsia="SimSun" w:hAnsi="Arial" w:cs="Arial"/>
      <w:sz w:val="22"/>
      <w:szCs w:val="20"/>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73107">
      <w:bodyDiv w:val="1"/>
      <w:marLeft w:val="0"/>
      <w:marRight w:val="0"/>
      <w:marTop w:val="0"/>
      <w:marBottom w:val="0"/>
      <w:divBdr>
        <w:top w:val="none" w:sz="0" w:space="0" w:color="auto"/>
        <w:left w:val="none" w:sz="0" w:space="0" w:color="auto"/>
        <w:bottom w:val="none" w:sz="0" w:space="0" w:color="auto"/>
        <w:right w:val="none" w:sz="0" w:space="0" w:color="auto"/>
      </w:divBdr>
    </w:div>
    <w:div w:id="904295769">
      <w:bodyDiv w:val="1"/>
      <w:marLeft w:val="0"/>
      <w:marRight w:val="0"/>
      <w:marTop w:val="0"/>
      <w:marBottom w:val="0"/>
      <w:divBdr>
        <w:top w:val="none" w:sz="0" w:space="0" w:color="auto"/>
        <w:left w:val="none" w:sz="0" w:space="0" w:color="auto"/>
        <w:bottom w:val="none" w:sz="0" w:space="0" w:color="auto"/>
        <w:right w:val="none" w:sz="0" w:space="0" w:color="auto"/>
      </w:divBdr>
    </w:div>
    <w:div w:id="1139149989">
      <w:bodyDiv w:val="1"/>
      <w:marLeft w:val="0"/>
      <w:marRight w:val="0"/>
      <w:marTop w:val="0"/>
      <w:marBottom w:val="0"/>
      <w:divBdr>
        <w:top w:val="none" w:sz="0" w:space="0" w:color="auto"/>
        <w:left w:val="none" w:sz="0" w:space="0" w:color="auto"/>
        <w:bottom w:val="none" w:sz="0" w:space="0" w:color="auto"/>
        <w:right w:val="none" w:sz="0" w:space="0" w:color="auto"/>
      </w:divBdr>
    </w:div>
    <w:div w:id="1326519344">
      <w:bodyDiv w:val="1"/>
      <w:marLeft w:val="0"/>
      <w:marRight w:val="0"/>
      <w:marTop w:val="0"/>
      <w:marBottom w:val="0"/>
      <w:divBdr>
        <w:top w:val="none" w:sz="0" w:space="0" w:color="auto"/>
        <w:left w:val="none" w:sz="0" w:space="0" w:color="auto"/>
        <w:bottom w:val="none" w:sz="0" w:space="0" w:color="auto"/>
        <w:right w:val="none" w:sz="0" w:space="0" w:color="auto"/>
      </w:divBdr>
    </w:div>
    <w:div w:id="1413701827">
      <w:bodyDiv w:val="1"/>
      <w:marLeft w:val="0"/>
      <w:marRight w:val="0"/>
      <w:marTop w:val="0"/>
      <w:marBottom w:val="0"/>
      <w:divBdr>
        <w:top w:val="none" w:sz="0" w:space="0" w:color="auto"/>
        <w:left w:val="none" w:sz="0" w:space="0" w:color="auto"/>
        <w:bottom w:val="none" w:sz="0" w:space="0" w:color="auto"/>
        <w:right w:val="none" w:sz="0" w:space="0" w:color="auto"/>
      </w:divBdr>
    </w:div>
    <w:div w:id="1511523643">
      <w:bodyDiv w:val="1"/>
      <w:marLeft w:val="0"/>
      <w:marRight w:val="0"/>
      <w:marTop w:val="0"/>
      <w:marBottom w:val="0"/>
      <w:divBdr>
        <w:top w:val="none" w:sz="0" w:space="0" w:color="auto"/>
        <w:left w:val="none" w:sz="0" w:space="0" w:color="auto"/>
        <w:bottom w:val="none" w:sz="0" w:space="0" w:color="auto"/>
        <w:right w:val="none" w:sz="0" w:space="0" w:color="auto"/>
      </w:divBdr>
    </w:div>
    <w:div w:id="2104451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diagramLayout" Target="diagrams/layout11.xml"/><Relationship Id="rId299" Type="http://schemas.openxmlformats.org/officeDocument/2006/relationships/image" Target="media/image164.png"/><Relationship Id="rId303" Type="http://schemas.openxmlformats.org/officeDocument/2006/relationships/image" Target="media/image168.png"/><Relationship Id="rId21" Type="http://schemas.openxmlformats.org/officeDocument/2006/relationships/footer" Target="footer7.xml"/><Relationship Id="rId42" Type="http://schemas.openxmlformats.org/officeDocument/2006/relationships/diagramQuickStyle" Target="diagrams/quickStyle1.xml"/><Relationship Id="rId63" Type="http://schemas.openxmlformats.org/officeDocument/2006/relationships/diagramLayout" Target="diagrams/layout4.xml"/><Relationship Id="rId84" Type="http://schemas.openxmlformats.org/officeDocument/2006/relationships/image" Target="media/image26.emf"/><Relationship Id="rId138" Type="http://schemas.openxmlformats.org/officeDocument/2006/relationships/diagramData" Target="diagrams/data14.xml"/><Relationship Id="rId159" Type="http://schemas.openxmlformats.org/officeDocument/2006/relationships/image" Target="media/image51.png"/><Relationship Id="rId324" Type="http://schemas.openxmlformats.org/officeDocument/2006/relationships/image" Target="media/image189.emf"/><Relationship Id="rId170" Type="http://schemas.openxmlformats.org/officeDocument/2006/relationships/diagramQuickStyle" Target="diagrams/quickStyle18.xml"/><Relationship Id="rId191" Type="http://schemas.openxmlformats.org/officeDocument/2006/relationships/image" Target="media/image62.emf"/><Relationship Id="rId205" Type="http://schemas.openxmlformats.org/officeDocument/2006/relationships/image" Target="media/image71.emf"/><Relationship Id="rId226" Type="http://schemas.openxmlformats.org/officeDocument/2006/relationships/image" Target="media/image91.emf"/><Relationship Id="rId247" Type="http://schemas.openxmlformats.org/officeDocument/2006/relationships/image" Target="media/image112.png"/><Relationship Id="rId107" Type="http://schemas.openxmlformats.org/officeDocument/2006/relationships/image" Target="media/image34.emf"/><Relationship Id="rId268" Type="http://schemas.openxmlformats.org/officeDocument/2006/relationships/image" Target="media/image133.png"/><Relationship Id="rId289" Type="http://schemas.openxmlformats.org/officeDocument/2006/relationships/image" Target="media/image154.png"/><Relationship Id="rId11" Type="http://schemas.openxmlformats.org/officeDocument/2006/relationships/footer" Target="footer1.xml"/><Relationship Id="rId32" Type="http://schemas.openxmlformats.org/officeDocument/2006/relationships/header" Target="header8.xml"/><Relationship Id="rId53" Type="http://schemas.openxmlformats.org/officeDocument/2006/relationships/image" Target="media/image17.emf"/><Relationship Id="rId74" Type="http://schemas.openxmlformats.org/officeDocument/2006/relationships/diagramColors" Target="diagrams/colors5.xml"/><Relationship Id="rId128" Type="http://schemas.openxmlformats.org/officeDocument/2006/relationships/image" Target="media/image40.emf"/><Relationship Id="rId149" Type="http://schemas.microsoft.com/office/2007/relationships/diagramDrawing" Target="diagrams/drawing15.xml"/><Relationship Id="rId314" Type="http://schemas.openxmlformats.org/officeDocument/2006/relationships/image" Target="media/image179.png"/><Relationship Id="rId335" Type="http://schemas.openxmlformats.org/officeDocument/2006/relationships/fontTable" Target="fontTable.xml"/><Relationship Id="rId5" Type="http://schemas.openxmlformats.org/officeDocument/2006/relationships/settings" Target="settings.xml"/><Relationship Id="rId95" Type="http://schemas.openxmlformats.org/officeDocument/2006/relationships/diagramColors" Target="diagrams/colors8.xml"/><Relationship Id="rId160" Type="http://schemas.openxmlformats.org/officeDocument/2006/relationships/image" Target="cid:image003.png@01D08CC8.444AB940" TargetMode="External"/><Relationship Id="rId181" Type="http://schemas.openxmlformats.org/officeDocument/2006/relationships/image" Target="media/image57.emf"/><Relationship Id="rId216" Type="http://schemas.openxmlformats.org/officeDocument/2006/relationships/image" Target="media/image82.emf"/><Relationship Id="rId237" Type="http://schemas.openxmlformats.org/officeDocument/2006/relationships/image" Target="media/image102.emf"/><Relationship Id="rId258" Type="http://schemas.openxmlformats.org/officeDocument/2006/relationships/image" Target="media/image123.png"/><Relationship Id="rId279" Type="http://schemas.openxmlformats.org/officeDocument/2006/relationships/image" Target="media/image144.png"/><Relationship Id="rId22" Type="http://schemas.openxmlformats.org/officeDocument/2006/relationships/image" Target="media/image2.emf"/><Relationship Id="rId43" Type="http://schemas.openxmlformats.org/officeDocument/2006/relationships/diagramColors" Target="diagrams/colors1.xml"/><Relationship Id="rId64" Type="http://schemas.openxmlformats.org/officeDocument/2006/relationships/diagramQuickStyle" Target="diagrams/quickStyle4.xml"/><Relationship Id="rId118" Type="http://schemas.openxmlformats.org/officeDocument/2006/relationships/diagramQuickStyle" Target="diagrams/quickStyle11.xml"/><Relationship Id="rId139" Type="http://schemas.openxmlformats.org/officeDocument/2006/relationships/diagramLayout" Target="diagrams/layout14.xml"/><Relationship Id="rId290" Type="http://schemas.openxmlformats.org/officeDocument/2006/relationships/image" Target="media/image155.png"/><Relationship Id="rId304" Type="http://schemas.openxmlformats.org/officeDocument/2006/relationships/image" Target="media/image169.png"/><Relationship Id="rId325" Type="http://schemas.openxmlformats.org/officeDocument/2006/relationships/image" Target="media/image190.emf"/><Relationship Id="rId85" Type="http://schemas.openxmlformats.org/officeDocument/2006/relationships/diagramData" Target="diagrams/data7.xml"/><Relationship Id="rId150" Type="http://schemas.openxmlformats.org/officeDocument/2006/relationships/image" Target="media/image47.emf"/><Relationship Id="rId171" Type="http://schemas.openxmlformats.org/officeDocument/2006/relationships/diagramColors" Target="diagrams/colors18.xml"/><Relationship Id="rId192" Type="http://schemas.openxmlformats.org/officeDocument/2006/relationships/diagramData" Target="diagrams/data21.xml"/><Relationship Id="rId206" Type="http://schemas.openxmlformats.org/officeDocument/2006/relationships/image" Target="media/image72.emf"/><Relationship Id="rId227" Type="http://schemas.openxmlformats.org/officeDocument/2006/relationships/image" Target="media/image92.png"/><Relationship Id="rId248" Type="http://schemas.openxmlformats.org/officeDocument/2006/relationships/image" Target="media/image113.emf"/><Relationship Id="rId269" Type="http://schemas.openxmlformats.org/officeDocument/2006/relationships/image" Target="media/image134.png"/><Relationship Id="rId12" Type="http://schemas.openxmlformats.org/officeDocument/2006/relationships/footer" Target="footer2.xml"/><Relationship Id="rId33" Type="http://schemas.openxmlformats.org/officeDocument/2006/relationships/image" Target="media/image9.emf"/><Relationship Id="rId108" Type="http://schemas.openxmlformats.org/officeDocument/2006/relationships/diagramData" Target="diagrams/data10.xml"/><Relationship Id="rId129" Type="http://schemas.openxmlformats.org/officeDocument/2006/relationships/image" Target="media/image41.emf"/><Relationship Id="rId280" Type="http://schemas.openxmlformats.org/officeDocument/2006/relationships/image" Target="media/image145.png"/><Relationship Id="rId315" Type="http://schemas.openxmlformats.org/officeDocument/2006/relationships/image" Target="media/image180.png"/><Relationship Id="rId336" Type="http://schemas.openxmlformats.org/officeDocument/2006/relationships/theme" Target="theme/theme1.xml"/><Relationship Id="rId54" Type="http://schemas.openxmlformats.org/officeDocument/2006/relationships/diagramData" Target="diagrams/data3.xml"/><Relationship Id="rId75" Type="http://schemas.microsoft.com/office/2007/relationships/diagramDrawing" Target="diagrams/drawing5.xml"/><Relationship Id="rId96" Type="http://schemas.microsoft.com/office/2007/relationships/diagramDrawing" Target="diagrams/drawing8.xml"/><Relationship Id="rId140" Type="http://schemas.openxmlformats.org/officeDocument/2006/relationships/diagramQuickStyle" Target="diagrams/quickStyle14.xml"/><Relationship Id="rId161" Type="http://schemas.openxmlformats.org/officeDocument/2006/relationships/diagramData" Target="diagrams/data17.xml"/><Relationship Id="rId182" Type="http://schemas.openxmlformats.org/officeDocument/2006/relationships/image" Target="media/image58.emf"/><Relationship Id="rId217" Type="http://schemas.openxmlformats.org/officeDocument/2006/relationships/image" Target="media/image83.emf"/><Relationship Id="rId6" Type="http://schemas.openxmlformats.org/officeDocument/2006/relationships/webSettings" Target="webSettings.xml"/><Relationship Id="rId238" Type="http://schemas.openxmlformats.org/officeDocument/2006/relationships/image" Target="media/image103.emf"/><Relationship Id="rId259" Type="http://schemas.openxmlformats.org/officeDocument/2006/relationships/image" Target="media/image124.emf"/><Relationship Id="rId23" Type="http://schemas.openxmlformats.org/officeDocument/2006/relationships/image" Target="media/image3.emf"/><Relationship Id="rId119" Type="http://schemas.openxmlformats.org/officeDocument/2006/relationships/diagramColors" Target="diagrams/colors11.xml"/><Relationship Id="rId270" Type="http://schemas.openxmlformats.org/officeDocument/2006/relationships/image" Target="media/image135.emf"/><Relationship Id="rId291" Type="http://schemas.openxmlformats.org/officeDocument/2006/relationships/image" Target="media/image156.emf"/><Relationship Id="rId305" Type="http://schemas.openxmlformats.org/officeDocument/2006/relationships/image" Target="media/image170.png"/><Relationship Id="rId326" Type="http://schemas.openxmlformats.org/officeDocument/2006/relationships/image" Target="media/image191.emf"/><Relationship Id="rId44" Type="http://schemas.microsoft.com/office/2007/relationships/diagramDrawing" Target="diagrams/drawing1.xml"/><Relationship Id="rId65" Type="http://schemas.openxmlformats.org/officeDocument/2006/relationships/diagramColors" Target="diagrams/colors4.xml"/><Relationship Id="rId86" Type="http://schemas.openxmlformats.org/officeDocument/2006/relationships/diagramLayout" Target="diagrams/layout7.xml"/><Relationship Id="rId130" Type="http://schemas.openxmlformats.org/officeDocument/2006/relationships/image" Target="media/image42.emf"/><Relationship Id="rId151" Type="http://schemas.openxmlformats.org/officeDocument/2006/relationships/image" Target="media/image48.emf"/><Relationship Id="rId172" Type="http://schemas.microsoft.com/office/2007/relationships/diagramDrawing" Target="diagrams/drawing18.xml"/><Relationship Id="rId193" Type="http://schemas.openxmlformats.org/officeDocument/2006/relationships/diagramLayout" Target="diagrams/layout21.xml"/><Relationship Id="rId207" Type="http://schemas.openxmlformats.org/officeDocument/2006/relationships/image" Target="media/image73.emf"/><Relationship Id="rId228" Type="http://schemas.openxmlformats.org/officeDocument/2006/relationships/image" Target="media/image93.emf"/><Relationship Id="rId249" Type="http://schemas.openxmlformats.org/officeDocument/2006/relationships/image" Target="media/image114.png"/><Relationship Id="rId13" Type="http://schemas.openxmlformats.org/officeDocument/2006/relationships/footer" Target="footer3.xml"/><Relationship Id="rId109" Type="http://schemas.openxmlformats.org/officeDocument/2006/relationships/diagramLayout" Target="diagrams/layout10.xml"/><Relationship Id="rId260" Type="http://schemas.openxmlformats.org/officeDocument/2006/relationships/image" Target="media/image125.png"/><Relationship Id="rId281" Type="http://schemas.openxmlformats.org/officeDocument/2006/relationships/image" Target="media/image146.emf"/><Relationship Id="rId316" Type="http://schemas.openxmlformats.org/officeDocument/2006/relationships/image" Target="media/image181.png"/><Relationship Id="rId34" Type="http://schemas.openxmlformats.org/officeDocument/2006/relationships/image" Target="media/image10.emf"/><Relationship Id="rId55" Type="http://schemas.openxmlformats.org/officeDocument/2006/relationships/diagramLayout" Target="diagrams/layout3.xml"/><Relationship Id="rId76" Type="http://schemas.openxmlformats.org/officeDocument/2006/relationships/image" Target="media/image23.emf"/><Relationship Id="rId97" Type="http://schemas.openxmlformats.org/officeDocument/2006/relationships/image" Target="media/image29.emf"/><Relationship Id="rId120" Type="http://schemas.microsoft.com/office/2007/relationships/diagramDrawing" Target="diagrams/drawing11.xml"/><Relationship Id="rId141" Type="http://schemas.openxmlformats.org/officeDocument/2006/relationships/diagramColors" Target="diagrams/colors14.xml"/><Relationship Id="rId7" Type="http://schemas.openxmlformats.org/officeDocument/2006/relationships/footnotes" Target="footnotes.xml"/><Relationship Id="rId162" Type="http://schemas.openxmlformats.org/officeDocument/2006/relationships/diagramLayout" Target="diagrams/layout17.xml"/><Relationship Id="rId183" Type="http://schemas.openxmlformats.org/officeDocument/2006/relationships/diagramData" Target="diagrams/data20.xml"/><Relationship Id="rId218" Type="http://schemas.openxmlformats.org/officeDocument/2006/relationships/footer" Target="footer10.xml"/><Relationship Id="rId239" Type="http://schemas.openxmlformats.org/officeDocument/2006/relationships/image" Target="media/image104.png"/><Relationship Id="rId250" Type="http://schemas.openxmlformats.org/officeDocument/2006/relationships/image" Target="media/image115.emf"/><Relationship Id="rId271" Type="http://schemas.openxmlformats.org/officeDocument/2006/relationships/image" Target="media/image136.png"/><Relationship Id="rId292" Type="http://schemas.openxmlformats.org/officeDocument/2006/relationships/image" Target="media/image157.png"/><Relationship Id="rId306" Type="http://schemas.openxmlformats.org/officeDocument/2006/relationships/image" Target="media/image171.png"/><Relationship Id="rId24" Type="http://schemas.openxmlformats.org/officeDocument/2006/relationships/image" Target="media/image4.emf"/><Relationship Id="rId45" Type="http://schemas.openxmlformats.org/officeDocument/2006/relationships/image" Target="media/image14.emf"/><Relationship Id="rId66" Type="http://schemas.microsoft.com/office/2007/relationships/diagramDrawing" Target="diagrams/drawing4.xml"/><Relationship Id="rId87" Type="http://schemas.openxmlformats.org/officeDocument/2006/relationships/diagramQuickStyle" Target="diagrams/quickStyle7.xml"/><Relationship Id="rId110" Type="http://schemas.openxmlformats.org/officeDocument/2006/relationships/diagramQuickStyle" Target="diagrams/quickStyle10.xml"/><Relationship Id="rId131" Type="http://schemas.openxmlformats.org/officeDocument/2006/relationships/diagramData" Target="diagrams/data13.xml"/><Relationship Id="rId327" Type="http://schemas.openxmlformats.org/officeDocument/2006/relationships/image" Target="media/image192.emf"/><Relationship Id="rId152" Type="http://schemas.openxmlformats.org/officeDocument/2006/relationships/diagramData" Target="diagrams/data16.xml"/><Relationship Id="rId173" Type="http://schemas.openxmlformats.org/officeDocument/2006/relationships/image" Target="media/image54.emf"/><Relationship Id="rId194" Type="http://schemas.openxmlformats.org/officeDocument/2006/relationships/diagramQuickStyle" Target="diagrams/quickStyle21.xml"/><Relationship Id="rId208" Type="http://schemas.openxmlformats.org/officeDocument/2006/relationships/image" Target="media/image74.emf"/><Relationship Id="rId229" Type="http://schemas.openxmlformats.org/officeDocument/2006/relationships/image" Target="media/image94.png"/><Relationship Id="rId240" Type="http://schemas.openxmlformats.org/officeDocument/2006/relationships/image" Target="media/image105.emf"/><Relationship Id="rId261" Type="http://schemas.openxmlformats.org/officeDocument/2006/relationships/image" Target="media/image126.emf"/><Relationship Id="rId14" Type="http://schemas.openxmlformats.org/officeDocument/2006/relationships/header" Target="header2.xml"/><Relationship Id="rId35" Type="http://schemas.openxmlformats.org/officeDocument/2006/relationships/image" Target="media/image11.png"/><Relationship Id="rId56" Type="http://schemas.openxmlformats.org/officeDocument/2006/relationships/diagramQuickStyle" Target="diagrams/quickStyle3.xml"/><Relationship Id="rId77" Type="http://schemas.openxmlformats.org/officeDocument/2006/relationships/image" Target="media/image24.emf"/><Relationship Id="rId100" Type="http://schemas.openxmlformats.org/officeDocument/2006/relationships/diagramLayout" Target="diagrams/layout9.xml"/><Relationship Id="rId282" Type="http://schemas.openxmlformats.org/officeDocument/2006/relationships/image" Target="media/image147.png"/><Relationship Id="rId317" Type="http://schemas.openxmlformats.org/officeDocument/2006/relationships/image" Target="media/image182.png"/><Relationship Id="rId8" Type="http://schemas.openxmlformats.org/officeDocument/2006/relationships/endnotes" Target="endnotes.xml"/><Relationship Id="rId51" Type="http://schemas.microsoft.com/office/2007/relationships/diagramDrawing" Target="diagrams/drawing2.xml"/><Relationship Id="rId72" Type="http://schemas.openxmlformats.org/officeDocument/2006/relationships/diagramLayout" Target="diagrams/layout5.xml"/><Relationship Id="rId93" Type="http://schemas.openxmlformats.org/officeDocument/2006/relationships/diagramLayout" Target="diagrams/layout8.xml"/><Relationship Id="rId98" Type="http://schemas.openxmlformats.org/officeDocument/2006/relationships/image" Target="media/image30.emf"/><Relationship Id="rId121" Type="http://schemas.openxmlformats.org/officeDocument/2006/relationships/image" Target="media/image38.emf"/><Relationship Id="rId142" Type="http://schemas.microsoft.com/office/2007/relationships/diagramDrawing" Target="diagrams/drawing14.xml"/><Relationship Id="rId163" Type="http://schemas.openxmlformats.org/officeDocument/2006/relationships/diagramQuickStyle" Target="diagrams/quickStyle17.xml"/><Relationship Id="rId184" Type="http://schemas.openxmlformats.org/officeDocument/2006/relationships/diagramLayout" Target="diagrams/layout20.xml"/><Relationship Id="rId189" Type="http://schemas.openxmlformats.org/officeDocument/2006/relationships/image" Target="media/image60.emf"/><Relationship Id="rId219" Type="http://schemas.openxmlformats.org/officeDocument/2006/relationships/image" Target="media/image84.emf"/><Relationship Id="rId3" Type="http://schemas.openxmlformats.org/officeDocument/2006/relationships/styles" Target="styles.xml"/><Relationship Id="rId214" Type="http://schemas.openxmlformats.org/officeDocument/2006/relationships/image" Target="media/image80.emf"/><Relationship Id="rId230" Type="http://schemas.openxmlformats.org/officeDocument/2006/relationships/image" Target="media/image95.emf"/><Relationship Id="rId235" Type="http://schemas.openxmlformats.org/officeDocument/2006/relationships/image" Target="media/image100.png"/><Relationship Id="rId251" Type="http://schemas.openxmlformats.org/officeDocument/2006/relationships/image" Target="media/image116.emf"/><Relationship Id="rId256" Type="http://schemas.openxmlformats.org/officeDocument/2006/relationships/image" Target="media/image121.png"/><Relationship Id="rId277" Type="http://schemas.openxmlformats.org/officeDocument/2006/relationships/image" Target="media/image142.png"/><Relationship Id="rId298" Type="http://schemas.openxmlformats.org/officeDocument/2006/relationships/image" Target="media/image163.png"/><Relationship Id="rId25" Type="http://schemas.openxmlformats.org/officeDocument/2006/relationships/image" Target="media/image5.emf"/><Relationship Id="rId46" Type="http://schemas.openxmlformats.org/officeDocument/2006/relationships/image" Target="media/image15.emf"/><Relationship Id="rId67" Type="http://schemas.openxmlformats.org/officeDocument/2006/relationships/image" Target="media/image21.emf"/><Relationship Id="rId116" Type="http://schemas.openxmlformats.org/officeDocument/2006/relationships/diagramData" Target="diagrams/data11.xml"/><Relationship Id="rId137" Type="http://schemas.openxmlformats.org/officeDocument/2006/relationships/image" Target="media/image44.emf"/><Relationship Id="rId158" Type="http://schemas.openxmlformats.org/officeDocument/2006/relationships/image" Target="media/image50.emf"/><Relationship Id="rId272" Type="http://schemas.openxmlformats.org/officeDocument/2006/relationships/image" Target="media/image137.png"/><Relationship Id="rId293" Type="http://schemas.openxmlformats.org/officeDocument/2006/relationships/image" Target="media/image158.png"/><Relationship Id="rId302" Type="http://schemas.openxmlformats.org/officeDocument/2006/relationships/image" Target="media/image167.png"/><Relationship Id="rId307" Type="http://schemas.openxmlformats.org/officeDocument/2006/relationships/image" Target="media/image172.png"/><Relationship Id="rId323" Type="http://schemas.openxmlformats.org/officeDocument/2006/relationships/image" Target="media/image188.png"/><Relationship Id="rId328" Type="http://schemas.openxmlformats.org/officeDocument/2006/relationships/image" Target="media/image193.emf"/><Relationship Id="rId20" Type="http://schemas.openxmlformats.org/officeDocument/2006/relationships/header" Target="header5.xml"/><Relationship Id="rId41" Type="http://schemas.openxmlformats.org/officeDocument/2006/relationships/diagramLayout" Target="diagrams/layout1.xml"/><Relationship Id="rId62" Type="http://schemas.openxmlformats.org/officeDocument/2006/relationships/diagramData" Target="diagrams/data4.xml"/><Relationship Id="rId83" Type="http://schemas.openxmlformats.org/officeDocument/2006/relationships/image" Target="media/image25.emf"/><Relationship Id="rId88" Type="http://schemas.openxmlformats.org/officeDocument/2006/relationships/diagramColors" Target="diagrams/colors7.xml"/><Relationship Id="rId111" Type="http://schemas.openxmlformats.org/officeDocument/2006/relationships/diagramColors" Target="diagrams/colors10.xml"/><Relationship Id="rId132" Type="http://schemas.openxmlformats.org/officeDocument/2006/relationships/diagramLayout" Target="diagrams/layout13.xml"/><Relationship Id="rId153" Type="http://schemas.openxmlformats.org/officeDocument/2006/relationships/diagramLayout" Target="diagrams/layout16.xml"/><Relationship Id="rId174" Type="http://schemas.openxmlformats.org/officeDocument/2006/relationships/image" Target="media/image55.emf"/><Relationship Id="rId179" Type="http://schemas.microsoft.com/office/2007/relationships/diagramDrawing" Target="diagrams/drawing19.xml"/><Relationship Id="rId195" Type="http://schemas.openxmlformats.org/officeDocument/2006/relationships/diagramColors" Target="diagrams/colors21.xml"/><Relationship Id="rId209" Type="http://schemas.openxmlformats.org/officeDocument/2006/relationships/image" Target="media/image75.emf"/><Relationship Id="rId190" Type="http://schemas.openxmlformats.org/officeDocument/2006/relationships/image" Target="media/image61.emf"/><Relationship Id="rId204" Type="http://schemas.openxmlformats.org/officeDocument/2006/relationships/image" Target="media/image70.emf"/><Relationship Id="rId220" Type="http://schemas.openxmlformats.org/officeDocument/2006/relationships/image" Target="media/image85.emf"/><Relationship Id="rId225" Type="http://schemas.openxmlformats.org/officeDocument/2006/relationships/image" Target="media/image90.emf"/><Relationship Id="rId241" Type="http://schemas.openxmlformats.org/officeDocument/2006/relationships/image" Target="media/image106.png"/><Relationship Id="rId246" Type="http://schemas.openxmlformats.org/officeDocument/2006/relationships/image" Target="media/image111.emf"/><Relationship Id="rId267" Type="http://schemas.openxmlformats.org/officeDocument/2006/relationships/image" Target="media/image132.png"/><Relationship Id="rId288" Type="http://schemas.openxmlformats.org/officeDocument/2006/relationships/image" Target="media/image153.png"/><Relationship Id="rId15" Type="http://schemas.openxmlformats.org/officeDocument/2006/relationships/header" Target="header3.xml"/><Relationship Id="rId36" Type="http://schemas.openxmlformats.org/officeDocument/2006/relationships/image" Target="media/image12.emf"/><Relationship Id="rId57" Type="http://schemas.openxmlformats.org/officeDocument/2006/relationships/diagramColors" Target="diagrams/colors3.xml"/><Relationship Id="rId106" Type="http://schemas.openxmlformats.org/officeDocument/2006/relationships/image" Target="media/image33.emf"/><Relationship Id="rId127" Type="http://schemas.microsoft.com/office/2007/relationships/diagramDrawing" Target="diagrams/drawing12.xml"/><Relationship Id="rId262" Type="http://schemas.openxmlformats.org/officeDocument/2006/relationships/image" Target="media/image127.png"/><Relationship Id="rId283" Type="http://schemas.openxmlformats.org/officeDocument/2006/relationships/image" Target="media/image148.png"/><Relationship Id="rId313" Type="http://schemas.openxmlformats.org/officeDocument/2006/relationships/image" Target="media/image178.png"/><Relationship Id="rId318" Type="http://schemas.openxmlformats.org/officeDocument/2006/relationships/image" Target="media/image183.png"/><Relationship Id="rId10" Type="http://schemas.openxmlformats.org/officeDocument/2006/relationships/header" Target="header1.xml"/><Relationship Id="rId31" Type="http://schemas.openxmlformats.org/officeDocument/2006/relationships/footer" Target="footer8.xml"/><Relationship Id="rId52" Type="http://schemas.openxmlformats.org/officeDocument/2006/relationships/image" Target="media/image16.emf"/><Relationship Id="rId73" Type="http://schemas.openxmlformats.org/officeDocument/2006/relationships/diagramQuickStyle" Target="diagrams/quickStyle5.xml"/><Relationship Id="rId78" Type="http://schemas.openxmlformats.org/officeDocument/2006/relationships/diagramData" Target="diagrams/data6.xml"/><Relationship Id="rId94" Type="http://schemas.openxmlformats.org/officeDocument/2006/relationships/diagramQuickStyle" Target="diagrams/quickStyle8.xml"/><Relationship Id="rId99" Type="http://schemas.openxmlformats.org/officeDocument/2006/relationships/diagramData" Target="diagrams/data9.xml"/><Relationship Id="rId101" Type="http://schemas.openxmlformats.org/officeDocument/2006/relationships/diagramQuickStyle" Target="diagrams/quickStyle9.xml"/><Relationship Id="rId122" Type="http://schemas.openxmlformats.org/officeDocument/2006/relationships/image" Target="media/image39.emf"/><Relationship Id="rId143" Type="http://schemas.openxmlformats.org/officeDocument/2006/relationships/image" Target="media/image45.emf"/><Relationship Id="rId148" Type="http://schemas.openxmlformats.org/officeDocument/2006/relationships/diagramColors" Target="diagrams/colors15.xml"/><Relationship Id="rId164" Type="http://schemas.openxmlformats.org/officeDocument/2006/relationships/diagramColors" Target="diagrams/colors17.xml"/><Relationship Id="rId169" Type="http://schemas.openxmlformats.org/officeDocument/2006/relationships/diagramLayout" Target="diagrams/layout18.xml"/><Relationship Id="rId185" Type="http://schemas.openxmlformats.org/officeDocument/2006/relationships/diagramQuickStyle" Target="diagrams/quickStyle20.xml"/><Relationship Id="rId334"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56.emf"/><Relationship Id="rId210" Type="http://schemas.openxmlformats.org/officeDocument/2006/relationships/image" Target="media/image76.emf"/><Relationship Id="rId215" Type="http://schemas.openxmlformats.org/officeDocument/2006/relationships/image" Target="media/image81.emf"/><Relationship Id="rId236" Type="http://schemas.openxmlformats.org/officeDocument/2006/relationships/image" Target="media/image101.png"/><Relationship Id="rId257" Type="http://schemas.openxmlformats.org/officeDocument/2006/relationships/image" Target="media/image122.emf"/><Relationship Id="rId278" Type="http://schemas.openxmlformats.org/officeDocument/2006/relationships/image" Target="media/image143.png"/><Relationship Id="rId26" Type="http://schemas.openxmlformats.org/officeDocument/2006/relationships/image" Target="media/image6.png"/><Relationship Id="rId231" Type="http://schemas.openxmlformats.org/officeDocument/2006/relationships/image" Target="media/image96.png"/><Relationship Id="rId252" Type="http://schemas.openxmlformats.org/officeDocument/2006/relationships/image" Target="media/image117.emf"/><Relationship Id="rId273" Type="http://schemas.openxmlformats.org/officeDocument/2006/relationships/image" Target="media/image138.png"/><Relationship Id="rId294" Type="http://schemas.openxmlformats.org/officeDocument/2006/relationships/image" Target="media/image159.png"/><Relationship Id="rId308" Type="http://schemas.openxmlformats.org/officeDocument/2006/relationships/image" Target="media/image173.png"/><Relationship Id="rId329" Type="http://schemas.openxmlformats.org/officeDocument/2006/relationships/image" Target="media/image194.emf"/><Relationship Id="rId47" Type="http://schemas.openxmlformats.org/officeDocument/2006/relationships/diagramData" Target="diagrams/data2.xml"/><Relationship Id="rId68" Type="http://schemas.openxmlformats.org/officeDocument/2006/relationships/image" Target="media/image22.emf"/><Relationship Id="rId89" Type="http://schemas.microsoft.com/office/2007/relationships/diagramDrawing" Target="diagrams/drawing7.xml"/><Relationship Id="rId112" Type="http://schemas.microsoft.com/office/2007/relationships/diagramDrawing" Target="diagrams/drawing10.xml"/><Relationship Id="rId133" Type="http://schemas.openxmlformats.org/officeDocument/2006/relationships/diagramQuickStyle" Target="diagrams/quickStyle13.xml"/><Relationship Id="rId154" Type="http://schemas.openxmlformats.org/officeDocument/2006/relationships/diagramQuickStyle" Target="diagrams/quickStyle16.xml"/><Relationship Id="rId175" Type="http://schemas.openxmlformats.org/officeDocument/2006/relationships/diagramData" Target="diagrams/data19.xml"/><Relationship Id="rId196" Type="http://schemas.microsoft.com/office/2007/relationships/diagramDrawing" Target="diagrams/drawing21.xml"/><Relationship Id="rId200" Type="http://schemas.openxmlformats.org/officeDocument/2006/relationships/image" Target="media/image66.emf"/><Relationship Id="rId16" Type="http://schemas.openxmlformats.org/officeDocument/2006/relationships/footer" Target="footer4.xml"/><Relationship Id="rId221" Type="http://schemas.openxmlformats.org/officeDocument/2006/relationships/image" Target="media/image86.emf"/><Relationship Id="rId242" Type="http://schemas.openxmlformats.org/officeDocument/2006/relationships/image" Target="media/image107.emf"/><Relationship Id="rId263" Type="http://schemas.openxmlformats.org/officeDocument/2006/relationships/image" Target="media/image128.emf"/><Relationship Id="rId284" Type="http://schemas.openxmlformats.org/officeDocument/2006/relationships/image" Target="media/image149.emf"/><Relationship Id="rId319" Type="http://schemas.openxmlformats.org/officeDocument/2006/relationships/image" Target="media/image184.png"/><Relationship Id="rId37" Type="http://schemas.openxmlformats.org/officeDocument/2006/relationships/image" Target="media/image13.emf"/><Relationship Id="rId58" Type="http://schemas.microsoft.com/office/2007/relationships/diagramDrawing" Target="diagrams/drawing3.xml"/><Relationship Id="rId79" Type="http://schemas.openxmlformats.org/officeDocument/2006/relationships/diagramLayout" Target="diagrams/layout6.xml"/><Relationship Id="rId102" Type="http://schemas.openxmlformats.org/officeDocument/2006/relationships/diagramColors" Target="diagrams/colors9.xml"/><Relationship Id="rId123" Type="http://schemas.openxmlformats.org/officeDocument/2006/relationships/diagramData" Target="diagrams/data12.xml"/><Relationship Id="rId144" Type="http://schemas.openxmlformats.org/officeDocument/2006/relationships/image" Target="media/image46.emf"/><Relationship Id="rId330" Type="http://schemas.openxmlformats.org/officeDocument/2006/relationships/header" Target="header12.xml"/><Relationship Id="rId90" Type="http://schemas.openxmlformats.org/officeDocument/2006/relationships/image" Target="media/image27.emf"/><Relationship Id="rId165" Type="http://schemas.microsoft.com/office/2007/relationships/diagramDrawing" Target="diagrams/drawing17.xml"/><Relationship Id="rId186" Type="http://schemas.openxmlformats.org/officeDocument/2006/relationships/diagramColors" Target="diagrams/colors20.xml"/><Relationship Id="rId211" Type="http://schemas.openxmlformats.org/officeDocument/2006/relationships/image" Target="media/image77.emf"/><Relationship Id="rId232" Type="http://schemas.openxmlformats.org/officeDocument/2006/relationships/image" Target="media/image97.emf"/><Relationship Id="rId253" Type="http://schemas.openxmlformats.org/officeDocument/2006/relationships/image" Target="media/image118.png"/><Relationship Id="rId274" Type="http://schemas.openxmlformats.org/officeDocument/2006/relationships/image" Target="media/image139.png"/><Relationship Id="rId295" Type="http://schemas.openxmlformats.org/officeDocument/2006/relationships/image" Target="media/image160.png"/><Relationship Id="rId309" Type="http://schemas.openxmlformats.org/officeDocument/2006/relationships/image" Target="media/image174.png"/><Relationship Id="rId27" Type="http://schemas.openxmlformats.org/officeDocument/2006/relationships/image" Target="media/image7.png"/><Relationship Id="rId48" Type="http://schemas.openxmlformats.org/officeDocument/2006/relationships/diagramLayout" Target="diagrams/layout2.xml"/><Relationship Id="rId69" Type="http://schemas.openxmlformats.org/officeDocument/2006/relationships/header" Target="header11.xml"/><Relationship Id="rId113" Type="http://schemas.openxmlformats.org/officeDocument/2006/relationships/image" Target="media/image35.emf"/><Relationship Id="rId134" Type="http://schemas.openxmlformats.org/officeDocument/2006/relationships/diagramColors" Target="diagrams/colors13.xml"/><Relationship Id="rId320" Type="http://schemas.openxmlformats.org/officeDocument/2006/relationships/image" Target="media/image185.png"/><Relationship Id="rId80" Type="http://schemas.openxmlformats.org/officeDocument/2006/relationships/diagramQuickStyle" Target="diagrams/quickStyle6.xml"/><Relationship Id="rId155" Type="http://schemas.openxmlformats.org/officeDocument/2006/relationships/diagramColors" Target="diagrams/colors16.xml"/><Relationship Id="rId176" Type="http://schemas.openxmlformats.org/officeDocument/2006/relationships/diagramLayout" Target="diagrams/layout19.xml"/><Relationship Id="rId197" Type="http://schemas.openxmlformats.org/officeDocument/2006/relationships/image" Target="media/image63.emf"/><Relationship Id="rId201" Type="http://schemas.openxmlformats.org/officeDocument/2006/relationships/image" Target="media/image67.emf"/><Relationship Id="rId222" Type="http://schemas.openxmlformats.org/officeDocument/2006/relationships/image" Target="media/image87.emf"/><Relationship Id="rId243" Type="http://schemas.openxmlformats.org/officeDocument/2006/relationships/image" Target="media/image108.png"/><Relationship Id="rId264" Type="http://schemas.openxmlformats.org/officeDocument/2006/relationships/image" Target="media/image129.png"/><Relationship Id="rId285" Type="http://schemas.openxmlformats.org/officeDocument/2006/relationships/image" Target="media/image150.png"/><Relationship Id="rId17" Type="http://schemas.openxmlformats.org/officeDocument/2006/relationships/footer" Target="footer5.xml"/><Relationship Id="rId38" Type="http://schemas.openxmlformats.org/officeDocument/2006/relationships/header" Target="header9.xml"/><Relationship Id="rId59" Type="http://schemas.openxmlformats.org/officeDocument/2006/relationships/image" Target="media/image18.emf"/><Relationship Id="rId103" Type="http://schemas.microsoft.com/office/2007/relationships/diagramDrawing" Target="diagrams/drawing9.xml"/><Relationship Id="rId124" Type="http://schemas.openxmlformats.org/officeDocument/2006/relationships/diagramLayout" Target="diagrams/layout12.xml"/><Relationship Id="rId310" Type="http://schemas.openxmlformats.org/officeDocument/2006/relationships/image" Target="media/image175.png"/><Relationship Id="rId70" Type="http://schemas.openxmlformats.org/officeDocument/2006/relationships/footer" Target="footer9.xml"/><Relationship Id="rId91" Type="http://schemas.openxmlformats.org/officeDocument/2006/relationships/image" Target="media/image28.emf"/><Relationship Id="rId145" Type="http://schemas.openxmlformats.org/officeDocument/2006/relationships/diagramData" Target="diagrams/data15.xml"/><Relationship Id="rId166" Type="http://schemas.openxmlformats.org/officeDocument/2006/relationships/image" Target="media/image52.emf"/><Relationship Id="rId187" Type="http://schemas.microsoft.com/office/2007/relationships/diagramDrawing" Target="diagrams/drawing20.xml"/><Relationship Id="rId331" Type="http://schemas.openxmlformats.org/officeDocument/2006/relationships/image" Target="media/image195.emf"/><Relationship Id="rId1" Type="http://schemas.openxmlformats.org/officeDocument/2006/relationships/customXml" Target="../customXml/item1.xml"/><Relationship Id="rId212" Type="http://schemas.openxmlformats.org/officeDocument/2006/relationships/image" Target="media/image78.emf"/><Relationship Id="rId233" Type="http://schemas.openxmlformats.org/officeDocument/2006/relationships/image" Target="media/image98.png"/><Relationship Id="rId254" Type="http://schemas.openxmlformats.org/officeDocument/2006/relationships/image" Target="media/image119.emf"/><Relationship Id="rId28" Type="http://schemas.openxmlformats.org/officeDocument/2006/relationships/image" Target="media/image8.png"/><Relationship Id="rId49" Type="http://schemas.openxmlformats.org/officeDocument/2006/relationships/diagramQuickStyle" Target="diagrams/quickStyle2.xml"/><Relationship Id="rId114" Type="http://schemas.openxmlformats.org/officeDocument/2006/relationships/image" Target="media/image36.emf"/><Relationship Id="rId275" Type="http://schemas.openxmlformats.org/officeDocument/2006/relationships/image" Target="media/image140.png"/><Relationship Id="rId296" Type="http://schemas.openxmlformats.org/officeDocument/2006/relationships/image" Target="media/image161.png"/><Relationship Id="rId300" Type="http://schemas.openxmlformats.org/officeDocument/2006/relationships/image" Target="media/image165.png"/><Relationship Id="rId60" Type="http://schemas.openxmlformats.org/officeDocument/2006/relationships/image" Target="media/image19.emf"/><Relationship Id="rId81" Type="http://schemas.openxmlformats.org/officeDocument/2006/relationships/diagramColors" Target="diagrams/colors6.xml"/><Relationship Id="rId135" Type="http://schemas.microsoft.com/office/2007/relationships/diagramDrawing" Target="diagrams/drawing13.xml"/><Relationship Id="rId156" Type="http://schemas.microsoft.com/office/2007/relationships/diagramDrawing" Target="diagrams/drawing16.xml"/><Relationship Id="rId177" Type="http://schemas.openxmlformats.org/officeDocument/2006/relationships/diagramQuickStyle" Target="diagrams/quickStyle19.xml"/><Relationship Id="rId198" Type="http://schemas.openxmlformats.org/officeDocument/2006/relationships/image" Target="media/image64.emf"/><Relationship Id="rId321" Type="http://schemas.openxmlformats.org/officeDocument/2006/relationships/image" Target="media/image186.png"/><Relationship Id="rId202" Type="http://schemas.openxmlformats.org/officeDocument/2006/relationships/image" Target="media/image68.emf"/><Relationship Id="rId223" Type="http://schemas.openxmlformats.org/officeDocument/2006/relationships/image" Target="media/image88.emf"/><Relationship Id="rId244" Type="http://schemas.openxmlformats.org/officeDocument/2006/relationships/image" Target="media/image109.emf"/><Relationship Id="rId18" Type="http://schemas.openxmlformats.org/officeDocument/2006/relationships/header" Target="header4.xml"/><Relationship Id="rId39" Type="http://schemas.openxmlformats.org/officeDocument/2006/relationships/header" Target="header10.xml"/><Relationship Id="rId265" Type="http://schemas.openxmlformats.org/officeDocument/2006/relationships/image" Target="media/image130.emf"/><Relationship Id="rId286" Type="http://schemas.openxmlformats.org/officeDocument/2006/relationships/image" Target="media/image151.png"/><Relationship Id="rId50" Type="http://schemas.openxmlformats.org/officeDocument/2006/relationships/diagramColors" Target="diagrams/colors2.xml"/><Relationship Id="rId104" Type="http://schemas.openxmlformats.org/officeDocument/2006/relationships/image" Target="media/image31.emf"/><Relationship Id="rId125" Type="http://schemas.openxmlformats.org/officeDocument/2006/relationships/diagramQuickStyle" Target="diagrams/quickStyle12.xml"/><Relationship Id="rId146" Type="http://schemas.openxmlformats.org/officeDocument/2006/relationships/diagramLayout" Target="diagrams/layout15.xml"/><Relationship Id="rId167" Type="http://schemas.openxmlformats.org/officeDocument/2006/relationships/image" Target="media/image53.emf"/><Relationship Id="rId188" Type="http://schemas.openxmlformats.org/officeDocument/2006/relationships/image" Target="media/image59.emf"/><Relationship Id="rId311" Type="http://schemas.openxmlformats.org/officeDocument/2006/relationships/image" Target="media/image176.png"/><Relationship Id="rId332" Type="http://schemas.openxmlformats.org/officeDocument/2006/relationships/image" Target="media/image196.emf"/><Relationship Id="rId71" Type="http://schemas.openxmlformats.org/officeDocument/2006/relationships/diagramData" Target="diagrams/data5.xml"/><Relationship Id="rId92" Type="http://schemas.openxmlformats.org/officeDocument/2006/relationships/diagramData" Target="diagrams/data8.xml"/><Relationship Id="rId213" Type="http://schemas.openxmlformats.org/officeDocument/2006/relationships/image" Target="media/image79.emf"/><Relationship Id="rId234" Type="http://schemas.openxmlformats.org/officeDocument/2006/relationships/image" Target="media/image99.emf"/><Relationship Id="rId2" Type="http://schemas.openxmlformats.org/officeDocument/2006/relationships/numbering" Target="numbering.xml"/><Relationship Id="rId29" Type="http://schemas.openxmlformats.org/officeDocument/2006/relationships/header" Target="header6.xml"/><Relationship Id="rId255" Type="http://schemas.openxmlformats.org/officeDocument/2006/relationships/image" Target="media/image120.emf"/><Relationship Id="rId276" Type="http://schemas.openxmlformats.org/officeDocument/2006/relationships/image" Target="media/image141.png"/><Relationship Id="rId297" Type="http://schemas.openxmlformats.org/officeDocument/2006/relationships/image" Target="media/image162.png"/><Relationship Id="rId40" Type="http://schemas.openxmlformats.org/officeDocument/2006/relationships/diagramData" Target="diagrams/data1.xml"/><Relationship Id="rId115" Type="http://schemas.openxmlformats.org/officeDocument/2006/relationships/image" Target="media/image37.emf"/><Relationship Id="rId136" Type="http://schemas.openxmlformats.org/officeDocument/2006/relationships/image" Target="media/image43.emf"/><Relationship Id="rId157" Type="http://schemas.openxmlformats.org/officeDocument/2006/relationships/image" Target="media/image49.emf"/><Relationship Id="rId178" Type="http://schemas.openxmlformats.org/officeDocument/2006/relationships/diagramColors" Target="diagrams/colors19.xml"/><Relationship Id="rId301" Type="http://schemas.openxmlformats.org/officeDocument/2006/relationships/image" Target="media/image166.png"/><Relationship Id="rId322" Type="http://schemas.openxmlformats.org/officeDocument/2006/relationships/image" Target="media/image187.png"/><Relationship Id="rId61" Type="http://schemas.openxmlformats.org/officeDocument/2006/relationships/image" Target="media/image20.emf"/><Relationship Id="rId82" Type="http://schemas.microsoft.com/office/2007/relationships/diagramDrawing" Target="diagrams/drawing6.xml"/><Relationship Id="rId199" Type="http://schemas.openxmlformats.org/officeDocument/2006/relationships/image" Target="media/image65.emf"/><Relationship Id="rId203" Type="http://schemas.openxmlformats.org/officeDocument/2006/relationships/image" Target="media/image69.emf"/><Relationship Id="rId19" Type="http://schemas.openxmlformats.org/officeDocument/2006/relationships/footer" Target="footer6.xml"/><Relationship Id="rId224" Type="http://schemas.openxmlformats.org/officeDocument/2006/relationships/image" Target="media/image89.png"/><Relationship Id="rId245" Type="http://schemas.openxmlformats.org/officeDocument/2006/relationships/image" Target="media/image110.png"/><Relationship Id="rId266" Type="http://schemas.openxmlformats.org/officeDocument/2006/relationships/image" Target="media/image131.emf"/><Relationship Id="rId287" Type="http://schemas.openxmlformats.org/officeDocument/2006/relationships/image" Target="media/image152.png"/><Relationship Id="rId30" Type="http://schemas.openxmlformats.org/officeDocument/2006/relationships/header" Target="header7.xml"/><Relationship Id="rId105" Type="http://schemas.openxmlformats.org/officeDocument/2006/relationships/image" Target="media/image32.emf"/><Relationship Id="rId126" Type="http://schemas.openxmlformats.org/officeDocument/2006/relationships/diagramColors" Target="diagrams/colors12.xml"/><Relationship Id="rId147" Type="http://schemas.openxmlformats.org/officeDocument/2006/relationships/diagramQuickStyle" Target="diagrams/quickStyle15.xml"/><Relationship Id="rId168" Type="http://schemas.openxmlformats.org/officeDocument/2006/relationships/diagramData" Target="diagrams/data18.xml"/><Relationship Id="rId312" Type="http://schemas.openxmlformats.org/officeDocument/2006/relationships/image" Target="media/image177.png"/><Relationship Id="rId333" Type="http://schemas.openxmlformats.org/officeDocument/2006/relationships/image" Target="media/image197.emf"/></Relationships>
</file>

<file path=word/_rels/settings.xml.rels><?xml version="1.0" encoding="UTF-8" standalone="yes"?>
<Relationships xmlns="http://schemas.openxmlformats.org/package/2006/relationships"><Relationship Id="rId1" Type="http://schemas.openxmlformats.org/officeDocument/2006/relationships/attachedTemplate" Target="file:///D:\BUSINESS\TRANSLATION\1%20ACTUAL\WIPO\40%20-%2028-05-2013\Templates%20and%20Pretranslated%20Document\Bugdet_Text_AR_.dotx"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2E3765-25B6-48F8-B902-5C026C284173}"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15A8A4C-3386-41CB-B004-75AA2E0C8E7E}">
      <dgm:prSet phldrT="[Text]" custT="1"/>
      <dgm:spPr>
        <a:xfrm>
          <a:off x="2435300" y="805713"/>
          <a:ext cx="1030037" cy="47943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BD043E-B694-4760-8FC3-4BE59593050C}" type="parTrans" cxnId="{E55333C4-687C-4186-B8C3-1AC5CE56517A}">
      <dgm:prSet/>
      <dgm:spPr/>
      <dgm:t>
        <a:bodyPr/>
        <a:lstStyle/>
        <a:p>
          <a:endParaRPr lang="en-US"/>
        </a:p>
      </dgm:t>
    </dgm:pt>
    <dgm:pt modelId="{A7B35DF3-2893-4CFA-8C75-4D2DB5615E44}" type="sibTrans" cxnId="{E55333C4-687C-4186-B8C3-1AC5CE56517A}">
      <dgm:prSet/>
      <dgm:spPr/>
      <dgm:t>
        <a:bodyPr/>
        <a:lstStyle/>
        <a:p>
          <a:endParaRPr lang="en-US"/>
        </a:p>
      </dgm:t>
    </dgm:pt>
    <dgm:pt modelId="{C1693A50-4E68-4912-9A70-0C97C87B3D7E}">
      <dgm:prSet phldrT="[Text]" custT="1"/>
      <dgm:spPr>
        <a:xfrm>
          <a:off x="2492451" y="-9592"/>
          <a:ext cx="915735" cy="47943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F74A6F9-BA34-45B8-91B4-D30611FDBA60}" type="parTrans" cxnId="{9A60E343-BDF2-491A-A7D5-5299DFF2BE0A}">
      <dgm:prSet custT="1"/>
      <dgm:spPr>
        <a:xfrm rot="16200000">
          <a:off x="2782382" y="630516"/>
          <a:ext cx="335872"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4B485C48-2801-485C-A89E-B43F912DB680}" type="sibTrans" cxnId="{9A60E343-BDF2-491A-A7D5-5299DFF2BE0A}">
      <dgm:prSet/>
      <dgm:spPr/>
      <dgm:t>
        <a:bodyPr/>
        <a:lstStyle/>
        <a:p>
          <a:endParaRPr lang="en-US"/>
        </a:p>
      </dgm:t>
    </dgm:pt>
    <dgm:pt modelId="{FB911F09-22D9-48A7-A087-AEF5110B6682}">
      <dgm:prSet phldrT="[Text]" custT="1"/>
      <dgm:spPr>
        <a:xfrm>
          <a:off x="3343565" y="308015"/>
          <a:ext cx="896241" cy="49838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E1FEA62-81EE-4117-997B-69ED8651A7D0}" type="parTrans" cxnId="{1763FEA0-AAF8-4DB3-8B21-253B8F239228}">
      <dgm:prSet custT="1"/>
      <dgm:spPr>
        <a:xfrm rot="19792485">
          <a:off x="3256246" y="790522"/>
          <a:ext cx="241706"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98ACE05E-CC42-4FE0-BC36-110025A6B590}" type="sibTrans" cxnId="{1763FEA0-AAF8-4DB3-8B21-253B8F239228}">
      <dgm:prSet/>
      <dgm:spPr/>
      <dgm:t>
        <a:bodyPr/>
        <a:lstStyle/>
        <a:p>
          <a:endParaRPr lang="en-US"/>
        </a:p>
      </dgm:t>
    </dgm:pt>
    <dgm:pt modelId="{447D5D1D-0860-4B1B-A10A-5D7EC9B637D8}">
      <dgm:prSet phldrT="[Text]" custT="1"/>
      <dgm:spPr>
        <a:xfrm>
          <a:off x="4465461" y="776964"/>
          <a:ext cx="1136236" cy="53694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69AD1A8-1718-4E51-AEE7-85B69D54F950}" type="parTrans" cxnId="{4B8455E7-4B99-4C1B-A85F-368F4A08E0BE}">
      <dgm:prSet custT="1"/>
      <dgm:spPr>
        <a:xfrm rot="13">
          <a:off x="3465337" y="1038173"/>
          <a:ext cx="1000123"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855AF909-31D3-4065-ABB3-82005C9FEF4C}" type="sibTrans" cxnId="{4B8455E7-4B99-4C1B-A85F-368F4A08E0BE}">
      <dgm:prSet/>
      <dgm:spPr/>
      <dgm:t>
        <a:bodyPr/>
        <a:lstStyle/>
        <a:p>
          <a:endParaRPr lang="en-US"/>
        </a:p>
      </dgm:t>
    </dgm:pt>
    <dgm:pt modelId="{DAF30ECC-CB4B-483A-93C7-47A100649D5D}">
      <dgm:prSet phldrT="[Text]" custT="1"/>
      <dgm:spPr>
        <a:xfrm>
          <a:off x="3437543" y="1288304"/>
          <a:ext cx="1045407" cy="49068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0719816-4AC2-4964-8797-61135BEDA83D}" type="parTrans" cxnId="{4E68C5E6-4E50-45B6-9E23-A7A97C86ED5E}">
      <dgm:prSet custT="1"/>
      <dgm:spPr>
        <a:xfrm rot="1548005">
          <a:off x="3291555" y="1280610"/>
          <a:ext cx="320548"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939B8447-5FC4-4D01-8936-0F63CFB1E3F9}" type="sibTrans" cxnId="{4E68C5E6-4E50-45B6-9E23-A7A97C86ED5E}">
      <dgm:prSet/>
      <dgm:spPr/>
      <dgm:t>
        <a:bodyPr/>
        <a:lstStyle/>
        <a:p>
          <a:endParaRPr lang="en-US"/>
        </a:p>
      </dgm:t>
    </dgm:pt>
    <dgm:pt modelId="{17173E60-1AB7-4219-9E5D-2EB707D4762A}">
      <dgm:prSet phldrT="[Text]" custT="1"/>
      <dgm:spPr>
        <a:xfrm>
          <a:off x="1493142" y="284089"/>
          <a:ext cx="1103188" cy="56229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FBFA200-28B9-441C-9603-B958FB3D45CE}" type="parTrans" cxnId="{427458F4-2128-4535-BC60-2C807BAEAB78}">
      <dgm:prSet custT="1"/>
      <dgm:spPr>
        <a:xfrm rot="12476106">
          <a:off x="2414883" y="809342"/>
          <a:ext cx="207789"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4E9757A6-6A62-4D49-A0CB-E147D06AE7B1}" type="sibTrans" cxnId="{427458F4-2128-4535-BC60-2C807BAEAB78}">
      <dgm:prSet/>
      <dgm:spPr/>
      <dgm:t>
        <a:bodyPr/>
        <a:lstStyle/>
        <a:p>
          <a:endParaRPr lang="en-US"/>
        </a:p>
      </dgm:t>
    </dgm:pt>
    <dgm:pt modelId="{06E8F230-0A46-4973-959C-5518A0F634E1}">
      <dgm:prSet phldrT="[Text]" custT="1"/>
      <dgm:spPr>
        <a:xfrm>
          <a:off x="2424012" y="1586590"/>
          <a:ext cx="1052613" cy="5482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DA931F6-88AF-4B28-AA68-7BB47161ABA9}" type="parTrans" cxnId="{070AEFE9-55EF-4F5A-B707-AF0518F7B8C6}">
      <dgm:prSet custT="1"/>
      <dgm:spPr>
        <a:xfrm rot="5400000">
          <a:off x="2799596" y="1428608"/>
          <a:ext cx="301444"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05D557FB-EE62-41BD-A184-12A99A228BF1}" type="sibTrans" cxnId="{070AEFE9-55EF-4F5A-B707-AF0518F7B8C6}">
      <dgm:prSet/>
      <dgm:spPr/>
      <dgm:t>
        <a:bodyPr/>
        <a:lstStyle/>
        <a:p>
          <a:endParaRPr lang="en-US"/>
        </a:p>
      </dgm:t>
    </dgm:pt>
    <dgm:pt modelId="{CFBCC7A9-248E-440C-A926-28CC42C6B860}">
      <dgm:prSet phldrT="[Text]" custT="1"/>
      <dgm:spPr>
        <a:xfrm>
          <a:off x="1314449" y="1209674"/>
          <a:ext cx="1139903" cy="58373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EDE4186-485A-46BD-B210-B0BD4480CB16}" type="parTrans" cxnId="{1AA9EDCB-7AF6-406C-9BE6-B90918B1AE07}">
      <dgm:prSet custT="1"/>
      <dgm:spPr>
        <a:xfrm rot="9410013">
          <a:off x="2310824" y="1253771"/>
          <a:ext cx="271289"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85FBEBF4-A458-477D-AE50-1E5F0800CC74}" type="sibTrans" cxnId="{1AA9EDCB-7AF6-406C-9BE6-B90918B1AE07}">
      <dgm:prSet/>
      <dgm:spPr/>
      <dgm:t>
        <a:bodyPr/>
        <a:lstStyle/>
        <a:p>
          <a:endParaRPr lang="en-US"/>
        </a:p>
      </dgm:t>
    </dgm:pt>
    <dgm:pt modelId="{C8838BF5-4657-4DB6-B70A-DBA4AB5B97EE}">
      <dgm:prSet phldrT="[Text]" custT="1"/>
      <dgm:spPr>
        <a:xfrm>
          <a:off x="300990" y="811288"/>
          <a:ext cx="1050312" cy="46828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التحديات العالمية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D2843B5-7E3E-4680-8A25-01BA23D8CE69}" type="parTrans" cxnId="{64EB48A2-0615-4134-85EB-A4DAE785AB7D}">
      <dgm:prSet custT="1"/>
      <dgm:spPr>
        <a:xfrm rot="10800000">
          <a:off x="1351302" y="1038169"/>
          <a:ext cx="1083997" cy="14519"/>
        </a:xfrm>
        <a:noFill/>
        <a:ln w="9525" cap="flat" cmpd="sng" algn="ctr">
          <a:solidFill>
            <a:srgbClr val="4F81BD">
              <a:shade val="60000"/>
              <a:hueOff val="0"/>
              <a:satOff val="0"/>
              <a:lumOff val="0"/>
              <a:alphaOff val="0"/>
            </a:srgbClr>
          </a:solidFill>
          <a:prstDash val="solid"/>
        </a:ln>
        <a:effectLst/>
      </dgm:spPr>
      <dgm:t>
        <a:bodyPr/>
        <a:lstStyle/>
        <a:p>
          <a:pPr rtl="1"/>
          <a:endParaRPr lang="en-US" sz="800">
            <a:solidFill>
              <a:sysClr val="windowText" lastClr="000000">
                <a:hueOff val="0"/>
                <a:satOff val="0"/>
                <a:lumOff val="0"/>
                <a:alphaOff val="0"/>
              </a:sysClr>
            </a:solidFill>
            <a:latin typeface="Calibri"/>
            <a:ea typeface="+mn-ea"/>
            <a:cs typeface="+mn-cs"/>
          </a:endParaRPr>
        </a:p>
      </dgm:t>
    </dgm:pt>
    <dgm:pt modelId="{899C251D-3EE6-4D89-8EC9-77FF6FC72E05}" type="sibTrans" cxnId="{64EB48A2-0615-4134-85EB-A4DAE785AB7D}">
      <dgm:prSet/>
      <dgm:spPr/>
      <dgm:t>
        <a:bodyPr/>
        <a:lstStyle/>
        <a:p>
          <a:endParaRPr lang="en-US"/>
        </a:p>
      </dgm:t>
    </dgm:pt>
    <dgm:pt modelId="{4B42C994-9F34-48FA-B0E9-245578FAC1C6}" type="pres">
      <dgm:prSet presAssocID="{DD2E3765-25B6-48F8-B902-5C026C284173}" presName="cycle" presStyleCnt="0">
        <dgm:presLayoutVars>
          <dgm:chMax val="1"/>
          <dgm:dir/>
          <dgm:animLvl val="ctr"/>
          <dgm:resizeHandles val="exact"/>
        </dgm:presLayoutVars>
      </dgm:prSet>
      <dgm:spPr/>
      <dgm:t>
        <a:bodyPr/>
        <a:lstStyle/>
        <a:p>
          <a:endParaRPr lang="en-US"/>
        </a:p>
      </dgm:t>
    </dgm:pt>
    <dgm:pt modelId="{262D173F-A40A-406A-BA41-067F590F5B00}" type="pres">
      <dgm:prSet presAssocID="{615A8A4C-3386-41CB-B004-75AA2E0C8E7E}" presName="centerShape" presStyleLbl="node0" presStyleIdx="0" presStyleCnt="1" custScaleX="214845"/>
      <dgm:spPr>
        <a:prstGeom prst="ellipse">
          <a:avLst/>
        </a:prstGeom>
      </dgm:spPr>
      <dgm:t>
        <a:bodyPr/>
        <a:lstStyle/>
        <a:p>
          <a:endParaRPr lang="en-US"/>
        </a:p>
      </dgm:t>
    </dgm:pt>
    <dgm:pt modelId="{2E00D982-49D5-455F-888E-68E4C81A2365}" type="pres">
      <dgm:prSet presAssocID="{CF74A6F9-BA34-45B8-91B4-D30611FDBA60}" presName="Name9" presStyleLbl="parChTrans1D2" presStyleIdx="0" presStyleCnt="8"/>
      <dgm:spPr>
        <a:custGeom>
          <a:avLst/>
          <a:gdLst/>
          <a:ahLst/>
          <a:cxnLst/>
          <a:rect l="0" t="0" r="0" b="0"/>
          <a:pathLst>
            <a:path>
              <a:moveTo>
                <a:pt x="0" y="7259"/>
              </a:moveTo>
              <a:lnTo>
                <a:pt x="355250" y="7259"/>
              </a:lnTo>
            </a:path>
          </a:pathLst>
        </a:custGeom>
      </dgm:spPr>
      <dgm:t>
        <a:bodyPr/>
        <a:lstStyle/>
        <a:p>
          <a:endParaRPr lang="en-US"/>
        </a:p>
      </dgm:t>
    </dgm:pt>
    <dgm:pt modelId="{B7B7A49F-5E78-4AC5-B18E-2DC80AECCF08}" type="pres">
      <dgm:prSet presAssocID="{CF74A6F9-BA34-45B8-91B4-D30611FDBA60}" presName="connTx" presStyleLbl="parChTrans1D2" presStyleIdx="0" presStyleCnt="8"/>
      <dgm:spPr/>
      <dgm:t>
        <a:bodyPr/>
        <a:lstStyle/>
        <a:p>
          <a:endParaRPr lang="en-US"/>
        </a:p>
      </dgm:t>
    </dgm:pt>
    <dgm:pt modelId="{44473C27-A9A3-4167-AEAF-A01C156E33F0}" type="pres">
      <dgm:prSet presAssocID="{C1693A50-4E68-4912-9A70-0C97C87B3D7E}" presName="node" presStyleLbl="node1" presStyleIdx="0" presStyleCnt="8" custScaleX="191004">
        <dgm:presLayoutVars>
          <dgm:bulletEnabled val="1"/>
        </dgm:presLayoutVars>
      </dgm:prSet>
      <dgm:spPr>
        <a:prstGeom prst="ellipse">
          <a:avLst/>
        </a:prstGeom>
      </dgm:spPr>
      <dgm:t>
        <a:bodyPr/>
        <a:lstStyle/>
        <a:p>
          <a:endParaRPr lang="en-US"/>
        </a:p>
      </dgm:t>
    </dgm:pt>
    <dgm:pt modelId="{3FE6E2C5-0D84-4EA6-8A7C-D44D396A169E}" type="pres">
      <dgm:prSet presAssocID="{0E1FEA62-81EE-4117-997B-69ED8651A7D0}" presName="Name9" presStyleLbl="parChTrans1D2" presStyleIdx="1" presStyleCnt="8"/>
      <dgm:spPr>
        <a:custGeom>
          <a:avLst/>
          <a:gdLst/>
          <a:ahLst/>
          <a:cxnLst/>
          <a:rect l="0" t="0" r="0" b="0"/>
          <a:pathLst>
            <a:path>
              <a:moveTo>
                <a:pt x="0" y="7259"/>
              </a:moveTo>
              <a:lnTo>
                <a:pt x="255651" y="7259"/>
              </a:lnTo>
            </a:path>
          </a:pathLst>
        </a:custGeom>
      </dgm:spPr>
      <dgm:t>
        <a:bodyPr/>
        <a:lstStyle/>
        <a:p>
          <a:endParaRPr lang="en-US"/>
        </a:p>
      </dgm:t>
    </dgm:pt>
    <dgm:pt modelId="{C8361934-9E8A-4B07-8048-7D48F9D9FCA9}" type="pres">
      <dgm:prSet presAssocID="{0E1FEA62-81EE-4117-997B-69ED8651A7D0}" presName="connTx" presStyleLbl="parChTrans1D2" presStyleIdx="1" presStyleCnt="8"/>
      <dgm:spPr/>
      <dgm:t>
        <a:bodyPr/>
        <a:lstStyle/>
        <a:p>
          <a:endParaRPr lang="en-US"/>
        </a:p>
      </dgm:t>
    </dgm:pt>
    <dgm:pt modelId="{5F1C34CD-B8DF-45F7-A431-2126D61FFACC}" type="pres">
      <dgm:prSet presAssocID="{FB911F09-22D9-48A7-A087-AEF5110B6682}" presName="node" presStyleLbl="node1" presStyleIdx="1" presStyleCnt="8" custScaleX="186938" custScaleY="103954" custRadScaleRad="119312" custRadScaleInc="66110">
        <dgm:presLayoutVars>
          <dgm:bulletEnabled val="1"/>
        </dgm:presLayoutVars>
      </dgm:prSet>
      <dgm:spPr>
        <a:prstGeom prst="ellipse">
          <a:avLst/>
        </a:prstGeom>
      </dgm:spPr>
      <dgm:t>
        <a:bodyPr/>
        <a:lstStyle/>
        <a:p>
          <a:endParaRPr lang="en-US"/>
        </a:p>
      </dgm:t>
    </dgm:pt>
    <dgm:pt modelId="{93B3BE9E-D237-4DD9-937C-973455BC3658}" type="pres">
      <dgm:prSet presAssocID="{069AD1A8-1718-4E51-AEE7-85B69D54F950}" presName="Name9" presStyleLbl="parChTrans1D2" presStyleIdx="2" presStyleCnt="8"/>
      <dgm:spPr>
        <a:custGeom>
          <a:avLst/>
          <a:gdLst/>
          <a:ahLst/>
          <a:cxnLst/>
          <a:rect l="0" t="0" r="0" b="0"/>
          <a:pathLst>
            <a:path>
              <a:moveTo>
                <a:pt x="0" y="7259"/>
              </a:moveTo>
              <a:lnTo>
                <a:pt x="1061555" y="7259"/>
              </a:lnTo>
            </a:path>
          </a:pathLst>
        </a:custGeom>
      </dgm:spPr>
      <dgm:t>
        <a:bodyPr/>
        <a:lstStyle/>
        <a:p>
          <a:endParaRPr lang="en-US"/>
        </a:p>
      </dgm:t>
    </dgm:pt>
    <dgm:pt modelId="{E7C370CD-4B70-470B-B819-7260C176B479}" type="pres">
      <dgm:prSet presAssocID="{069AD1A8-1718-4E51-AEE7-85B69D54F950}" presName="connTx" presStyleLbl="parChTrans1D2" presStyleIdx="2" presStyleCnt="8"/>
      <dgm:spPr/>
      <dgm:t>
        <a:bodyPr/>
        <a:lstStyle/>
        <a:p>
          <a:endParaRPr lang="en-US"/>
        </a:p>
      </dgm:t>
    </dgm:pt>
    <dgm:pt modelId="{3A26272E-8DBD-422F-ABA2-A3DA0C9B3C69}" type="pres">
      <dgm:prSet presAssocID="{447D5D1D-0860-4B1B-A10A-5D7EC9B637D8}" presName="node" presStyleLbl="node1" presStyleIdx="2" presStyleCnt="8" custScaleX="236996" custScaleY="111996" custRadScaleRad="255519" custRadScaleInc="1">
        <dgm:presLayoutVars>
          <dgm:bulletEnabled val="1"/>
        </dgm:presLayoutVars>
      </dgm:prSet>
      <dgm:spPr>
        <a:prstGeom prst="ellipse">
          <a:avLst/>
        </a:prstGeom>
      </dgm:spPr>
      <dgm:t>
        <a:bodyPr/>
        <a:lstStyle/>
        <a:p>
          <a:endParaRPr lang="en-US"/>
        </a:p>
      </dgm:t>
    </dgm:pt>
    <dgm:pt modelId="{7F30A5E4-3531-49F3-AC3C-8F1D2236451A}" type="pres">
      <dgm:prSet presAssocID="{F0719816-4AC2-4964-8797-61135BEDA83D}" presName="Name9" presStyleLbl="parChTrans1D2" presStyleIdx="3" presStyleCnt="8"/>
      <dgm:spPr>
        <a:custGeom>
          <a:avLst/>
          <a:gdLst/>
          <a:ahLst/>
          <a:cxnLst/>
          <a:rect l="0" t="0" r="0" b="0"/>
          <a:pathLst>
            <a:path>
              <a:moveTo>
                <a:pt x="0" y="7259"/>
              </a:moveTo>
              <a:lnTo>
                <a:pt x="339042" y="7259"/>
              </a:lnTo>
            </a:path>
          </a:pathLst>
        </a:custGeom>
      </dgm:spPr>
      <dgm:t>
        <a:bodyPr/>
        <a:lstStyle/>
        <a:p>
          <a:endParaRPr lang="en-US"/>
        </a:p>
      </dgm:t>
    </dgm:pt>
    <dgm:pt modelId="{93F2ABB5-3A44-45ED-A792-C294D6962C8F}" type="pres">
      <dgm:prSet presAssocID="{F0719816-4AC2-4964-8797-61135BEDA83D}" presName="connTx" presStyleLbl="parChTrans1D2" presStyleIdx="3" presStyleCnt="8"/>
      <dgm:spPr/>
      <dgm:t>
        <a:bodyPr/>
        <a:lstStyle/>
        <a:p>
          <a:endParaRPr lang="en-US"/>
        </a:p>
      </dgm:t>
    </dgm:pt>
    <dgm:pt modelId="{E01DCF12-19AC-4734-9210-5F881573D3F5}" type="pres">
      <dgm:prSet presAssocID="{DAF30ECC-CB4B-483A-93C7-47A100649D5D}" presName="node" presStyleLbl="node1" presStyleIdx="3" presStyleCnt="8" custScaleX="218051" custScaleY="102348" custRadScaleRad="137586" custRadScaleInc="-85333">
        <dgm:presLayoutVars>
          <dgm:bulletEnabled val="1"/>
        </dgm:presLayoutVars>
      </dgm:prSet>
      <dgm:spPr>
        <a:prstGeom prst="ellipse">
          <a:avLst/>
        </a:prstGeom>
      </dgm:spPr>
      <dgm:t>
        <a:bodyPr/>
        <a:lstStyle/>
        <a:p>
          <a:endParaRPr lang="en-US"/>
        </a:p>
      </dgm:t>
    </dgm:pt>
    <dgm:pt modelId="{9350C245-A165-4791-BD7A-BFCED0BB0361}" type="pres">
      <dgm:prSet presAssocID="{4DA931F6-88AF-4B28-AA68-7BB47161ABA9}" presName="Name9" presStyleLbl="parChTrans1D2" presStyleIdx="4" presStyleCnt="8"/>
      <dgm:spPr>
        <a:custGeom>
          <a:avLst/>
          <a:gdLst/>
          <a:ahLst/>
          <a:cxnLst/>
          <a:rect l="0" t="0" r="0" b="0"/>
          <a:pathLst>
            <a:path>
              <a:moveTo>
                <a:pt x="0" y="7259"/>
              </a:moveTo>
              <a:lnTo>
                <a:pt x="327479" y="7259"/>
              </a:lnTo>
            </a:path>
          </a:pathLst>
        </a:custGeom>
      </dgm:spPr>
      <dgm:t>
        <a:bodyPr/>
        <a:lstStyle/>
        <a:p>
          <a:endParaRPr lang="en-US"/>
        </a:p>
      </dgm:t>
    </dgm:pt>
    <dgm:pt modelId="{E19A1787-F640-4D8D-A88F-51D710E321CA}" type="pres">
      <dgm:prSet presAssocID="{4DA931F6-88AF-4B28-AA68-7BB47161ABA9}" presName="connTx" presStyleLbl="parChTrans1D2" presStyleIdx="4" presStyleCnt="8"/>
      <dgm:spPr/>
      <dgm:t>
        <a:bodyPr/>
        <a:lstStyle/>
        <a:p>
          <a:endParaRPr lang="en-US"/>
        </a:p>
      </dgm:t>
    </dgm:pt>
    <dgm:pt modelId="{C7416AF2-49A6-451C-80C3-A5143C86D045}" type="pres">
      <dgm:prSet presAssocID="{06E8F230-0A46-4973-959C-5518A0F634E1}" presName="node" presStyleLbl="node1" presStyleIdx="4" presStyleCnt="8" custScaleX="219554" custScaleY="114362">
        <dgm:presLayoutVars>
          <dgm:bulletEnabled val="1"/>
        </dgm:presLayoutVars>
      </dgm:prSet>
      <dgm:spPr>
        <a:prstGeom prst="ellipse">
          <a:avLst/>
        </a:prstGeom>
      </dgm:spPr>
      <dgm:t>
        <a:bodyPr/>
        <a:lstStyle/>
        <a:p>
          <a:endParaRPr lang="en-US"/>
        </a:p>
      </dgm:t>
    </dgm:pt>
    <dgm:pt modelId="{2A6DC4FF-B426-4171-A201-27B83DA94370}" type="pres">
      <dgm:prSet presAssocID="{FEDE4186-485A-46BD-B210-B0BD4480CB16}" presName="Name9" presStyleLbl="parChTrans1D2" presStyleIdx="5" presStyleCnt="8"/>
      <dgm:spPr>
        <a:custGeom>
          <a:avLst/>
          <a:gdLst/>
          <a:ahLst/>
          <a:cxnLst/>
          <a:rect l="0" t="0" r="0" b="0"/>
          <a:pathLst>
            <a:path>
              <a:moveTo>
                <a:pt x="0" y="7259"/>
              </a:moveTo>
              <a:lnTo>
                <a:pt x="328427" y="7259"/>
              </a:lnTo>
            </a:path>
          </a:pathLst>
        </a:custGeom>
      </dgm:spPr>
      <dgm:t>
        <a:bodyPr/>
        <a:lstStyle/>
        <a:p>
          <a:endParaRPr lang="en-US"/>
        </a:p>
      </dgm:t>
    </dgm:pt>
    <dgm:pt modelId="{CB1335D7-B771-475A-BE82-89C2F00DAF8B}" type="pres">
      <dgm:prSet presAssocID="{FEDE4186-485A-46BD-B210-B0BD4480CB16}" presName="connTx" presStyleLbl="parChTrans1D2" presStyleIdx="5" presStyleCnt="8"/>
      <dgm:spPr/>
      <dgm:t>
        <a:bodyPr/>
        <a:lstStyle/>
        <a:p>
          <a:endParaRPr lang="en-US"/>
        </a:p>
      </dgm:t>
    </dgm:pt>
    <dgm:pt modelId="{353BAFE4-0977-4589-9534-7471241857D7}" type="pres">
      <dgm:prSet presAssocID="{CFBCC7A9-248E-440C-A926-28CC42C6B860}" presName="node" presStyleLbl="node1" presStyleIdx="5" presStyleCnt="8" custScaleX="237761" custScaleY="121756" custRadScaleRad="142205" custRadScaleInc="97038">
        <dgm:presLayoutVars>
          <dgm:bulletEnabled val="1"/>
        </dgm:presLayoutVars>
      </dgm:prSet>
      <dgm:spPr>
        <a:prstGeom prst="ellipse">
          <a:avLst/>
        </a:prstGeom>
      </dgm:spPr>
      <dgm:t>
        <a:bodyPr/>
        <a:lstStyle/>
        <a:p>
          <a:endParaRPr lang="en-US"/>
        </a:p>
      </dgm:t>
    </dgm:pt>
    <dgm:pt modelId="{D3C62D02-BD66-40AA-8598-E6F03FA4330E}" type="pres">
      <dgm:prSet presAssocID="{BD2843B5-7E3E-4680-8A25-01BA23D8CE69}" presName="Name9" presStyleLbl="parChTrans1D2" presStyleIdx="6" presStyleCnt="8"/>
      <dgm:spPr>
        <a:custGeom>
          <a:avLst/>
          <a:gdLst/>
          <a:ahLst/>
          <a:cxnLst/>
          <a:rect l="0" t="0" r="0" b="0"/>
          <a:pathLst>
            <a:path>
              <a:moveTo>
                <a:pt x="0" y="7259"/>
              </a:moveTo>
              <a:lnTo>
                <a:pt x="1146536" y="7259"/>
              </a:lnTo>
            </a:path>
          </a:pathLst>
        </a:custGeom>
      </dgm:spPr>
      <dgm:t>
        <a:bodyPr/>
        <a:lstStyle/>
        <a:p>
          <a:endParaRPr lang="en-US"/>
        </a:p>
      </dgm:t>
    </dgm:pt>
    <dgm:pt modelId="{37A775CB-7592-434E-A233-9CA00876798D}" type="pres">
      <dgm:prSet presAssocID="{BD2843B5-7E3E-4680-8A25-01BA23D8CE69}" presName="connTx" presStyleLbl="parChTrans1D2" presStyleIdx="6" presStyleCnt="8"/>
      <dgm:spPr/>
      <dgm:t>
        <a:bodyPr/>
        <a:lstStyle/>
        <a:p>
          <a:endParaRPr lang="en-US"/>
        </a:p>
      </dgm:t>
    </dgm:pt>
    <dgm:pt modelId="{694C81C6-3E54-45BC-9ED9-5944CBD672A7}" type="pres">
      <dgm:prSet presAssocID="{C8838BF5-4657-4DB6-B70A-DBA4AB5B97EE}" presName="node" presStyleLbl="node1" presStyleIdx="6" presStyleCnt="8" custScaleX="219074" custScaleY="119114" custRadScaleRad="260537">
        <dgm:presLayoutVars>
          <dgm:bulletEnabled val="1"/>
        </dgm:presLayoutVars>
      </dgm:prSet>
      <dgm:spPr>
        <a:prstGeom prst="ellipse">
          <a:avLst/>
        </a:prstGeom>
      </dgm:spPr>
      <dgm:t>
        <a:bodyPr/>
        <a:lstStyle/>
        <a:p>
          <a:endParaRPr lang="en-US"/>
        </a:p>
      </dgm:t>
    </dgm:pt>
    <dgm:pt modelId="{98E66AFE-BCED-48F2-B78A-230BF42B9FFC}" type="pres">
      <dgm:prSet presAssocID="{6FBFA200-28B9-441C-9603-B958FB3D45CE}" presName="Name9" presStyleLbl="parChTrans1D2" presStyleIdx="7" presStyleCnt="8"/>
      <dgm:spPr>
        <a:custGeom>
          <a:avLst/>
          <a:gdLst/>
          <a:ahLst/>
          <a:cxnLst/>
          <a:rect l="0" t="0" r="0" b="0"/>
          <a:pathLst>
            <a:path>
              <a:moveTo>
                <a:pt x="0" y="7259"/>
              </a:moveTo>
              <a:lnTo>
                <a:pt x="219777" y="7259"/>
              </a:lnTo>
            </a:path>
          </a:pathLst>
        </a:custGeom>
      </dgm:spPr>
      <dgm:t>
        <a:bodyPr/>
        <a:lstStyle/>
        <a:p>
          <a:endParaRPr lang="en-US"/>
        </a:p>
      </dgm:t>
    </dgm:pt>
    <dgm:pt modelId="{7244ABB3-7BCC-4145-8C19-8C33F0A4C35F}" type="pres">
      <dgm:prSet presAssocID="{6FBFA200-28B9-441C-9603-B958FB3D45CE}" presName="connTx" presStyleLbl="parChTrans1D2" presStyleIdx="7" presStyleCnt="8"/>
      <dgm:spPr/>
      <dgm:t>
        <a:bodyPr/>
        <a:lstStyle/>
        <a:p>
          <a:endParaRPr lang="en-US"/>
        </a:p>
      </dgm:t>
    </dgm:pt>
    <dgm:pt modelId="{A8CAB3F2-A4A1-434C-9CB4-641DE8526482}" type="pres">
      <dgm:prSet presAssocID="{17173E60-1AB7-4219-9E5D-2EB707D4762A}" presName="node" presStyleLbl="node1" presStyleIdx="7" presStyleCnt="8" custScaleX="230103" custScaleY="117284" custRadScaleRad="125722" custRadScaleInc="-75844">
        <dgm:presLayoutVars>
          <dgm:bulletEnabled val="1"/>
        </dgm:presLayoutVars>
      </dgm:prSet>
      <dgm:spPr>
        <a:prstGeom prst="ellipse">
          <a:avLst/>
        </a:prstGeom>
      </dgm:spPr>
      <dgm:t>
        <a:bodyPr/>
        <a:lstStyle/>
        <a:p>
          <a:endParaRPr lang="en-US"/>
        </a:p>
      </dgm:t>
    </dgm:pt>
  </dgm:ptLst>
  <dgm:cxnLst>
    <dgm:cxn modelId="{C80211A1-5D73-47B7-871B-50A8FF4FF2F7}" type="presOf" srcId="{F0719816-4AC2-4964-8797-61135BEDA83D}" destId="{93F2ABB5-3A44-45ED-A792-C294D6962C8F}" srcOrd="1" destOrd="0" presId="urn:microsoft.com/office/officeart/2005/8/layout/radial1"/>
    <dgm:cxn modelId="{1763FEA0-AAF8-4DB3-8B21-253B8F239228}" srcId="{615A8A4C-3386-41CB-B004-75AA2E0C8E7E}" destId="{FB911F09-22D9-48A7-A087-AEF5110B6682}" srcOrd="1" destOrd="0" parTransId="{0E1FEA62-81EE-4117-997B-69ED8651A7D0}" sibTransId="{98ACE05E-CC42-4FE0-BC36-110025A6B590}"/>
    <dgm:cxn modelId="{9567FE56-CB6C-496A-A5F1-53279A5E2879}" type="presOf" srcId="{0E1FEA62-81EE-4117-997B-69ED8651A7D0}" destId="{C8361934-9E8A-4B07-8048-7D48F9D9FCA9}" srcOrd="1" destOrd="0" presId="urn:microsoft.com/office/officeart/2005/8/layout/radial1"/>
    <dgm:cxn modelId="{17DB2DC8-BBEA-4DBB-B983-EBC90341470F}" type="presOf" srcId="{C1693A50-4E68-4912-9A70-0C97C87B3D7E}" destId="{44473C27-A9A3-4167-AEAF-A01C156E33F0}" srcOrd="0" destOrd="0" presId="urn:microsoft.com/office/officeart/2005/8/layout/radial1"/>
    <dgm:cxn modelId="{4716BDC2-D880-4C10-865E-6389E343B4E5}" type="presOf" srcId="{C8838BF5-4657-4DB6-B70A-DBA4AB5B97EE}" destId="{694C81C6-3E54-45BC-9ED9-5944CBD672A7}" srcOrd="0" destOrd="0" presId="urn:microsoft.com/office/officeart/2005/8/layout/radial1"/>
    <dgm:cxn modelId="{010B579A-589C-4CC6-85FA-154402B7EA4A}" type="presOf" srcId="{DAF30ECC-CB4B-483A-93C7-47A100649D5D}" destId="{E01DCF12-19AC-4734-9210-5F881573D3F5}" srcOrd="0" destOrd="0" presId="urn:microsoft.com/office/officeart/2005/8/layout/radial1"/>
    <dgm:cxn modelId="{070AEFE9-55EF-4F5A-B707-AF0518F7B8C6}" srcId="{615A8A4C-3386-41CB-B004-75AA2E0C8E7E}" destId="{06E8F230-0A46-4973-959C-5518A0F634E1}" srcOrd="4" destOrd="0" parTransId="{4DA931F6-88AF-4B28-AA68-7BB47161ABA9}" sibTransId="{05D557FB-EE62-41BD-A184-12A99A228BF1}"/>
    <dgm:cxn modelId="{E55333C4-687C-4186-B8C3-1AC5CE56517A}" srcId="{DD2E3765-25B6-48F8-B902-5C026C284173}" destId="{615A8A4C-3386-41CB-B004-75AA2E0C8E7E}" srcOrd="0" destOrd="0" parTransId="{E2BD043E-B694-4760-8FC3-4BE59593050C}" sibTransId="{A7B35DF3-2893-4CFA-8C75-4D2DB5615E44}"/>
    <dgm:cxn modelId="{91AB6E42-AD90-42C2-922E-5CA2C52C6EBF}" type="presOf" srcId="{F0719816-4AC2-4964-8797-61135BEDA83D}" destId="{7F30A5E4-3531-49F3-AC3C-8F1D2236451A}" srcOrd="0" destOrd="0" presId="urn:microsoft.com/office/officeart/2005/8/layout/radial1"/>
    <dgm:cxn modelId="{9A60E343-BDF2-491A-A7D5-5299DFF2BE0A}" srcId="{615A8A4C-3386-41CB-B004-75AA2E0C8E7E}" destId="{C1693A50-4E68-4912-9A70-0C97C87B3D7E}" srcOrd="0" destOrd="0" parTransId="{CF74A6F9-BA34-45B8-91B4-D30611FDBA60}" sibTransId="{4B485C48-2801-485C-A89E-B43F912DB680}"/>
    <dgm:cxn modelId="{350B5669-E510-4347-AF84-6768A1DA921C}" type="presOf" srcId="{BD2843B5-7E3E-4680-8A25-01BA23D8CE69}" destId="{D3C62D02-BD66-40AA-8598-E6F03FA4330E}" srcOrd="0" destOrd="0" presId="urn:microsoft.com/office/officeart/2005/8/layout/radial1"/>
    <dgm:cxn modelId="{AA2AAAC9-5A24-49D2-963F-F3DB3636E58D}" type="presOf" srcId="{4DA931F6-88AF-4B28-AA68-7BB47161ABA9}" destId="{9350C245-A165-4791-BD7A-BFCED0BB0361}" srcOrd="0" destOrd="0" presId="urn:microsoft.com/office/officeart/2005/8/layout/radial1"/>
    <dgm:cxn modelId="{3C6D949B-2100-4DD7-8F61-73509E20D2D8}" type="presOf" srcId="{615A8A4C-3386-41CB-B004-75AA2E0C8E7E}" destId="{262D173F-A40A-406A-BA41-067F590F5B00}" srcOrd="0" destOrd="0" presId="urn:microsoft.com/office/officeart/2005/8/layout/radial1"/>
    <dgm:cxn modelId="{4F476BDC-DB28-4636-8728-89578D45DEC7}" type="presOf" srcId="{069AD1A8-1718-4E51-AEE7-85B69D54F950}" destId="{93B3BE9E-D237-4DD9-937C-973455BC3658}" srcOrd="0" destOrd="0" presId="urn:microsoft.com/office/officeart/2005/8/layout/radial1"/>
    <dgm:cxn modelId="{64EB48A2-0615-4134-85EB-A4DAE785AB7D}" srcId="{615A8A4C-3386-41CB-B004-75AA2E0C8E7E}" destId="{C8838BF5-4657-4DB6-B70A-DBA4AB5B97EE}" srcOrd="6" destOrd="0" parTransId="{BD2843B5-7E3E-4680-8A25-01BA23D8CE69}" sibTransId="{899C251D-3EE6-4D89-8EC9-77FF6FC72E05}"/>
    <dgm:cxn modelId="{D585EEC5-A520-4C43-9F98-CB3171575347}" type="presOf" srcId="{069AD1A8-1718-4E51-AEE7-85B69D54F950}" destId="{E7C370CD-4B70-470B-B819-7260C176B479}" srcOrd="1" destOrd="0" presId="urn:microsoft.com/office/officeart/2005/8/layout/radial1"/>
    <dgm:cxn modelId="{BFA63ED1-24F2-4D9A-BF29-FAC1C3213DE6}" type="presOf" srcId="{4DA931F6-88AF-4B28-AA68-7BB47161ABA9}" destId="{E19A1787-F640-4D8D-A88F-51D710E321CA}" srcOrd="1" destOrd="0" presId="urn:microsoft.com/office/officeart/2005/8/layout/radial1"/>
    <dgm:cxn modelId="{427458F4-2128-4535-BC60-2C807BAEAB78}" srcId="{615A8A4C-3386-41CB-B004-75AA2E0C8E7E}" destId="{17173E60-1AB7-4219-9E5D-2EB707D4762A}" srcOrd="7" destOrd="0" parTransId="{6FBFA200-28B9-441C-9603-B958FB3D45CE}" sibTransId="{4E9757A6-6A62-4D49-A0CB-E147D06AE7B1}"/>
    <dgm:cxn modelId="{74A6BD17-D219-4DC8-9ABC-E356DA1AB61E}" type="presOf" srcId="{6FBFA200-28B9-441C-9603-B958FB3D45CE}" destId="{7244ABB3-7BCC-4145-8C19-8C33F0A4C35F}" srcOrd="1" destOrd="0" presId="urn:microsoft.com/office/officeart/2005/8/layout/radial1"/>
    <dgm:cxn modelId="{4B8455E7-4B99-4C1B-A85F-368F4A08E0BE}" srcId="{615A8A4C-3386-41CB-B004-75AA2E0C8E7E}" destId="{447D5D1D-0860-4B1B-A10A-5D7EC9B637D8}" srcOrd="2" destOrd="0" parTransId="{069AD1A8-1718-4E51-AEE7-85B69D54F950}" sibTransId="{855AF909-31D3-4065-ABB3-82005C9FEF4C}"/>
    <dgm:cxn modelId="{F35F0EBA-BE00-4A28-A19E-36CB98CA7E7A}" type="presOf" srcId="{CF74A6F9-BA34-45B8-91B4-D30611FDBA60}" destId="{2E00D982-49D5-455F-888E-68E4C81A2365}" srcOrd="0" destOrd="0" presId="urn:microsoft.com/office/officeart/2005/8/layout/radial1"/>
    <dgm:cxn modelId="{4E68C5E6-4E50-45B6-9E23-A7A97C86ED5E}" srcId="{615A8A4C-3386-41CB-B004-75AA2E0C8E7E}" destId="{DAF30ECC-CB4B-483A-93C7-47A100649D5D}" srcOrd="3" destOrd="0" parTransId="{F0719816-4AC2-4964-8797-61135BEDA83D}" sibTransId="{939B8447-5FC4-4D01-8936-0F63CFB1E3F9}"/>
    <dgm:cxn modelId="{BEB0F577-3B17-4768-995F-EF39A102A40D}" type="presOf" srcId="{DD2E3765-25B6-48F8-B902-5C026C284173}" destId="{4B42C994-9F34-48FA-B0E9-245578FAC1C6}" srcOrd="0" destOrd="0" presId="urn:microsoft.com/office/officeart/2005/8/layout/radial1"/>
    <dgm:cxn modelId="{4D81E532-B895-4DD8-9FD8-42E2ACD61605}" type="presOf" srcId="{BD2843B5-7E3E-4680-8A25-01BA23D8CE69}" destId="{37A775CB-7592-434E-A233-9CA00876798D}" srcOrd="1" destOrd="0" presId="urn:microsoft.com/office/officeart/2005/8/layout/radial1"/>
    <dgm:cxn modelId="{2407117E-E6C2-4AA3-98BE-FC7AEC50F753}" type="presOf" srcId="{FB911F09-22D9-48A7-A087-AEF5110B6682}" destId="{5F1C34CD-B8DF-45F7-A431-2126D61FFACC}" srcOrd="0" destOrd="0" presId="urn:microsoft.com/office/officeart/2005/8/layout/radial1"/>
    <dgm:cxn modelId="{1AA9EDCB-7AF6-406C-9BE6-B90918B1AE07}" srcId="{615A8A4C-3386-41CB-B004-75AA2E0C8E7E}" destId="{CFBCC7A9-248E-440C-A926-28CC42C6B860}" srcOrd="5" destOrd="0" parTransId="{FEDE4186-485A-46BD-B210-B0BD4480CB16}" sibTransId="{85FBEBF4-A458-477D-AE50-1E5F0800CC74}"/>
    <dgm:cxn modelId="{2366C454-C419-493C-835B-7489F302F79D}" type="presOf" srcId="{0E1FEA62-81EE-4117-997B-69ED8651A7D0}" destId="{3FE6E2C5-0D84-4EA6-8A7C-D44D396A169E}" srcOrd="0" destOrd="0" presId="urn:microsoft.com/office/officeart/2005/8/layout/radial1"/>
    <dgm:cxn modelId="{8B51D15A-AD22-4AD9-837D-16FC584C2C9F}" type="presOf" srcId="{6FBFA200-28B9-441C-9603-B958FB3D45CE}" destId="{98E66AFE-BCED-48F2-B78A-230BF42B9FFC}" srcOrd="0" destOrd="0" presId="urn:microsoft.com/office/officeart/2005/8/layout/radial1"/>
    <dgm:cxn modelId="{3C5B27F2-23BF-4DEC-961C-CA84AD055261}" type="presOf" srcId="{FEDE4186-485A-46BD-B210-B0BD4480CB16}" destId="{2A6DC4FF-B426-4171-A201-27B83DA94370}" srcOrd="0" destOrd="0" presId="urn:microsoft.com/office/officeart/2005/8/layout/radial1"/>
    <dgm:cxn modelId="{9FBCCE15-C303-419A-AAD4-5AE8749B1494}" type="presOf" srcId="{CF74A6F9-BA34-45B8-91B4-D30611FDBA60}" destId="{B7B7A49F-5E78-4AC5-B18E-2DC80AECCF08}" srcOrd="1" destOrd="0" presId="urn:microsoft.com/office/officeart/2005/8/layout/radial1"/>
    <dgm:cxn modelId="{A86C2CF4-395A-4BAF-AA7A-79F38AD39489}" type="presOf" srcId="{447D5D1D-0860-4B1B-A10A-5D7EC9B637D8}" destId="{3A26272E-8DBD-422F-ABA2-A3DA0C9B3C69}" srcOrd="0" destOrd="0" presId="urn:microsoft.com/office/officeart/2005/8/layout/radial1"/>
    <dgm:cxn modelId="{78892B91-67DB-4D8E-AE81-AC1EF4DE8749}" type="presOf" srcId="{06E8F230-0A46-4973-959C-5518A0F634E1}" destId="{C7416AF2-49A6-451C-80C3-A5143C86D045}" srcOrd="0" destOrd="0" presId="urn:microsoft.com/office/officeart/2005/8/layout/radial1"/>
    <dgm:cxn modelId="{9D6E22AE-7B02-427C-BF74-502BABBDB517}" type="presOf" srcId="{FEDE4186-485A-46BD-B210-B0BD4480CB16}" destId="{CB1335D7-B771-475A-BE82-89C2F00DAF8B}" srcOrd="1" destOrd="0" presId="urn:microsoft.com/office/officeart/2005/8/layout/radial1"/>
    <dgm:cxn modelId="{0FEBCB3A-4D3F-4F4B-BA9E-8DFC45C58E77}" type="presOf" srcId="{17173E60-1AB7-4219-9E5D-2EB707D4762A}" destId="{A8CAB3F2-A4A1-434C-9CB4-641DE8526482}" srcOrd="0" destOrd="0" presId="urn:microsoft.com/office/officeart/2005/8/layout/radial1"/>
    <dgm:cxn modelId="{63159F87-B05C-49B1-850E-224E60FC1188}" type="presOf" srcId="{CFBCC7A9-248E-440C-A926-28CC42C6B860}" destId="{353BAFE4-0977-4589-9534-7471241857D7}" srcOrd="0" destOrd="0" presId="urn:microsoft.com/office/officeart/2005/8/layout/radial1"/>
    <dgm:cxn modelId="{EAB4D7AB-DB71-4AB5-9A7F-1AFB9109D15A}" type="presParOf" srcId="{4B42C994-9F34-48FA-B0E9-245578FAC1C6}" destId="{262D173F-A40A-406A-BA41-067F590F5B00}" srcOrd="0" destOrd="0" presId="urn:microsoft.com/office/officeart/2005/8/layout/radial1"/>
    <dgm:cxn modelId="{0E5C141C-7C0C-4989-BF70-6FBC04AFCA3B}" type="presParOf" srcId="{4B42C994-9F34-48FA-B0E9-245578FAC1C6}" destId="{2E00D982-49D5-455F-888E-68E4C81A2365}" srcOrd="1" destOrd="0" presId="urn:microsoft.com/office/officeart/2005/8/layout/radial1"/>
    <dgm:cxn modelId="{C1F01F3C-4BF2-4BCD-8E3E-4EFF1B2A9A54}" type="presParOf" srcId="{2E00D982-49D5-455F-888E-68E4C81A2365}" destId="{B7B7A49F-5E78-4AC5-B18E-2DC80AECCF08}" srcOrd="0" destOrd="0" presId="urn:microsoft.com/office/officeart/2005/8/layout/radial1"/>
    <dgm:cxn modelId="{05421BF1-4AE6-4A9A-9C70-1AC7DE3723AC}" type="presParOf" srcId="{4B42C994-9F34-48FA-B0E9-245578FAC1C6}" destId="{44473C27-A9A3-4167-AEAF-A01C156E33F0}" srcOrd="2" destOrd="0" presId="urn:microsoft.com/office/officeart/2005/8/layout/radial1"/>
    <dgm:cxn modelId="{73632D0B-0D31-4CEB-B47F-193AE313EC92}" type="presParOf" srcId="{4B42C994-9F34-48FA-B0E9-245578FAC1C6}" destId="{3FE6E2C5-0D84-4EA6-8A7C-D44D396A169E}" srcOrd="3" destOrd="0" presId="urn:microsoft.com/office/officeart/2005/8/layout/radial1"/>
    <dgm:cxn modelId="{E32F4315-8DD2-4026-98A5-4C766E4E9DC4}" type="presParOf" srcId="{3FE6E2C5-0D84-4EA6-8A7C-D44D396A169E}" destId="{C8361934-9E8A-4B07-8048-7D48F9D9FCA9}" srcOrd="0" destOrd="0" presId="urn:microsoft.com/office/officeart/2005/8/layout/radial1"/>
    <dgm:cxn modelId="{CEA2BEAA-4735-4D17-A370-548BAAB313BB}" type="presParOf" srcId="{4B42C994-9F34-48FA-B0E9-245578FAC1C6}" destId="{5F1C34CD-B8DF-45F7-A431-2126D61FFACC}" srcOrd="4" destOrd="0" presId="urn:microsoft.com/office/officeart/2005/8/layout/radial1"/>
    <dgm:cxn modelId="{E7AC1DDC-B2C2-412B-A3E6-DDCB5F4505CD}" type="presParOf" srcId="{4B42C994-9F34-48FA-B0E9-245578FAC1C6}" destId="{93B3BE9E-D237-4DD9-937C-973455BC3658}" srcOrd="5" destOrd="0" presId="urn:microsoft.com/office/officeart/2005/8/layout/radial1"/>
    <dgm:cxn modelId="{A060FEAB-7BAA-4A71-A29B-14393B1EEAE8}" type="presParOf" srcId="{93B3BE9E-D237-4DD9-937C-973455BC3658}" destId="{E7C370CD-4B70-470B-B819-7260C176B479}" srcOrd="0" destOrd="0" presId="urn:microsoft.com/office/officeart/2005/8/layout/radial1"/>
    <dgm:cxn modelId="{DF2B33DF-2FF5-4B60-A11C-D4BC497C322F}" type="presParOf" srcId="{4B42C994-9F34-48FA-B0E9-245578FAC1C6}" destId="{3A26272E-8DBD-422F-ABA2-A3DA0C9B3C69}" srcOrd="6" destOrd="0" presId="urn:microsoft.com/office/officeart/2005/8/layout/radial1"/>
    <dgm:cxn modelId="{14A89C9E-6757-4654-8F1E-1A6246AAE93D}" type="presParOf" srcId="{4B42C994-9F34-48FA-B0E9-245578FAC1C6}" destId="{7F30A5E4-3531-49F3-AC3C-8F1D2236451A}" srcOrd="7" destOrd="0" presId="urn:microsoft.com/office/officeart/2005/8/layout/radial1"/>
    <dgm:cxn modelId="{1DD8B35F-5015-4A66-A3F2-489BDF563594}" type="presParOf" srcId="{7F30A5E4-3531-49F3-AC3C-8F1D2236451A}" destId="{93F2ABB5-3A44-45ED-A792-C294D6962C8F}" srcOrd="0" destOrd="0" presId="urn:microsoft.com/office/officeart/2005/8/layout/radial1"/>
    <dgm:cxn modelId="{75581062-AE78-4370-AC13-FA9E9042D110}" type="presParOf" srcId="{4B42C994-9F34-48FA-B0E9-245578FAC1C6}" destId="{E01DCF12-19AC-4734-9210-5F881573D3F5}" srcOrd="8" destOrd="0" presId="urn:microsoft.com/office/officeart/2005/8/layout/radial1"/>
    <dgm:cxn modelId="{E4706C2E-D60C-4D39-8515-D7D64D55A953}" type="presParOf" srcId="{4B42C994-9F34-48FA-B0E9-245578FAC1C6}" destId="{9350C245-A165-4791-BD7A-BFCED0BB0361}" srcOrd="9" destOrd="0" presId="urn:microsoft.com/office/officeart/2005/8/layout/radial1"/>
    <dgm:cxn modelId="{4EC85B5B-22D7-478B-8631-37EFD83CC362}" type="presParOf" srcId="{9350C245-A165-4791-BD7A-BFCED0BB0361}" destId="{E19A1787-F640-4D8D-A88F-51D710E321CA}" srcOrd="0" destOrd="0" presId="urn:microsoft.com/office/officeart/2005/8/layout/radial1"/>
    <dgm:cxn modelId="{9ADEF5D6-F4F5-4EC3-BA33-439CF48152BE}" type="presParOf" srcId="{4B42C994-9F34-48FA-B0E9-245578FAC1C6}" destId="{C7416AF2-49A6-451C-80C3-A5143C86D045}" srcOrd="10" destOrd="0" presId="urn:microsoft.com/office/officeart/2005/8/layout/radial1"/>
    <dgm:cxn modelId="{CA4D8480-F9F3-49F1-BFA2-58DE19028CDD}" type="presParOf" srcId="{4B42C994-9F34-48FA-B0E9-245578FAC1C6}" destId="{2A6DC4FF-B426-4171-A201-27B83DA94370}" srcOrd="11" destOrd="0" presId="urn:microsoft.com/office/officeart/2005/8/layout/radial1"/>
    <dgm:cxn modelId="{39D9BA52-482C-438D-954C-F8E71091E2AA}" type="presParOf" srcId="{2A6DC4FF-B426-4171-A201-27B83DA94370}" destId="{CB1335D7-B771-475A-BE82-89C2F00DAF8B}" srcOrd="0" destOrd="0" presId="urn:microsoft.com/office/officeart/2005/8/layout/radial1"/>
    <dgm:cxn modelId="{DD5E9E7E-F3EA-4828-9C50-DEAF52B1B147}" type="presParOf" srcId="{4B42C994-9F34-48FA-B0E9-245578FAC1C6}" destId="{353BAFE4-0977-4589-9534-7471241857D7}" srcOrd="12" destOrd="0" presId="urn:microsoft.com/office/officeart/2005/8/layout/radial1"/>
    <dgm:cxn modelId="{3993219F-2B6F-4046-AD9E-A81D6667D23B}" type="presParOf" srcId="{4B42C994-9F34-48FA-B0E9-245578FAC1C6}" destId="{D3C62D02-BD66-40AA-8598-E6F03FA4330E}" srcOrd="13" destOrd="0" presId="urn:microsoft.com/office/officeart/2005/8/layout/radial1"/>
    <dgm:cxn modelId="{7B4DE5EB-1D00-4C2F-8CD7-E50BA0FF08F5}" type="presParOf" srcId="{D3C62D02-BD66-40AA-8598-E6F03FA4330E}" destId="{37A775CB-7592-434E-A233-9CA00876798D}" srcOrd="0" destOrd="0" presId="urn:microsoft.com/office/officeart/2005/8/layout/radial1"/>
    <dgm:cxn modelId="{9CAD246A-8DC4-428B-81F7-AD90C7197D81}" type="presParOf" srcId="{4B42C994-9F34-48FA-B0E9-245578FAC1C6}" destId="{694C81C6-3E54-45BC-9ED9-5944CBD672A7}" srcOrd="14" destOrd="0" presId="urn:microsoft.com/office/officeart/2005/8/layout/radial1"/>
    <dgm:cxn modelId="{0FF1AC65-EB20-45B2-B157-33227FB9FE38}" type="presParOf" srcId="{4B42C994-9F34-48FA-B0E9-245578FAC1C6}" destId="{98E66AFE-BCED-48F2-B78A-230BF42B9FFC}" srcOrd="15" destOrd="0" presId="urn:microsoft.com/office/officeart/2005/8/layout/radial1"/>
    <dgm:cxn modelId="{A2A4A51B-4772-448B-A199-47130F161F57}" type="presParOf" srcId="{98E66AFE-BCED-48F2-B78A-230BF42B9FFC}" destId="{7244ABB3-7BCC-4145-8C19-8C33F0A4C35F}" srcOrd="0" destOrd="0" presId="urn:microsoft.com/office/officeart/2005/8/layout/radial1"/>
    <dgm:cxn modelId="{5E540624-8BA9-403F-950B-483C7AFA4ED7}" type="presParOf" srcId="{4B42C994-9F34-48FA-B0E9-245578FAC1C6}" destId="{A8CAB3F2-A4A1-434C-9CB4-641DE8526482}" srcOrd="16" destOrd="0" presId="urn:microsoft.com/office/officeart/2005/8/layout/radial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41836" y="1149444"/>
          <a:ext cx="1133517" cy="36018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ar-SA"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289526" y="1549069"/>
          <a:ext cx="1495796" cy="52047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9979233">
          <a:off x="1637013" y="1543207"/>
          <a:ext cx="934908"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FBC2E2-D754-42C1-BEE4-690296442511}">
      <dgm:prSet phldrT="[Text]" custT="1"/>
      <dgm:spPr>
        <a:xfrm>
          <a:off x="1222821" y="2031391"/>
          <a:ext cx="1159697" cy="56416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8447303">
          <a:off x="1997417" y="1777881"/>
          <a:ext cx="90770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2447138" y="2071285"/>
          <a:ext cx="1077113" cy="5541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5477262">
          <a:off x="2717323" y="1784075"/>
          <a:ext cx="56182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1FA040-4399-40F0-866F-845B7914F68D}">
      <dgm:prSet phldrT="[Text]" custT="1"/>
      <dgm:spPr>
        <a:xfrm>
          <a:off x="3549355" y="2031694"/>
          <a:ext cx="1180101" cy="46557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2375020">
          <a:off x="3111740" y="1769625"/>
          <a:ext cx="873734"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602118-D739-48CC-85E0-791974AFA995}">
      <dgm:prSet phldrT="[Text]" custT="1"/>
      <dgm:spPr>
        <a:xfrm>
          <a:off x="4448020" y="1685419"/>
          <a:ext cx="1253034" cy="4735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مدريد</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960427">
          <a:off x="3406154" y="1608246"/>
          <a:ext cx="1192460"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B0D84B1-C440-4746-9EEF-F1ED71D64DD2}">
      <dgm:prSet phldrT="[Text]" custT="1"/>
      <dgm:spPr>
        <a:xfrm>
          <a:off x="4885056" y="1171619"/>
          <a:ext cx="881981" cy="42184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78616">
          <a:off x="3573720" y="1351078"/>
          <a:ext cx="1312010"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AE892F-3F2D-42A5-BB1C-58D0E6BD9A47}">
      <dgm:prSet phldrT="[Text]" custT="1"/>
      <dgm:spPr>
        <a:xfrm>
          <a:off x="4649124" y="596674"/>
          <a:ext cx="1216220" cy="4507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المعارف التقليدية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0836922">
          <a:off x="3454729" y="1075868"/>
          <a:ext cx="1299059"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FE4372-65E6-4D92-B9B0-D2B79F26FB27}">
      <dgm:prSet phldrT="[Text]" custT="1"/>
      <dgm:spPr>
        <a:xfrm>
          <a:off x="4416570" y="152807"/>
          <a:ext cx="915618" cy="42824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19962579">
          <a:off x="3226838" y="844494"/>
          <a:ext cx="1419030"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8446A3-EA8C-4C13-8A65-DF8A110D0838}">
      <dgm:prSet phldrT="[Text]" custT="1"/>
      <dgm:spPr>
        <a:xfrm>
          <a:off x="3489450" y="0"/>
          <a:ext cx="937272" cy="48243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666159">
          <a:off x="3002076" y="802239"/>
          <a:ext cx="921958"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8A5766F-115C-487E-B7CB-4ADE150678D1}">
      <dgm:prSet phldrT="[Text]" custT="1"/>
      <dgm:spPr>
        <a:xfrm>
          <a:off x="2550102" y="-16820"/>
          <a:ext cx="900487" cy="39791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ابراءات</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5284">
          <a:off x="2620351" y="758880"/>
          <a:ext cx="768373"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65A13E9-3C79-4155-B943-C33E81DAC317}">
      <dgm:prSet phldrT="[Text]" custT="1"/>
      <dgm:spPr>
        <a:xfrm>
          <a:off x="198954" y="1048623"/>
          <a:ext cx="1308717" cy="4421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8B9F8AD-7347-45A5-BC2B-65EB3DDF63CC}" type="parTrans" cxnId="{DF9EB478-C224-42F7-822E-5C2EA98D82E9}">
      <dgm:prSet/>
      <dgm:spPr>
        <a:xfrm rot="10895414">
          <a:off x="1505292" y="1294445"/>
          <a:ext cx="938875"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5C76345-3C56-4B13-AF62-A1F968209579}" type="sibTrans" cxnId="{DF9EB478-C224-42F7-822E-5C2EA98D82E9}">
      <dgm:prSet/>
      <dgm:spPr/>
      <dgm:t>
        <a:bodyPr/>
        <a:lstStyle/>
        <a:p>
          <a:endParaRPr lang="en-US"/>
        </a:p>
      </dgm:t>
    </dgm:pt>
    <dgm:pt modelId="{AAAA106F-E487-47CE-9BAB-D684E19C81DF}">
      <dgm:prSet phldrT="[Text]" custT="1"/>
      <dgm:spPr>
        <a:xfrm>
          <a:off x="281445" y="400381"/>
          <a:ext cx="1431718" cy="53909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30</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الشركات الصغيرة والمتوسطة ودعم المقاولة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D17F2E8-0F2C-4806-A165-056066C1285B}" type="parTrans" cxnId="{A38B847D-D226-4A6D-B270-7F561245ACC8}">
      <dgm:prSet/>
      <dgm:spPr>
        <a:xfrm rot="11889421">
          <a:off x="1508899" y="1017192"/>
          <a:ext cx="1133536"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1A6F93-EA70-4B77-B04E-0D667670E9A6}" type="sibTrans" cxnId="{A38B847D-D226-4A6D-B270-7F561245ACC8}">
      <dgm:prSet/>
      <dgm:spPr/>
      <dgm:t>
        <a:bodyPr/>
        <a:lstStyle/>
        <a:p>
          <a:endParaRPr lang="en-US"/>
        </a:p>
      </dgm:t>
    </dgm:pt>
    <dgm:pt modelId="{89E3D9F6-D117-4291-BEA9-20650ACA1140}">
      <dgm:prSet phldrT="[Text]" custT="1"/>
      <dgm:spPr>
        <a:xfrm>
          <a:off x="1423368" y="84957"/>
          <a:ext cx="1113395" cy="41635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5C21B7-8D79-4BDB-811A-C14C2BB877FA}" type="parTrans" cxnId="{2DE14BB3-C787-476D-8AEB-8D5E3558BC6C}">
      <dgm:prSet/>
      <dgm:spPr>
        <a:xfrm rot="13513101">
          <a:off x="2034357" y="816658"/>
          <a:ext cx="943188" cy="1277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079A65-A81B-4CBE-B331-67DE498DE623}" type="sibTrans" cxnId="{2DE14BB3-C787-476D-8AEB-8D5E3558BC6C}">
      <dgm:prSet/>
      <dgm:spPr/>
      <dgm:t>
        <a:bodyPr/>
        <a:lstStyle/>
        <a:p>
          <a:endParaRPr lang="en-US"/>
        </a:p>
      </dgm:t>
    </dgm:pt>
    <dgm:pt modelId="{78B887C6-9579-46BF-9BC4-E46C643890FD}">
      <dgm:prSet/>
      <dgm:spPr/>
      <dgm:t>
        <a:bodyPr/>
        <a:lstStyle/>
        <a:p>
          <a:pPr rtl="1"/>
          <a:endParaRPr lang="en-US"/>
        </a:p>
      </dgm:t>
    </dgm:pt>
    <dgm:pt modelId="{56D822AD-8921-4EF5-B924-2807CBF04C3E}" type="parTrans" cxnId="{0B686897-6DCE-4441-B243-23B0EA1E1056}">
      <dgm:prSet/>
      <dgm:spPr/>
      <dgm:t>
        <a:bodyPr/>
        <a:lstStyle/>
        <a:p>
          <a:endParaRPr lang="en-US"/>
        </a:p>
      </dgm:t>
    </dgm:pt>
    <dgm:pt modelId="{2FC74109-C7D2-4172-9582-D04B39F8709F}" type="sibTrans" cxnId="{0B686897-6DCE-4441-B243-23B0EA1E1056}">
      <dgm:prSet/>
      <dgm:spPr/>
      <dgm:t>
        <a:bodyPr/>
        <a:lstStyle/>
        <a:p>
          <a:endParaRPr lang="en-US"/>
        </a:p>
      </dgm:t>
    </dgm:pt>
    <dgm:pt modelId="{762DCDA8-85FD-4408-990E-EEBD135A2294}">
      <dgm:prSet/>
      <dgm:spPr/>
      <dgm:t>
        <a:bodyPr/>
        <a:lstStyle/>
        <a:p>
          <a:endParaRPr lang="en-US"/>
        </a:p>
      </dgm:t>
    </dgm:pt>
    <dgm:pt modelId="{B72D1479-0C4D-451E-9B4A-70D67AA29E29}" type="parTrans" cxnId="{E6068051-4E8B-4238-B30C-138F316FCF14}">
      <dgm:prSet/>
      <dgm:spPr/>
      <dgm:t>
        <a:bodyPr/>
        <a:lstStyle/>
        <a:p>
          <a:endParaRPr lang="en-US"/>
        </a:p>
      </dgm:t>
    </dgm:pt>
    <dgm:pt modelId="{9A90C0F4-C571-48F5-933E-28DDF9F382FB}" type="sibTrans" cxnId="{E6068051-4E8B-4238-B30C-138F316FCF14}">
      <dgm:prSet/>
      <dgm:spPr/>
      <dgm:t>
        <a:bodyPr/>
        <a:lstStyle/>
        <a:p>
          <a:endParaRPr lang="en-US"/>
        </a:p>
      </dgm:t>
    </dgm:pt>
    <dgm:pt modelId="{AE29BBC6-4F7E-417B-A4E5-49B2DCDF9800}">
      <dgm:prSet/>
      <dgm:spPr/>
      <dgm:t>
        <a:bodyPr/>
        <a:lstStyle/>
        <a:p>
          <a:endParaRPr lang="en-US"/>
        </a:p>
      </dgm:t>
    </dgm:pt>
    <dgm:pt modelId="{0864016E-0D8B-47F6-A96D-FF0BBD4E3B39}" type="parTrans" cxnId="{2BE58A16-F919-4F03-9FBC-4A2FE200449A}">
      <dgm:prSet/>
      <dgm:spPr/>
      <dgm:t>
        <a:bodyPr/>
        <a:lstStyle/>
        <a:p>
          <a:endParaRPr lang="en-US"/>
        </a:p>
      </dgm:t>
    </dgm:pt>
    <dgm:pt modelId="{0F6C1A3B-D52A-495C-B4BD-F12A7E3186A0}" type="sibTrans" cxnId="{2BE58A16-F919-4F03-9FBC-4A2FE200449A}">
      <dgm:prSet/>
      <dgm:spPr/>
      <dgm:t>
        <a:bodyPr/>
        <a:lstStyle/>
        <a:p>
          <a:endParaRPr lang="en-US"/>
        </a:p>
      </dgm:t>
    </dgm:pt>
    <dgm:pt modelId="{4425D84B-790A-4ADF-9B3F-6D5278004AF2}">
      <dgm:prSet/>
      <dgm:spPr/>
      <dgm:t>
        <a:bodyPr/>
        <a:lstStyle/>
        <a:p>
          <a:endParaRPr lang="en-US"/>
        </a:p>
      </dgm:t>
    </dgm:pt>
    <dgm:pt modelId="{0CE10FCF-9F91-4EA7-9419-044E327EAE50}" type="parTrans" cxnId="{338012BC-DB61-417D-BB41-5B1A7CE31CA2}">
      <dgm:prSet/>
      <dgm:spPr/>
      <dgm:t>
        <a:bodyPr/>
        <a:lstStyle/>
        <a:p>
          <a:endParaRPr lang="en-US"/>
        </a:p>
      </dgm:t>
    </dgm:pt>
    <dgm:pt modelId="{E69FA145-C9ED-44EB-8B12-E5CD86CB344E}" type="sibTrans" cxnId="{338012BC-DB61-417D-BB41-5B1A7CE31CA2}">
      <dgm:prSet/>
      <dgm:spPr/>
      <dgm:t>
        <a:bodyPr/>
        <a:lstStyle/>
        <a:p>
          <a:endParaRPr lang="en-US"/>
        </a:p>
      </dgm:t>
    </dgm:pt>
    <dgm:pt modelId="{3075E7F3-0819-4AD9-87D5-7F8BCACC1867}">
      <dgm:prSet/>
      <dgm:spPr/>
      <dgm:t>
        <a:bodyPr/>
        <a:lstStyle/>
        <a:p>
          <a:pPr rtl="1"/>
          <a:endParaRPr lang="en-US"/>
        </a:p>
      </dgm:t>
    </dgm:pt>
    <dgm:pt modelId="{89BDAE58-50FF-4C30-AF2C-C7846318D870}" type="parTrans" cxnId="{AD5C5A56-980B-4DA1-9F5E-960F6152E205}">
      <dgm:prSet/>
      <dgm:spPr/>
      <dgm:t>
        <a:bodyPr/>
        <a:lstStyle/>
        <a:p>
          <a:endParaRPr lang="en-US"/>
        </a:p>
      </dgm:t>
    </dgm:pt>
    <dgm:pt modelId="{6EEE148D-92A3-4732-904C-2EE52036DB2F}" type="sibTrans" cxnId="{AD5C5A56-980B-4DA1-9F5E-960F6152E205}">
      <dgm:prSet/>
      <dgm:spPr/>
      <dgm:t>
        <a:bodyPr/>
        <a:lstStyle/>
        <a:p>
          <a:endParaRPr lang="en-US"/>
        </a:p>
      </dgm:t>
    </dgm:pt>
    <dgm:pt modelId="{AD009A0D-1093-478C-B959-470000F384A3}">
      <dgm:prSet/>
      <dgm:spPr/>
      <dgm:t>
        <a:bodyPr/>
        <a:lstStyle/>
        <a:p>
          <a:endParaRPr lang="en-US"/>
        </a:p>
      </dgm:t>
    </dgm:pt>
    <dgm:pt modelId="{EAC94111-24E7-4C8C-96AE-70A101B96039}" type="parTrans" cxnId="{244AA707-131A-4CF9-ABC6-61303F8A9BA9}">
      <dgm:prSet/>
      <dgm:spPr/>
      <dgm:t>
        <a:bodyPr/>
        <a:lstStyle/>
        <a:p>
          <a:endParaRPr lang="en-US"/>
        </a:p>
      </dgm:t>
    </dgm:pt>
    <dgm:pt modelId="{7C0176FB-4289-40AE-A157-713A1E1703B0}" type="sibTrans" cxnId="{244AA707-131A-4CF9-ABC6-61303F8A9BA9}">
      <dgm:prSet/>
      <dgm:spPr/>
      <dgm:t>
        <a:bodyPr/>
        <a:lstStyle/>
        <a:p>
          <a:endParaRPr lang="en-US"/>
        </a:p>
      </dgm:t>
    </dgm:pt>
    <dgm:pt modelId="{4399C5DF-BE0E-4CB7-845F-3D69A17C94E9}">
      <dgm:prSet/>
      <dgm:spPr/>
      <dgm:t>
        <a:bodyPr/>
        <a:lstStyle/>
        <a:p>
          <a:endParaRPr lang="en-US"/>
        </a:p>
      </dgm:t>
    </dgm:pt>
    <dgm:pt modelId="{9556769E-85F2-44A9-8A6D-5590CF0A9CAB}" type="parTrans" cxnId="{B69D0CBF-D538-495A-9DA8-F576281B0E62}">
      <dgm:prSet/>
      <dgm:spPr/>
      <dgm:t>
        <a:bodyPr/>
        <a:lstStyle/>
        <a:p>
          <a:endParaRPr lang="en-US"/>
        </a:p>
      </dgm:t>
    </dgm:pt>
    <dgm:pt modelId="{93BBD60B-AE03-41C9-BDF4-1BC73DE912AC}" type="sibTrans" cxnId="{B69D0CBF-D538-495A-9DA8-F576281B0E62}">
      <dgm:prSet/>
      <dgm:spPr/>
      <dgm:t>
        <a:bodyPr/>
        <a:lstStyle/>
        <a:p>
          <a:endParaRPr lang="en-US"/>
        </a:p>
      </dgm:t>
    </dgm:pt>
    <dgm:pt modelId="{751E4290-9DAD-434D-A109-5FE4C85B22F9}">
      <dgm:prSet/>
      <dgm:spPr/>
      <dgm:t>
        <a:bodyPr/>
        <a:lstStyle/>
        <a:p>
          <a:endParaRPr lang="en-US"/>
        </a:p>
      </dgm:t>
    </dgm:pt>
    <dgm:pt modelId="{53A7B55D-8B92-4A07-9268-63735B7533A6}" type="parTrans" cxnId="{6E8110F9-2730-4CE4-AF77-786B853581C7}">
      <dgm:prSet/>
      <dgm:spPr/>
      <dgm:t>
        <a:bodyPr/>
        <a:lstStyle/>
        <a:p>
          <a:endParaRPr lang="en-US"/>
        </a:p>
      </dgm:t>
    </dgm:pt>
    <dgm:pt modelId="{9C6FFABE-259B-422E-AA35-E2B1CB07628C}" type="sibTrans" cxnId="{6E8110F9-2730-4CE4-AF77-786B853581C7}">
      <dgm:prSet/>
      <dgm:spPr/>
      <dgm:t>
        <a:bodyPr/>
        <a:lstStyle/>
        <a:p>
          <a:endParaRPr lang="en-US"/>
        </a:p>
      </dgm:t>
    </dgm:pt>
    <dgm:pt modelId="{7A566DCA-C8C4-48AE-AFAC-2850E99905C9}">
      <dgm:prSet/>
      <dgm:spPr/>
      <dgm:t>
        <a:bodyPr/>
        <a:lstStyle/>
        <a:p>
          <a:pPr rtl="1"/>
          <a:endParaRPr lang="en-US"/>
        </a:p>
      </dgm:t>
    </dgm:pt>
    <dgm:pt modelId="{AE738E7A-054B-4E55-8D80-7D4008795007}" type="parTrans" cxnId="{116896C9-563D-48BF-B39E-4834B429AAA9}">
      <dgm:prSet/>
      <dgm:spPr/>
      <dgm:t>
        <a:bodyPr/>
        <a:lstStyle/>
        <a:p>
          <a:endParaRPr lang="en-US"/>
        </a:p>
      </dgm:t>
    </dgm:pt>
    <dgm:pt modelId="{E9D5F70A-E6FF-4493-9DE6-72F7CCA654B6}" type="sibTrans" cxnId="{116896C9-563D-48BF-B39E-4834B429AAA9}">
      <dgm:prSet/>
      <dgm:spPr/>
      <dgm:t>
        <a:bodyPr/>
        <a:lstStyle/>
        <a:p>
          <a:endParaRPr lang="en-US"/>
        </a:p>
      </dgm:t>
    </dgm:pt>
    <dgm:pt modelId="{8D93C742-EE4E-45B9-880D-266042E6F00C}">
      <dgm:prSet/>
      <dgm:spPr/>
      <dgm:t>
        <a:bodyPr/>
        <a:lstStyle/>
        <a:p>
          <a:endParaRPr lang="en-US"/>
        </a:p>
      </dgm:t>
    </dgm:pt>
    <dgm:pt modelId="{3C0AC3AD-AD16-4F8E-8BBC-92A67609B08B}" type="parTrans" cxnId="{50A2AE11-D12C-433B-82D2-C64BB0ED5FA3}">
      <dgm:prSet/>
      <dgm:spPr/>
      <dgm:t>
        <a:bodyPr/>
        <a:lstStyle/>
        <a:p>
          <a:endParaRPr lang="en-US"/>
        </a:p>
      </dgm:t>
    </dgm:pt>
    <dgm:pt modelId="{2F4BC448-032E-444A-A69B-FA4D10894D1F}" type="sibTrans" cxnId="{50A2AE11-D12C-433B-82D2-C64BB0ED5FA3}">
      <dgm:prSet/>
      <dgm:spPr/>
      <dgm:t>
        <a:bodyPr/>
        <a:lstStyle/>
        <a:p>
          <a:endParaRPr lang="en-US"/>
        </a:p>
      </dgm:t>
    </dgm:pt>
    <dgm:pt modelId="{8D8E7331-368E-4A3E-AA3D-37E8CE8D9AFB}">
      <dgm:prSet/>
      <dgm:spPr/>
      <dgm:t>
        <a:bodyPr/>
        <a:lstStyle/>
        <a:p>
          <a:endParaRPr lang="en-US"/>
        </a:p>
      </dgm:t>
    </dgm:pt>
    <dgm:pt modelId="{740A43D4-0498-4ED3-8154-961C204C6138}" type="parTrans" cxnId="{E40C3409-823A-4810-9700-0D7C2CC02E3C}">
      <dgm:prSet/>
      <dgm:spPr/>
      <dgm:t>
        <a:bodyPr/>
        <a:lstStyle/>
        <a:p>
          <a:endParaRPr lang="en-US"/>
        </a:p>
      </dgm:t>
    </dgm:pt>
    <dgm:pt modelId="{86E0E613-C03F-4F26-B0F6-3858DA6E2F0D}" type="sibTrans" cxnId="{E40C3409-823A-4810-9700-0D7C2CC02E3C}">
      <dgm:prSet/>
      <dgm:spPr/>
      <dgm:t>
        <a:bodyPr/>
        <a:lstStyle/>
        <a:p>
          <a:endParaRPr lang="en-US"/>
        </a:p>
      </dgm:t>
    </dgm:pt>
    <dgm:pt modelId="{149103F3-812C-415B-BA56-A661C0D8724D}">
      <dgm:prSet/>
      <dgm:spPr/>
      <dgm:t>
        <a:bodyPr/>
        <a:lstStyle/>
        <a:p>
          <a:endParaRPr lang="en-US"/>
        </a:p>
      </dgm:t>
    </dgm:pt>
    <dgm:pt modelId="{80923401-9C6E-4E66-A75A-5BC8989D7B3F}" type="parTrans" cxnId="{7960B763-C3C4-4E57-A8F0-5361C61AA6E4}">
      <dgm:prSet/>
      <dgm:spPr/>
      <dgm:t>
        <a:bodyPr/>
        <a:lstStyle/>
        <a:p>
          <a:endParaRPr lang="en-US"/>
        </a:p>
      </dgm:t>
    </dgm:pt>
    <dgm:pt modelId="{452A8161-809C-4517-8CA4-6CCA36F288D8}" type="sibTrans" cxnId="{7960B763-C3C4-4E57-A8F0-5361C61AA6E4}">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68706" custScaleY="8538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3"/>
      <dgm:spPr>
        <a:custGeom>
          <a:avLst/>
          <a:gdLst/>
          <a:ahLst/>
          <a:cxnLst/>
          <a:rect l="0" t="0" r="0" b="0"/>
          <a:pathLst>
            <a:path>
              <a:moveTo>
                <a:pt x="0" y="6387"/>
              </a:moveTo>
              <a:lnTo>
                <a:pt x="768373" y="6387"/>
              </a:lnTo>
            </a:path>
          </a:pathLst>
        </a:custGeom>
      </dgm:spPr>
      <dgm:t>
        <a:bodyPr/>
        <a:lstStyle/>
        <a:p>
          <a:endParaRPr lang="en-US"/>
        </a:p>
      </dgm:t>
    </dgm:pt>
    <dgm:pt modelId="{B06AADB2-5D51-41DC-8677-C0CC2357518B}" type="pres">
      <dgm:prSet presAssocID="{BA28F4A6-AD16-499D-88C1-DBE004B28175}" presName="connTx" presStyleLbl="parChTrans1D2" presStyleIdx="0" presStyleCnt="13"/>
      <dgm:spPr/>
      <dgm:t>
        <a:bodyPr/>
        <a:lstStyle/>
        <a:p>
          <a:endParaRPr lang="en-US"/>
        </a:p>
      </dgm:t>
    </dgm:pt>
    <dgm:pt modelId="{AFD0CC05-9AD4-4A51-8739-4FB4CA1E4ACE}" type="pres">
      <dgm:prSet presAssocID="{68A5766F-115C-487E-B7CB-4ADE150678D1}" presName="node" presStyleLbl="node1" presStyleIdx="0" presStyleCnt="13" custScaleX="213465" custScaleY="94327" custRadScaleRad="100308" custRadScaleInc="-2966">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3"/>
      <dgm:spPr>
        <a:custGeom>
          <a:avLst/>
          <a:gdLst/>
          <a:ahLst/>
          <a:cxnLst/>
          <a:rect l="0" t="0" r="0" b="0"/>
          <a:pathLst>
            <a:path>
              <a:moveTo>
                <a:pt x="0" y="6387"/>
              </a:moveTo>
              <a:lnTo>
                <a:pt x="921958" y="6387"/>
              </a:lnTo>
            </a:path>
          </a:pathLst>
        </a:custGeom>
      </dgm:spPr>
      <dgm:t>
        <a:bodyPr/>
        <a:lstStyle/>
        <a:p>
          <a:endParaRPr lang="en-US"/>
        </a:p>
      </dgm:t>
    </dgm:pt>
    <dgm:pt modelId="{A8CF68B1-7D91-429E-8C8D-53007288E1DC}" type="pres">
      <dgm:prSet presAssocID="{DB9FEC62-86A7-454A-89B3-F32F1907C71A}" presName="connTx" presStyleLbl="parChTrans1D2" presStyleIdx="1" presStyleCnt="13"/>
      <dgm:spPr/>
      <dgm:t>
        <a:bodyPr/>
        <a:lstStyle/>
        <a:p>
          <a:endParaRPr lang="en-US"/>
        </a:p>
      </dgm:t>
    </dgm:pt>
    <dgm:pt modelId="{D9366F31-B7D7-4B43-830C-AD5E2193A794}" type="pres">
      <dgm:prSet presAssocID="{898446A3-EA8C-4C13-8A65-DF8A110D0838}" presName="node" presStyleLbl="node1" presStyleIdx="1" presStyleCnt="13" custScaleX="238699" custScaleY="130939" custRadScaleRad="126703" custRadScaleInc="9449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3"/>
      <dgm:spPr>
        <a:custGeom>
          <a:avLst/>
          <a:gdLst/>
          <a:ahLst/>
          <a:cxnLst/>
          <a:rect l="0" t="0" r="0" b="0"/>
          <a:pathLst>
            <a:path>
              <a:moveTo>
                <a:pt x="0" y="6387"/>
              </a:moveTo>
              <a:lnTo>
                <a:pt x="1419030" y="6387"/>
              </a:lnTo>
            </a:path>
          </a:pathLst>
        </a:custGeom>
      </dgm:spPr>
      <dgm:t>
        <a:bodyPr/>
        <a:lstStyle/>
        <a:p>
          <a:endParaRPr lang="en-US"/>
        </a:p>
      </dgm:t>
    </dgm:pt>
    <dgm:pt modelId="{905DF954-A0B6-4A5F-9CE2-F1C3ADBDD0C1}" type="pres">
      <dgm:prSet presAssocID="{D94B5549-C2D2-4629-ACDF-33C6E334FA3A}" presName="connTx" presStyleLbl="parChTrans1D2" presStyleIdx="2" presStyleCnt="13"/>
      <dgm:spPr/>
      <dgm:t>
        <a:bodyPr/>
        <a:lstStyle/>
        <a:p>
          <a:endParaRPr lang="en-US"/>
        </a:p>
      </dgm:t>
    </dgm:pt>
    <dgm:pt modelId="{ECD2D13D-466C-468B-BD6C-1B646D8E5B8E}" type="pres">
      <dgm:prSet presAssocID="{F0FE4372-65E6-4D92-B9B0-D2B79F26FB27}" presName="node" presStyleLbl="node1" presStyleIdx="2" presStyleCnt="13" custScaleX="217052" custScaleY="101518" custRadScaleRad="182976" custRadScaleInc="52903">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3"/>
      <dgm:spPr>
        <a:custGeom>
          <a:avLst/>
          <a:gdLst/>
          <a:ahLst/>
          <a:cxnLst/>
          <a:rect l="0" t="0" r="0" b="0"/>
          <a:pathLst>
            <a:path>
              <a:moveTo>
                <a:pt x="0" y="6387"/>
              </a:moveTo>
              <a:lnTo>
                <a:pt x="1299059" y="6387"/>
              </a:lnTo>
            </a:path>
          </a:pathLst>
        </a:custGeom>
      </dgm:spPr>
      <dgm:t>
        <a:bodyPr/>
        <a:lstStyle/>
        <a:p>
          <a:endParaRPr lang="en-US"/>
        </a:p>
      </dgm:t>
    </dgm:pt>
    <dgm:pt modelId="{48797E66-4F8B-4B79-BCA7-6F88E85CF835}" type="pres">
      <dgm:prSet presAssocID="{D22DE764-173E-47DF-9480-722F8D8EA62C}" presName="connTx" presStyleLbl="parChTrans1D2" presStyleIdx="3" presStyleCnt="13"/>
      <dgm:spPr/>
      <dgm:t>
        <a:bodyPr/>
        <a:lstStyle/>
        <a:p>
          <a:endParaRPr lang="en-US"/>
        </a:p>
      </dgm:t>
    </dgm:pt>
    <dgm:pt modelId="{7E7DDE23-6C04-407D-AAB6-669511EA704E}" type="pres">
      <dgm:prSet presAssocID="{6DAE892F-3F2D-42A5-BB1C-58D0E6BD9A47}" presName="node" presStyleLbl="node1" presStyleIdx="3" presStyleCnt="13" custScaleX="288311" custScaleY="106849" custRadScaleRad="200906" custRadScaleInc="-41852">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3"/>
      <dgm:spPr>
        <a:custGeom>
          <a:avLst/>
          <a:gdLst/>
          <a:ahLst/>
          <a:cxnLst/>
          <a:rect l="0" t="0" r="0" b="0"/>
          <a:pathLst>
            <a:path>
              <a:moveTo>
                <a:pt x="0" y="6387"/>
              </a:moveTo>
              <a:lnTo>
                <a:pt x="1312010" y="6387"/>
              </a:lnTo>
            </a:path>
          </a:pathLst>
        </a:custGeom>
      </dgm:spPr>
      <dgm:t>
        <a:bodyPr/>
        <a:lstStyle/>
        <a:p>
          <a:endParaRPr lang="en-US"/>
        </a:p>
      </dgm:t>
    </dgm:pt>
    <dgm:pt modelId="{0D3BFC0A-5ED4-4CCF-A336-A529B3363890}" type="pres">
      <dgm:prSet presAssocID="{9E510621-404D-46D6-8EB3-39712C8626D4}" presName="connTx" presStyleLbl="parChTrans1D2" presStyleIdx="4" presStyleCnt="13"/>
      <dgm:spPr/>
      <dgm:t>
        <a:bodyPr/>
        <a:lstStyle/>
        <a:p>
          <a:endParaRPr lang="en-US"/>
        </a:p>
      </dgm:t>
    </dgm:pt>
    <dgm:pt modelId="{66DADE40-99AE-41BE-B997-129EED231064}" type="pres">
      <dgm:prSet presAssocID="{DB0D84B1-C440-4746-9EEF-F1ED71D64DD2}" presName="node" presStyleLbl="node1" presStyleIdx="4" presStyleCnt="13" custScaleX="220104" custScaleY="93733" custRadScaleRad="202027" custRadScaleInc="-140537">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3"/>
      <dgm:spPr>
        <a:custGeom>
          <a:avLst/>
          <a:gdLst/>
          <a:ahLst/>
          <a:cxnLst/>
          <a:rect l="0" t="0" r="0" b="0"/>
          <a:pathLst>
            <a:path>
              <a:moveTo>
                <a:pt x="0" y="6387"/>
              </a:moveTo>
              <a:lnTo>
                <a:pt x="1192460" y="6387"/>
              </a:lnTo>
            </a:path>
          </a:pathLst>
        </a:custGeom>
      </dgm:spPr>
      <dgm:t>
        <a:bodyPr/>
        <a:lstStyle/>
        <a:p>
          <a:endParaRPr lang="en-US"/>
        </a:p>
      </dgm:t>
    </dgm:pt>
    <dgm:pt modelId="{32B4D7AF-BD29-4AC4-BA11-37F2AE9561F4}" type="pres">
      <dgm:prSet presAssocID="{3F89048A-3F9F-4897-8631-4599F4976029}" presName="connTx" presStyleLbl="parChTrans1D2" presStyleIdx="5" presStyleCnt="13"/>
      <dgm:spPr/>
      <dgm:t>
        <a:bodyPr/>
        <a:lstStyle/>
        <a:p>
          <a:endParaRPr lang="en-US"/>
        </a:p>
      </dgm:t>
    </dgm:pt>
    <dgm:pt modelId="{DB594876-4070-4577-942D-67F5CD4D6A19}" type="pres">
      <dgm:prSet presAssocID="{14602118-D739-48CC-85E0-791974AFA995}" presName="node" presStyleLbl="node1" presStyleIdx="5" presStyleCnt="13" custScaleX="297038" custScaleY="112266" custRadScaleRad="187317" custRadScaleInc="-234393">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3"/>
      <dgm:spPr>
        <a:custGeom>
          <a:avLst/>
          <a:gdLst/>
          <a:ahLst/>
          <a:cxnLst/>
          <a:rect l="0" t="0" r="0" b="0"/>
          <a:pathLst>
            <a:path>
              <a:moveTo>
                <a:pt x="0" y="6387"/>
              </a:moveTo>
              <a:lnTo>
                <a:pt x="873734" y="6387"/>
              </a:lnTo>
            </a:path>
          </a:pathLst>
        </a:custGeom>
      </dgm:spPr>
      <dgm:t>
        <a:bodyPr/>
        <a:lstStyle/>
        <a:p>
          <a:endParaRPr lang="en-US"/>
        </a:p>
      </dgm:t>
    </dgm:pt>
    <dgm:pt modelId="{B930024E-8665-4782-9C41-36517A71FCD4}" type="pres">
      <dgm:prSet presAssocID="{98585C11-761C-43C4-979D-FB1B8BABF102}" presName="connTx" presStyleLbl="parChTrans1D2" presStyleIdx="6" presStyleCnt="13"/>
      <dgm:spPr/>
      <dgm:t>
        <a:bodyPr/>
        <a:lstStyle/>
        <a:p>
          <a:endParaRPr lang="en-US"/>
        </a:p>
      </dgm:t>
    </dgm:pt>
    <dgm:pt modelId="{69F18085-0AC3-4BAE-9B16-F8478FFBD61E}" type="pres">
      <dgm:prSet presAssocID="{7C1FA040-4399-40F0-866F-845B7914F68D}" presName="node" presStyleLbl="node1" presStyleIdx="6" presStyleCnt="13" custScaleX="287889" custScaleY="114736" custRadScaleRad="127877" custRadScaleInc="-264118">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3"/>
      <dgm:spPr>
        <a:custGeom>
          <a:avLst/>
          <a:gdLst/>
          <a:ahLst/>
          <a:cxnLst/>
          <a:rect l="0" t="0" r="0" b="0"/>
          <a:pathLst>
            <a:path>
              <a:moveTo>
                <a:pt x="0" y="6387"/>
              </a:moveTo>
              <a:lnTo>
                <a:pt x="561823" y="6387"/>
              </a:lnTo>
            </a:path>
          </a:pathLst>
        </a:custGeom>
      </dgm:spPr>
      <dgm:t>
        <a:bodyPr/>
        <a:lstStyle/>
        <a:p>
          <a:endParaRPr lang="en-US"/>
        </a:p>
      </dgm:t>
    </dgm:pt>
    <dgm:pt modelId="{3EA6B60F-F2E8-4D48-9EC1-CAAE09243949}" type="pres">
      <dgm:prSet presAssocID="{DEF73824-C893-4963-9504-7E97D2FF5253}" presName="connTx" presStyleLbl="parChTrans1D2" presStyleIdx="7" presStyleCnt="13"/>
      <dgm:spPr/>
      <dgm:t>
        <a:bodyPr/>
        <a:lstStyle/>
        <a:p>
          <a:endParaRPr lang="en-US"/>
        </a:p>
      </dgm:t>
    </dgm:pt>
    <dgm:pt modelId="{49C45DFA-0A15-4DAA-80DC-CAE4ABCC6B43}" type="pres">
      <dgm:prSet presAssocID="{2628F477-2289-4CEE-9618-96DDAFCD4291}" presName="node" presStyleLbl="node1" presStyleIdx="7" presStyleCnt="13" custScaleX="255335" custScaleY="131355" custRadScaleRad="88815" custRadScaleInc="-90700">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3"/>
      <dgm:spPr>
        <a:custGeom>
          <a:avLst/>
          <a:gdLst/>
          <a:ahLst/>
          <a:cxnLst/>
          <a:rect l="0" t="0" r="0" b="0"/>
          <a:pathLst>
            <a:path>
              <a:moveTo>
                <a:pt x="0" y="6387"/>
              </a:moveTo>
              <a:lnTo>
                <a:pt x="907703" y="6387"/>
              </a:lnTo>
            </a:path>
          </a:pathLst>
        </a:custGeom>
      </dgm:spPr>
      <dgm:t>
        <a:bodyPr/>
        <a:lstStyle/>
        <a:p>
          <a:endParaRPr lang="en-US"/>
        </a:p>
      </dgm:t>
    </dgm:pt>
    <dgm:pt modelId="{280B3AB5-4999-4B99-8BE9-E09C9DF5D482}" type="pres">
      <dgm:prSet presAssocID="{2F72DDEE-62D3-48A5-836A-4C87596541F0}" presName="connTx" presStyleLbl="parChTrans1D2" presStyleIdx="8" presStyleCnt="13"/>
      <dgm:spPr/>
      <dgm:t>
        <a:bodyPr/>
        <a:lstStyle/>
        <a:p>
          <a:endParaRPr lang="en-US"/>
        </a:p>
      </dgm:t>
    </dgm:pt>
    <dgm:pt modelId="{402B25BB-F397-46B5-AAB7-C38C2276BF82}" type="pres">
      <dgm:prSet presAssocID="{44FBC2E2-D754-42C1-BEE4-690296442511}" presName="node" presStyleLbl="node1" presStyleIdx="8" presStyleCnt="13" custScaleX="274912" custScaleY="133737" custRadScaleRad="135646" custRadScaleInc="66805">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3"/>
      <dgm:spPr>
        <a:custGeom>
          <a:avLst/>
          <a:gdLst/>
          <a:ahLst/>
          <a:cxnLst/>
          <a:rect l="0" t="0" r="0" b="0"/>
          <a:pathLst>
            <a:path>
              <a:moveTo>
                <a:pt x="0" y="6387"/>
              </a:moveTo>
              <a:lnTo>
                <a:pt x="934908" y="6387"/>
              </a:lnTo>
            </a:path>
          </a:pathLst>
        </a:custGeom>
      </dgm:spPr>
      <dgm:t>
        <a:bodyPr/>
        <a:lstStyle/>
        <a:p>
          <a:endParaRPr lang="en-US"/>
        </a:p>
      </dgm:t>
    </dgm:pt>
    <dgm:pt modelId="{A140118B-14B1-45A7-9CF9-17E4D006F84D}" type="pres">
      <dgm:prSet presAssocID="{B4A5C031-92B2-438E-80BC-EAA05F5C7CF7}" presName="connTx" presStyleLbl="parChTrans1D2" presStyleIdx="9" presStyleCnt="13"/>
      <dgm:spPr/>
      <dgm:t>
        <a:bodyPr/>
        <a:lstStyle/>
        <a:p>
          <a:endParaRPr lang="en-US"/>
        </a:p>
      </dgm:t>
    </dgm:pt>
    <dgm:pt modelId="{5AF8D9AC-0C15-4D1B-BCD3-7FFCFF0A581D}" type="pres">
      <dgm:prSet presAssocID="{D460D018-736B-4CE5-A14B-061F8EFE829B}" presName="node" presStyleLbl="node1" presStyleIdx="9" presStyleCnt="13" custScaleX="354586" custScaleY="123381" custRadScaleRad="176810" custRadScaleInc="51204">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3"/>
      <dgm:spPr>
        <a:custGeom>
          <a:avLst/>
          <a:gdLst/>
          <a:ahLst/>
          <a:cxnLst/>
          <a:rect l="0" t="0" r="0" b="0"/>
          <a:pathLst>
            <a:path>
              <a:moveTo>
                <a:pt x="0" y="6736"/>
              </a:moveTo>
              <a:lnTo>
                <a:pt x="1187912" y="6736"/>
              </a:lnTo>
            </a:path>
          </a:pathLst>
        </a:custGeom>
      </dgm:spPr>
      <dgm:t>
        <a:bodyPr/>
        <a:lstStyle/>
        <a:p>
          <a:endParaRPr lang="en-US"/>
        </a:p>
      </dgm:t>
    </dgm:pt>
    <dgm:pt modelId="{282CA825-226C-4E92-9F37-4F68B159DB24}" type="pres">
      <dgm:prSet presAssocID="{98B9F8AD-7347-45A5-BC2B-65EB3DDF63CC}" presName="connTx" presStyleLbl="parChTrans1D2" presStyleIdx="10" presStyleCnt="13"/>
      <dgm:spPr/>
      <dgm:t>
        <a:bodyPr/>
        <a:lstStyle/>
        <a:p>
          <a:endParaRPr lang="en-US"/>
        </a:p>
      </dgm:t>
    </dgm:pt>
    <dgm:pt modelId="{A86195D8-E78B-4F8B-B1C4-EFBBA8999B88}" type="pres">
      <dgm:prSet presAssocID="{D65A13E9-3C79-4155-B943-C33E81DAC317}" presName="node" presStyleLbl="node1" presStyleIdx="10" presStyleCnt="13" custScaleX="319485" custScaleY="116480" custRadScaleRad="187913" custRadScaleInc="-38515">
        <dgm:presLayoutVars>
          <dgm:bulletEnabled val="1"/>
        </dgm:presLayoutVars>
      </dgm:prSet>
      <dgm:spPr>
        <a:prstGeom prst="ellipse">
          <a:avLst/>
        </a:prstGeom>
      </dgm:spPr>
      <dgm:t>
        <a:bodyPr/>
        <a:lstStyle/>
        <a:p>
          <a:endParaRPr lang="en-US"/>
        </a:p>
      </dgm:t>
    </dgm:pt>
    <dgm:pt modelId="{48D8EFE9-A375-4136-B36E-91EB3A5F0349}" type="pres">
      <dgm:prSet presAssocID="{ED17F2E8-0F2C-4806-A165-056066C1285B}" presName="Name9" presStyleLbl="parChTrans1D2" presStyleIdx="11" presStyleCnt="13"/>
      <dgm:spPr>
        <a:custGeom>
          <a:avLst/>
          <a:gdLst/>
          <a:ahLst/>
          <a:cxnLst/>
          <a:rect l="0" t="0" r="0" b="0"/>
          <a:pathLst>
            <a:path>
              <a:moveTo>
                <a:pt x="0" y="6387"/>
              </a:moveTo>
              <a:lnTo>
                <a:pt x="1133536" y="6387"/>
              </a:lnTo>
            </a:path>
          </a:pathLst>
        </a:custGeom>
      </dgm:spPr>
      <dgm:t>
        <a:bodyPr/>
        <a:lstStyle/>
        <a:p>
          <a:endParaRPr lang="en-US"/>
        </a:p>
      </dgm:t>
    </dgm:pt>
    <dgm:pt modelId="{3534FF94-72C6-43FB-8F21-668E71284740}" type="pres">
      <dgm:prSet presAssocID="{ED17F2E8-0F2C-4806-A165-056066C1285B}" presName="connTx" presStyleLbl="parChTrans1D2" presStyleIdx="11" presStyleCnt="13"/>
      <dgm:spPr/>
      <dgm:t>
        <a:bodyPr/>
        <a:lstStyle/>
        <a:p>
          <a:endParaRPr lang="en-US"/>
        </a:p>
      </dgm:t>
    </dgm:pt>
    <dgm:pt modelId="{2CC81EFE-1B09-4239-A772-C0141AEBEE08}" type="pres">
      <dgm:prSet presAssocID="{AAAA106F-E487-47CE-9BAB-D684E19C81DF}" presName="node" presStyleLbl="node1" presStyleIdx="11" presStyleCnt="13" custScaleX="339396" custScaleY="127795" custRadScaleRad="184477" custRadScaleInc="-118866">
        <dgm:presLayoutVars>
          <dgm:bulletEnabled val="1"/>
        </dgm:presLayoutVars>
      </dgm:prSet>
      <dgm:spPr>
        <a:prstGeom prst="ellipse">
          <a:avLst/>
        </a:prstGeom>
      </dgm:spPr>
      <dgm:t>
        <a:bodyPr/>
        <a:lstStyle/>
        <a:p>
          <a:endParaRPr lang="en-US"/>
        </a:p>
      </dgm:t>
    </dgm:pt>
    <dgm:pt modelId="{78727A99-0CB1-4013-8BE2-594D8BE4FB83}" type="pres">
      <dgm:prSet presAssocID="{7C5C21B7-8D79-4BDB-811A-C14C2BB877FA}" presName="Name9" presStyleLbl="parChTrans1D2" presStyleIdx="12" presStyleCnt="13"/>
      <dgm:spPr>
        <a:custGeom>
          <a:avLst/>
          <a:gdLst/>
          <a:ahLst/>
          <a:cxnLst/>
          <a:rect l="0" t="0" r="0" b="0"/>
          <a:pathLst>
            <a:path>
              <a:moveTo>
                <a:pt x="0" y="6387"/>
              </a:moveTo>
              <a:lnTo>
                <a:pt x="943188" y="6387"/>
              </a:lnTo>
            </a:path>
          </a:pathLst>
        </a:custGeom>
      </dgm:spPr>
      <dgm:t>
        <a:bodyPr/>
        <a:lstStyle/>
        <a:p>
          <a:endParaRPr lang="en-US"/>
        </a:p>
      </dgm:t>
    </dgm:pt>
    <dgm:pt modelId="{1DAD8E4C-6C91-4FCE-99C0-D5C0A3F24C17}" type="pres">
      <dgm:prSet presAssocID="{7C5C21B7-8D79-4BDB-811A-C14C2BB877FA}" presName="connTx" presStyleLbl="parChTrans1D2" presStyleIdx="12" presStyleCnt="13"/>
      <dgm:spPr/>
      <dgm:t>
        <a:bodyPr/>
        <a:lstStyle/>
        <a:p>
          <a:endParaRPr lang="en-US"/>
        </a:p>
      </dgm:t>
    </dgm:pt>
    <dgm:pt modelId="{098A803A-AAEA-485A-AF14-F5A0A7B3607E}" type="pres">
      <dgm:prSet presAssocID="{89E3D9F6-D117-4291-BEA9-20650ACA1140}" presName="node" presStyleLbl="node1" presStyleIdx="12" presStyleCnt="13" custScaleX="263936" custScaleY="98700" custRadScaleRad="127256" custRadScaleInc="-123423">
        <dgm:presLayoutVars>
          <dgm:bulletEnabled val="1"/>
        </dgm:presLayoutVars>
      </dgm:prSet>
      <dgm:spPr>
        <a:prstGeom prst="ellipse">
          <a:avLst/>
        </a:prstGeom>
      </dgm:spPr>
      <dgm:t>
        <a:bodyPr/>
        <a:lstStyle/>
        <a:p>
          <a:endParaRPr lang="en-US"/>
        </a:p>
      </dgm:t>
    </dgm:pt>
  </dgm:ptLst>
  <dgm:cxnLst>
    <dgm:cxn modelId="{1229807D-6A59-498C-A707-9DD6CEEA0C8D}" srcId="{A7516A72-1FC0-46ED-AAC4-AF0F7063F737}" destId="{F0FE4372-65E6-4D92-B9B0-D2B79F26FB27}" srcOrd="2" destOrd="0" parTransId="{D94B5549-C2D2-4629-ACDF-33C6E334FA3A}" sibTransId="{E2B06661-55BE-4022-AD18-067DB2509F93}"/>
    <dgm:cxn modelId="{16D5BFED-9C27-4C94-B2DC-E892D104BD8A}" type="presOf" srcId="{B4A5C031-92B2-438E-80BC-EAA05F5C7CF7}" destId="{EFB9CB5A-411C-454B-96B1-9ED988829CBE}" srcOrd="0" destOrd="0" presId="urn:microsoft.com/office/officeart/2005/8/layout/radial1"/>
    <dgm:cxn modelId="{582AF18D-C939-4F92-AB22-124E98A403D7}" type="presOf" srcId="{B4A5C031-92B2-438E-80BC-EAA05F5C7CF7}" destId="{A140118B-14B1-45A7-9CF9-17E4D006F84D}" srcOrd="1" destOrd="0" presId="urn:microsoft.com/office/officeart/2005/8/layout/radial1"/>
    <dgm:cxn modelId="{BC1F545D-516E-41FD-9FC5-78E9B71BD2FB}" type="presOf" srcId="{98B9F8AD-7347-45A5-BC2B-65EB3DDF63CC}" destId="{701CC827-3AE5-4421-983B-6398C783C82F}" srcOrd="0" destOrd="0" presId="urn:microsoft.com/office/officeart/2005/8/layout/radial1"/>
    <dgm:cxn modelId="{B69D0CBF-D538-495A-9DA8-F576281B0E62}" srcId="{D981426F-5B7B-4AA5-957A-6E8C9E1A2487}" destId="{4399C5DF-BE0E-4CB7-845F-3D69A17C94E9}" srcOrd="7" destOrd="0" parTransId="{9556769E-85F2-44A9-8A6D-5590CF0A9CAB}" sibTransId="{93BBD60B-AE03-41C9-BDF4-1BC73DE912AC}"/>
    <dgm:cxn modelId="{51D8D98A-C471-4381-9D5E-54AA5465CBF7}" type="presOf" srcId="{2F72DDEE-62D3-48A5-836A-4C87596541F0}" destId="{7B59CB2C-C82F-41EE-B3CF-ADD4878ADBA6}" srcOrd="0"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A1357B0A-C240-4A91-89D8-A39634308683}" srcId="{A7516A72-1FC0-46ED-AAC4-AF0F7063F737}" destId="{44FBC2E2-D754-42C1-BEE4-690296442511}" srcOrd="8" destOrd="0" parTransId="{2F72DDEE-62D3-48A5-836A-4C87596541F0}" sibTransId="{A8D506B7-E9B0-4378-B011-FCC599FE960D}"/>
    <dgm:cxn modelId="{22EF2351-5153-4D25-BC10-F7B13967B82C}" type="presOf" srcId="{DB9FEC62-86A7-454A-89B3-F32F1907C71A}" destId="{A8CF68B1-7D91-429E-8C8D-53007288E1DC}" srcOrd="1" destOrd="0" presId="urn:microsoft.com/office/officeart/2005/8/layout/radial1"/>
    <dgm:cxn modelId="{FDDAA987-90CF-4CAB-AD78-A41BBA84EC69}" type="presOf" srcId="{98B9F8AD-7347-45A5-BC2B-65EB3DDF63CC}" destId="{282CA825-226C-4E92-9F37-4F68B159DB24}" srcOrd="1" destOrd="0" presId="urn:microsoft.com/office/officeart/2005/8/layout/radial1"/>
    <dgm:cxn modelId="{EDEC9ED2-4AF1-43E6-BE36-37FA1BA901ED}" type="presOf" srcId="{7C1FA040-4399-40F0-866F-845B7914F68D}" destId="{69F18085-0AC3-4BAE-9B16-F8478FFBD61E}" srcOrd="0"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E6068051-4E8B-4238-B30C-138F316FCF14}" srcId="{D981426F-5B7B-4AA5-957A-6E8C9E1A2487}" destId="{762DCDA8-85FD-4408-990E-EEBD135A2294}" srcOrd="2" destOrd="0" parTransId="{B72D1479-0C4D-451E-9B4A-70D67AA29E29}" sibTransId="{9A90C0F4-C571-48F5-933E-28DDF9F382FB}"/>
    <dgm:cxn modelId="{4A489E40-E8B9-4576-979E-A58365E1702B}" type="presOf" srcId="{9E510621-404D-46D6-8EB3-39712C8626D4}" destId="{0D3BFC0A-5ED4-4CCF-A336-A529B3363890}" srcOrd="1" destOrd="0" presId="urn:microsoft.com/office/officeart/2005/8/layout/radial1"/>
    <dgm:cxn modelId="{6E8110F9-2730-4CE4-AF77-786B853581C7}" srcId="{D981426F-5B7B-4AA5-957A-6E8C9E1A2487}" destId="{751E4290-9DAD-434D-A109-5FE4C85B22F9}" srcOrd="8" destOrd="0" parTransId="{53A7B55D-8B92-4A07-9268-63735B7533A6}" sibTransId="{9C6FFABE-259B-422E-AA35-E2B1CB07628C}"/>
    <dgm:cxn modelId="{8F8EAB02-2CFD-46FD-B102-219FF4927D1E}" type="presOf" srcId="{98585C11-761C-43C4-979D-FB1B8BABF102}" destId="{B930024E-8665-4782-9C41-36517A71FCD4}" srcOrd="1" destOrd="0" presId="urn:microsoft.com/office/officeart/2005/8/layout/radial1"/>
    <dgm:cxn modelId="{823BFAC5-6CF9-47FD-B15B-42C90C9914A9}" type="presOf" srcId="{68A5766F-115C-487E-B7CB-4ADE150678D1}" destId="{AFD0CC05-9AD4-4A51-8739-4FB4CA1E4ACE}" srcOrd="0" destOrd="0" presId="urn:microsoft.com/office/officeart/2005/8/layout/radial1"/>
    <dgm:cxn modelId="{FDCD2DEB-C113-4A8A-AE29-04B56AB943A4}" type="presOf" srcId="{3F89048A-3F9F-4897-8631-4599F4976029}" destId="{4DF1B0BE-A63A-4BEA-9EE5-4168481CC99E}" srcOrd="0" destOrd="0" presId="urn:microsoft.com/office/officeart/2005/8/layout/radial1"/>
    <dgm:cxn modelId="{116896C9-563D-48BF-B39E-4834B429AAA9}" srcId="{D981426F-5B7B-4AA5-957A-6E8C9E1A2487}" destId="{7A566DCA-C8C4-48AE-AFAC-2850E99905C9}" srcOrd="9" destOrd="0" parTransId="{AE738E7A-054B-4E55-8D80-7D4008795007}" sibTransId="{E9D5F70A-E6FF-4493-9DE6-72F7CCA654B6}"/>
    <dgm:cxn modelId="{281D618A-F56F-4A83-ADEF-BABFE071F016}" type="presOf" srcId="{3F89048A-3F9F-4897-8631-4599F4976029}" destId="{32B4D7AF-BD29-4AC4-BA11-37F2AE9561F4}" srcOrd="1" destOrd="0" presId="urn:microsoft.com/office/officeart/2005/8/layout/radial1"/>
    <dgm:cxn modelId="{CABE4054-1801-4D49-8ECA-0368F4430B2A}" type="presOf" srcId="{9E510621-404D-46D6-8EB3-39712C8626D4}" destId="{DC281168-2DBC-4CFB-B21D-C54E9628B383}" srcOrd="0" destOrd="0" presId="urn:microsoft.com/office/officeart/2005/8/layout/radial1"/>
    <dgm:cxn modelId="{78F9740D-1658-4EA1-96C5-CDB4CFE73AC9}" type="presOf" srcId="{DB0D84B1-C440-4746-9EEF-F1ED71D64DD2}" destId="{66DADE40-99AE-41BE-B997-129EED231064}" srcOrd="0" destOrd="0" presId="urn:microsoft.com/office/officeart/2005/8/layout/radial1"/>
    <dgm:cxn modelId="{B06BB853-A582-4E98-AD5C-2CF52537AB1F}" type="presOf" srcId="{44FBC2E2-D754-42C1-BEE4-690296442511}" destId="{402B25BB-F397-46B5-AAB7-C38C2276BF82}" srcOrd="0" destOrd="0" presId="urn:microsoft.com/office/officeart/2005/8/layout/radial1"/>
    <dgm:cxn modelId="{E3A280B7-E344-4C39-B19B-71C35973E97E}" type="presOf" srcId="{89E3D9F6-D117-4291-BEA9-20650ACA1140}" destId="{098A803A-AAEA-485A-AF14-F5A0A7B3607E}" srcOrd="0" destOrd="0" presId="urn:microsoft.com/office/officeart/2005/8/layout/radial1"/>
    <dgm:cxn modelId="{AA8F0942-5CC6-4830-ACF9-F88C6CFC76BE}" type="presOf" srcId="{ED17F2E8-0F2C-4806-A165-056066C1285B}" destId="{48D8EFE9-A375-4136-B36E-91EB3A5F0349}" srcOrd="0" destOrd="0" presId="urn:microsoft.com/office/officeart/2005/8/layout/radial1"/>
    <dgm:cxn modelId="{FA7294EA-DE0E-42D6-ACE4-24A4FAC3009B}" type="presOf" srcId="{2628F477-2289-4CEE-9618-96DDAFCD4291}" destId="{49C45DFA-0A15-4DAA-80DC-CAE4ABCC6B43}" srcOrd="0" destOrd="0" presId="urn:microsoft.com/office/officeart/2005/8/layout/radial1"/>
    <dgm:cxn modelId="{2BE58A16-F919-4F03-9FBC-4A2FE200449A}" srcId="{D981426F-5B7B-4AA5-957A-6E8C9E1A2487}" destId="{AE29BBC6-4F7E-417B-A4E5-49B2DCDF9800}" srcOrd="3" destOrd="0" parTransId="{0864016E-0D8B-47F6-A96D-FF0BBD4E3B39}" sibTransId="{0F6C1A3B-D52A-495C-B4BD-F12A7E3186A0}"/>
    <dgm:cxn modelId="{338012BC-DB61-417D-BB41-5B1A7CE31CA2}" srcId="{D981426F-5B7B-4AA5-957A-6E8C9E1A2487}" destId="{4425D84B-790A-4ADF-9B3F-6D5278004AF2}" srcOrd="4" destOrd="0" parTransId="{0CE10FCF-9F91-4EA7-9419-044E327EAE50}" sibTransId="{E69FA145-C9ED-44EB-8B12-E5CD86CB344E}"/>
    <dgm:cxn modelId="{244AA707-131A-4CF9-ABC6-61303F8A9BA9}" srcId="{D981426F-5B7B-4AA5-957A-6E8C9E1A2487}" destId="{AD009A0D-1093-478C-B959-470000F384A3}" srcOrd="6" destOrd="0" parTransId="{EAC94111-24E7-4C8C-96AE-70A101B96039}" sibTransId="{7C0176FB-4289-40AE-A157-713A1E1703B0}"/>
    <dgm:cxn modelId="{81BF414A-50B8-4DDD-8DA3-40FBCD758528}" type="presOf" srcId="{D981426F-5B7B-4AA5-957A-6E8C9E1A2487}" destId="{9D8B49BD-1DF7-4888-9A7E-2CFD4320CC2B}" srcOrd="0" destOrd="0" presId="urn:microsoft.com/office/officeart/2005/8/layout/radial1"/>
    <dgm:cxn modelId="{7960B763-C3C4-4E57-A8F0-5361C61AA6E4}" srcId="{D981426F-5B7B-4AA5-957A-6E8C9E1A2487}" destId="{149103F3-812C-415B-BA56-A661C0D8724D}" srcOrd="12" destOrd="0" parTransId="{80923401-9C6E-4E66-A75A-5BC8989D7B3F}" sibTransId="{452A8161-809C-4517-8CA4-6CCA36F288D8}"/>
    <dgm:cxn modelId="{A97645EF-59D0-4CFD-9C99-3FB702DCC606}" type="presOf" srcId="{7C5C21B7-8D79-4BDB-811A-C14C2BB877FA}" destId="{78727A99-0CB1-4013-8BE2-594D8BE4FB83}" srcOrd="0" destOrd="0" presId="urn:microsoft.com/office/officeart/2005/8/layout/radial1"/>
    <dgm:cxn modelId="{E40C3409-823A-4810-9700-0D7C2CC02E3C}" srcId="{D981426F-5B7B-4AA5-957A-6E8C9E1A2487}" destId="{8D8E7331-368E-4A3E-AA3D-37E8CE8D9AFB}" srcOrd="11" destOrd="0" parTransId="{740A43D4-0498-4ED3-8154-961C204C6138}" sibTransId="{86E0E613-C03F-4F26-B0F6-3858DA6E2F0D}"/>
    <dgm:cxn modelId="{C7DD68AE-99B2-4937-A127-D654A2E99784}" srcId="{A7516A72-1FC0-46ED-AAC4-AF0F7063F737}" destId="{DB0D84B1-C440-4746-9EEF-F1ED71D64DD2}" srcOrd="4" destOrd="0" parTransId="{9E510621-404D-46D6-8EB3-39712C8626D4}" sibTransId="{99C4878C-8523-40E3-93C5-8DC55D31DB77}"/>
    <dgm:cxn modelId="{C9DEDD8E-F447-4319-B05C-146EA9FFBE66}" type="presOf" srcId="{98585C11-761C-43C4-979D-FB1B8BABF102}" destId="{E49C447F-3477-4311-B10B-FFFA7DE7209F}" srcOrd="0" destOrd="0" presId="urn:microsoft.com/office/officeart/2005/8/layout/radial1"/>
    <dgm:cxn modelId="{0B686897-6DCE-4441-B243-23B0EA1E1056}" srcId="{D981426F-5B7B-4AA5-957A-6E8C9E1A2487}" destId="{78B887C6-9579-46BF-9BC4-E46C643890FD}" srcOrd="1" destOrd="0" parTransId="{56D822AD-8921-4EF5-B924-2807CBF04C3E}" sibTransId="{2FC74109-C7D2-4172-9582-D04B39F8709F}"/>
    <dgm:cxn modelId="{2DE14BB3-C787-476D-8AEB-8D5E3558BC6C}" srcId="{A7516A72-1FC0-46ED-AAC4-AF0F7063F737}" destId="{89E3D9F6-D117-4291-BEA9-20650ACA1140}" srcOrd="12" destOrd="0" parTransId="{7C5C21B7-8D79-4BDB-811A-C14C2BB877FA}" sibTransId="{4F079A65-A81B-4CBE-B331-67DE498DE623}"/>
    <dgm:cxn modelId="{DF9EB478-C224-42F7-822E-5C2EA98D82E9}" srcId="{A7516A72-1FC0-46ED-AAC4-AF0F7063F737}" destId="{D65A13E9-3C79-4155-B943-C33E81DAC317}" srcOrd="10" destOrd="0" parTransId="{98B9F8AD-7347-45A5-BC2B-65EB3DDF63CC}" sibTransId="{65C76345-3C56-4B13-AF62-A1F968209579}"/>
    <dgm:cxn modelId="{FE1169E0-24DF-4FBB-A1C9-8F332C85663A}" srcId="{A7516A72-1FC0-46ED-AAC4-AF0F7063F737}" destId="{6DAE892F-3F2D-42A5-BB1C-58D0E6BD9A47}" srcOrd="3" destOrd="0" parTransId="{D22DE764-173E-47DF-9480-722F8D8EA62C}" sibTransId="{28BD2EB6-8814-456D-B684-C7C0E2C0705F}"/>
    <dgm:cxn modelId="{345C13DF-1D3F-4982-AF23-DC2641540559}" srcId="{A7516A72-1FC0-46ED-AAC4-AF0F7063F737}" destId="{7C1FA040-4399-40F0-866F-845B7914F68D}" srcOrd="6" destOrd="0" parTransId="{98585C11-761C-43C4-979D-FB1B8BABF102}" sibTransId="{82A7CC90-6A4C-422A-B221-BA4CF5B4D442}"/>
    <dgm:cxn modelId="{16DDD083-11EC-4D15-97F9-42B501635A96}" type="presOf" srcId="{D22DE764-173E-47DF-9480-722F8D8EA62C}" destId="{48797E66-4F8B-4B79-BCA7-6F88E85CF835}" srcOrd="1" destOrd="0" presId="urn:microsoft.com/office/officeart/2005/8/layout/radial1"/>
    <dgm:cxn modelId="{4C9CCF2D-67D5-48A8-8362-F7E631D19537}" type="presOf" srcId="{A7516A72-1FC0-46ED-AAC4-AF0F7063F737}" destId="{493DA7EC-5D69-41B7-92E4-ED7ED9F48883}"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AD5C5A56-980B-4DA1-9F5E-960F6152E205}" srcId="{D981426F-5B7B-4AA5-957A-6E8C9E1A2487}" destId="{3075E7F3-0819-4AD9-87D5-7F8BCACC1867}" srcOrd="5" destOrd="0" parTransId="{89BDAE58-50FF-4C30-AF2C-C7846318D870}" sibTransId="{6EEE148D-92A3-4732-904C-2EE52036DB2F}"/>
    <dgm:cxn modelId="{ADE22F8C-CA25-4823-AD59-6F6579CB56F3}" type="presOf" srcId="{DEF73824-C893-4963-9504-7E97D2FF5253}" destId="{FCC14444-D5E7-4E9C-B980-A27CD799E442}"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512F3C37-5701-445A-981E-23D68AF5E319}" type="presOf" srcId="{ED17F2E8-0F2C-4806-A165-056066C1285B}" destId="{3534FF94-72C6-43FB-8F21-668E71284740}" srcOrd="1" destOrd="0" presId="urn:microsoft.com/office/officeart/2005/8/layout/radial1"/>
    <dgm:cxn modelId="{A38B847D-D226-4A6D-B270-7F561245ACC8}" srcId="{A7516A72-1FC0-46ED-AAC4-AF0F7063F737}" destId="{AAAA106F-E487-47CE-9BAB-D684E19C81DF}" srcOrd="11" destOrd="0" parTransId="{ED17F2E8-0F2C-4806-A165-056066C1285B}" sibTransId="{8B1A6F93-EA70-4B77-B04E-0D667670E9A6}"/>
    <dgm:cxn modelId="{A104CAF8-2E10-4E4A-962A-9A5F99F72654}" type="presOf" srcId="{898446A3-EA8C-4C13-8A65-DF8A110D0838}" destId="{D9366F31-B7D7-4B43-830C-AD5E2193A794}" srcOrd="0" destOrd="0" presId="urn:microsoft.com/office/officeart/2005/8/layout/radial1"/>
    <dgm:cxn modelId="{F8564F35-7A42-4B6E-8A29-EA2F2A842D9D}" type="presOf" srcId="{14602118-D739-48CC-85E0-791974AFA995}" destId="{DB594876-4070-4577-942D-67F5CD4D6A19}" srcOrd="0" destOrd="0" presId="urn:microsoft.com/office/officeart/2005/8/layout/radial1"/>
    <dgm:cxn modelId="{A7F9A72B-DD12-4C6F-9DD3-F38BE1AB7A6D}" type="presOf" srcId="{DEF73824-C893-4963-9504-7E97D2FF5253}" destId="{3EA6B60F-F2E8-4D48-9EC1-CAAE09243949}" srcOrd="1" destOrd="0" presId="urn:microsoft.com/office/officeart/2005/8/layout/radial1"/>
    <dgm:cxn modelId="{972DC63F-FEE4-43D0-BE53-AE6458944194}" type="presOf" srcId="{D22DE764-173E-47DF-9480-722F8D8EA62C}" destId="{5CF8296B-0142-429D-A71A-20799D2EB74B}" srcOrd="0" destOrd="0" presId="urn:microsoft.com/office/officeart/2005/8/layout/radial1"/>
    <dgm:cxn modelId="{52AB0F7C-B77C-40FA-A180-06E6213ADB69}" type="presOf" srcId="{6DAE892F-3F2D-42A5-BB1C-58D0E6BD9A47}" destId="{7E7DDE23-6C04-407D-AAB6-669511EA704E}" srcOrd="0" destOrd="0" presId="urn:microsoft.com/office/officeart/2005/8/layout/radial1"/>
    <dgm:cxn modelId="{0AE9FBB6-2BC3-4D52-935E-F1A5D2DDFCB5}" type="presOf" srcId="{D65A13E9-3C79-4155-B943-C33E81DAC317}" destId="{A86195D8-E78B-4F8B-B1C4-EFBBA8999B88}" srcOrd="0" destOrd="0" presId="urn:microsoft.com/office/officeart/2005/8/layout/radial1"/>
    <dgm:cxn modelId="{A34F5721-1EF6-421E-A4E6-ED34AB29B086}" type="presOf" srcId="{F0FE4372-65E6-4D92-B9B0-D2B79F26FB27}" destId="{ECD2D13D-466C-468B-BD6C-1B646D8E5B8E}" srcOrd="0" destOrd="0" presId="urn:microsoft.com/office/officeart/2005/8/layout/radial1"/>
    <dgm:cxn modelId="{A4D49129-451C-4FC8-8F3E-3A4EAF80E2A4}" type="presOf" srcId="{DB9FEC62-86A7-454A-89B3-F32F1907C71A}" destId="{34515D96-C834-4D67-AF5C-3B293601CBC3}" srcOrd="0" destOrd="0" presId="urn:microsoft.com/office/officeart/2005/8/layout/radial1"/>
    <dgm:cxn modelId="{06FB5045-9361-4BEA-9679-8B719699A4AE}" type="presOf" srcId="{D94B5549-C2D2-4629-ACDF-33C6E334FA3A}" destId="{905DF954-A0B6-4A5F-9CE2-F1C3ADBDD0C1}" srcOrd="1" destOrd="0" presId="urn:microsoft.com/office/officeart/2005/8/layout/radial1"/>
    <dgm:cxn modelId="{E5DD3C3F-F401-46C8-9D1F-CEE8478EFA81}" srcId="{A7516A72-1FC0-46ED-AAC4-AF0F7063F737}" destId="{2628F477-2289-4CEE-9618-96DDAFCD4291}" srcOrd="7" destOrd="0" parTransId="{DEF73824-C893-4963-9504-7E97D2FF5253}" sibTransId="{6D6ABE48-6FEB-4EAA-849C-585AC08FCF5B}"/>
    <dgm:cxn modelId="{0C2F56D9-FC45-4692-8068-E20A6E5B53A6}" type="presOf" srcId="{2F72DDEE-62D3-48A5-836A-4C87596541F0}" destId="{280B3AB5-4999-4B99-8BE9-E09C9DF5D482}" srcOrd="1" destOrd="0" presId="urn:microsoft.com/office/officeart/2005/8/layout/radial1"/>
    <dgm:cxn modelId="{50A2AE11-D12C-433B-82D2-C64BB0ED5FA3}" srcId="{D981426F-5B7B-4AA5-957A-6E8C9E1A2487}" destId="{8D93C742-EE4E-45B9-880D-266042E6F00C}" srcOrd="10" destOrd="0" parTransId="{3C0AC3AD-AD16-4F8E-8BBC-92A67609B08B}" sibTransId="{2F4BC448-032E-444A-A69B-FA4D10894D1F}"/>
    <dgm:cxn modelId="{A93C1B4A-74B5-4343-AF12-0C2C4D914189}" srcId="{A7516A72-1FC0-46ED-AAC4-AF0F7063F737}" destId="{898446A3-EA8C-4C13-8A65-DF8A110D0838}" srcOrd="1" destOrd="0" parTransId="{DB9FEC62-86A7-454A-89B3-F32F1907C71A}" sibTransId="{E56928EA-8406-4998-BE40-3F4796EA5932}"/>
    <dgm:cxn modelId="{D0D8C545-3A55-4DC0-874A-23CED25A7BAF}" type="presOf" srcId="{D460D018-736B-4CE5-A14B-061F8EFE829B}" destId="{5AF8D9AC-0C15-4D1B-BCD3-7FFCFF0A581D}" srcOrd="0" destOrd="0" presId="urn:microsoft.com/office/officeart/2005/8/layout/radial1"/>
    <dgm:cxn modelId="{763D0A18-EF89-4F9F-B1CA-25014B4AA0F0}" type="presOf" srcId="{BA28F4A6-AD16-499D-88C1-DBE004B28175}" destId="{B06AADB2-5D51-41DC-8677-C0CC2357518B}" srcOrd="1" destOrd="0" presId="urn:microsoft.com/office/officeart/2005/8/layout/radial1"/>
    <dgm:cxn modelId="{AD8171E6-4A3A-421C-BE8D-05E2E9CA4B2F}" type="presOf" srcId="{D94B5549-C2D2-4629-ACDF-33C6E334FA3A}" destId="{3F0F15B6-4D5A-493B-B03E-AE8141DC3DCE}" srcOrd="0" destOrd="0" presId="urn:microsoft.com/office/officeart/2005/8/layout/radial1"/>
    <dgm:cxn modelId="{0A07FB1B-1496-412E-AD3A-8767A78F33EC}" type="presOf" srcId="{7C5C21B7-8D79-4BDB-811A-C14C2BB877FA}" destId="{1DAD8E4C-6C91-4FCE-99C0-D5C0A3F24C17}" srcOrd="1" destOrd="0" presId="urn:microsoft.com/office/officeart/2005/8/layout/radial1"/>
    <dgm:cxn modelId="{1353C5A9-CFEC-44FD-A23E-3FC845EFA4E4}" type="presOf" srcId="{BA28F4A6-AD16-499D-88C1-DBE004B28175}" destId="{E6ACA703-0949-41B3-BE6B-C702E5C7275F}" srcOrd="0" destOrd="0" presId="urn:microsoft.com/office/officeart/2005/8/layout/radial1"/>
    <dgm:cxn modelId="{23B68FF3-81F5-4BDB-A773-D98B025B5E51}" type="presOf" srcId="{AAAA106F-E487-47CE-9BAB-D684E19C81DF}" destId="{2CC81EFE-1B09-4239-A772-C0141AEBEE08}" srcOrd="0" destOrd="0" presId="urn:microsoft.com/office/officeart/2005/8/layout/radial1"/>
    <dgm:cxn modelId="{D459BE87-45B4-46BF-8297-5B23978270A2}" type="presParOf" srcId="{9D8B49BD-1DF7-4888-9A7E-2CFD4320CC2B}" destId="{493DA7EC-5D69-41B7-92E4-ED7ED9F48883}" srcOrd="0" destOrd="0" presId="urn:microsoft.com/office/officeart/2005/8/layout/radial1"/>
    <dgm:cxn modelId="{F38539A5-022C-474E-9946-D8972EA2F86F}" type="presParOf" srcId="{9D8B49BD-1DF7-4888-9A7E-2CFD4320CC2B}" destId="{E6ACA703-0949-41B3-BE6B-C702E5C7275F}" srcOrd="1" destOrd="0" presId="urn:microsoft.com/office/officeart/2005/8/layout/radial1"/>
    <dgm:cxn modelId="{7BA20D30-77FF-407B-9C95-541795ABD4B5}" type="presParOf" srcId="{E6ACA703-0949-41B3-BE6B-C702E5C7275F}" destId="{B06AADB2-5D51-41DC-8677-C0CC2357518B}" srcOrd="0" destOrd="0" presId="urn:microsoft.com/office/officeart/2005/8/layout/radial1"/>
    <dgm:cxn modelId="{B85C7E71-D49F-4270-BFDC-CFD737C28FC5}" type="presParOf" srcId="{9D8B49BD-1DF7-4888-9A7E-2CFD4320CC2B}" destId="{AFD0CC05-9AD4-4A51-8739-4FB4CA1E4ACE}" srcOrd="2" destOrd="0" presId="urn:microsoft.com/office/officeart/2005/8/layout/radial1"/>
    <dgm:cxn modelId="{352AD7EF-EF71-464E-8C11-914210D5D6BE}" type="presParOf" srcId="{9D8B49BD-1DF7-4888-9A7E-2CFD4320CC2B}" destId="{34515D96-C834-4D67-AF5C-3B293601CBC3}" srcOrd="3" destOrd="0" presId="urn:microsoft.com/office/officeart/2005/8/layout/radial1"/>
    <dgm:cxn modelId="{019F23DA-0D17-4201-AA91-1B06AC95BA51}" type="presParOf" srcId="{34515D96-C834-4D67-AF5C-3B293601CBC3}" destId="{A8CF68B1-7D91-429E-8C8D-53007288E1DC}" srcOrd="0" destOrd="0" presId="urn:microsoft.com/office/officeart/2005/8/layout/radial1"/>
    <dgm:cxn modelId="{FA01E36D-830C-4DE6-A2CD-10B87647AD37}" type="presParOf" srcId="{9D8B49BD-1DF7-4888-9A7E-2CFD4320CC2B}" destId="{D9366F31-B7D7-4B43-830C-AD5E2193A794}" srcOrd="4" destOrd="0" presId="urn:microsoft.com/office/officeart/2005/8/layout/radial1"/>
    <dgm:cxn modelId="{DE496EDB-29FD-49EA-BD4F-AA2456A027BF}" type="presParOf" srcId="{9D8B49BD-1DF7-4888-9A7E-2CFD4320CC2B}" destId="{3F0F15B6-4D5A-493B-B03E-AE8141DC3DCE}" srcOrd="5" destOrd="0" presId="urn:microsoft.com/office/officeart/2005/8/layout/radial1"/>
    <dgm:cxn modelId="{F19C1B96-E065-4CF1-8C5C-D1D9FCEA8564}" type="presParOf" srcId="{3F0F15B6-4D5A-493B-B03E-AE8141DC3DCE}" destId="{905DF954-A0B6-4A5F-9CE2-F1C3ADBDD0C1}" srcOrd="0" destOrd="0" presId="urn:microsoft.com/office/officeart/2005/8/layout/radial1"/>
    <dgm:cxn modelId="{2581489D-0BA2-4176-BEA2-A2555864E47D}" type="presParOf" srcId="{9D8B49BD-1DF7-4888-9A7E-2CFD4320CC2B}" destId="{ECD2D13D-466C-468B-BD6C-1B646D8E5B8E}" srcOrd="6" destOrd="0" presId="urn:microsoft.com/office/officeart/2005/8/layout/radial1"/>
    <dgm:cxn modelId="{87D91646-D902-4557-81B6-5946C0C86F23}" type="presParOf" srcId="{9D8B49BD-1DF7-4888-9A7E-2CFD4320CC2B}" destId="{5CF8296B-0142-429D-A71A-20799D2EB74B}" srcOrd="7" destOrd="0" presId="urn:microsoft.com/office/officeart/2005/8/layout/radial1"/>
    <dgm:cxn modelId="{01B7E9F4-E642-4873-AF29-2819F9868326}" type="presParOf" srcId="{5CF8296B-0142-429D-A71A-20799D2EB74B}" destId="{48797E66-4F8B-4B79-BCA7-6F88E85CF835}" srcOrd="0" destOrd="0" presId="urn:microsoft.com/office/officeart/2005/8/layout/radial1"/>
    <dgm:cxn modelId="{C8568ADA-6D46-464C-B946-F20C4D1D777C}" type="presParOf" srcId="{9D8B49BD-1DF7-4888-9A7E-2CFD4320CC2B}" destId="{7E7DDE23-6C04-407D-AAB6-669511EA704E}" srcOrd="8" destOrd="0" presId="urn:microsoft.com/office/officeart/2005/8/layout/radial1"/>
    <dgm:cxn modelId="{9290B8DA-8D46-4DCC-B878-598BCC78A503}" type="presParOf" srcId="{9D8B49BD-1DF7-4888-9A7E-2CFD4320CC2B}" destId="{DC281168-2DBC-4CFB-B21D-C54E9628B383}" srcOrd="9" destOrd="0" presId="urn:microsoft.com/office/officeart/2005/8/layout/radial1"/>
    <dgm:cxn modelId="{98207967-B317-473E-B3AF-8217F4C5F6E8}" type="presParOf" srcId="{DC281168-2DBC-4CFB-B21D-C54E9628B383}" destId="{0D3BFC0A-5ED4-4CCF-A336-A529B3363890}" srcOrd="0" destOrd="0" presId="urn:microsoft.com/office/officeart/2005/8/layout/radial1"/>
    <dgm:cxn modelId="{41B403C0-DA56-4E41-AEEE-CA25D7E5A809}" type="presParOf" srcId="{9D8B49BD-1DF7-4888-9A7E-2CFD4320CC2B}" destId="{66DADE40-99AE-41BE-B997-129EED231064}" srcOrd="10" destOrd="0" presId="urn:microsoft.com/office/officeart/2005/8/layout/radial1"/>
    <dgm:cxn modelId="{050B7D25-A39D-4A75-AD13-157A755AACEA}" type="presParOf" srcId="{9D8B49BD-1DF7-4888-9A7E-2CFD4320CC2B}" destId="{4DF1B0BE-A63A-4BEA-9EE5-4168481CC99E}" srcOrd="11" destOrd="0" presId="urn:microsoft.com/office/officeart/2005/8/layout/radial1"/>
    <dgm:cxn modelId="{4CFA7A21-1957-4617-BA9F-FEFACED92146}" type="presParOf" srcId="{4DF1B0BE-A63A-4BEA-9EE5-4168481CC99E}" destId="{32B4D7AF-BD29-4AC4-BA11-37F2AE9561F4}" srcOrd="0" destOrd="0" presId="urn:microsoft.com/office/officeart/2005/8/layout/radial1"/>
    <dgm:cxn modelId="{0191ED9C-50B9-49BA-B78D-7458B174E981}" type="presParOf" srcId="{9D8B49BD-1DF7-4888-9A7E-2CFD4320CC2B}" destId="{DB594876-4070-4577-942D-67F5CD4D6A19}" srcOrd="12" destOrd="0" presId="urn:microsoft.com/office/officeart/2005/8/layout/radial1"/>
    <dgm:cxn modelId="{FAD2C064-9F9A-46DF-BD21-C093C72A614A}" type="presParOf" srcId="{9D8B49BD-1DF7-4888-9A7E-2CFD4320CC2B}" destId="{E49C447F-3477-4311-B10B-FFFA7DE7209F}" srcOrd="13" destOrd="0" presId="urn:microsoft.com/office/officeart/2005/8/layout/radial1"/>
    <dgm:cxn modelId="{F6CB5A15-EA9C-4DB1-BBF2-3DEB2411AF39}" type="presParOf" srcId="{E49C447F-3477-4311-B10B-FFFA7DE7209F}" destId="{B930024E-8665-4782-9C41-36517A71FCD4}" srcOrd="0" destOrd="0" presId="urn:microsoft.com/office/officeart/2005/8/layout/radial1"/>
    <dgm:cxn modelId="{B66A2270-2726-42F0-AAD3-0DF41482906A}" type="presParOf" srcId="{9D8B49BD-1DF7-4888-9A7E-2CFD4320CC2B}" destId="{69F18085-0AC3-4BAE-9B16-F8478FFBD61E}" srcOrd="14" destOrd="0" presId="urn:microsoft.com/office/officeart/2005/8/layout/radial1"/>
    <dgm:cxn modelId="{1A31DF9E-EE0D-424B-9954-8B0EBEB0012C}" type="presParOf" srcId="{9D8B49BD-1DF7-4888-9A7E-2CFD4320CC2B}" destId="{FCC14444-D5E7-4E9C-B980-A27CD799E442}" srcOrd="15" destOrd="0" presId="urn:microsoft.com/office/officeart/2005/8/layout/radial1"/>
    <dgm:cxn modelId="{237F6D82-A1D4-4A81-AFFA-94F666EB03B6}" type="presParOf" srcId="{FCC14444-D5E7-4E9C-B980-A27CD799E442}" destId="{3EA6B60F-F2E8-4D48-9EC1-CAAE09243949}" srcOrd="0" destOrd="0" presId="urn:microsoft.com/office/officeart/2005/8/layout/radial1"/>
    <dgm:cxn modelId="{20443938-BBE8-49FD-8B72-EFF9F5D15839}" type="presParOf" srcId="{9D8B49BD-1DF7-4888-9A7E-2CFD4320CC2B}" destId="{49C45DFA-0A15-4DAA-80DC-CAE4ABCC6B43}" srcOrd="16" destOrd="0" presId="urn:microsoft.com/office/officeart/2005/8/layout/radial1"/>
    <dgm:cxn modelId="{870CA7EF-80EC-46B4-AE12-932EDD8C9DAD}" type="presParOf" srcId="{9D8B49BD-1DF7-4888-9A7E-2CFD4320CC2B}" destId="{7B59CB2C-C82F-41EE-B3CF-ADD4878ADBA6}" srcOrd="17" destOrd="0" presId="urn:microsoft.com/office/officeart/2005/8/layout/radial1"/>
    <dgm:cxn modelId="{F5C951C5-D91E-487A-8158-4F3DCF121E80}" type="presParOf" srcId="{7B59CB2C-C82F-41EE-B3CF-ADD4878ADBA6}" destId="{280B3AB5-4999-4B99-8BE9-E09C9DF5D482}" srcOrd="0" destOrd="0" presId="urn:microsoft.com/office/officeart/2005/8/layout/radial1"/>
    <dgm:cxn modelId="{D085C53C-2231-401B-B938-5CEBEFA9276F}" type="presParOf" srcId="{9D8B49BD-1DF7-4888-9A7E-2CFD4320CC2B}" destId="{402B25BB-F397-46B5-AAB7-C38C2276BF82}" srcOrd="18" destOrd="0" presId="urn:microsoft.com/office/officeart/2005/8/layout/radial1"/>
    <dgm:cxn modelId="{E50FA545-7064-4A48-8AE7-C68E8689AF25}" type="presParOf" srcId="{9D8B49BD-1DF7-4888-9A7E-2CFD4320CC2B}" destId="{EFB9CB5A-411C-454B-96B1-9ED988829CBE}" srcOrd="19" destOrd="0" presId="urn:microsoft.com/office/officeart/2005/8/layout/radial1"/>
    <dgm:cxn modelId="{6EB3AED2-1995-42B9-B640-F67C91BAF1BC}" type="presParOf" srcId="{EFB9CB5A-411C-454B-96B1-9ED988829CBE}" destId="{A140118B-14B1-45A7-9CF9-17E4D006F84D}" srcOrd="0" destOrd="0" presId="urn:microsoft.com/office/officeart/2005/8/layout/radial1"/>
    <dgm:cxn modelId="{6369AE28-8B6B-4EF4-91F0-5287CAB79825}" type="presParOf" srcId="{9D8B49BD-1DF7-4888-9A7E-2CFD4320CC2B}" destId="{5AF8D9AC-0C15-4D1B-BCD3-7FFCFF0A581D}" srcOrd="20" destOrd="0" presId="urn:microsoft.com/office/officeart/2005/8/layout/radial1"/>
    <dgm:cxn modelId="{43BD2528-EDB5-4472-965A-3258C2C2D9F1}" type="presParOf" srcId="{9D8B49BD-1DF7-4888-9A7E-2CFD4320CC2B}" destId="{701CC827-3AE5-4421-983B-6398C783C82F}" srcOrd="21" destOrd="0" presId="urn:microsoft.com/office/officeart/2005/8/layout/radial1"/>
    <dgm:cxn modelId="{E65E8142-0F9A-498A-8CED-9BC191A81820}" type="presParOf" srcId="{701CC827-3AE5-4421-983B-6398C783C82F}" destId="{282CA825-226C-4E92-9F37-4F68B159DB24}" srcOrd="0" destOrd="0" presId="urn:microsoft.com/office/officeart/2005/8/layout/radial1"/>
    <dgm:cxn modelId="{835AFB71-6BFC-4F41-A2DF-A796A87EE27C}" type="presParOf" srcId="{9D8B49BD-1DF7-4888-9A7E-2CFD4320CC2B}" destId="{A86195D8-E78B-4F8B-B1C4-EFBBA8999B88}" srcOrd="22" destOrd="0" presId="urn:microsoft.com/office/officeart/2005/8/layout/radial1"/>
    <dgm:cxn modelId="{6CACD1B5-15D7-4F9E-8B20-C8CF10A1DA9E}" type="presParOf" srcId="{9D8B49BD-1DF7-4888-9A7E-2CFD4320CC2B}" destId="{48D8EFE9-A375-4136-B36E-91EB3A5F0349}" srcOrd="23" destOrd="0" presId="urn:microsoft.com/office/officeart/2005/8/layout/radial1"/>
    <dgm:cxn modelId="{3E9D3063-0746-4519-A1B3-8E0FE8AAF4C9}" type="presParOf" srcId="{48D8EFE9-A375-4136-B36E-91EB3A5F0349}" destId="{3534FF94-72C6-43FB-8F21-668E71284740}" srcOrd="0" destOrd="0" presId="urn:microsoft.com/office/officeart/2005/8/layout/radial1"/>
    <dgm:cxn modelId="{96B54A68-4A7B-4F5C-9D28-EA66737E9206}" type="presParOf" srcId="{9D8B49BD-1DF7-4888-9A7E-2CFD4320CC2B}" destId="{2CC81EFE-1B09-4239-A772-C0141AEBEE08}" srcOrd="24" destOrd="0" presId="urn:microsoft.com/office/officeart/2005/8/layout/radial1"/>
    <dgm:cxn modelId="{6B83B450-EA73-4719-8E16-6EBA088C8CA2}" type="presParOf" srcId="{9D8B49BD-1DF7-4888-9A7E-2CFD4320CC2B}" destId="{78727A99-0CB1-4013-8BE2-594D8BE4FB83}" srcOrd="25" destOrd="0" presId="urn:microsoft.com/office/officeart/2005/8/layout/radial1"/>
    <dgm:cxn modelId="{A5271859-CCD4-4A4D-B83B-BC7E4A8AC824}" type="presParOf" srcId="{78727A99-0CB1-4013-8BE2-594D8BE4FB83}" destId="{1DAD8E4C-6C91-4FCE-99C0-D5C0A3F24C17}" srcOrd="0" destOrd="0" presId="urn:microsoft.com/office/officeart/2005/8/layout/radial1"/>
    <dgm:cxn modelId="{3BC21D13-3A65-4464-9AD7-E126BFFCE362}" type="presParOf" srcId="{9D8B49BD-1DF7-4888-9A7E-2CFD4320CC2B}" destId="{098A803A-AAEA-485A-AF14-F5A0A7B3607E}" srcOrd="26" destOrd="0" presId="urn:microsoft.com/office/officeart/2005/8/layout/radial1"/>
  </dgm:cxnLst>
  <dgm:bg>
    <a:noFill/>
  </dgm:bg>
  <dgm:whole/>
  <dgm:extLst>
    <a:ext uri="http://schemas.microsoft.com/office/drawing/2008/diagram">
      <dsp:dataModelExt xmlns:dsp="http://schemas.microsoft.com/office/drawing/2008/diagram" relId="rId11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281700" y="1072342"/>
          <a:ext cx="1160344" cy="43123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54888" y="1019060"/>
          <a:ext cx="1062548" cy="52785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0807515">
          <a:off x="1117430" y="1278683"/>
          <a:ext cx="1164282"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FBC2E2-D754-42C1-BEE4-690296442511}">
      <dgm:prSet phldrT="[Text]" custT="1"/>
      <dgm:spPr>
        <a:xfrm>
          <a:off x="46162" y="1642719"/>
          <a:ext cx="1204723" cy="48622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9893043">
          <a:off x="1126832" y="1575933"/>
          <a:ext cx="1288016"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978693" y="2030077"/>
          <a:ext cx="1238666" cy="4710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8536599">
          <a:off x="1773569" y="1761538"/>
          <a:ext cx="934747"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1FA040-4399-40F0-866F-845B7914F68D}">
      <dgm:prSet phldrT="[Text]" custT="1"/>
      <dgm:spPr>
        <a:xfrm>
          <a:off x="2272440" y="2053138"/>
          <a:ext cx="1216159" cy="54082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5338107">
          <a:off x="2595873" y="1771624"/>
          <a:ext cx="549660"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602118-D739-48CC-85E0-791974AFA995}">
      <dgm:prSet phldrT="[Text]" custT="1"/>
      <dgm:spPr>
        <a:xfrm>
          <a:off x="3445960" y="1867890"/>
          <a:ext cx="1250538" cy="51151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2078712">
          <a:off x="3070292" y="1683971"/>
          <a:ext cx="748822"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B0D84B1-C440-4746-9EEF-F1ED71D64DD2}">
      <dgm:prSet phldrT="[Text]" custT="1"/>
      <dgm:spPr>
        <a:xfrm>
          <a:off x="4456826" y="1427843"/>
          <a:ext cx="935212" cy="49186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635706">
          <a:off x="3370533" y="1481395"/>
          <a:ext cx="1122900"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AE892F-3F2D-42A5-BB1C-58D0E6BD9A47}">
      <dgm:prSet phldrT="[Text]" custT="1"/>
      <dgm:spPr>
        <a:xfrm>
          <a:off x="4623589" y="893222"/>
          <a:ext cx="1137765" cy="460773"/>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المعارف التقليدية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357974">
          <a:off x="3430385" y="1198711"/>
          <a:ext cx="1203128"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FE4372-65E6-4D92-B9B0-D2B79F26FB27}">
      <dgm:prSet phldrT="[Text]" custT="1"/>
      <dgm:spPr>
        <a:xfrm>
          <a:off x="4212274" y="414738"/>
          <a:ext cx="921240" cy="47744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441511">
          <a:off x="3254016" y="956870"/>
          <a:ext cx="1067289"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8446A3-EA8C-4C13-8A65-DF8A110D0838}">
      <dgm:prSet phldrT="[Text]" custT="1"/>
      <dgm:spPr>
        <a:xfrm>
          <a:off x="3308814" y="51973"/>
          <a:ext cx="1168598" cy="4827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962181">
          <a:off x="2955139" y="794275"/>
          <a:ext cx="823251"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8A5766F-115C-487E-B7CB-4ADE150678D1}">
      <dgm:prSet phldrT="[Text]" custT="1"/>
      <dgm:spPr>
        <a:xfrm>
          <a:off x="2398724" y="-21766"/>
          <a:ext cx="909407" cy="4508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3225">
          <a:off x="2536035" y="743963"/>
          <a:ext cx="643305"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65A13E9-3C79-4155-B943-C33E81DAC317}">
      <dgm:prSet phldrT="[Text]" custT="1"/>
      <dgm:spPr>
        <a:xfrm>
          <a:off x="184660" y="444201"/>
          <a:ext cx="1181652" cy="51341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98B9F8AD-7347-45A5-BC2B-65EB3DDF63CC}" type="parTrans" cxnId="{DF9EB478-C224-42F7-822E-5C2EA98D82E9}">
      <dgm:prSet/>
      <dgm:spPr>
        <a:xfrm rot="11742912">
          <a:off x="1249504" y="992390"/>
          <a:ext cx="1171711"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5C76345-3C56-4B13-AF62-A1F968209579}" type="sibTrans" cxnId="{DF9EB478-C224-42F7-822E-5C2EA98D82E9}">
      <dgm:prSet/>
      <dgm:spPr/>
      <dgm:t>
        <a:bodyPr/>
        <a:lstStyle/>
        <a:p>
          <a:endParaRPr lang="en-US"/>
        </a:p>
      </dgm:t>
    </dgm:pt>
    <dgm:pt modelId="{B5C2DFB0-7F22-4F16-BFC5-827634DBBB86}">
      <dgm:prSet phldrT="[Text]" custT="1"/>
      <dgm:spPr>
        <a:xfrm>
          <a:off x="932620" y="22767"/>
          <a:ext cx="1458381" cy="539651"/>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a:t>
          </a:r>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لبرنامج 30</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الشركات الصغيرة والمتوسطة ودعم المقاولة</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BB491DD-4CE9-49F2-B4D3-F1DB91178D32}" type="parTrans" cxnId="{995CF8D1-4BF5-4F86-9B58-5047CF3CBA94}">
      <dgm:prSet/>
      <dgm:spPr>
        <a:xfrm rot="13180401">
          <a:off x="1859302" y="808363"/>
          <a:ext cx="864935"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995F378-0A86-44D0-AD56-ADCA8BB5C969}" type="sibTrans" cxnId="{995CF8D1-4BF5-4F86-9B58-5047CF3CBA94}">
      <dgm:prSet/>
      <dgm:spPr/>
      <dgm:t>
        <a:bodyPr/>
        <a:lstStyle/>
        <a:p>
          <a:endParaRPr lang="en-US"/>
        </a:p>
      </dgm:t>
    </dgm:pt>
    <dgm:pt modelId="{4ABE2A6F-D50A-4F1F-9508-C682E876078C}">
      <dgm:prSet phldrT="[Text]" custT="1"/>
      <dgm:spPr>
        <a:xfrm>
          <a:off x="932620" y="22767"/>
          <a:ext cx="1458381" cy="539651"/>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5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endParaRPr lang="en-US" sz="5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0311882-55B5-48CF-ABDB-87F2C18E5C28}" type="sibTrans" cxnId="{B05C34E3-FE0E-484C-8B1F-F7289CF222DC}">
      <dgm:prSet/>
      <dgm:spPr/>
      <dgm:t>
        <a:bodyPr/>
        <a:lstStyle/>
        <a:p>
          <a:endParaRPr lang="en-US"/>
        </a:p>
      </dgm:t>
    </dgm:pt>
    <dgm:pt modelId="{03C6D9DD-4F1D-48D8-9EA9-DC5D7E63CDBB}" type="parTrans" cxnId="{B05C34E3-FE0E-484C-8B1F-F7289CF222DC}">
      <dgm:prSet/>
      <dgm:spPr>
        <a:xfrm rot="13180401">
          <a:off x="1859302" y="808363"/>
          <a:ext cx="864935"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6907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3"/>
      <dgm:spPr>
        <a:custGeom>
          <a:avLst/>
          <a:gdLst/>
          <a:ahLst/>
          <a:cxnLst/>
          <a:rect l="0" t="0" r="0" b="0"/>
          <a:pathLst>
            <a:path>
              <a:moveTo>
                <a:pt x="0" y="6736"/>
              </a:moveTo>
              <a:lnTo>
                <a:pt x="667066" y="6736"/>
              </a:lnTo>
            </a:path>
          </a:pathLst>
        </a:custGeom>
      </dgm:spPr>
      <dgm:t>
        <a:bodyPr/>
        <a:lstStyle/>
        <a:p>
          <a:endParaRPr lang="en-US"/>
        </a:p>
      </dgm:t>
    </dgm:pt>
    <dgm:pt modelId="{B06AADB2-5D51-41DC-8677-C0CC2357518B}" type="pres">
      <dgm:prSet presAssocID="{BA28F4A6-AD16-499D-88C1-DBE004B28175}" presName="connTx" presStyleLbl="parChTrans1D2" presStyleIdx="0" presStyleCnt="13"/>
      <dgm:spPr/>
      <dgm:t>
        <a:bodyPr/>
        <a:lstStyle/>
        <a:p>
          <a:endParaRPr lang="en-US"/>
        </a:p>
      </dgm:t>
    </dgm:pt>
    <dgm:pt modelId="{AFD0CC05-9AD4-4A51-8739-4FB4CA1E4ACE}" type="pres">
      <dgm:prSet presAssocID="{68A5766F-115C-487E-B7CB-4ADE150678D1}" presName="node" presStyleLbl="node1" presStyleIdx="0" presStyleCnt="13" custScaleX="210883" custScaleY="104542" custRadScaleRad="100308" custRadScaleInc="-2966">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3"/>
      <dgm:spPr>
        <a:custGeom>
          <a:avLst/>
          <a:gdLst/>
          <a:ahLst/>
          <a:cxnLst/>
          <a:rect l="0" t="0" r="0" b="0"/>
          <a:pathLst>
            <a:path>
              <a:moveTo>
                <a:pt x="0" y="6736"/>
              </a:moveTo>
              <a:lnTo>
                <a:pt x="853408" y="6736"/>
              </a:lnTo>
            </a:path>
          </a:pathLst>
        </a:custGeom>
      </dgm:spPr>
      <dgm:t>
        <a:bodyPr/>
        <a:lstStyle/>
        <a:p>
          <a:endParaRPr lang="en-US"/>
        </a:p>
      </dgm:t>
    </dgm:pt>
    <dgm:pt modelId="{A8CF68B1-7D91-429E-8C8D-53007288E1DC}" type="pres">
      <dgm:prSet presAssocID="{DB9FEC62-86A7-454A-89B3-F32F1907C71A}" presName="connTx" presStyleLbl="parChTrans1D2" presStyleIdx="1" presStyleCnt="13"/>
      <dgm:spPr/>
      <dgm:t>
        <a:bodyPr/>
        <a:lstStyle/>
        <a:p>
          <a:endParaRPr lang="en-US"/>
        </a:p>
      </dgm:t>
    </dgm:pt>
    <dgm:pt modelId="{D9366F31-B7D7-4B43-830C-AD5E2193A794}" type="pres">
      <dgm:prSet presAssocID="{898446A3-EA8C-4C13-8A65-DF8A110D0838}" presName="node" presStyleLbl="node1" presStyleIdx="1" presStyleCnt="13" custScaleX="270987" custScaleY="111954" custRadScaleRad="127508" custRadScaleInc="120873">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3"/>
      <dgm:spPr>
        <a:custGeom>
          <a:avLst/>
          <a:gdLst/>
          <a:ahLst/>
          <a:cxnLst/>
          <a:rect l="0" t="0" r="0" b="0"/>
          <a:pathLst>
            <a:path>
              <a:moveTo>
                <a:pt x="0" y="6736"/>
              </a:moveTo>
              <a:lnTo>
                <a:pt x="1101050" y="6736"/>
              </a:lnTo>
            </a:path>
          </a:pathLst>
        </a:custGeom>
      </dgm:spPr>
      <dgm:t>
        <a:bodyPr/>
        <a:lstStyle/>
        <a:p>
          <a:endParaRPr lang="en-US"/>
        </a:p>
      </dgm:t>
    </dgm:pt>
    <dgm:pt modelId="{905DF954-A0B6-4A5F-9CE2-F1C3ADBDD0C1}" type="pres">
      <dgm:prSet presAssocID="{D94B5549-C2D2-4629-ACDF-33C6E334FA3A}" presName="connTx" presStyleLbl="parChTrans1D2" presStyleIdx="2" presStyleCnt="13"/>
      <dgm:spPr/>
      <dgm:t>
        <a:bodyPr/>
        <a:lstStyle/>
        <a:p>
          <a:endParaRPr lang="en-US"/>
        </a:p>
      </dgm:t>
    </dgm:pt>
    <dgm:pt modelId="{ECD2D13D-466C-468B-BD6C-1B646D8E5B8E}" type="pres">
      <dgm:prSet presAssocID="{F0FE4372-65E6-4D92-B9B0-D2B79F26FB27}" presName="node" presStyleLbl="node1" presStyleIdx="2" presStyleCnt="13" custScaleX="213627" custScaleY="110715" custRadScaleRad="190552" custRadScaleInc="89814">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3"/>
      <dgm:spPr>
        <a:custGeom>
          <a:avLst/>
          <a:gdLst/>
          <a:ahLst/>
          <a:cxnLst/>
          <a:rect l="0" t="0" r="0" b="0"/>
          <a:pathLst>
            <a:path>
              <a:moveTo>
                <a:pt x="0" y="6736"/>
              </a:moveTo>
              <a:lnTo>
                <a:pt x="1241186" y="6736"/>
              </a:lnTo>
            </a:path>
          </a:pathLst>
        </a:custGeom>
      </dgm:spPr>
      <dgm:t>
        <a:bodyPr/>
        <a:lstStyle/>
        <a:p>
          <a:endParaRPr lang="en-US"/>
        </a:p>
      </dgm:t>
    </dgm:pt>
    <dgm:pt modelId="{48797E66-4F8B-4B79-BCA7-6F88E85CF835}" type="pres">
      <dgm:prSet presAssocID="{D22DE764-173E-47DF-9480-722F8D8EA62C}" presName="connTx" presStyleLbl="parChTrans1D2" presStyleIdx="3" presStyleCnt="13"/>
      <dgm:spPr/>
      <dgm:t>
        <a:bodyPr/>
        <a:lstStyle/>
        <a:p>
          <a:endParaRPr lang="en-US"/>
        </a:p>
      </dgm:t>
    </dgm:pt>
    <dgm:pt modelId="{7E7DDE23-6C04-407D-AAB6-669511EA704E}" type="pres">
      <dgm:prSet presAssocID="{6DAE892F-3F2D-42A5-BB1C-58D0E6BD9A47}" presName="node" presStyleLbl="node1" presStyleIdx="3" presStyleCnt="13" custScaleX="263837" custScaleY="106849" custRadScaleRad="205972" custRadScaleInc="-9170">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3"/>
      <dgm:spPr>
        <a:custGeom>
          <a:avLst/>
          <a:gdLst/>
          <a:ahLst/>
          <a:cxnLst/>
          <a:rect l="0" t="0" r="0" b="0"/>
          <a:pathLst>
            <a:path>
              <a:moveTo>
                <a:pt x="0" y="6736"/>
              </a:moveTo>
              <a:lnTo>
                <a:pt x="1158420" y="6736"/>
              </a:lnTo>
            </a:path>
          </a:pathLst>
        </a:custGeom>
      </dgm:spPr>
      <dgm:t>
        <a:bodyPr/>
        <a:lstStyle/>
        <a:p>
          <a:endParaRPr lang="en-US"/>
        </a:p>
      </dgm:t>
    </dgm:pt>
    <dgm:pt modelId="{0D3BFC0A-5ED4-4CCF-A336-A529B3363890}" type="pres">
      <dgm:prSet presAssocID="{9E510621-404D-46D6-8EB3-39712C8626D4}" presName="connTx" presStyleLbl="parChTrans1D2" presStyleIdx="4" presStyleCnt="13"/>
      <dgm:spPr/>
      <dgm:t>
        <a:bodyPr/>
        <a:lstStyle/>
        <a:p>
          <a:endParaRPr lang="en-US"/>
        </a:p>
      </dgm:t>
    </dgm:pt>
    <dgm:pt modelId="{66DADE40-99AE-41BE-B997-129EED231064}" type="pres">
      <dgm:prSet presAssocID="{DB0D84B1-C440-4746-9EEF-F1ED71D64DD2}" presName="node" presStyleLbl="node1" presStyleIdx="4" presStyleCnt="13" custScaleX="216867" custScaleY="114059" custRadScaleRad="201129" custRadScaleInc="-115405">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3"/>
      <dgm:spPr>
        <a:custGeom>
          <a:avLst/>
          <a:gdLst/>
          <a:ahLst/>
          <a:cxnLst/>
          <a:rect l="0" t="0" r="0" b="0"/>
          <a:pathLst>
            <a:path>
              <a:moveTo>
                <a:pt x="0" y="6736"/>
              </a:moveTo>
              <a:lnTo>
                <a:pt x="790334" y="6736"/>
              </a:lnTo>
            </a:path>
          </a:pathLst>
        </a:custGeom>
      </dgm:spPr>
      <dgm:t>
        <a:bodyPr/>
        <a:lstStyle/>
        <a:p>
          <a:endParaRPr lang="en-US"/>
        </a:p>
      </dgm:t>
    </dgm:pt>
    <dgm:pt modelId="{32B4D7AF-BD29-4AC4-BA11-37F2AE9561F4}" type="pres">
      <dgm:prSet presAssocID="{3F89048A-3F9F-4897-8631-4599F4976029}" presName="connTx" presStyleLbl="parChTrans1D2" presStyleIdx="5" presStyleCnt="13"/>
      <dgm:spPr/>
      <dgm:t>
        <a:bodyPr/>
        <a:lstStyle/>
        <a:p>
          <a:endParaRPr lang="en-US"/>
        </a:p>
      </dgm:t>
    </dgm:pt>
    <dgm:pt modelId="{DB594876-4070-4577-942D-67F5CD4D6A19}" type="pres">
      <dgm:prSet presAssocID="{14602118-D739-48CC-85E0-791974AFA995}" presName="node" presStyleLbl="node1" presStyleIdx="5" presStyleCnt="13" custScaleX="227132" custScaleY="120781" custRadScaleRad="179509" custRadScaleInc="-204792">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3"/>
      <dgm:spPr>
        <a:custGeom>
          <a:avLst/>
          <a:gdLst/>
          <a:ahLst/>
          <a:cxnLst/>
          <a:rect l="0" t="0" r="0" b="0"/>
          <a:pathLst>
            <a:path>
              <a:moveTo>
                <a:pt x="0" y="6736"/>
              </a:moveTo>
              <a:lnTo>
                <a:pt x="625739" y="6736"/>
              </a:lnTo>
            </a:path>
          </a:pathLst>
        </a:custGeom>
      </dgm:spPr>
      <dgm:t>
        <a:bodyPr/>
        <a:lstStyle/>
        <a:p>
          <a:endParaRPr lang="en-US"/>
        </a:p>
      </dgm:t>
    </dgm:pt>
    <dgm:pt modelId="{B930024E-8665-4782-9C41-36517A71FCD4}" type="pres">
      <dgm:prSet presAssocID="{98585C11-761C-43C4-979D-FB1B8BABF102}" presName="connTx" presStyleLbl="parChTrans1D2" presStyleIdx="6" presStyleCnt="13"/>
      <dgm:spPr/>
      <dgm:t>
        <a:bodyPr/>
        <a:lstStyle/>
        <a:p>
          <a:endParaRPr lang="en-US"/>
        </a:p>
      </dgm:t>
    </dgm:pt>
    <dgm:pt modelId="{69F18085-0AC3-4BAE-9B16-F8478FFBD61E}" type="pres">
      <dgm:prSet presAssocID="{7C1FA040-4399-40F0-866F-845B7914F68D}" presName="node" presStyleLbl="node1" presStyleIdx="6" presStyleCnt="13" custScaleX="282016" custScaleY="125413" custRadScaleRad="112390" custRadScaleInc="-228639">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3"/>
      <dgm:spPr>
        <a:custGeom>
          <a:avLst/>
          <a:gdLst/>
          <a:ahLst/>
          <a:cxnLst/>
          <a:rect l="0" t="0" r="0" b="0"/>
          <a:pathLst>
            <a:path>
              <a:moveTo>
                <a:pt x="0" y="6736"/>
              </a:moveTo>
              <a:lnTo>
                <a:pt x="964315" y="6736"/>
              </a:lnTo>
            </a:path>
          </a:pathLst>
        </a:custGeom>
      </dgm:spPr>
      <dgm:t>
        <a:bodyPr/>
        <a:lstStyle/>
        <a:p>
          <a:endParaRPr lang="en-US"/>
        </a:p>
      </dgm:t>
    </dgm:pt>
    <dgm:pt modelId="{3EA6B60F-F2E8-4D48-9EC1-CAAE09243949}" type="pres">
      <dgm:prSet presAssocID="{DEF73824-C893-4963-9504-7E97D2FF5253}" presName="connTx" presStyleLbl="parChTrans1D2" presStyleIdx="7" presStyleCnt="13"/>
      <dgm:spPr/>
      <dgm:t>
        <a:bodyPr/>
        <a:lstStyle/>
        <a:p>
          <a:endParaRPr lang="en-US"/>
        </a:p>
      </dgm:t>
    </dgm:pt>
    <dgm:pt modelId="{49C45DFA-0A15-4DAA-80DC-CAE4ABCC6B43}" type="pres">
      <dgm:prSet presAssocID="{2628F477-2289-4CEE-9618-96DDAFCD4291}" presName="node" presStyleLbl="node1" presStyleIdx="7" presStyleCnt="13" custScaleX="287235" custScaleY="109229" custRadScaleRad="90399" custRadScaleInc="48716">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3"/>
      <dgm:spPr>
        <a:custGeom>
          <a:avLst/>
          <a:gdLst/>
          <a:ahLst/>
          <a:cxnLst/>
          <a:rect l="0" t="0" r="0" b="0"/>
          <a:pathLst>
            <a:path>
              <a:moveTo>
                <a:pt x="0" y="6736"/>
              </a:moveTo>
              <a:lnTo>
                <a:pt x="1328759" y="6736"/>
              </a:lnTo>
            </a:path>
          </a:pathLst>
        </a:custGeom>
      </dgm:spPr>
      <dgm:t>
        <a:bodyPr/>
        <a:lstStyle/>
        <a:p>
          <a:endParaRPr lang="en-US"/>
        </a:p>
      </dgm:t>
    </dgm:pt>
    <dgm:pt modelId="{280B3AB5-4999-4B99-8BE9-E09C9DF5D482}" type="pres">
      <dgm:prSet presAssocID="{2F72DDEE-62D3-48A5-836A-4C87596541F0}" presName="connTx" presStyleLbl="parChTrans1D2" presStyleIdx="8" presStyleCnt="13"/>
      <dgm:spPr/>
      <dgm:t>
        <a:bodyPr/>
        <a:lstStyle/>
        <a:p>
          <a:endParaRPr lang="en-US"/>
        </a:p>
      </dgm:t>
    </dgm:pt>
    <dgm:pt modelId="{402B25BB-F397-46B5-AAB7-C38C2276BF82}" type="pres">
      <dgm:prSet presAssocID="{44FBC2E2-D754-42C1-BEE4-690296442511}" presName="node" presStyleLbl="node1" presStyleIdx="8" presStyleCnt="13" custScaleX="289166" custScaleY="112559" custRadScaleRad="164649" custRadScaleInc="142997">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3"/>
      <dgm:spPr>
        <a:custGeom>
          <a:avLst/>
          <a:gdLst/>
          <a:ahLst/>
          <a:cxnLst/>
          <a:rect l="0" t="0" r="0" b="0"/>
          <a:pathLst>
            <a:path>
              <a:moveTo>
                <a:pt x="0" y="6736"/>
              </a:moveTo>
              <a:lnTo>
                <a:pt x="1201111" y="6736"/>
              </a:lnTo>
            </a:path>
          </a:pathLst>
        </a:custGeom>
      </dgm:spPr>
      <dgm:t>
        <a:bodyPr/>
        <a:lstStyle/>
        <a:p>
          <a:endParaRPr lang="en-US"/>
        </a:p>
      </dgm:t>
    </dgm:pt>
    <dgm:pt modelId="{A140118B-14B1-45A7-9CF9-17E4D006F84D}" type="pres">
      <dgm:prSet presAssocID="{B4A5C031-92B2-438E-80BC-EAA05F5C7CF7}" presName="connTx" presStyleLbl="parChTrans1D2" presStyleIdx="9" presStyleCnt="13"/>
      <dgm:spPr/>
      <dgm:t>
        <a:bodyPr/>
        <a:lstStyle/>
        <a:p>
          <a:endParaRPr lang="en-US"/>
        </a:p>
      </dgm:t>
    </dgm:pt>
    <dgm:pt modelId="{5AF8D9AC-0C15-4D1B-BCD3-7FFCFF0A581D}" type="pres">
      <dgm:prSet presAssocID="{D460D018-736B-4CE5-A14B-061F8EFE829B}" presName="node" presStyleLbl="node1" presStyleIdx="9" presStyleCnt="13" custScaleX="246395" custScaleY="122404" custRadScaleRad="189848" custRadScaleInc="70759">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3"/>
      <dgm:spPr>
        <a:custGeom>
          <a:avLst/>
          <a:gdLst/>
          <a:ahLst/>
          <a:cxnLst/>
          <a:rect l="0" t="0" r="0" b="0"/>
          <a:pathLst>
            <a:path>
              <a:moveTo>
                <a:pt x="0" y="6736"/>
              </a:moveTo>
              <a:lnTo>
                <a:pt x="1208775" y="6736"/>
              </a:lnTo>
            </a:path>
          </a:pathLst>
        </a:custGeom>
      </dgm:spPr>
      <dgm:t>
        <a:bodyPr/>
        <a:lstStyle/>
        <a:p>
          <a:endParaRPr lang="en-US"/>
        </a:p>
      </dgm:t>
    </dgm:pt>
    <dgm:pt modelId="{282CA825-226C-4E92-9F37-4F68B159DB24}" type="pres">
      <dgm:prSet presAssocID="{98B9F8AD-7347-45A5-BC2B-65EB3DDF63CC}" presName="connTx" presStyleLbl="parChTrans1D2" presStyleIdx="10" presStyleCnt="13"/>
      <dgm:spPr/>
      <dgm:t>
        <a:bodyPr/>
        <a:lstStyle/>
        <a:p>
          <a:endParaRPr lang="en-US"/>
        </a:p>
      </dgm:t>
    </dgm:pt>
    <dgm:pt modelId="{A86195D8-E78B-4F8B-B1C4-EFBBA8999B88}" type="pres">
      <dgm:prSet presAssocID="{D65A13E9-3C79-4155-B943-C33E81DAC317}" presName="node" presStyleLbl="node1" presStyleIdx="10" presStyleCnt="13" custScaleX="274014" custScaleY="119055" custRadScaleRad="192992" custRadScaleInc="-13925">
        <dgm:presLayoutVars>
          <dgm:bulletEnabled val="1"/>
        </dgm:presLayoutVars>
      </dgm:prSet>
      <dgm:spPr>
        <a:prstGeom prst="ellipse">
          <a:avLst/>
        </a:prstGeom>
      </dgm:spPr>
      <dgm:t>
        <a:bodyPr/>
        <a:lstStyle/>
        <a:p>
          <a:endParaRPr lang="en-US"/>
        </a:p>
      </dgm:t>
    </dgm:pt>
    <dgm:pt modelId="{155F429B-0A10-4501-ADF1-CAD1F85BB50E}" type="pres">
      <dgm:prSet presAssocID="{6BB491DD-4CE9-49F2-B4D3-F1DB91178D32}" presName="Name9" presStyleLbl="parChTrans1D2" presStyleIdx="11" presStyleCnt="13"/>
      <dgm:spPr>
        <a:custGeom>
          <a:avLst/>
          <a:gdLst/>
          <a:ahLst/>
          <a:cxnLst/>
          <a:rect l="0" t="0" r="0" b="0"/>
          <a:pathLst>
            <a:path>
              <a:moveTo>
                <a:pt x="0" y="6736"/>
              </a:moveTo>
              <a:lnTo>
                <a:pt x="814517" y="6736"/>
              </a:lnTo>
            </a:path>
          </a:pathLst>
        </a:custGeom>
      </dgm:spPr>
      <dgm:t>
        <a:bodyPr/>
        <a:lstStyle/>
        <a:p>
          <a:endParaRPr lang="en-US"/>
        </a:p>
      </dgm:t>
    </dgm:pt>
    <dgm:pt modelId="{8C19F320-E7BE-4A6B-961D-98CF34160A4C}" type="pres">
      <dgm:prSet presAssocID="{6BB491DD-4CE9-49F2-B4D3-F1DB91178D32}" presName="connTx" presStyleLbl="parChTrans1D2" presStyleIdx="11" presStyleCnt="13"/>
      <dgm:spPr/>
      <dgm:t>
        <a:bodyPr/>
        <a:lstStyle/>
        <a:p>
          <a:endParaRPr lang="en-US"/>
        </a:p>
      </dgm:t>
    </dgm:pt>
    <dgm:pt modelId="{04A81C5D-1DF3-47DF-8447-322057132F11}" type="pres">
      <dgm:prSet presAssocID="{B5C2DFB0-7F22-4F16-BFC5-827634DBBB86}" presName="node" presStyleLbl="node1" presStyleIdx="11" presStyleCnt="13" custScaleX="338185" custScaleY="125140" custRadScaleRad="177954" custRadScaleInc="-98797">
        <dgm:presLayoutVars>
          <dgm:bulletEnabled val="1"/>
        </dgm:presLayoutVars>
      </dgm:prSet>
      <dgm:spPr>
        <a:prstGeom prst="ellipse">
          <a:avLst/>
        </a:prstGeom>
      </dgm:spPr>
      <dgm:t>
        <a:bodyPr/>
        <a:lstStyle/>
        <a:p>
          <a:endParaRPr lang="en-US"/>
        </a:p>
      </dgm:t>
    </dgm:pt>
    <dgm:pt modelId="{07626F90-5E5B-4542-8477-FA8EC79C1C08}" type="pres">
      <dgm:prSet presAssocID="{03C6D9DD-4F1D-48D8-9EA9-DC5D7E63CDBB}" presName="Name9" presStyleLbl="parChTrans1D2" presStyleIdx="12" presStyleCnt="13"/>
      <dgm:spPr>
        <a:custGeom>
          <a:avLst/>
          <a:gdLst/>
          <a:ahLst/>
          <a:cxnLst/>
          <a:rect l="0" t="0" r="0" b="0"/>
          <a:pathLst>
            <a:path>
              <a:moveTo>
                <a:pt x="0" y="6736"/>
              </a:moveTo>
              <a:lnTo>
                <a:pt x="814517" y="6736"/>
              </a:lnTo>
            </a:path>
          </a:pathLst>
        </a:custGeom>
      </dgm:spPr>
      <dgm:t>
        <a:bodyPr/>
        <a:lstStyle/>
        <a:p>
          <a:endParaRPr lang="en-US"/>
        </a:p>
      </dgm:t>
    </dgm:pt>
    <dgm:pt modelId="{E4C33703-67F3-4A6C-A902-9CE09AE9762B}" type="pres">
      <dgm:prSet presAssocID="{03C6D9DD-4F1D-48D8-9EA9-DC5D7E63CDBB}" presName="connTx" presStyleLbl="parChTrans1D2" presStyleIdx="12" presStyleCnt="13"/>
      <dgm:spPr/>
      <dgm:t>
        <a:bodyPr/>
        <a:lstStyle/>
        <a:p>
          <a:endParaRPr lang="en-US"/>
        </a:p>
      </dgm:t>
    </dgm:pt>
    <dgm:pt modelId="{452642F4-B2C3-42F3-B0AD-F1619C09E03C}" type="pres">
      <dgm:prSet presAssocID="{4ABE2A6F-D50A-4F1F-9508-C682E876078C}" presName="node" presStyleLbl="node1" presStyleIdx="12" presStyleCnt="13" custScaleX="262738" custScaleY="93972" custRadScaleRad="131655" custRadScaleInc="-114231">
        <dgm:presLayoutVars>
          <dgm:bulletEnabled val="1"/>
        </dgm:presLayoutVars>
      </dgm:prSet>
      <dgm:spPr>
        <a:prstGeom prst="ellipse">
          <a:avLst/>
        </a:prstGeom>
      </dgm:spPr>
      <dgm:t>
        <a:bodyPr/>
        <a:lstStyle/>
        <a:p>
          <a:endParaRPr lang="en-US"/>
        </a:p>
      </dgm:t>
    </dgm:pt>
  </dgm:ptLst>
  <dgm:cxnLst>
    <dgm:cxn modelId="{8157E9DB-45B2-4574-834B-4E41B16F1D9A}" type="presOf" srcId="{D981426F-5B7B-4AA5-957A-6E8C9E1A2487}" destId="{9D8B49BD-1DF7-4888-9A7E-2CFD4320CC2B}" srcOrd="0" destOrd="0" presId="urn:microsoft.com/office/officeart/2005/8/layout/radial1"/>
    <dgm:cxn modelId="{77B1F44F-F6AD-49C4-9CD4-D3E8407DB596}" type="presOf" srcId="{14602118-D739-48CC-85E0-791974AFA995}" destId="{DB594876-4070-4577-942D-67F5CD4D6A19}"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A93C1B4A-74B5-4343-AF12-0C2C4D914189}" srcId="{A7516A72-1FC0-46ED-AAC4-AF0F7063F737}" destId="{898446A3-EA8C-4C13-8A65-DF8A110D0838}" srcOrd="1" destOrd="0" parTransId="{DB9FEC62-86A7-454A-89B3-F32F1907C71A}" sibTransId="{E56928EA-8406-4998-BE40-3F4796EA5932}"/>
    <dgm:cxn modelId="{24B8DCF3-592A-4543-AD1A-C9B1322A0664}" type="presOf" srcId="{BA28F4A6-AD16-499D-88C1-DBE004B28175}" destId="{B06AADB2-5D51-41DC-8677-C0CC2357518B}" srcOrd="1" destOrd="0" presId="urn:microsoft.com/office/officeart/2005/8/layout/radial1"/>
    <dgm:cxn modelId="{731BE84C-6C75-4F93-B7DB-791615625E52}" type="presOf" srcId="{98B9F8AD-7347-45A5-BC2B-65EB3DDF63CC}" destId="{282CA825-226C-4E92-9F37-4F68B159DB24}" srcOrd="1" destOrd="0" presId="urn:microsoft.com/office/officeart/2005/8/layout/radial1"/>
    <dgm:cxn modelId="{53B81435-61FF-4B1F-95D6-FF2C3A2A7FDD}" type="presOf" srcId="{DB0D84B1-C440-4746-9EEF-F1ED71D64DD2}" destId="{66DADE40-99AE-41BE-B997-129EED231064}" srcOrd="0"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7B8AAFEF-AB78-41F4-9D84-24ECE99ACC08}" type="presOf" srcId="{D22DE764-173E-47DF-9480-722F8D8EA62C}" destId="{48797E66-4F8B-4B79-BCA7-6F88E85CF835}" srcOrd="1" destOrd="0" presId="urn:microsoft.com/office/officeart/2005/8/layout/radial1"/>
    <dgm:cxn modelId="{19BDC298-80EC-416F-AD9C-AA915539E54C}" type="presOf" srcId="{F0FE4372-65E6-4D92-B9B0-D2B79F26FB27}" destId="{ECD2D13D-466C-468B-BD6C-1B646D8E5B8E}" srcOrd="0" destOrd="0" presId="urn:microsoft.com/office/officeart/2005/8/layout/radial1"/>
    <dgm:cxn modelId="{DF9EB478-C224-42F7-822E-5C2EA98D82E9}" srcId="{A7516A72-1FC0-46ED-AAC4-AF0F7063F737}" destId="{D65A13E9-3C79-4155-B943-C33E81DAC317}" srcOrd="10" destOrd="0" parTransId="{98B9F8AD-7347-45A5-BC2B-65EB3DDF63CC}" sibTransId="{65C76345-3C56-4B13-AF62-A1F968209579}"/>
    <dgm:cxn modelId="{CC4A9DC8-152D-4D43-8244-2BDF3DA96DDC}" type="presOf" srcId="{98585C11-761C-43C4-979D-FB1B8BABF102}" destId="{B930024E-8665-4782-9C41-36517A71FCD4}" srcOrd="1"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345C13DF-1D3F-4982-AF23-DC2641540559}" srcId="{A7516A72-1FC0-46ED-AAC4-AF0F7063F737}" destId="{7C1FA040-4399-40F0-866F-845B7914F68D}" srcOrd="6" destOrd="0" parTransId="{98585C11-761C-43C4-979D-FB1B8BABF102}" sibTransId="{82A7CC90-6A4C-422A-B221-BA4CF5B4D442}"/>
    <dgm:cxn modelId="{9D527CF2-F937-4843-BB1C-144F91FECA6B}" type="presOf" srcId="{B5C2DFB0-7F22-4F16-BFC5-827634DBBB86}" destId="{04A81C5D-1DF3-47DF-8447-322057132F11}" srcOrd="0" destOrd="0" presId="urn:microsoft.com/office/officeart/2005/8/layout/radial1"/>
    <dgm:cxn modelId="{B8C8F081-189D-4DF8-BB84-84F7CB7A7A60}" type="presOf" srcId="{3F89048A-3F9F-4897-8631-4599F4976029}" destId="{32B4D7AF-BD29-4AC4-BA11-37F2AE9561F4}" srcOrd="1" destOrd="0" presId="urn:microsoft.com/office/officeart/2005/8/layout/radial1"/>
    <dgm:cxn modelId="{FF801D77-FDB2-433E-AC7D-D773847A2802}" type="presOf" srcId="{6BB491DD-4CE9-49F2-B4D3-F1DB91178D32}" destId="{155F429B-0A10-4501-ADF1-CAD1F85BB50E}" srcOrd="0" destOrd="0" presId="urn:microsoft.com/office/officeart/2005/8/layout/radial1"/>
    <dgm:cxn modelId="{F8FAE453-D485-444C-948E-B43764EB230F}" type="presOf" srcId="{7C1FA040-4399-40F0-866F-845B7914F68D}" destId="{69F18085-0AC3-4BAE-9B16-F8478FFBD61E}" srcOrd="0" destOrd="0" presId="urn:microsoft.com/office/officeart/2005/8/layout/radial1"/>
    <dgm:cxn modelId="{DA9CABB6-939B-4C52-B572-D6D063C355DD}" type="presOf" srcId="{D22DE764-173E-47DF-9480-722F8D8EA62C}" destId="{5CF8296B-0142-429D-A71A-20799D2EB74B}" srcOrd="0" destOrd="0" presId="urn:microsoft.com/office/officeart/2005/8/layout/radial1"/>
    <dgm:cxn modelId="{9259FBF2-F675-4534-BA0D-0526B3651462}" type="presOf" srcId="{898446A3-EA8C-4C13-8A65-DF8A110D0838}" destId="{D9366F31-B7D7-4B43-830C-AD5E2193A794}" srcOrd="0" destOrd="0" presId="urn:microsoft.com/office/officeart/2005/8/layout/radial1"/>
    <dgm:cxn modelId="{5B0A24F8-E075-4410-AC19-4286645A6D28}" type="presOf" srcId="{D94B5549-C2D2-4629-ACDF-33C6E334FA3A}" destId="{3F0F15B6-4D5A-493B-B03E-AE8141DC3DCE}" srcOrd="0" destOrd="0" presId="urn:microsoft.com/office/officeart/2005/8/layout/radial1"/>
    <dgm:cxn modelId="{A3D6A0F0-2D4B-4084-BFFF-7AD1CFC80130}" type="presOf" srcId="{6DAE892F-3F2D-42A5-BB1C-58D0E6BD9A47}" destId="{7E7DDE23-6C04-407D-AAB6-669511EA704E}" srcOrd="0" destOrd="0" presId="urn:microsoft.com/office/officeart/2005/8/layout/radial1"/>
    <dgm:cxn modelId="{4A25A781-489B-47D1-B9B4-C9A35CC097BC}" type="presOf" srcId="{98B9F8AD-7347-45A5-BC2B-65EB3DDF63CC}" destId="{701CC827-3AE5-4421-983B-6398C783C82F}" srcOrd="0" destOrd="0" presId="urn:microsoft.com/office/officeart/2005/8/layout/radial1"/>
    <dgm:cxn modelId="{008376F2-4A6D-4E70-88E7-B27020AD2CAF}" type="presOf" srcId="{D65A13E9-3C79-4155-B943-C33E81DAC317}" destId="{A86195D8-E78B-4F8B-B1C4-EFBBA8999B88}" srcOrd="0" destOrd="0" presId="urn:microsoft.com/office/officeart/2005/8/layout/radial1"/>
    <dgm:cxn modelId="{BEDEB9ED-F8D3-4F9D-9CD7-8310BE6F8EF6}" type="presOf" srcId="{9E510621-404D-46D6-8EB3-39712C8626D4}" destId="{0D3BFC0A-5ED4-4CCF-A336-A529B3363890}" srcOrd="1"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1229807D-6A59-498C-A707-9DD6CEEA0C8D}" srcId="{A7516A72-1FC0-46ED-AAC4-AF0F7063F737}" destId="{F0FE4372-65E6-4D92-B9B0-D2B79F26FB27}" srcOrd="2" destOrd="0" parTransId="{D94B5549-C2D2-4629-ACDF-33C6E334FA3A}" sibTransId="{E2B06661-55BE-4022-AD18-067DB2509F93}"/>
    <dgm:cxn modelId="{82935AB3-C081-4D7F-95F4-E5D40926A6C3}" type="presOf" srcId="{3F89048A-3F9F-4897-8631-4599F4976029}" destId="{4DF1B0BE-A63A-4BEA-9EE5-4168481CC99E}" srcOrd="0" destOrd="0" presId="urn:microsoft.com/office/officeart/2005/8/layout/radial1"/>
    <dgm:cxn modelId="{08E24CEA-6EFF-4F51-91A9-35E2F4F777E0}" type="presOf" srcId="{B4A5C031-92B2-438E-80BC-EAA05F5C7CF7}" destId="{EFB9CB5A-411C-454B-96B1-9ED988829CBE}" srcOrd="0" destOrd="0" presId="urn:microsoft.com/office/officeart/2005/8/layout/radial1"/>
    <dgm:cxn modelId="{5B4AB6D7-DCFE-4717-9215-3BF691F49B1E}" type="presOf" srcId="{68A5766F-115C-487E-B7CB-4ADE150678D1}" destId="{AFD0CC05-9AD4-4A51-8739-4FB4CA1E4ACE}" srcOrd="0" destOrd="0" presId="urn:microsoft.com/office/officeart/2005/8/layout/radial1"/>
    <dgm:cxn modelId="{B4838B78-B19C-47CF-B977-32CF3C28EB5B}" type="presOf" srcId="{DB9FEC62-86A7-454A-89B3-F32F1907C71A}" destId="{A8CF68B1-7D91-429E-8C8D-53007288E1DC}" srcOrd="1" destOrd="0" presId="urn:microsoft.com/office/officeart/2005/8/layout/radial1"/>
    <dgm:cxn modelId="{974EC1C2-4564-4040-910D-3CE591B82ACC}" type="presOf" srcId="{2F72DDEE-62D3-48A5-836A-4C87596541F0}" destId="{7B59CB2C-C82F-41EE-B3CF-ADD4878ADBA6}" srcOrd="0" destOrd="0" presId="urn:microsoft.com/office/officeart/2005/8/layout/radial1"/>
    <dgm:cxn modelId="{B4EC884D-E1F0-4922-AD12-2EFF798E7FB0}" type="presOf" srcId="{2628F477-2289-4CEE-9618-96DDAFCD4291}" destId="{49C45DFA-0A15-4DAA-80DC-CAE4ABCC6B43}" srcOrd="0" destOrd="0" presId="urn:microsoft.com/office/officeart/2005/8/layout/radial1"/>
    <dgm:cxn modelId="{574F0504-5CB9-4E54-9AE1-7AD6357F092E}" type="presOf" srcId="{B4A5C031-92B2-438E-80BC-EAA05F5C7CF7}" destId="{A140118B-14B1-45A7-9CF9-17E4D006F84D}" srcOrd="1" destOrd="0" presId="urn:microsoft.com/office/officeart/2005/8/layout/radial1"/>
    <dgm:cxn modelId="{E5DD3C3F-F401-46C8-9D1F-CEE8478EFA81}" srcId="{A7516A72-1FC0-46ED-AAC4-AF0F7063F737}" destId="{2628F477-2289-4CEE-9618-96DDAFCD4291}" srcOrd="7" destOrd="0" parTransId="{DEF73824-C893-4963-9504-7E97D2FF5253}" sibTransId="{6D6ABE48-6FEB-4EAA-849C-585AC08FCF5B}"/>
    <dgm:cxn modelId="{EFE85503-1BC4-4E09-A477-EA1A23DF1506}" type="presOf" srcId="{DEF73824-C893-4963-9504-7E97D2FF5253}" destId="{FCC14444-D5E7-4E9C-B980-A27CD799E442}" srcOrd="0" destOrd="0" presId="urn:microsoft.com/office/officeart/2005/8/layout/radial1"/>
    <dgm:cxn modelId="{520AA72B-BE3B-4980-97BD-06C38A3856FE}" type="presOf" srcId="{03C6D9DD-4F1D-48D8-9EA9-DC5D7E63CDBB}" destId="{E4C33703-67F3-4A6C-A902-9CE09AE9762B}" srcOrd="1" destOrd="0" presId="urn:microsoft.com/office/officeart/2005/8/layout/radial1"/>
    <dgm:cxn modelId="{515CCA29-A23B-49F2-B003-A3C79FCD08B7}" type="presOf" srcId="{D460D018-736B-4CE5-A14B-061F8EFE829B}" destId="{5AF8D9AC-0C15-4D1B-BCD3-7FFCFF0A581D}" srcOrd="0" destOrd="0" presId="urn:microsoft.com/office/officeart/2005/8/layout/radial1"/>
    <dgm:cxn modelId="{D751903B-E183-4F32-A496-50F6CAB5DED3}" type="presOf" srcId="{03C6D9DD-4F1D-48D8-9EA9-DC5D7E63CDBB}" destId="{07626F90-5E5B-4542-8477-FA8EC79C1C08}" srcOrd="0" destOrd="0" presId="urn:microsoft.com/office/officeart/2005/8/layout/radial1"/>
    <dgm:cxn modelId="{3A412374-68D0-4AA0-8849-C9D8396356E1}" type="presOf" srcId="{D94B5549-C2D2-4629-ACDF-33C6E334FA3A}" destId="{905DF954-A0B6-4A5F-9CE2-F1C3ADBDD0C1}" srcOrd="1" destOrd="0" presId="urn:microsoft.com/office/officeart/2005/8/layout/radial1"/>
    <dgm:cxn modelId="{3D58080B-8808-4866-B97C-1AD8163F4284}" type="presOf" srcId="{9E510621-404D-46D6-8EB3-39712C8626D4}" destId="{DC281168-2DBC-4CFB-B21D-C54E9628B383}" srcOrd="0" destOrd="0" presId="urn:microsoft.com/office/officeart/2005/8/layout/radial1"/>
    <dgm:cxn modelId="{B05C34E3-FE0E-484C-8B1F-F7289CF222DC}" srcId="{A7516A72-1FC0-46ED-AAC4-AF0F7063F737}" destId="{4ABE2A6F-D50A-4F1F-9508-C682E876078C}" srcOrd="12" destOrd="0" parTransId="{03C6D9DD-4F1D-48D8-9EA9-DC5D7E63CDBB}" sibTransId="{80311882-55B5-48CF-ABDB-87F2C18E5C28}"/>
    <dgm:cxn modelId="{6732D7BE-9F12-498C-AF1A-972296927308}" type="presOf" srcId="{98585C11-761C-43C4-979D-FB1B8BABF102}" destId="{E49C447F-3477-4311-B10B-FFFA7DE7209F}" srcOrd="0"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309918BA-BF01-4327-A64B-8AEA645F40EA}" type="presOf" srcId="{DEF73824-C893-4963-9504-7E97D2FF5253}" destId="{3EA6B60F-F2E8-4D48-9EC1-CAAE09243949}" srcOrd="1" destOrd="0" presId="urn:microsoft.com/office/officeart/2005/8/layout/radial1"/>
    <dgm:cxn modelId="{2ECCDC13-EC8A-4CDD-946A-69CD594BA995}" type="presOf" srcId="{DB9FEC62-86A7-454A-89B3-F32F1907C71A}" destId="{34515D96-C834-4D67-AF5C-3B293601CBC3}" srcOrd="0" destOrd="0" presId="urn:microsoft.com/office/officeart/2005/8/layout/radial1"/>
    <dgm:cxn modelId="{B044C641-F93C-4606-B39B-21E9A0AC4C82}" type="presOf" srcId="{4ABE2A6F-D50A-4F1F-9508-C682E876078C}" destId="{452642F4-B2C3-42F3-B0AD-F1619C09E03C}" srcOrd="0" destOrd="0" presId="urn:microsoft.com/office/officeart/2005/8/layout/radial1"/>
    <dgm:cxn modelId="{8A6B34CA-4425-4139-A81C-4B9462743FF5}" type="presOf" srcId="{44FBC2E2-D754-42C1-BEE4-690296442511}" destId="{402B25BB-F397-46B5-AAB7-C38C2276BF82}" srcOrd="0" destOrd="0" presId="urn:microsoft.com/office/officeart/2005/8/layout/radial1"/>
    <dgm:cxn modelId="{995CF8D1-4BF5-4F86-9B58-5047CF3CBA94}" srcId="{A7516A72-1FC0-46ED-AAC4-AF0F7063F737}" destId="{B5C2DFB0-7F22-4F16-BFC5-827634DBBB86}" srcOrd="11" destOrd="0" parTransId="{6BB491DD-4CE9-49F2-B4D3-F1DB91178D32}" sibTransId="{7995F378-0A86-44D0-AD56-ADCA8BB5C969}"/>
    <dgm:cxn modelId="{1BF2240B-C353-4831-8DC9-744CF8023562}" type="presOf" srcId="{6BB491DD-4CE9-49F2-B4D3-F1DB91178D32}" destId="{8C19F320-E7BE-4A6B-961D-98CF34160A4C}" srcOrd="1"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631F65ED-CE3E-4AF1-96D4-D1B08192C3F6}" type="presOf" srcId="{BA28F4A6-AD16-499D-88C1-DBE004B28175}" destId="{E6ACA703-0949-41B3-BE6B-C702E5C7275F}" srcOrd="0" destOrd="0" presId="urn:microsoft.com/office/officeart/2005/8/layout/radial1"/>
    <dgm:cxn modelId="{A975D5BF-DC2D-4056-8759-AA1057476A44}" type="presOf" srcId="{2F72DDEE-62D3-48A5-836A-4C87596541F0}" destId="{280B3AB5-4999-4B99-8BE9-E09C9DF5D482}" srcOrd="1" destOrd="0" presId="urn:microsoft.com/office/officeart/2005/8/layout/radial1"/>
    <dgm:cxn modelId="{FE1169E0-24DF-4FBB-A1C9-8F332C85663A}" srcId="{A7516A72-1FC0-46ED-AAC4-AF0F7063F737}" destId="{6DAE892F-3F2D-42A5-BB1C-58D0E6BD9A47}" srcOrd="3" destOrd="0" parTransId="{D22DE764-173E-47DF-9480-722F8D8EA62C}" sibTransId="{28BD2EB6-8814-456D-B684-C7C0E2C0705F}"/>
    <dgm:cxn modelId="{6D49DA7C-C902-4868-AEA8-623210C873FD}" type="presOf" srcId="{A7516A72-1FC0-46ED-AAC4-AF0F7063F737}" destId="{493DA7EC-5D69-41B7-92E4-ED7ED9F48883}" srcOrd="0" destOrd="0" presId="urn:microsoft.com/office/officeart/2005/8/layout/radial1"/>
    <dgm:cxn modelId="{46C05F58-E970-4415-88B1-61AD4B0FA91F}" type="presParOf" srcId="{9D8B49BD-1DF7-4888-9A7E-2CFD4320CC2B}" destId="{493DA7EC-5D69-41B7-92E4-ED7ED9F48883}" srcOrd="0" destOrd="0" presId="urn:microsoft.com/office/officeart/2005/8/layout/radial1"/>
    <dgm:cxn modelId="{2731B982-56BA-43C1-B07B-F163D0BD9E05}" type="presParOf" srcId="{9D8B49BD-1DF7-4888-9A7E-2CFD4320CC2B}" destId="{E6ACA703-0949-41B3-BE6B-C702E5C7275F}" srcOrd="1" destOrd="0" presId="urn:microsoft.com/office/officeart/2005/8/layout/radial1"/>
    <dgm:cxn modelId="{DB917D52-868E-4DDB-8761-BE8D4D231A12}" type="presParOf" srcId="{E6ACA703-0949-41B3-BE6B-C702E5C7275F}" destId="{B06AADB2-5D51-41DC-8677-C0CC2357518B}" srcOrd="0" destOrd="0" presId="urn:microsoft.com/office/officeart/2005/8/layout/radial1"/>
    <dgm:cxn modelId="{4D464ECD-946C-4421-8FA5-426AA9DCF4DF}" type="presParOf" srcId="{9D8B49BD-1DF7-4888-9A7E-2CFD4320CC2B}" destId="{AFD0CC05-9AD4-4A51-8739-4FB4CA1E4ACE}" srcOrd="2" destOrd="0" presId="urn:microsoft.com/office/officeart/2005/8/layout/radial1"/>
    <dgm:cxn modelId="{4910C4E5-AB37-4B77-B175-BFE105E125E9}" type="presParOf" srcId="{9D8B49BD-1DF7-4888-9A7E-2CFD4320CC2B}" destId="{34515D96-C834-4D67-AF5C-3B293601CBC3}" srcOrd="3" destOrd="0" presId="urn:microsoft.com/office/officeart/2005/8/layout/radial1"/>
    <dgm:cxn modelId="{FC782953-5714-4C66-B181-F919EDBD1BA7}" type="presParOf" srcId="{34515D96-C834-4D67-AF5C-3B293601CBC3}" destId="{A8CF68B1-7D91-429E-8C8D-53007288E1DC}" srcOrd="0" destOrd="0" presId="urn:microsoft.com/office/officeart/2005/8/layout/radial1"/>
    <dgm:cxn modelId="{80D0261B-7187-4180-B301-D660F0FD60C0}" type="presParOf" srcId="{9D8B49BD-1DF7-4888-9A7E-2CFD4320CC2B}" destId="{D9366F31-B7D7-4B43-830C-AD5E2193A794}" srcOrd="4" destOrd="0" presId="urn:microsoft.com/office/officeart/2005/8/layout/radial1"/>
    <dgm:cxn modelId="{DC04EA37-D6DD-45FC-B18D-4433199D4D4B}" type="presParOf" srcId="{9D8B49BD-1DF7-4888-9A7E-2CFD4320CC2B}" destId="{3F0F15B6-4D5A-493B-B03E-AE8141DC3DCE}" srcOrd="5" destOrd="0" presId="urn:microsoft.com/office/officeart/2005/8/layout/radial1"/>
    <dgm:cxn modelId="{7F52F3AC-6EDF-4AE7-A936-7151D2870550}" type="presParOf" srcId="{3F0F15B6-4D5A-493B-B03E-AE8141DC3DCE}" destId="{905DF954-A0B6-4A5F-9CE2-F1C3ADBDD0C1}" srcOrd="0" destOrd="0" presId="urn:microsoft.com/office/officeart/2005/8/layout/radial1"/>
    <dgm:cxn modelId="{CB379F68-EBE0-4493-84CF-8DB254F3843D}" type="presParOf" srcId="{9D8B49BD-1DF7-4888-9A7E-2CFD4320CC2B}" destId="{ECD2D13D-466C-468B-BD6C-1B646D8E5B8E}" srcOrd="6" destOrd="0" presId="urn:microsoft.com/office/officeart/2005/8/layout/radial1"/>
    <dgm:cxn modelId="{9C0C1642-542C-4298-9609-6DB45FA875D3}" type="presParOf" srcId="{9D8B49BD-1DF7-4888-9A7E-2CFD4320CC2B}" destId="{5CF8296B-0142-429D-A71A-20799D2EB74B}" srcOrd="7" destOrd="0" presId="urn:microsoft.com/office/officeart/2005/8/layout/radial1"/>
    <dgm:cxn modelId="{0A7BD35E-6B06-467A-8FEE-D6DE094EE210}" type="presParOf" srcId="{5CF8296B-0142-429D-A71A-20799D2EB74B}" destId="{48797E66-4F8B-4B79-BCA7-6F88E85CF835}" srcOrd="0" destOrd="0" presId="urn:microsoft.com/office/officeart/2005/8/layout/radial1"/>
    <dgm:cxn modelId="{FF0444ED-3FC3-463E-AD7D-6296B203CF08}" type="presParOf" srcId="{9D8B49BD-1DF7-4888-9A7E-2CFD4320CC2B}" destId="{7E7DDE23-6C04-407D-AAB6-669511EA704E}" srcOrd="8" destOrd="0" presId="urn:microsoft.com/office/officeart/2005/8/layout/radial1"/>
    <dgm:cxn modelId="{20462578-17FF-477B-9EAF-2778FF333FCD}" type="presParOf" srcId="{9D8B49BD-1DF7-4888-9A7E-2CFD4320CC2B}" destId="{DC281168-2DBC-4CFB-B21D-C54E9628B383}" srcOrd="9" destOrd="0" presId="urn:microsoft.com/office/officeart/2005/8/layout/radial1"/>
    <dgm:cxn modelId="{BC7AA51C-262B-40E1-8E13-4BBB67F4E9B3}" type="presParOf" srcId="{DC281168-2DBC-4CFB-B21D-C54E9628B383}" destId="{0D3BFC0A-5ED4-4CCF-A336-A529B3363890}" srcOrd="0" destOrd="0" presId="urn:microsoft.com/office/officeart/2005/8/layout/radial1"/>
    <dgm:cxn modelId="{98DE62CF-10DE-4422-B14F-5E1ECC25EC87}" type="presParOf" srcId="{9D8B49BD-1DF7-4888-9A7E-2CFD4320CC2B}" destId="{66DADE40-99AE-41BE-B997-129EED231064}" srcOrd="10" destOrd="0" presId="urn:microsoft.com/office/officeart/2005/8/layout/radial1"/>
    <dgm:cxn modelId="{8731F956-E41C-434D-9CED-39ECC73B05E9}" type="presParOf" srcId="{9D8B49BD-1DF7-4888-9A7E-2CFD4320CC2B}" destId="{4DF1B0BE-A63A-4BEA-9EE5-4168481CC99E}" srcOrd="11" destOrd="0" presId="urn:microsoft.com/office/officeart/2005/8/layout/radial1"/>
    <dgm:cxn modelId="{13AE1621-251C-407B-92EB-86A48A41801E}" type="presParOf" srcId="{4DF1B0BE-A63A-4BEA-9EE5-4168481CC99E}" destId="{32B4D7AF-BD29-4AC4-BA11-37F2AE9561F4}" srcOrd="0" destOrd="0" presId="urn:microsoft.com/office/officeart/2005/8/layout/radial1"/>
    <dgm:cxn modelId="{2D87D4D2-ADEA-4032-B74E-6126E2029DAB}" type="presParOf" srcId="{9D8B49BD-1DF7-4888-9A7E-2CFD4320CC2B}" destId="{DB594876-4070-4577-942D-67F5CD4D6A19}" srcOrd="12" destOrd="0" presId="urn:microsoft.com/office/officeart/2005/8/layout/radial1"/>
    <dgm:cxn modelId="{5B87822A-D162-4884-93A6-8DF62122F661}" type="presParOf" srcId="{9D8B49BD-1DF7-4888-9A7E-2CFD4320CC2B}" destId="{E49C447F-3477-4311-B10B-FFFA7DE7209F}" srcOrd="13" destOrd="0" presId="urn:microsoft.com/office/officeart/2005/8/layout/radial1"/>
    <dgm:cxn modelId="{97EEC2B3-E79C-4923-86BC-1D4D64B431B8}" type="presParOf" srcId="{E49C447F-3477-4311-B10B-FFFA7DE7209F}" destId="{B930024E-8665-4782-9C41-36517A71FCD4}" srcOrd="0" destOrd="0" presId="urn:microsoft.com/office/officeart/2005/8/layout/radial1"/>
    <dgm:cxn modelId="{6F2AB5A7-AA22-465F-A789-02E7B4D1ADEA}" type="presParOf" srcId="{9D8B49BD-1DF7-4888-9A7E-2CFD4320CC2B}" destId="{69F18085-0AC3-4BAE-9B16-F8478FFBD61E}" srcOrd="14" destOrd="0" presId="urn:microsoft.com/office/officeart/2005/8/layout/radial1"/>
    <dgm:cxn modelId="{BC90876E-CF1E-48AB-9418-9BA84B0FDFE3}" type="presParOf" srcId="{9D8B49BD-1DF7-4888-9A7E-2CFD4320CC2B}" destId="{FCC14444-D5E7-4E9C-B980-A27CD799E442}" srcOrd="15" destOrd="0" presId="urn:microsoft.com/office/officeart/2005/8/layout/radial1"/>
    <dgm:cxn modelId="{1EB02403-0735-4E87-BDD4-3A3CE2878E26}" type="presParOf" srcId="{FCC14444-D5E7-4E9C-B980-A27CD799E442}" destId="{3EA6B60F-F2E8-4D48-9EC1-CAAE09243949}" srcOrd="0" destOrd="0" presId="urn:microsoft.com/office/officeart/2005/8/layout/radial1"/>
    <dgm:cxn modelId="{8683C6B2-CEB6-41E6-B548-19148FE25296}" type="presParOf" srcId="{9D8B49BD-1DF7-4888-9A7E-2CFD4320CC2B}" destId="{49C45DFA-0A15-4DAA-80DC-CAE4ABCC6B43}" srcOrd="16" destOrd="0" presId="urn:microsoft.com/office/officeart/2005/8/layout/radial1"/>
    <dgm:cxn modelId="{B9B98D5B-2987-480A-820F-CAABE540834E}" type="presParOf" srcId="{9D8B49BD-1DF7-4888-9A7E-2CFD4320CC2B}" destId="{7B59CB2C-C82F-41EE-B3CF-ADD4878ADBA6}" srcOrd="17" destOrd="0" presId="urn:microsoft.com/office/officeart/2005/8/layout/radial1"/>
    <dgm:cxn modelId="{6836E3D9-7A06-4EE2-BB43-EFA867397B99}" type="presParOf" srcId="{7B59CB2C-C82F-41EE-B3CF-ADD4878ADBA6}" destId="{280B3AB5-4999-4B99-8BE9-E09C9DF5D482}" srcOrd="0" destOrd="0" presId="urn:microsoft.com/office/officeart/2005/8/layout/radial1"/>
    <dgm:cxn modelId="{68718C13-FAE9-4478-974D-4AF2BE99A162}" type="presParOf" srcId="{9D8B49BD-1DF7-4888-9A7E-2CFD4320CC2B}" destId="{402B25BB-F397-46B5-AAB7-C38C2276BF82}" srcOrd="18" destOrd="0" presId="urn:microsoft.com/office/officeart/2005/8/layout/radial1"/>
    <dgm:cxn modelId="{BDEAF0AB-DC96-405C-B833-63DEA67B431E}" type="presParOf" srcId="{9D8B49BD-1DF7-4888-9A7E-2CFD4320CC2B}" destId="{EFB9CB5A-411C-454B-96B1-9ED988829CBE}" srcOrd="19" destOrd="0" presId="urn:microsoft.com/office/officeart/2005/8/layout/radial1"/>
    <dgm:cxn modelId="{F6F0651C-7B8C-492F-829E-07FC75A33715}" type="presParOf" srcId="{EFB9CB5A-411C-454B-96B1-9ED988829CBE}" destId="{A140118B-14B1-45A7-9CF9-17E4D006F84D}" srcOrd="0" destOrd="0" presId="urn:microsoft.com/office/officeart/2005/8/layout/radial1"/>
    <dgm:cxn modelId="{A02EF8CD-EC93-47AF-8D3D-7A462828584E}" type="presParOf" srcId="{9D8B49BD-1DF7-4888-9A7E-2CFD4320CC2B}" destId="{5AF8D9AC-0C15-4D1B-BCD3-7FFCFF0A581D}" srcOrd="20" destOrd="0" presId="urn:microsoft.com/office/officeart/2005/8/layout/radial1"/>
    <dgm:cxn modelId="{92F89124-7A37-46DE-A5BE-ADE42CC2267E}" type="presParOf" srcId="{9D8B49BD-1DF7-4888-9A7E-2CFD4320CC2B}" destId="{701CC827-3AE5-4421-983B-6398C783C82F}" srcOrd="21" destOrd="0" presId="urn:microsoft.com/office/officeart/2005/8/layout/radial1"/>
    <dgm:cxn modelId="{D76D280D-AFC4-48F0-A5A2-8DFA351217CD}" type="presParOf" srcId="{701CC827-3AE5-4421-983B-6398C783C82F}" destId="{282CA825-226C-4E92-9F37-4F68B159DB24}" srcOrd="0" destOrd="0" presId="urn:microsoft.com/office/officeart/2005/8/layout/radial1"/>
    <dgm:cxn modelId="{CB4DF450-752D-4B80-B93B-2460E040EDF8}" type="presParOf" srcId="{9D8B49BD-1DF7-4888-9A7E-2CFD4320CC2B}" destId="{A86195D8-E78B-4F8B-B1C4-EFBBA8999B88}" srcOrd="22" destOrd="0" presId="urn:microsoft.com/office/officeart/2005/8/layout/radial1"/>
    <dgm:cxn modelId="{4BC2A857-89BE-402E-8A74-ADE5163B9D3A}" type="presParOf" srcId="{9D8B49BD-1DF7-4888-9A7E-2CFD4320CC2B}" destId="{155F429B-0A10-4501-ADF1-CAD1F85BB50E}" srcOrd="23" destOrd="0" presId="urn:microsoft.com/office/officeart/2005/8/layout/radial1"/>
    <dgm:cxn modelId="{A9B4A7B2-24B9-4014-8284-6DE08CB2FBC7}" type="presParOf" srcId="{155F429B-0A10-4501-ADF1-CAD1F85BB50E}" destId="{8C19F320-E7BE-4A6B-961D-98CF34160A4C}" srcOrd="0" destOrd="0" presId="urn:microsoft.com/office/officeart/2005/8/layout/radial1"/>
    <dgm:cxn modelId="{78976597-4BF3-417B-BC08-BF6EF0CB994D}" type="presParOf" srcId="{9D8B49BD-1DF7-4888-9A7E-2CFD4320CC2B}" destId="{04A81C5D-1DF3-47DF-8447-322057132F11}" srcOrd="24" destOrd="0" presId="urn:microsoft.com/office/officeart/2005/8/layout/radial1"/>
    <dgm:cxn modelId="{40860123-CD38-4ECF-A984-E69FD1E36A4B}" type="presParOf" srcId="{9D8B49BD-1DF7-4888-9A7E-2CFD4320CC2B}" destId="{07626F90-5E5B-4542-8477-FA8EC79C1C08}" srcOrd="25" destOrd="0" presId="urn:microsoft.com/office/officeart/2005/8/layout/radial1"/>
    <dgm:cxn modelId="{913E7AA7-965F-4E56-9429-F469555A549A}" type="presParOf" srcId="{07626F90-5E5B-4542-8477-FA8EC79C1C08}" destId="{E4C33703-67F3-4A6C-A902-9CE09AE9762B}" srcOrd="0" destOrd="0" presId="urn:microsoft.com/office/officeart/2005/8/layout/radial1"/>
    <dgm:cxn modelId="{8C5CEA82-AFB8-4283-AE5F-0C430DAEBE92}" type="presParOf" srcId="{9D8B49BD-1DF7-4888-9A7E-2CFD4320CC2B}" destId="{452642F4-B2C3-42F3-B0AD-F1619C09E03C}" srcOrd="26" destOrd="0" presId="urn:microsoft.com/office/officeart/2005/8/layout/radial1"/>
  </dgm:cxnLst>
  <dgm:bg>
    <a:noFill/>
  </dgm:bg>
  <dgm:whole/>
  <dgm:extLst>
    <a:ext uri="http://schemas.microsoft.com/office/drawing/2008/diagram">
      <dsp:dataModelExt xmlns:dsp="http://schemas.microsoft.com/office/drawing/2008/diagram" relId="rId12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449918" y="553612"/>
          <a:ext cx="1164549" cy="39529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pPr rtl="1"/>
          <a:endParaRPr lang="en-US"/>
        </a:p>
      </dgm:t>
    </dgm:pt>
    <dgm:pt modelId="{D7DB3476-9C56-4274-B046-F742EA8694F1}" type="parTrans" cxnId="{22CFBE58-87EC-4B70-B1CC-D1D1DB4968C7}">
      <dgm:prSet/>
      <dgm:spPr/>
      <dgm:t>
        <a:bodyPr/>
        <a:lstStyle/>
        <a:p>
          <a:pPr rtl="1"/>
          <a:endParaRPr lang="en-US"/>
        </a:p>
      </dgm:t>
    </dgm:pt>
    <dgm:pt modelId="{4F895710-9C0A-4357-A62A-B00C2B1BB2A2}">
      <dgm:prSet phldrT="[Text]"/>
      <dgm:spPr/>
      <dgm:t>
        <a:bodyPr/>
        <a:lstStyle/>
        <a:p>
          <a:pPr rtl="1"/>
          <a:endParaRPr lang="en-US"/>
        </a:p>
      </dgm:t>
    </dgm:pt>
    <dgm:pt modelId="{A0A859C5-79E5-4C97-AF72-54A6D166EEA1}" type="sibTrans" cxnId="{DA740704-6E02-4402-8325-D0302449434E}">
      <dgm:prSet/>
      <dgm:spPr/>
      <dgm:t>
        <a:bodyPr/>
        <a:lstStyle/>
        <a:p>
          <a:pPr rtl="1"/>
          <a:endParaRPr lang="en-US"/>
        </a:p>
      </dgm:t>
    </dgm:pt>
    <dgm:pt modelId="{4492527F-B2BC-4423-9ACC-2816666249A0}" type="parTrans" cxnId="{DA740704-6E02-4402-8325-D0302449434E}">
      <dgm:prSet/>
      <dgm:spPr/>
      <dgm:t>
        <a:bodyPr/>
        <a:lstStyle/>
        <a:p>
          <a:pPr rtl="1"/>
          <a:endParaRPr lang="en-US"/>
        </a:p>
      </dgm:t>
    </dgm:pt>
    <dgm:pt modelId="{C06C39C9-71B8-489C-9C45-3DD37A424E39}">
      <dgm:prSet phldrT="[Text]" custT="1"/>
      <dgm:spPr>
        <a:xfrm>
          <a:off x="1" y="535927"/>
          <a:ext cx="1410366" cy="43887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pPr rtl="1"/>
          <a:endParaRPr lang="en-US"/>
        </a:p>
      </dgm:t>
    </dgm:pt>
    <dgm:pt modelId="{0FABC453-0A5C-4CAE-813B-F0494A34E025}" type="parTrans" cxnId="{248698A6-055B-40E3-B808-D624056EF2B0}">
      <dgm:prSet/>
      <dgm:spPr>
        <a:xfrm rot="10793938">
          <a:off x="1410356" y="746831"/>
          <a:ext cx="1039571" cy="12744"/>
        </a:xfrm>
        <a:noFill/>
        <a:ln w="9525" cap="flat" cmpd="sng" algn="ctr">
          <a:solidFill>
            <a:srgbClr val="4F81BD">
              <a:shade val="60000"/>
              <a:hueOff val="0"/>
              <a:satOff val="0"/>
              <a:lumOff val="0"/>
              <a:alphaOff val="0"/>
            </a:srgbClr>
          </a:solidFill>
          <a:prstDash val="solid"/>
        </a:ln>
        <a:effectLst/>
      </dgm:spPr>
      <dgm:t>
        <a:bodyPr/>
        <a:lstStyle/>
        <a:p>
          <a:pPr rtl="1"/>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2413417" y="1088021"/>
          <a:ext cx="1235557" cy="3853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pPr rtl="1"/>
          <a:endParaRPr lang="en-US"/>
        </a:p>
      </dgm:t>
    </dgm:pt>
    <dgm:pt modelId="{4693CA52-075F-4BD8-ABEA-5368BE377DDA}" type="parTrans" cxnId="{BF65F824-D4F4-4A84-83B4-6B1944B62AAD}">
      <dgm:prSet/>
      <dgm:spPr>
        <a:xfrm rot="5406477">
          <a:off x="2962132" y="1012091"/>
          <a:ext cx="139115" cy="12744"/>
        </a:xfrm>
        <a:noFill/>
        <a:ln w="9525" cap="flat" cmpd="sng" algn="ctr">
          <a:solidFill>
            <a:srgbClr val="4F81BD">
              <a:shade val="60000"/>
              <a:hueOff val="0"/>
              <a:satOff val="0"/>
              <a:lumOff val="0"/>
              <a:alphaOff val="0"/>
            </a:srgbClr>
          </a:solidFill>
          <a:prstDash val="solid"/>
        </a:ln>
        <a:effectLst/>
      </dgm:spPr>
      <dgm:t>
        <a:bodyPr/>
        <a:lstStyle/>
        <a:p>
          <a:pPr rtl="1"/>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576509" y="527313"/>
          <a:ext cx="1367090" cy="44325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8F12DF7-015F-4F26-950A-DAE493699644}" type="sibTrans" cxnId="{529D05ED-97D5-4116-BE13-DE3D93351F7F}">
      <dgm:prSet/>
      <dgm:spPr/>
      <dgm:t>
        <a:bodyPr/>
        <a:lstStyle/>
        <a:p>
          <a:pPr rtl="1"/>
          <a:endParaRPr lang="en-US"/>
        </a:p>
      </dgm:t>
    </dgm:pt>
    <dgm:pt modelId="{7AF774ED-547E-4C04-8670-B0C1D08C5EE9}" type="parTrans" cxnId="{529D05ED-97D5-4116-BE13-DE3D93351F7F}">
      <dgm:prSet/>
      <dgm:spPr>
        <a:xfrm rot="21596424">
          <a:off x="3614465" y="743781"/>
          <a:ext cx="962047" cy="12744"/>
        </a:xfrm>
        <a:noFill/>
        <a:ln w="9525" cap="flat" cmpd="sng" algn="ctr">
          <a:solidFill>
            <a:srgbClr val="4F81BD">
              <a:shade val="60000"/>
              <a:hueOff val="0"/>
              <a:satOff val="0"/>
              <a:lumOff val="0"/>
              <a:alphaOff val="0"/>
            </a:srgbClr>
          </a:solidFill>
          <a:prstDash val="solid"/>
        </a:ln>
        <a:effectLst/>
      </dgm:spPr>
      <dgm:t>
        <a:bodyPr/>
        <a:lstStyle/>
        <a:p>
          <a:pPr rtl="1"/>
          <a:endParaRPr lang="en-US">
            <a:solidFill>
              <a:sysClr val="windowText" lastClr="000000">
                <a:hueOff val="0"/>
                <a:satOff val="0"/>
                <a:lumOff val="0"/>
                <a:alphaOff val="0"/>
              </a:sysClr>
            </a:solidFill>
            <a:latin typeface="Calibri"/>
            <a:ea typeface="+mn-ea"/>
            <a:cs typeface="+mn-cs"/>
          </a:endParaRPr>
        </a:p>
      </dgm:t>
    </dgm:pt>
    <dgm:pt modelId="{E8B72980-4234-42F0-8A76-7022BE1A23D4}">
      <dgm:prSet phldrT="[Text]" custT="1"/>
      <dgm:spPr>
        <a:xfrm>
          <a:off x="2504062" y="11999"/>
          <a:ext cx="1077879" cy="37281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A15E0A4-5C3C-46EC-813C-B512B6A8F114}" type="parTrans" cxnId="{2D0162FD-7690-42FF-BBB8-1147EFF1D173}">
      <dgm:prSet/>
      <dgm:spPr>
        <a:xfrm rot="16267201">
          <a:off x="2953289" y="462843"/>
          <a:ext cx="168835" cy="12744"/>
        </a:xfrm>
        <a:noFill/>
        <a:ln w="9525" cap="flat" cmpd="sng" algn="ctr">
          <a:solidFill>
            <a:srgbClr val="4F81BD">
              <a:shade val="60000"/>
              <a:hueOff val="0"/>
              <a:satOff val="0"/>
              <a:lumOff val="0"/>
              <a:alphaOff val="0"/>
            </a:srgbClr>
          </a:solidFill>
          <a:prstDash val="solid"/>
        </a:ln>
        <a:effectLst/>
      </dgm:spPr>
      <dgm:t>
        <a:bodyPr/>
        <a:lstStyle/>
        <a:p>
          <a:pPr rtl="1"/>
          <a:endParaRPr lang="en-US">
            <a:solidFill>
              <a:sysClr val="windowText" lastClr="000000">
                <a:hueOff val="0"/>
                <a:satOff val="0"/>
                <a:lumOff val="0"/>
                <a:alphaOff val="0"/>
              </a:sysClr>
            </a:solidFill>
            <a:latin typeface="Calibri"/>
            <a:ea typeface="+mn-ea"/>
            <a:cs typeface="+mn-cs"/>
          </a:endParaRPr>
        </a:p>
      </dgm:t>
    </dgm:pt>
    <dgm:pt modelId="{67FC8A0D-2667-483F-B383-42D270B4AFFA}" type="sibTrans" cxnId="{2D0162FD-7690-42FF-BBB8-1147EFF1D173}">
      <dgm:prSet/>
      <dgm:spPr/>
      <dgm:t>
        <a:bodyPr/>
        <a:lstStyle/>
        <a:p>
          <a:pPr rtl="1"/>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76739" custScaleY="93936" custLinFactNeighborX="4528" custLinFactNeighborY="-432"/>
      <dgm:spPr>
        <a:prstGeom prst="ellipse">
          <a:avLst/>
        </a:prstGeom>
      </dgm:spPr>
      <dgm:t>
        <a:bodyPr/>
        <a:lstStyle/>
        <a:p>
          <a:endParaRPr lang="en-US"/>
        </a:p>
      </dgm:t>
    </dgm:pt>
    <dgm:pt modelId="{4344ACFB-6B44-4AAF-B1DB-49AB3ED02AF7}" type="pres">
      <dgm:prSet presAssocID="{6A15E0A4-5C3C-46EC-813C-B512B6A8F114}" presName="Name9" presStyleLbl="parChTrans1D2" presStyleIdx="0" presStyleCnt="4"/>
      <dgm:spPr>
        <a:custGeom>
          <a:avLst/>
          <a:gdLst/>
          <a:ahLst/>
          <a:cxnLst/>
          <a:rect l="0" t="0" r="0" b="0"/>
          <a:pathLst>
            <a:path>
              <a:moveTo>
                <a:pt x="0" y="6372"/>
              </a:moveTo>
              <a:lnTo>
                <a:pt x="168835" y="6372"/>
              </a:lnTo>
            </a:path>
          </a:pathLst>
        </a:custGeom>
      </dgm:spPr>
      <dgm:t>
        <a:bodyPr/>
        <a:lstStyle/>
        <a:p>
          <a:endParaRPr lang="en-US"/>
        </a:p>
      </dgm:t>
    </dgm:pt>
    <dgm:pt modelId="{2E49232F-4FB2-4DC8-A6DD-3902EF154437}" type="pres">
      <dgm:prSet presAssocID="{6A15E0A4-5C3C-46EC-813C-B512B6A8F114}" presName="connTx" presStyleLbl="parChTrans1D2" presStyleIdx="0" presStyleCnt="4"/>
      <dgm:spPr/>
      <dgm:t>
        <a:bodyPr/>
        <a:lstStyle/>
        <a:p>
          <a:endParaRPr lang="en-US"/>
        </a:p>
      </dgm:t>
    </dgm:pt>
    <dgm:pt modelId="{19ACA16F-4F02-4741-A973-0858AA9E727D}" type="pres">
      <dgm:prSet presAssocID="{E8B72980-4234-42F0-8A76-7022BE1A23D4}" presName="node" presStyleLbl="node1" presStyleIdx="0" presStyleCnt="4" custScaleX="256143" custScaleY="88595" custRadScaleRad="102451" custRadScaleInc="13735">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1" presStyleCnt="4"/>
      <dgm:spPr>
        <a:custGeom>
          <a:avLst/>
          <a:gdLst/>
          <a:ahLst/>
          <a:cxnLst/>
          <a:rect l="0" t="0" r="0" b="0"/>
          <a:pathLst>
            <a:path>
              <a:moveTo>
                <a:pt x="0" y="6372"/>
              </a:moveTo>
              <a:lnTo>
                <a:pt x="962047" y="6372"/>
              </a:lnTo>
            </a:path>
          </a:pathLst>
        </a:custGeom>
      </dgm:spPr>
      <dgm:t>
        <a:bodyPr/>
        <a:lstStyle/>
        <a:p>
          <a:endParaRPr lang="en-US"/>
        </a:p>
      </dgm:t>
    </dgm:pt>
    <dgm:pt modelId="{326412CE-9911-4799-A459-B56F02EB4473}" type="pres">
      <dgm:prSet presAssocID="{7AF774ED-547E-4C04-8670-B0C1D08C5EE9}" presName="connTx" presStyleLbl="parChTrans1D2" presStyleIdx="1" presStyleCnt="4"/>
      <dgm:spPr/>
      <dgm:t>
        <a:bodyPr/>
        <a:lstStyle/>
        <a:p>
          <a:endParaRPr lang="en-US"/>
        </a:p>
      </dgm:t>
    </dgm:pt>
    <dgm:pt modelId="{CED9197C-8322-406B-917C-172FA36E7B76}" type="pres">
      <dgm:prSet presAssocID="{960C5593-E0FF-4AA5-AA0B-E8BDFFBC5E53}" presName="node" presStyleLbl="node1" presStyleIdx="1" presStyleCnt="4" custScaleX="324870" custScaleY="105334" custRadScaleRad="416031" custRadScaleInc="-394">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2" presStyleCnt="4"/>
      <dgm:spPr>
        <a:custGeom>
          <a:avLst/>
          <a:gdLst/>
          <a:ahLst/>
          <a:cxnLst/>
          <a:rect l="0" t="0" r="0" b="0"/>
          <a:pathLst>
            <a:path>
              <a:moveTo>
                <a:pt x="0" y="6372"/>
              </a:moveTo>
              <a:lnTo>
                <a:pt x="139115" y="6372"/>
              </a:lnTo>
            </a:path>
          </a:pathLst>
        </a:custGeom>
      </dgm:spPr>
      <dgm:t>
        <a:bodyPr/>
        <a:lstStyle/>
        <a:p>
          <a:endParaRPr lang="en-US"/>
        </a:p>
      </dgm:t>
    </dgm:pt>
    <dgm:pt modelId="{62A1F741-432F-46BE-AE07-15F0B6D5EA89}" type="pres">
      <dgm:prSet presAssocID="{4693CA52-075F-4BD8-ABEA-5368BE377DDA}" presName="connTx" presStyleLbl="parChTrans1D2" presStyleIdx="2" presStyleCnt="4"/>
      <dgm:spPr/>
      <dgm:t>
        <a:bodyPr/>
        <a:lstStyle/>
        <a:p>
          <a:endParaRPr lang="en-US"/>
        </a:p>
      </dgm:t>
    </dgm:pt>
    <dgm:pt modelId="{035B4C9A-0916-4FCC-A1CF-85DB358A289A}" type="pres">
      <dgm:prSet presAssocID="{4631C2C5-1554-4289-90B0-F2D55D1595B6}" presName="node" presStyleLbl="node1" presStyleIdx="2" presStyleCnt="4" custScaleX="293613" custScaleY="91575" custRadScaleRad="96261" custRadScaleInc="-11754">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3" presStyleCnt="4"/>
      <dgm:spPr>
        <a:custGeom>
          <a:avLst/>
          <a:gdLst/>
          <a:ahLst/>
          <a:cxnLst/>
          <a:rect l="0" t="0" r="0" b="0"/>
          <a:pathLst>
            <a:path>
              <a:moveTo>
                <a:pt x="0" y="6372"/>
              </a:moveTo>
              <a:lnTo>
                <a:pt x="1039571" y="6372"/>
              </a:lnTo>
            </a:path>
          </a:pathLst>
        </a:custGeom>
      </dgm:spPr>
      <dgm:t>
        <a:bodyPr/>
        <a:lstStyle/>
        <a:p>
          <a:endParaRPr lang="en-US"/>
        </a:p>
      </dgm:t>
    </dgm:pt>
    <dgm:pt modelId="{EA4144E0-C5B2-4FC0-BDB2-550B61DB7DFD}" type="pres">
      <dgm:prSet presAssocID="{0FABC453-0A5C-4CAE-813B-F0494A34E025}" presName="connTx" presStyleLbl="parChTrans1D2" presStyleIdx="3" presStyleCnt="4"/>
      <dgm:spPr/>
      <dgm:t>
        <a:bodyPr/>
        <a:lstStyle/>
        <a:p>
          <a:endParaRPr lang="en-US"/>
        </a:p>
      </dgm:t>
    </dgm:pt>
    <dgm:pt modelId="{0FAF3FA1-8E6C-455E-B189-A468B3F4D8BC}" type="pres">
      <dgm:prSet presAssocID="{C06C39C9-71B8-489C-9C45-3DD37A424E39}" presName="node" presStyleLbl="node1" presStyleIdx="3" presStyleCnt="4" custScaleX="335154" custScaleY="104292" custRadScaleRad="416028" custRadScaleInc="35">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4EAC1699-D578-48B6-A595-DD56BB599CB3}" type="presOf" srcId="{DE541715-C648-404D-8124-F14F463E9202}" destId="{062AF917-2F47-4639-8A23-58AD52EC0F32}" srcOrd="0" destOrd="0" presId="urn:microsoft.com/office/officeart/2005/8/layout/radial1"/>
    <dgm:cxn modelId="{2D0162FD-7690-42FF-BBB8-1147EFF1D173}" srcId="{DE541715-C648-404D-8124-F14F463E9202}" destId="{E8B72980-4234-42F0-8A76-7022BE1A23D4}" srcOrd="0" destOrd="0" parTransId="{6A15E0A4-5C3C-46EC-813C-B512B6A8F114}" sibTransId="{67FC8A0D-2667-483F-B383-42D270B4AFFA}"/>
    <dgm:cxn modelId="{F21DCA7A-CDAF-4090-A7B6-0F72983D372F}" type="presOf" srcId="{6A15E0A4-5C3C-46EC-813C-B512B6A8F114}" destId="{2E49232F-4FB2-4DC8-A6DD-3902EF154437}"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7DB65AF3-6230-446D-B5A2-3CF1FA131A96}" type="presOf" srcId="{4631C2C5-1554-4289-90B0-F2D55D1595B6}" destId="{035B4C9A-0916-4FCC-A1CF-85DB358A289A}" srcOrd="0" destOrd="0" presId="urn:microsoft.com/office/officeart/2005/8/layout/radial1"/>
    <dgm:cxn modelId="{BF65F824-D4F4-4A84-83B4-6B1944B62AAD}" srcId="{DE541715-C648-404D-8124-F14F463E9202}" destId="{4631C2C5-1554-4289-90B0-F2D55D1595B6}" srcOrd="2" destOrd="0" parTransId="{4693CA52-075F-4BD8-ABEA-5368BE377DDA}" sibTransId="{9B3CB24D-A47A-4081-B256-B868D89D5387}"/>
    <dgm:cxn modelId="{E402930B-C901-40F7-AF6E-84D946BC51D4}" type="presOf" srcId="{34E6C8D5-8D4F-4714-8A12-8F4599A8E760}" destId="{08F189A1-AB47-41D1-8058-7A6DA66B3F52}" srcOrd="0" destOrd="0" presId="urn:microsoft.com/office/officeart/2005/8/layout/radial1"/>
    <dgm:cxn modelId="{266AC87D-E011-4187-9338-88AB53004EEF}" type="presOf" srcId="{6A15E0A4-5C3C-46EC-813C-B512B6A8F114}" destId="{4344ACFB-6B44-4AAF-B1DB-49AB3ED02AF7}" srcOrd="0" destOrd="0" presId="urn:microsoft.com/office/officeart/2005/8/layout/radial1"/>
    <dgm:cxn modelId="{A76DEFEF-AB88-41E5-96CE-B2C2B48020B8}" type="presOf" srcId="{960C5593-E0FF-4AA5-AA0B-E8BDFFBC5E53}" destId="{CED9197C-8322-406B-917C-172FA36E7B76}" srcOrd="0" destOrd="0" presId="urn:microsoft.com/office/officeart/2005/8/layout/radial1"/>
    <dgm:cxn modelId="{0CFBA559-7833-4E05-A2B3-C3546CFFB655}" type="presOf" srcId="{0FABC453-0A5C-4CAE-813B-F0494A34E025}" destId="{EA4144E0-C5B2-4FC0-BDB2-550B61DB7DFD}" srcOrd="1" destOrd="0" presId="urn:microsoft.com/office/officeart/2005/8/layout/radial1"/>
    <dgm:cxn modelId="{248698A6-055B-40E3-B808-D624056EF2B0}" srcId="{DE541715-C648-404D-8124-F14F463E9202}" destId="{C06C39C9-71B8-489C-9C45-3DD37A424E39}" srcOrd="3" destOrd="0" parTransId="{0FABC453-0A5C-4CAE-813B-F0494A34E025}" sibTransId="{DCD34884-F96E-475A-9010-14DE66A403A6}"/>
    <dgm:cxn modelId="{7DBB14E8-9B31-4B73-9193-7B85FD55EA6A}" type="presOf" srcId="{7AF774ED-547E-4C04-8670-B0C1D08C5EE9}" destId="{326412CE-9911-4799-A459-B56F02EB4473}" srcOrd="1" destOrd="0" presId="urn:microsoft.com/office/officeart/2005/8/layout/radial1"/>
    <dgm:cxn modelId="{529D05ED-97D5-4116-BE13-DE3D93351F7F}" srcId="{DE541715-C648-404D-8124-F14F463E9202}" destId="{960C5593-E0FF-4AA5-AA0B-E8BDFFBC5E53}" srcOrd="1" destOrd="0" parTransId="{7AF774ED-547E-4C04-8670-B0C1D08C5EE9}" sibTransId="{88F12DF7-015F-4F26-950A-DAE493699644}"/>
    <dgm:cxn modelId="{3D7311AF-2A1E-4BB7-BB0B-1CA9481AFE13}" type="presOf" srcId="{4693CA52-075F-4BD8-ABEA-5368BE377DDA}" destId="{62A1F741-432F-46BE-AE07-15F0B6D5EA89}" srcOrd="1" destOrd="0" presId="urn:microsoft.com/office/officeart/2005/8/layout/radial1"/>
    <dgm:cxn modelId="{2DC006E9-C33E-4EC1-8A15-35667B9D2923}" type="presOf" srcId="{7AF774ED-547E-4C04-8670-B0C1D08C5EE9}" destId="{5337AE63-3722-42CC-AF72-36670EB7C5E1}" srcOrd="0" destOrd="0" presId="urn:microsoft.com/office/officeart/2005/8/layout/radial1"/>
    <dgm:cxn modelId="{4C76845E-571D-45E8-A126-51C570221A77}" type="presOf" srcId="{E8B72980-4234-42F0-8A76-7022BE1A23D4}" destId="{19ACA16F-4F02-4741-A973-0858AA9E727D}" srcOrd="0" destOrd="0" presId="urn:microsoft.com/office/officeart/2005/8/layout/radial1"/>
    <dgm:cxn modelId="{621369B7-5506-4908-9862-591975DDFFCE}" type="presOf" srcId="{4693CA52-075F-4BD8-ABEA-5368BE377DDA}" destId="{4AC11394-3179-4EC5-A97F-D1A1B521CE2F}" srcOrd="0" destOrd="0" presId="urn:microsoft.com/office/officeart/2005/8/layout/radial1"/>
    <dgm:cxn modelId="{42D5C7F4-FCD0-4D4B-9252-DC218E8BA174}" type="presOf" srcId="{C06C39C9-71B8-489C-9C45-3DD37A424E39}" destId="{0FAF3FA1-8E6C-455E-B189-A468B3F4D8BC}" srcOrd="0" destOrd="0" presId="urn:microsoft.com/office/officeart/2005/8/layout/radial1"/>
    <dgm:cxn modelId="{69F08AC6-3BE5-4691-B91C-A66DCE08E8D7}" type="presOf" srcId="{0FABC453-0A5C-4CAE-813B-F0494A34E025}" destId="{ADF94B70-0D7F-4A27-8DF9-17BCD27F4A7A}" srcOrd="0" destOrd="0" presId="urn:microsoft.com/office/officeart/2005/8/layout/radial1"/>
    <dgm:cxn modelId="{962E049C-C886-4361-B8BC-2009C83C19EE}" type="presParOf" srcId="{08F189A1-AB47-41D1-8058-7A6DA66B3F52}" destId="{062AF917-2F47-4639-8A23-58AD52EC0F32}" srcOrd="0" destOrd="0" presId="urn:microsoft.com/office/officeart/2005/8/layout/radial1"/>
    <dgm:cxn modelId="{9EBEFD92-5142-4AA1-BC35-42E8B933191A}" type="presParOf" srcId="{08F189A1-AB47-41D1-8058-7A6DA66B3F52}" destId="{4344ACFB-6B44-4AAF-B1DB-49AB3ED02AF7}" srcOrd="1" destOrd="0" presId="urn:microsoft.com/office/officeart/2005/8/layout/radial1"/>
    <dgm:cxn modelId="{1C2DBCE1-F64D-4008-9FAE-69E50EF1D383}" type="presParOf" srcId="{4344ACFB-6B44-4AAF-B1DB-49AB3ED02AF7}" destId="{2E49232F-4FB2-4DC8-A6DD-3902EF154437}" srcOrd="0" destOrd="0" presId="urn:microsoft.com/office/officeart/2005/8/layout/radial1"/>
    <dgm:cxn modelId="{79C1BD2B-8539-44A3-B3B9-17CF128C631B}" type="presParOf" srcId="{08F189A1-AB47-41D1-8058-7A6DA66B3F52}" destId="{19ACA16F-4F02-4741-A973-0858AA9E727D}" srcOrd="2" destOrd="0" presId="urn:microsoft.com/office/officeart/2005/8/layout/radial1"/>
    <dgm:cxn modelId="{EF706FBB-041E-4E59-9A7F-85AD3E6C64F1}" type="presParOf" srcId="{08F189A1-AB47-41D1-8058-7A6DA66B3F52}" destId="{5337AE63-3722-42CC-AF72-36670EB7C5E1}" srcOrd="3" destOrd="0" presId="urn:microsoft.com/office/officeart/2005/8/layout/radial1"/>
    <dgm:cxn modelId="{25955487-EE6C-4D66-9DE8-5D86D8D0750B}" type="presParOf" srcId="{5337AE63-3722-42CC-AF72-36670EB7C5E1}" destId="{326412CE-9911-4799-A459-B56F02EB4473}" srcOrd="0" destOrd="0" presId="urn:microsoft.com/office/officeart/2005/8/layout/radial1"/>
    <dgm:cxn modelId="{B9FC05B5-E12D-4F7E-8064-D9E958032B72}" type="presParOf" srcId="{08F189A1-AB47-41D1-8058-7A6DA66B3F52}" destId="{CED9197C-8322-406B-917C-172FA36E7B76}" srcOrd="4" destOrd="0" presId="urn:microsoft.com/office/officeart/2005/8/layout/radial1"/>
    <dgm:cxn modelId="{8B9D3D29-EC93-4A5C-B5CF-CE14DFD83EEE}" type="presParOf" srcId="{08F189A1-AB47-41D1-8058-7A6DA66B3F52}" destId="{4AC11394-3179-4EC5-A97F-D1A1B521CE2F}" srcOrd="5" destOrd="0" presId="urn:microsoft.com/office/officeart/2005/8/layout/radial1"/>
    <dgm:cxn modelId="{BD013350-C4AD-4A63-BC01-0F07BFC283CF}" type="presParOf" srcId="{4AC11394-3179-4EC5-A97F-D1A1B521CE2F}" destId="{62A1F741-432F-46BE-AE07-15F0B6D5EA89}" srcOrd="0" destOrd="0" presId="urn:microsoft.com/office/officeart/2005/8/layout/radial1"/>
    <dgm:cxn modelId="{7743EFBC-C12B-423B-89EE-1315259A5445}" type="presParOf" srcId="{08F189A1-AB47-41D1-8058-7A6DA66B3F52}" destId="{035B4C9A-0916-4FCC-A1CF-85DB358A289A}" srcOrd="6" destOrd="0" presId="urn:microsoft.com/office/officeart/2005/8/layout/radial1"/>
    <dgm:cxn modelId="{16CD6547-83D3-4A77-9FEE-01999333DEF1}" type="presParOf" srcId="{08F189A1-AB47-41D1-8058-7A6DA66B3F52}" destId="{ADF94B70-0D7F-4A27-8DF9-17BCD27F4A7A}" srcOrd="7" destOrd="0" presId="urn:microsoft.com/office/officeart/2005/8/layout/radial1"/>
    <dgm:cxn modelId="{6ECC6F53-1695-4116-AA7C-1FF987F82444}" type="presParOf" srcId="{ADF94B70-0D7F-4A27-8DF9-17BCD27F4A7A}" destId="{EA4144E0-C5B2-4FC0-BDB2-550B61DB7DFD}" srcOrd="0" destOrd="0" presId="urn:microsoft.com/office/officeart/2005/8/layout/radial1"/>
    <dgm:cxn modelId="{103E4D90-AFE7-49AB-9C64-51190F2285A9}" type="presParOf" srcId="{08F189A1-AB47-41D1-8058-7A6DA66B3F52}" destId="{0FAF3FA1-8E6C-455E-B189-A468B3F4D8BC}" srcOrd="8" destOrd="0" presId="urn:microsoft.com/office/officeart/2005/8/layout/radial1"/>
  </dgm:cxnLst>
  <dgm:bg/>
  <dgm:whole/>
  <dgm:extLst>
    <a:ext uri="http://schemas.microsoft.com/office/drawing/2008/diagram">
      <dsp:dataModelExt xmlns:dsp="http://schemas.microsoft.com/office/drawing/2008/diagram" relId="rId127" minVer="http://schemas.openxmlformats.org/drawingml/2006/diagram"/>
    </a:ext>
    <a:ext uri="{C62137D5-CB1D-491B-B009-E17868A290BF}">
      <dgm14:recolorImg xmlns:dgm14="http://schemas.microsoft.com/office/drawing/2010/diagram" val="1"/>
    </a:ext>
  </dgm:extLst>
</dgm:dataModel>
</file>

<file path=word/diagrams/data1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068005" y="732827"/>
          <a:ext cx="1356160" cy="55684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30</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4F895710-9C0A-4357-A62A-B00C2B1BB2A2}">
      <dgm:prSet phldrT="[Text]"/>
      <dgm:spPr/>
      <dgm:t>
        <a:bodyPr/>
        <a:lstStyle/>
        <a:p>
          <a:pPr algn="ctr"/>
          <a:endParaRPr lang="en-US"/>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C06C39C9-71B8-489C-9C45-3DD37A424E39}">
      <dgm:prSet phldrT="[Text]" custT="1"/>
      <dgm:spPr>
        <a:xfrm>
          <a:off x="175295" y="718912"/>
          <a:ext cx="1434875" cy="5936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pPr algn="ctr"/>
          <a:endParaRPr lang="en-US"/>
        </a:p>
      </dgm:t>
    </dgm:pt>
    <dgm:pt modelId="{0FABC453-0A5C-4CAE-813B-F0494A34E025}" type="parTrans" cxnId="{248698A6-055B-40E3-B808-D624056EF2B0}">
      <dgm:prSet/>
      <dgm:spPr>
        <a:xfrm rot="10791658">
          <a:off x="1610158" y="1004316"/>
          <a:ext cx="457860" cy="18269"/>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1988334" y="-7521"/>
          <a:ext cx="1512650" cy="57683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pPr algn="ctr"/>
          <a:endParaRPr lang="en-US"/>
        </a:p>
      </dgm:t>
    </dgm:pt>
    <dgm:pt modelId="{4693CA52-075F-4BD8-ABEA-5368BE377DDA}" type="parTrans" cxnId="{BF65F824-D4F4-4A84-83B4-6B1944B62AAD}">
      <dgm:prSet/>
      <dgm:spPr>
        <a:xfrm rot="16193288">
          <a:off x="2663623" y="641934"/>
          <a:ext cx="163517" cy="18269"/>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3887727" y="722494"/>
          <a:ext cx="1423332" cy="58060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5A6C23B-D452-4078-BA3A-466D0894B9EB}" type="parTrans" cxnId="{0266A1D0-CEC9-45F3-8B31-A21772E8AA19}">
      <dgm:prSet/>
      <dgm:spPr>
        <a:xfrm rot="2869">
          <a:off x="3424164" y="1002875"/>
          <a:ext cx="463565" cy="18269"/>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a:custGeom>
          <a:avLst/>
          <a:gdLst/>
          <a:ahLst/>
          <a:cxnLst/>
          <a:rect l="0" t="0" r="0" b="0"/>
          <a:pathLst>
            <a:path>
              <a:moveTo>
                <a:pt x="0" y="9134"/>
              </a:moveTo>
              <a:lnTo>
                <a:pt x="163517" y="9134"/>
              </a:lnTo>
            </a:path>
          </a:pathLst>
        </a:custGeom>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276287" custRadScaleInc="-68">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a:custGeom>
          <a:avLst/>
          <a:gdLst/>
          <a:ahLst/>
          <a:cxnLst/>
          <a:rect l="0" t="0" r="0" b="0"/>
          <a:pathLst>
            <a:path>
              <a:moveTo>
                <a:pt x="0" y="9134"/>
              </a:moveTo>
              <a:lnTo>
                <a:pt x="463565" y="9134"/>
              </a:lnTo>
            </a:path>
          </a:pathLst>
        </a:custGeom>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55606" custScaleY="104267"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a:custGeom>
          <a:avLst/>
          <a:gdLst/>
          <a:ahLst/>
          <a:cxnLst/>
          <a:rect l="0" t="0" r="0" b="0"/>
          <a:pathLst>
            <a:path>
              <a:moveTo>
                <a:pt x="0" y="9134"/>
              </a:moveTo>
              <a:lnTo>
                <a:pt x="457860" y="9134"/>
              </a:lnTo>
            </a:path>
          </a:pathLst>
        </a:custGeom>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57679" custScaleY="106613"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E4C4D2D6-2407-4DB9-9C1E-3AF1CF311B23}" type="presOf" srcId="{C06C39C9-71B8-489C-9C45-3DD37A424E39}" destId="{0FAF3FA1-8E6C-455E-B189-A468B3F4D8BC}"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E93B4AC5-D1D6-446D-85B1-6F0284FCC8D1}" type="presOf" srcId="{0FABC453-0A5C-4CAE-813B-F0494A34E025}" destId="{EA4144E0-C5B2-4FC0-BDB2-550B61DB7DFD}" srcOrd="1" destOrd="0" presId="urn:microsoft.com/office/officeart/2005/8/layout/radial1"/>
    <dgm:cxn modelId="{812F0BEC-B48D-4311-8D03-A2D1EC3F78DA}" type="presOf" srcId="{45A6C23B-D452-4078-BA3A-466D0894B9EB}" destId="{C7C9B7EB-2DEF-4B99-8D38-AC2E9641BEB5}" srcOrd="1" destOrd="0" presId="urn:microsoft.com/office/officeart/2005/8/layout/radial1"/>
    <dgm:cxn modelId="{E23FEBC1-0C24-44EA-ABE4-3DD23BF3EDCB}" type="presOf" srcId="{5C260341-F1C3-4458-A657-957289015FC3}" destId="{976BA53C-17D4-4F7C-9078-1272C469C9E5}"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248698A6-055B-40E3-B808-D624056EF2B0}" srcId="{DE541715-C648-404D-8124-F14F463E9202}" destId="{C06C39C9-71B8-489C-9C45-3DD37A424E39}" srcOrd="2" destOrd="0" parTransId="{0FABC453-0A5C-4CAE-813B-F0494A34E025}" sibTransId="{DCD34884-F96E-475A-9010-14DE66A403A6}"/>
    <dgm:cxn modelId="{6BD010FD-883B-4FC9-936C-55C742359196}" type="presOf" srcId="{45A6C23B-D452-4078-BA3A-466D0894B9EB}" destId="{64248C57-3CE0-4657-BC67-6279BA0257B1}" srcOrd="0" destOrd="0" presId="urn:microsoft.com/office/officeart/2005/8/layout/radial1"/>
    <dgm:cxn modelId="{79456EFE-5C54-427E-8851-BB87BA16FDF6}" type="presOf" srcId="{0FABC453-0A5C-4CAE-813B-F0494A34E025}" destId="{ADF94B70-0D7F-4A27-8DF9-17BCD27F4A7A}" srcOrd="0" destOrd="0" presId="urn:microsoft.com/office/officeart/2005/8/layout/radial1"/>
    <dgm:cxn modelId="{DAE60836-CACB-470D-9685-2D2601484487}" type="presOf" srcId="{DE541715-C648-404D-8124-F14F463E9202}" destId="{062AF917-2F47-4639-8A23-58AD52EC0F32}" srcOrd="0" destOrd="0" presId="urn:microsoft.com/office/officeart/2005/8/layout/radial1"/>
    <dgm:cxn modelId="{563693F4-A2A5-4E14-8871-95BC38B753A6}" type="presOf" srcId="{4693CA52-075F-4BD8-ABEA-5368BE377DDA}" destId="{62A1F741-432F-46BE-AE07-15F0B6D5EA89}" srcOrd="1" destOrd="0" presId="urn:microsoft.com/office/officeart/2005/8/layout/radial1"/>
    <dgm:cxn modelId="{F7787A39-24E3-43EA-8BE5-BFF849EE0591}" type="presOf" srcId="{34E6C8D5-8D4F-4714-8A12-8F4599A8E760}" destId="{08F189A1-AB47-41D1-8058-7A6DA66B3F52}" srcOrd="0" destOrd="0" presId="urn:microsoft.com/office/officeart/2005/8/layout/radial1"/>
    <dgm:cxn modelId="{92984180-2A8C-48AA-974F-6C873EBA4140}" type="presOf" srcId="{4631C2C5-1554-4289-90B0-F2D55D1595B6}" destId="{035B4C9A-0916-4FCC-A1CF-85DB358A289A}" srcOrd="0" destOrd="0" presId="urn:microsoft.com/office/officeart/2005/8/layout/radial1"/>
    <dgm:cxn modelId="{D09A2D69-0BB6-41EE-875C-4318ABCC8C63}" type="presOf" srcId="{4693CA52-075F-4BD8-ABEA-5368BE377DDA}" destId="{4AC11394-3179-4EC5-A97F-D1A1B521CE2F}" srcOrd="0" destOrd="0" presId="urn:microsoft.com/office/officeart/2005/8/layout/radial1"/>
    <dgm:cxn modelId="{8A081191-667A-4650-AF0D-421F445B0BA2}" type="presParOf" srcId="{08F189A1-AB47-41D1-8058-7A6DA66B3F52}" destId="{062AF917-2F47-4639-8A23-58AD52EC0F32}" srcOrd="0" destOrd="0" presId="urn:microsoft.com/office/officeart/2005/8/layout/radial1"/>
    <dgm:cxn modelId="{F7719F75-CF36-4D72-89C7-4EC24120FFB1}" type="presParOf" srcId="{08F189A1-AB47-41D1-8058-7A6DA66B3F52}" destId="{4AC11394-3179-4EC5-A97F-D1A1B521CE2F}" srcOrd="1" destOrd="0" presId="urn:microsoft.com/office/officeart/2005/8/layout/radial1"/>
    <dgm:cxn modelId="{890641F0-3C88-4023-9307-699DA4F4BACC}" type="presParOf" srcId="{4AC11394-3179-4EC5-A97F-D1A1B521CE2F}" destId="{62A1F741-432F-46BE-AE07-15F0B6D5EA89}" srcOrd="0" destOrd="0" presId="urn:microsoft.com/office/officeart/2005/8/layout/radial1"/>
    <dgm:cxn modelId="{20AAB4E8-902E-4519-9FC6-F2041EB4D31D}" type="presParOf" srcId="{08F189A1-AB47-41D1-8058-7A6DA66B3F52}" destId="{035B4C9A-0916-4FCC-A1CF-85DB358A289A}" srcOrd="2" destOrd="0" presId="urn:microsoft.com/office/officeart/2005/8/layout/radial1"/>
    <dgm:cxn modelId="{408965DA-A77A-4939-8BE7-DED94B5A9594}" type="presParOf" srcId="{08F189A1-AB47-41D1-8058-7A6DA66B3F52}" destId="{64248C57-3CE0-4657-BC67-6279BA0257B1}" srcOrd="3" destOrd="0" presId="urn:microsoft.com/office/officeart/2005/8/layout/radial1"/>
    <dgm:cxn modelId="{0DCB341B-A2A4-4B8D-85E6-1A872FF18298}" type="presParOf" srcId="{64248C57-3CE0-4657-BC67-6279BA0257B1}" destId="{C7C9B7EB-2DEF-4B99-8D38-AC2E9641BEB5}" srcOrd="0" destOrd="0" presId="urn:microsoft.com/office/officeart/2005/8/layout/radial1"/>
    <dgm:cxn modelId="{4710E222-BDFB-43E9-9FCD-8CE7DDE74604}" type="presParOf" srcId="{08F189A1-AB47-41D1-8058-7A6DA66B3F52}" destId="{976BA53C-17D4-4F7C-9078-1272C469C9E5}" srcOrd="4" destOrd="0" presId="urn:microsoft.com/office/officeart/2005/8/layout/radial1"/>
    <dgm:cxn modelId="{E3D61BA9-B48F-41FB-AB13-71E21AE789AD}" type="presParOf" srcId="{08F189A1-AB47-41D1-8058-7A6DA66B3F52}" destId="{ADF94B70-0D7F-4A27-8DF9-17BCD27F4A7A}" srcOrd="5" destOrd="0" presId="urn:microsoft.com/office/officeart/2005/8/layout/radial1"/>
    <dgm:cxn modelId="{B0AAC072-F135-4A6B-9725-6AF2B0BAD430}" type="presParOf" srcId="{ADF94B70-0D7F-4A27-8DF9-17BCD27F4A7A}" destId="{EA4144E0-C5B2-4FC0-BDB2-550B61DB7DFD}" srcOrd="0" destOrd="0" presId="urn:microsoft.com/office/officeart/2005/8/layout/radial1"/>
    <dgm:cxn modelId="{4AE05D62-2503-48A5-865E-4854D1212B90}"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135" minVer="http://schemas.openxmlformats.org/drawingml/2006/diagram"/>
    </a:ext>
    <a:ext uri="{C62137D5-CB1D-491B-B009-E17868A290BF}">
      <dgm14:recolorImg xmlns:dgm14="http://schemas.microsoft.com/office/drawing/2010/diagram" val="1"/>
    </a:ext>
  </dgm:extLst>
</dgm:dataModel>
</file>

<file path=word/diagrams/data1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4631C2C5-1554-4289-90B0-F2D55D1595B6}">
      <dgm:prSet phldrT="[Text]" custT="1"/>
      <dgm:spPr>
        <a:xfrm>
          <a:off x="4395315" y="505301"/>
          <a:ext cx="1364769" cy="58917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60C5593-E0FF-4AA5-AA0B-E8BDFFBC5E53}">
      <dgm:prSet phldrT="[Text]" custT="1"/>
      <dgm:spPr>
        <a:xfrm>
          <a:off x="2142157" y="1"/>
          <a:ext cx="1193462" cy="4591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DE541715-C648-404D-8124-F14F463E9202}">
      <dgm:prSet phldrT="[Text]" custT="1"/>
      <dgm:spPr>
        <a:xfrm>
          <a:off x="2056494" y="625106"/>
          <a:ext cx="1358942" cy="39952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12</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63328">
          <a:off x="3414962" y="805397"/>
          <a:ext cx="980589"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16882">
          <a:off x="2654356" y="535111"/>
          <a:ext cx="165995"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6C39C9-71B8-489C-9C45-3DD37A424E39}">
      <dgm:prSet phldrT="[Text]" custT="1"/>
      <dgm:spPr>
        <a:xfrm>
          <a:off x="1367171" y="1614853"/>
          <a:ext cx="922600" cy="9587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9216993">
          <a:off x="2225986" y="1794494"/>
          <a:ext cx="360806" cy="26147"/>
        </a:xfrm>
        <a:custGeom>
          <a:avLst/>
          <a:gdLst/>
          <a:ahLst/>
          <a:cxnLst/>
          <a:rect l="0" t="0" r="0" b="0"/>
          <a:pathLst>
            <a:path>
              <a:moveTo>
                <a:pt x="0" y="12971"/>
              </a:moveTo>
              <a:lnTo>
                <a:pt x="378246" y="12971"/>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D0CE537-45F5-4C46-960F-D6A82B00F3DE}">
      <dgm:prSet phldrT="[Text]" custT="1"/>
      <dgm:spPr>
        <a:xfrm>
          <a:off x="0" y="568557"/>
          <a:ext cx="1196570" cy="54838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D1DE322-E296-4167-BF53-8B5CE5EC28D8}" type="parTrans" cxnId="{E0E640E9-CB57-4A88-8E14-E556A0185FE5}">
      <dgm:prSet/>
      <dgm:spPr>
        <a:xfrm rot="10771247">
          <a:off x="1196456" y="827149"/>
          <a:ext cx="860327"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979818-0E55-4CAF-81D6-7E33DA768B1C}" type="sibTrans" cxnId="{E0E640E9-CB57-4A88-8E14-E556A0185FE5}">
      <dgm:prSet/>
      <dgm:spPr/>
      <dgm:t>
        <a:bodyPr/>
        <a:lstStyle/>
        <a:p>
          <a:endParaRPr lang="en-US"/>
        </a:p>
      </dgm:t>
    </dgm:pt>
    <dgm:pt modelId="{261B861F-8791-4E33-9941-A33DE5A2A768}">
      <dgm:prSet phldrT="[Text]" custT="1"/>
      <dgm:spPr>
        <a:xfrm>
          <a:off x="2035198" y="1169382"/>
          <a:ext cx="1409053" cy="44602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5C3F0DB-E0F1-41F2-9F0F-D8D34C792173}" type="parTrans" cxnId="{8F24CB25-C32E-457C-ADA9-0EEDE78E6073}">
      <dgm:prSet/>
      <dgm:spPr>
        <a:xfrm rot="5377226">
          <a:off x="2665390" y="1090008"/>
          <a:ext cx="144754"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D4991A9-47A2-4376-80F0-AA0E581C042E}" type="sibTrans" cxnId="{8F24CB25-C32E-457C-ADA9-0EEDE78E607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03405" custScaleY="89200" custLinFactNeighborX="-8761" custLinFactNeighborY="1193"/>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4"/>
      <dgm:spPr>
        <a:custGeom>
          <a:avLst/>
          <a:gdLst/>
          <a:ahLst/>
          <a:cxnLst/>
          <a:rect l="0" t="0" r="0" b="0"/>
          <a:pathLst>
            <a:path>
              <a:moveTo>
                <a:pt x="0" y="6998"/>
              </a:moveTo>
              <a:lnTo>
                <a:pt x="158573" y="6998"/>
              </a:lnTo>
            </a:path>
          </a:pathLst>
        </a:custGeom>
      </dgm:spPr>
      <dgm:t>
        <a:bodyPr/>
        <a:lstStyle/>
        <a:p>
          <a:endParaRPr lang="en-US"/>
        </a:p>
      </dgm:t>
    </dgm:pt>
    <dgm:pt modelId="{326412CE-9911-4799-A459-B56F02EB4473}" type="pres">
      <dgm:prSet presAssocID="{7AF774ED-547E-4C04-8670-B0C1D08C5EE9}" presName="connTx" presStyleLbl="parChTrans1D2" presStyleIdx="0" presStyleCnt="4"/>
      <dgm:spPr/>
      <dgm:t>
        <a:bodyPr/>
        <a:lstStyle/>
        <a:p>
          <a:endParaRPr lang="en-US"/>
        </a:p>
      </dgm:t>
    </dgm:pt>
    <dgm:pt modelId="{CED9197C-8322-406B-917C-172FA36E7B76}" type="pres">
      <dgm:prSet presAssocID="{960C5593-E0FF-4AA5-AA0B-E8BDFFBC5E53}" presName="node" presStyleLbl="node1" presStyleIdx="0" presStyleCnt="4" custScaleX="266459" custScaleY="102504" custRadScaleRad="101292" custRadScaleInc="-21496">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4"/>
      <dgm:spPr>
        <a:custGeom>
          <a:avLst/>
          <a:gdLst/>
          <a:ahLst/>
          <a:cxnLst/>
          <a:rect l="0" t="0" r="0" b="0"/>
          <a:pathLst>
            <a:path>
              <a:moveTo>
                <a:pt x="0" y="6998"/>
              </a:moveTo>
              <a:lnTo>
                <a:pt x="1011830" y="6998"/>
              </a:lnTo>
            </a:path>
          </a:pathLst>
        </a:custGeom>
      </dgm:spPr>
      <dgm:t>
        <a:bodyPr/>
        <a:lstStyle/>
        <a:p>
          <a:endParaRPr lang="en-US"/>
        </a:p>
      </dgm:t>
    </dgm:pt>
    <dgm:pt modelId="{62A1F741-432F-46BE-AE07-15F0B6D5EA89}" type="pres">
      <dgm:prSet presAssocID="{4693CA52-075F-4BD8-ABEA-5368BE377DDA}" presName="connTx" presStyleLbl="parChTrans1D2" presStyleIdx="1" presStyleCnt="4"/>
      <dgm:spPr/>
      <dgm:t>
        <a:bodyPr/>
        <a:lstStyle/>
        <a:p>
          <a:endParaRPr lang="en-US"/>
        </a:p>
      </dgm:t>
    </dgm:pt>
    <dgm:pt modelId="{035B4C9A-0916-4FCC-A1CF-85DB358A289A}" type="pres">
      <dgm:prSet presAssocID="{4631C2C5-1554-4289-90B0-F2D55D1595B6}" presName="node" presStyleLbl="node1" presStyleIdx="1" presStyleCnt="4" custScaleX="304706" custScaleY="131542" custRadScaleRad="419465" custRadScaleInc="-578">
        <dgm:presLayoutVars>
          <dgm:bulletEnabled val="1"/>
        </dgm:presLayoutVars>
      </dgm:prSet>
      <dgm:spPr>
        <a:prstGeom prst="ellipse">
          <a:avLst/>
        </a:prstGeom>
      </dgm:spPr>
      <dgm:t>
        <a:bodyPr/>
        <a:lstStyle/>
        <a:p>
          <a:endParaRPr lang="en-US"/>
        </a:p>
      </dgm:t>
    </dgm:pt>
    <dgm:pt modelId="{1281FAF2-438A-4E06-A630-42C5CD6DB1D1}" type="pres">
      <dgm:prSet presAssocID="{A5C3F0DB-E0F1-41F2-9F0F-D8D34C792173}" presName="Name9" presStyleLbl="parChTrans1D2" presStyleIdx="2" presStyleCnt="4"/>
      <dgm:spPr>
        <a:custGeom>
          <a:avLst/>
          <a:gdLst/>
          <a:ahLst/>
          <a:cxnLst/>
          <a:rect l="0" t="0" r="0" b="0"/>
          <a:pathLst>
            <a:path>
              <a:moveTo>
                <a:pt x="0" y="6998"/>
              </a:moveTo>
              <a:lnTo>
                <a:pt x="149401" y="6998"/>
              </a:lnTo>
            </a:path>
          </a:pathLst>
        </a:custGeom>
      </dgm:spPr>
      <dgm:t>
        <a:bodyPr/>
        <a:lstStyle/>
        <a:p>
          <a:endParaRPr lang="en-US"/>
        </a:p>
      </dgm:t>
    </dgm:pt>
    <dgm:pt modelId="{2F4F44BF-1E04-4136-A0FB-1DED4AC75151}" type="pres">
      <dgm:prSet presAssocID="{A5C3F0DB-E0F1-41F2-9F0F-D8D34C792173}" presName="connTx" presStyleLbl="parChTrans1D2" presStyleIdx="2" presStyleCnt="4"/>
      <dgm:spPr/>
      <dgm:t>
        <a:bodyPr/>
        <a:lstStyle/>
        <a:p>
          <a:endParaRPr lang="en-US"/>
        </a:p>
      </dgm:t>
    </dgm:pt>
    <dgm:pt modelId="{9D8804DD-C1C3-4668-9E8F-40BB54189D15}" type="pres">
      <dgm:prSet presAssocID="{261B861F-8791-4E33-9941-A33DE5A2A768}" presName="node" presStyleLbl="node1" presStyleIdx="2" presStyleCnt="4" custScaleX="314593" custScaleY="99582" custRadScaleRad="101268" custRadScaleInc="21318">
        <dgm:presLayoutVars>
          <dgm:bulletEnabled val="1"/>
        </dgm:presLayoutVars>
      </dgm:prSet>
      <dgm:spPr>
        <a:prstGeom prst="ellipse">
          <a:avLst/>
        </a:prstGeom>
      </dgm:spPr>
      <dgm:t>
        <a:bodyPr/>
        <a:lstStyle/>
        <a:p>
          <a:endParaRPr lang="en-US"/>
        </a:p>
      </dgm:t>
    </dgm:pt>
    <dgm:pt modelId="{D0E3F8D6-DE9C-4394-8B02-9C131280903E}" type="pres">
      <dgm:prSet presAssocID="{3D1DE322-E296-4167-BF53-8B5CE5EC28D8}" presName="Name9" presStyleLbl="parChTrans1D2" presStyleIdx="3" presStyleCnt="4"/>
      <dgm:spPr>
        <a:custGeom>
          <a:avLst/>
          <a:gdLst/>
          <a:ahLst/>
          <a:cxnLst/>
          <a:rect l="0" t="0" r="0" b="0"/>
          <a:pathLst>
            <a:path>
              <a:moveTo>
                <a:pt x="0" y="6998"/>
              </a:moveTo>
              <a:lnTo>
                <a:pt x="887737" y="6998"/>
              </a:lnTo>
            </a:path>
          </a:pathLst>
        </a:custGeom>
      </dgm:spPr>
      <dgm:t>
        <a:bodyPr/>
        <a:lstStyle/>
        <a:p>
          <a:endParaRPr lang="en-US"/>
        </a:p>
      </dgm:t>
    </dgm:pt>
    <dgm:pt modelId="{D9125633-39F7-4B37-B444-5ECC3B34BA4C}" type="pres">
      <dgm:prSet presAssocID="{3D1DE322-E296-4167-BF53-8B5CE5EC28D8}" presName="connTx" presStyleLbl="parChTrans1D2" presStyleIdx="3" presStyleCnt="4"/>
      <dgm:spPr/>
      <dgm:t>
        <a:bodyPr/>
        <a:lstStyle/>
        <a:p>
          <a:endParaRPr lang="en-US"/>
        </a:p>
      </dgm:t>
    </dgm:pt>
    <dgm:pt modelId="{F1CADBCB-761B-4EBD-8811-73EECDD73DC5}" type="pres">
      <dgm:prSet presAssocID="{1D0CE537-45F5-4C46-960F-D6A82B00F3DE}" presName="node" presStyleLbl="node1" presStyleIdx="3" presStyleCnt="4" custScaleX="267153" custScaleY="122435" custRadScaleRad="426769" custRadScaleInc="-1628">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2" destOrd="0" parTransId="{4492527F-B2BC-4423-9ACC-2816666249A0}" sibTransId="{A0A859C5-79E5-4C97-AF72-54A6D166EEA1}"/>
    <dgm:cxn modelId="{2B68FEB4-4068-4029-85BA-DD02A6B9351F}" type="presOf" srcId="{7AF774ED-547E-4C04-8670-B0C1D08C5EE9}" destId="{5337AE63-3722-42CC-AF72-36670EB7C5E1}" srcOrd="0" destOrd="0" presId="urn:microsoft.com/office/officeart/2005/8/layout/radial1"/>
    <dgm:cxn modelId="{1D614D01-CBD7-48B0-A4F2-34C93022D22D}" type="presOf" srcId="{4693CA52-075F-4BD8-ABEA-5368BE377DDA}" destId="{4AC11394-3179-4EC5-A97F-D1A1B521CE2F}"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8F24CB25-C32E-457C-ADA9-0EEDE78E6073}" srcId="{DE541715-C648-404D-8124-F14F463E9202}" destId="{261B861F-8791-4E33-9941-A33DE5A2A768}" srcOrd="2" destOrd="0" parTransId="{A5C3F0DB-E0F1-41F2-9F0F-D8D34C792173}" sibTransId="{5D4991A9-47A2-4376-80F0-AA0E581C042E}"/>
    <dgm:cxn modelId="{E0E640E9-CB57-4A88-8E14-E556A0185FE5}" srcId="{DE541715-C648-404D-8124-F14F463E9202}" destId="{1D0CE537-45F5-4C46-960F-D6A82B00F3DE}" srcOrd="3" destOrd="0" parTransId="{3D1DE322-E296-4167-BF53-8B5CE5EC28D8}" sibTransId="{96979818-0E55-4CAF-81D6-7E33DA768B1C}"/>
    <dgm:cxn modelId="{BF65F824-D4F4-4A84-83B4-6B1944B62AAD}" srcId="{DE541715-C648-404D-8124-F14F463E9202}" destId="{4631C2C5-1554-4289-90B0-F2D55D1595B6}" srcOrd="1" destOrd="0" parTransId="{4693CA52-075F-4BD8-ABEA-5368BE377DDA}" sibTransId="{9B3CB24D-A47A-4081-B256-B868D89D5387}"/>
    <dgm:cxn modelId="{E63C655F-E042-4455-AC9D-EA3CF82AB065}" type="presOf" srcId="{3D1DE322-E296-4167-BF53-8B5CE5EC28D8}" destId="{D9125633-39F7-4B37-B444-5ECC3B34BA4C}" srcOrd="1" destOrd="0" presId="urn:microsoft.com/office/officeart/2005/8/layout/radial1"/>
    <dgm:cxn modelId="{35641EB8-B0B0-46F5-BE81-50AFE7DA8800}" type="presOf" srcId="{DE541715-C648-404D-8124-F14F463E9202}" destId="{062AF917-2F47-4639-8A23-58AD52EC0F32}" srcOrd="0" destOrd="0" presId="urn:microsoft.com/office/officeart/2005/8/layout/radial1"/>
    <dgm:cxn modelId="{9F68158D-8443-4FE7-817F-BB1D3029744B}" type="presOf" srcId="{3D1DE322-E296-4167-BF53-8B5CE5EC28D8}" destId="{D0E3F8D6-DE9C-4394-8B02-9C131280903E}" srcOrd="0" destOrd="0" presId="urn:microsoft.com/office/officeart/2005/8/layout/radial1"/>
    <dgm:cxn modelId="{708CE4A4-560A-43AB-A24B-37CD7C333F95}" type="presOf" srcId="{1D0CE537-45F5-4C46-960F-D6A82B00F3DE}" destId="{F1CADBCB-761B-4EBD-8811-73EECDD73DC5}" srcOrd="0" destOrd="0" presId="urn:microsoft.com/office/officeart/2005/8/layout/radial1"/>
    <dgm:cxn modelId="{BF840EE9-F14D-48F1-A6FD-F201BC7F659E}" type="presOf" srcId="{34E6C8D5-8D4F-4714-8A12-8F4599A8E760}" destId="{08F189A1-AB47-41D1-8058-7A6DA66B3F52}" srcOrd="0" destOrd="0" presId="urn:microsoft.com/office/officeart/2005/8/layout/radial1"/>
    <dgm:cxn modelId="{FB9A4938-D826-4C68-8006-70B77FA3EDD2}" type="presOf" srcId="{960C5593-E0FF-4AA5-AA0B-E8BDFFBC5E53}" destId="{CED9197C-8322-406B-917C-172FA36E7B76}" srcOrd="0" destOrd="0" presId="urn:microsoft.com/office/officeart/2005/8/layout/radial1"/>
    <dgm:cxn modelId="{4D609F64-50FB-43BA-9AC5-A8A737ECAA1A}" type="presOf" srcId="{A5C3F0DB-E0F1-41F2-9F0F-D8D34C792173}" destId="{1281FAF2-438A-4E06-A630-42C5CD6DB1D1}" srcOrd="0" destOrd="0" presId="urn:microsoft.com/office/officeart/2005/8/layout/radial1"/>
    <dgm:cxn modelId="{248698A6-055B-40E3-B808-D624056EF2B0}" srcId="{34E6C8D5-8D4F-4714-8A12-8F4599A8E760}" destId="{C06C39C9-71B8-489C-9C45-3DD37A424E39}" srcOrd="1" destOrd="0" parTransId="{0FABC453-0A5C-4CAE-813B-F0494A34E025}" sibTransId="{DCD34884-F96E-475A-9010-14DE66A403A6}"/>
    <dgm:cxn modelId="{529D05ED-97D5-4116-BE13-DE3D93351F7F}" srcId="{DE541715-C648-404D-8124-F14F463E9202}" destId="{960C5593-E0FF-4AA5-AA0B-E8BDFFBC5E53}" srcOrd="0" destOrd="0" parTransId="{7AF774ED-547E-4C04-8670-B0C1D08C5EE9}" sibTransId="{88F12DF7-015F-4F26-950A-DAE493699644}"/>
    <dgm:cxn modelId="{19807BB0-CBCA-446D-8A59-DB6A23F68E96}" type="presOf" srcId="{261B861F-8791-4E33-9941-A33DE5A2A768}" destId="{9D8804DD-C1C3-4668-9E8F-40BB54189D15}" srcOrd="0" destOrd="0" presId="urn:microsoft.com/office/officeart/2005/8/layout/radial1"/>
    <dgm:cxn modelId="{35CDC572-E7B4-444D-9B03-913FE5381DDC}" type="presOf" srcId="{4631C2C5-1554-4289-90B0-F2D55D1595B6}" destId="{035B4C9A-0916-4FCC-A1CF-85DB358A289A}" srcOrd="0" destOrd="0" presId="urn:microsoft.com/office/officeart/2005/8/layout/radial1"/>
    <dgm:cxn modelId="{12072055-7664-4AA4-BE02-7C184573E3D8}" type="presOf" srcId="{7AF774ED-547E-4C04-8670-B0C1D08C5EE9}" destId="{326412CE-9911-4799-A459-B56F02EB4473}" srcOrd="1" destOrd="0" presId="urn:microsoft.com/office/officeart/2005/8/layout/radial1"/>
    <dgm:cxn modelId="{9B0BF4AC-88AD-4B3C-948C-C5D8D9ACB8E4}" type="presOf" srcId="{A5C3F0DB-E0F1-41F2-9F0F-D8D34C792173}" destId="{2F4F44BF-1E04-4136-A0FB-1DED4AC75151}" srcOrd="1" destOrd="0" presId="urn:microsoft.com/office/officeart/2005/8/layout/radial1"/>
    <dgm:cxn modelId="{FE439E90-D27D-4588-94BA-D43151981CB4}" type="presOf" srcId="{4693CA52-075F-4BD8-ABEA-5368BE377DDA}" destId="{62A1F741-432F-46BE-AE07-15F0B6D5EA89}" srcOrd="1" destOrd="0" presId="urn:microsoft.com/office/officeart/2005/8/layout/radial1"/>
    <dgm:cxn modelId="{CBCC1070-A4CE-4612-B26C-4DDFD94FB580}" type="presParOf" srcId="{08F189A1-AB47-41D1-8058-7A6DA66B3F52}" destId="{062AF917-2F47-4639-8A23-58AD52EC0F32}" srcOrd="0" destOrd="0" presId="urn:microsoft.com/office/officeart/2005/8/layout/radial1"/>
    <dgm:cxn modelId="{CAD33746-D502-4DD0-A248-C364C642BC6C}" type="presParOf" srcId="{08F189A1-AB47-41D1-8058-7A6DA66B3F52}" destId="{5337AE63-3722-42CC-AF72-36670EB7C5E1}" srcOrd="1" destOrd="0" presId="urn:microsoft.com/office/officeart/2005/8/layout/radial1"/>
    <dgm:cxn modelId="{64836DD7-972E-40BA-BBE9-900AC5820FC9}" type="presParOf" srcId="{5337AE63-3722-42CC-AF72-36670EB7C5E1}" destId="{326412CE-9911-4799-A459-B56F02EB4473}" srcOrd="0" destOrd="0" presId="urn:microsoft.com/office/officeart/2005/8/layout/radial1"/>
    <dgm:cxn modelId="{92A5F606-92BD-44F0-BB9A-40C517506926}" type="presParOf" srcId="{08F189A1-AB47-41D1-8058-7A6DA66B3F52}" destId="{CED9197C-8322-406B-917C-172FA36E7B76}" srcOrd="2" destOrd="0" presId="urn:microsoft.com/office/officeart/2005/8/layout/radial1"/>
    <dgm:cxn modelId="{681FEE5D-A4D0-45FB-A3B8-C3C9B9E959FF}" type="presParOf" srcId="{08F189A1-AB47-41D1-8058-7A6DA66B3F52}" destId="{4AC11394-3179-4EC5-A97F-D1A1B521CE2F}" srcOrd="3" destOrd="0" presId="urn:microsoft.com/office/officeart/2005/8/layout/radial1"/>
    <dgm:cxn modelId="{FC695EC6-7FEE-464C-9287-9EA99831C89E}" type="presParOf" srcId="{4AC11394-3179-4EC5-A97F-D1A1B521CE2F}" destId="{62A1F741-432F-46BE-AE07-15F0B6D5EA89}" srcOrd="0" destOrd="0" presId="urn:microsoft.com/office/officeart/2005/8/layout/radial1"/>
    <dgm:cxn modelId="{D7311126-CF0C-459B-8AF2-40D96C0FB554}" type="presParOf" srcId="{08F189A1-AB47-41D1-8058-7A6DA66B3F52}" destId="{035B4C9A-0916-4FCC-A1CF-85DB358A289A}" srcOrd="4" destOrd="0" presId="urn:microsoft.com/office/officeart/2005/8/layout/radial1"/>
    <dgm:cxn modelId="{54D85B26-11BC-43E0-9992-8DC1616C286A}" type="presParOf" srcId="{08F189A1-AB47-41D1-8058-7A6DA66B3F52}" destId="{1281FAF2-438A-4E06-A630-42C5CD6DB1D1}" srcOrd="5" destOrd="0" presId="urn:microsoft.com/office/officeart/2005/8/layout/radial1"/>
    <dgm:cxn modelId="{6291E887-166B-477B-B685-04D77C6C9857}" type="presParOf" srcId="{1281FAF2-438A-4E06-A630-42C5CD6DB1D1}" destId="{2F4F44BF-1E04-4136-A0FB-1DED4AC75151}" srcOrd="0" destOrd="0" presId="urn:microsoft.com/office/officeart/2005/8/layout/radial1"/>
    <dgm:cxn modelId="{A6416127-A380-4EEF-A945-8568ADB27EA0}" type="presParOf" srcId="{08F189A1-AB47-41D1-8058-7A6DA66B3F52}" destId="{9D8804DD-C1C3-4668-9E8F-40BB54189D15}" srcOrd="6" destOrd="0" presId="urn:microsoft.com/office/officeart/2005/8/layout/radial1"/>
    <dgm:cxn modelId="{9EFACFCE-E70C-47D7-A751-49BE8E0856A0}" type="presParOf" srcId="{08F189A1-AB47-41D1-8058-7A6DA66B3F52}" destId="{D0E3F8D6-DE9C-4394-8B02-9C131280903E}" srcOrd="7" destOrd="0" presId="urn:microsoft.com/office/officeart/2005/8/layout/radial1"/>
    <dgm:cxn modelId="{9F4D7831-CBE2-4845-8657-B2DAC8393128}" type="presParOf" srcId="{D0E3F8D6-DE9C-4394-8B02-9C131280903E}" destId="{D9125633-39F7-4B37-B444-5ECC3B34BA4C}" srcOrd="0" destOrd="0" presId="urn:microsoft.com/office/officeart/2005/8/layout/radial1"/>
    <dgm:cxn modelId="{2A74D9F7-4AAE-4E47-B9B2-5EB116584F6A}" type="presParOf" srcId="{08F189A1-AB47-41D1-8058-7A6DA66B3F52}" destId="{F1CADBCB-761B-4EBD-8811-73EECDD73DC5}" srcOrd="8" destOrd="0" presId="urn:microsoft.com/office/officeart/2005/8/layout/radial1"/>
  </dgm:cxnLst>
  <dgm:bg/>
  <dgm:whole/>
  <dgm:extLst>
    <a:ext uri="http://schemas.microsoft.com/office/drawing/2008/diagram">
      <dsp:dataModelExt xmlns:dsp="http://schemas.microsoft.com/office/drawing/2008/diagram" relId="rId142" minVer="http://schemas.openxmlformats.org/drawingml/2006/diagram"/>
    </a:ext>
    <a:ext uri="{C62137D5-CB1D-491B-B009-E17868A290BF}">
      <dgm14:recolorImg xmlns:dgm14="http://schemas.microsoft.com/office/drawing/2010/diagram" val="1"/>
    </a:ext>
  </dgm:extLst>
</dgm:dataModel>
</file>

<file path=word/diagrams/data15.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80777" y="665203"/>
          <a:ext cx="1213961" cy="349318"/>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ar-SA"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13</a:t>
          </a:r>
          <a:endPar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1164525" y="1052552"/>
          <a:ext cx="1372939" cy="5606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9393212">
          <a:off x="2306704" y="1050498"/>
          <a:ext cx="360356"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434712" y="1098691"/>
          <a:ext cx="1303029" cy="50736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البرنانج 14</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500735">
          <a:off x="3287631" y="1066469"/>
          <a:ext cx="399900"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362839" y="581418"/>
          <a:ext cx="1194049" cy="5044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12</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التصنيفات والمعايير</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21589143">
          <a:off x="3594700" y="830138"/>
          <a:ext cx="768157"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EC699C-58C9-413E-92A6-88F3FF9B1DC9}">
      <dgm:prSet phldrT="[Text]" custT="1"/>
      <dgm:spPr>
        <a:xfrm>
          <a:off x="2488168" y="-26200"/>
          <a:ext cx="999180" cy="44384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FC291C-D685-4C64-9B85-7318D8496566}" type="parTrans" cxnId="{3597F8D4-E0D8-45F4-BB48-7FD22AAE79C7}">
      <dgm:prSet/>
      <dgm:spPr>
        <a:xfrm rot="16200000">
          <a:off x="2863978" y="534828"/>
          <a:ext cx="247560"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8BDC942-54AA-48C8-9849-2287B2AEC32C}" type="sibTrans" cxnId="{3597F8D4-E0D8-45F4-BB48-7FD22AAE79C7}">
      <dgm:prSet/>
      <dgm:spPr/>
      <dgm:t>
        <a:bodyPr/>
        <a:lstStyle/>
        <a:p>
          <a:endParaRPr lang="en-US"/>
        </a:p>
      </dgm:t>
    </dgm:pt>
    <dgm:pt modelId="{8D95C031-B53C-42FF-A312-F15FA4C9B96F}">
      <dgm:prSet phldrT="[Text]" custT="1"/>
      <dgm:spPr>
        <a:xfrm>
          <a:off x="3829310" y="47623"/>
          <a:ext cx="1138760" cy="44759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مدريد</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350B580-CEC5-40B7-8EB5-A172D5915A6B}" type="parTrans" cxnId="{DB613666-54CF-4D7E-982B-E399CC961051}">
      <dgm:prSet/>
      <dgm:spPr>
        <a:xfrm rot="20283379">
          <a:off x="3314743" y="558078"/>
          <a:ext cx="712131"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52C44D8-90AA-45A0-B521-998C42893448}" type="sibTrans" cxnId="{DB613666-54CF-4D7E-982B-E399CC961051}">
      <dgm:prSet/>
      <dgm:spPr/>
      <dgm:t>
        <a:bodyPr/>
        <a:lstStyle/>
        <a:p>
          <a:endParaRPr lang="en-US"/>
        </a:p>
      </dgm:t>
    </dgm:pt>
    <dgm:pt modelId="{0BE60BA9-2025-462F-AA1B-F34616BD63F6}">
      <dgm:prSet phldrT="[Text]" custT="1"/>
      <dgm:spPr>
        <a:xfrm>
          <a:off x="138832" y="561976"/>
          <a:ext cx="1257883" cy="5447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لاهاي</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6BC16BB-F93A-4745-8B71-07703A9D0891}" type="parTrans" cxnId="{AD2EB3D2-1381-46CB-80E7-BA9A804B7DD3}">
      <dgm:prSet/>
      <dgm:spPr>
        <a:xfrm rot="10808569">
          <a:off x="1396704" y="830528"/>
          <a:ext cx="984098"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8DD518E-881E-4111-9EDE-7F061DEDE6FF}" type="sibTrans" cxnId="{AD2EB3D2-1381-46CB-80E7-BA9A804B7DD3}">
      <dgm:prSet/>
      <dgm:spPr/>
      <dgm:t>
        <a:bodyPr/>
        <a:lstStyle/>
        <a:p>
          <a:endParaRPr lang="en-US"/>
        </a:p>
      </dgm:t>
    </dgm:pt>
    <dgm:pt modelId="{D034F6AC-E459-483A-BC18-22A33AE5BDAE}">
      <dgm:prSet phldrT="[Text]" custT="1"/>
      <dgm:spPr>
        <a:xfrm>
          <a:off x="1035359" y="40747"/>
          <a:ext cx="1283030" cy="47360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5ACED9-64BE-4FFA-8C93-F38031958FA9}" type="parTrans" cxnId="{A1C8553A-C9ED-44D4-BF8D-B9844332441C}">
      <dgm:prSet/>
      <dgm:spPr>
        <a:xfrm rot="12193039">
          <a:off x="2070891" y="569333"/>
          <a:ext cx="603152" cy="1318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E283739-CFFF-4188-B6AB-05FB0B17A987}" type="sibTrans" cxnId="{A1C8553A-C9ED-44D4-BF8D-B9844332441C}">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78738" custScaleY="80207" custLinFactNeighborY="-702"/>
      <dgm:spPr>
        <a:prstGeom prst="ellipse">
          <a:avLst/>
        </a:prstGeom>
      </dgm:spPr>
      <dgm:t>
        <a:bodyPr/>
        <a:lstStyle/>
        <a:p>
          <a:endParaRPr lang="en-US"/>
        </a:p>
      </dgm:t>
    </dgm:pt>
    <dgm:pt modelId="{743B4520-8441-42A0-AFCB-45C212516FFF}" type="pres">
      <dgm:prSet presAssocID="{E2FC291C-D685-4C64-9B85-7318D8496566}" presName="Name9" presStyleLbl="parChTrans1D2" presStyleIdx="0" presStyleCnt="7"/>
      <dgm:spPr>
        <a:custGeom>
          <a:avLst/>
          <a:gdLst/>
          <a:ahLst/>
          <a:cxnLst/>
          <a:rect l="0" t="0" r="0" b="0"/>
          <a:pathLst>
            <a:path>
              <a:moveTo>
                <a:pt x="0" y="6594"/>
              </a:moveTo>
              <a:lnTo>
                <a:pt x="247560" y="6594"/>
              </a:lnTo>
            </a:path>
          </a:pathLst>
        </a:custGeom>
      </dgm:spPr>
      <dgm:t>
        <a:bodyPr/>
        <a:lstStyle/>
        <a:p>
          <a:endParaRPr lang="en-US"/>
        </a:p>
      </dgm:t>
    </dgm:pt>
    <dgm:pt modelId="{AB25BD6D-C05F-49D2-AE4A-144CA3C0FC88}" type="pres">
      <dgm:prSet presAssocID="{E2FC291C-D685-4C64-9B85-7318D8496566}" presName="connTx" presStyleLbl="parChTrans1D2" presStyleIdx="0" presStyleCnt="7"/>
      <dgm:spPr/>
      <dgm:t>
        <a:bodyPr/>
        <a:lstStyle/>
        <a:p>
          <a:endParaRPr lang="en-US"/>
        </a:p>
      </dgm:t>
    </dgm:pt>
    <dgm:pt modelId="{825B4589-2D50-4097-AF2B-6D3BD9DDE0B2}" type="pres">
      <dgm:prSet presAssocID="{70EC699C-58C9-413E-92A6-88F3FF9B1DC9}" presName="node" presStyleLbl="node1" presStyleIdx="0" presStyleCnt="7" custScaleX="229422" custScaleY="101911">
        <dgm:presLayoutVars>
          <dgm:bulletEnabled val="1"/>
        </dgm:presLayoutVars>
      </dgm:prSet>
      <dgm:spPr>
        <a:prstGeom prst="ellipse">
          <a:avLst/>
        </a:prstGeom>
      </dgm:spPr>
      <dgm:t>
        <a:bodyPr/>
        <a:lstStyle/>
        <a:p>
          <a:endParaRPr lang="en-US"/>
        </a:p>
      </dgm:t>
    </dgm:pt>
    <dgm:pt modelId="{7A96B68C-E15D-4E1B-A46C-7E5DE405A90C}" type="pres">
      <dgm:prSet presAssocID="{8350B580-CEC5-40B7-8EB5-A172D5915A6B}" presName="Name9" presStyleLbl="parChTrans1D2" presStyleIdx="1" presStyleCnt="7"/>
      <dgm:spPr>
        <a:custGeom>
          <a:avLst/>
          <a:gdLst/>
          <a:ahLst/>
          <a:cxnLst/>
          <a:rect l="0" t="0" r="0" b="0"/>
          <a:pathLst>
            <a:path>
              <a:moveTo>
                <a:pt x="0" y="6594"/>
              </a:moveTo>
              <a:lnTo>
                <a:pt x="712131" y="6594"/>
              </a:lnTo>
            </a:path>
          </a:pathLst>
        </a:custGeom>
      </dgm:spPr>
      <dgm:t>
        <a:bodyPr/>
        <a:lstStyle/>
        <a:p>
          <a:endParaRPr lang="en-US"/>
        </a:p>
      </dgm:t>
    </dgm:pt>
    <dgm:pt modelId="{55614E8E-7D68-4791-82B7-FD152FE54268}" type="pres">
      <dgm:prSet presAssocID="{8350B580-CEC5-40B7-8EB5-A172D5915A6B}" presName="connTx" presStyleLbl="parChTrans1D2" presStyleIdx="1" presStyleCnt="7"/>
      <dgm:spPr/>
      <dgm:t>
        <a:bodyPr/>
        <a:lstStyle/>
        <a:p>
          <a:endParaRPr lang="en-US"/>
        </a:p>
      </dgm:t>
    </dgm:pt>
    <dgm:pt modelId="{9DCD972B-1513-465A-AD2B-AD5E9EEB7291}" type="pres">
      <dgm:prSet presAssocID="{8D95C031-B53C-42FF-A312-F15FA4C9B96F}" presName="node" presStyleLbl="node1" presStyleIdx="1" presStyleCnt="7" custScaleX="261471" custScaleY="102773" custRadScaleRad="233362" custRadScaleInc="63420">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7"/>
      <dgm:spPr>
        <a:custGeom>
          <a:avLst/>
          <a:gdLst/>
          <a:ahLst/>
          <a:cxnLst/>
          <a:rect l="0" t="0" r="0" b="0"/>
          <a:pathLst>
            <a:path>
              <a:moveTo>
                <a:pt x="0" y="6594"/>
              </a:moveTo>
              <a:lnTo>
                <a:pt x="768157" y="6594"/>
              </a:lnTo>
            </a:path>
          </a:pathLst>
        </a:custGeom>
      </dgm:spPr>
      <dgm:t>
        <a:bodyPr/>
        <a:lstStyle/>
        <a:p>
          <a:endParaRPr lang="en-US"/>
        </a:p>
      </dgm:t>
    </dgm:pt>
    <dgm:pt modelId="{326412CE-9911-4799-A459-B56F02EB4473}" type="pres">
      <dgm:prSet presAssocID="{7AF774ED-547E-4C04-8670-B0C1D08C5EE9}" presName="connTx" presStyleLbl="parChTrans1D2" presStyleIdx="2" presStyleCnt="7"/>
      <dgm:spPr/>
      <dgm:t>
        <a:bodyPr/>
        <a:lstStyle/>
        <a:p>
          <a:endParaRPr lang="en-US"/>
        </a:p>
      </dgm:t>
    </dgm:pt>
    <dgm:pt modelId="{CED9197C-8322-406B-917C-172FA36E7B76}" type="pres">
      <dgm:prSet presAssocID="{960C5593-E0FF-4AA5-AA0B-E8BDFFBC5E53}" presName="node" presStyleLbl="node1" presStyleIdx="2" presStyleCnt="7" custScaleX="274166" custScaleY="115823" custRadScaleRad="301871" custRadScaleInc="-51740">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3" presStyleCnt="7"/>
      <dgm:spPr>
        <a:custGeom>
          <a:avLst/>
          <a:gdLst/>
          <a:ahLst/>
          <a:cxnLst/>
          <a:rect l="0" t="0" r="0" b="0"/>
          <a:pathLst>
            <a:path>
              <a:moveTo>
                <a:pt x="0" y="6594"/>
              </a:moveTo>
              <a:lnTo>
                <a:pt x="399900" y="6594"/>
              </a:lnTo>
            </a:path>
          </a:pathLst>
        </a:custGeom>
      </dgm:spPr>
      <dgm:t>
        <a:bodyPr/>
        <a:lstStyle/>
        <a:p>
          <a:endParaRPr lang="en-US"/>
        </a:p>
      </dgm:t>
    </dgm:pt>
    <dgm:pt modelId="{62A1F741-432F-46BE-AE07-15F0B6D5EA89}" type="pres">
      <dgm:prSet presAssocID="{4693CA52-075F-4BD8-ABEA-5368BE377DDA}" presName="connTx" presStyleLbl="parChTrans1D2" presStyleIdx="3" presStyleCnt="7"/>
      <dgm:spPr/>
      <dgm:t>
        <a:bodyPr/>
        <a:lstStyle/>
        <a:p>
          <a:endParaRPr lang="en-US"/>
        </a:p>
      </dgm:t>
    </dgm:pt>
    <dgm:pt modelId="{035B4C9A-0916-4FCC-A1CF-85DB358A289A}" type="pres">
      <dgm:prSet presAssocID="{4631C2C5-1554-4289-90B0-F2D55D1595B6}" presName="node" presStyleLbl="node1" presStyleIdx="3" presStyleCnt="7" custScaleX="299189" custScaleY="116496" custRadScaleRad="184949" custRadScaleInc="-154263">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4" presStyleCnt="7"/>
      <dgm:spPr>
        <a:custGeom>
          <a:avLst/>
          <a:gdLst/>
          <a:ahLst/>
          <a:cxnLst/>
          <a:rect l="0" t="0" r="0" b="0"/>
          <a:pathLst>
            <a:path>
              <a:moveTo>
                <a:pt x="0" y="6594"/>
              </a:moveTo>
              <a:lnTo>
                <a:pt x="360356" y="6594"/>
              </a:lnTo>
            </a:path>
          </a:pathLst>
        </a:custGeom>
      </dgm:spPr>
      <dgm:t>
        <a:bodyPr/>
        <a:lstStyle/>
        <a:p>
          <a:endParaRPr lang="en-US"/>
        </a:p>
      </dgm:t>
    </dgm:pt>
    <dgm:pt modelId="{EA4144E0-C5B2-4FC0-BDB2-550B61DB7DFD}" type="pres">
      <dgm:prSet presAssocID="{0FABC453-0A5C-4CAE-813B-F0494A34E025}" presName="connTx" presStyleLbl="parChTrans1D2" presStyleIdx="4" presStyleCnt="7"/>
      <dgm:spPr/>
      <dgm:t>
        <a:bodyPr/>
        <a:lstStyle/>
        <a:p>
          <a:endParaRPr lang="en-US"/>
        </a:p>
      </dgm:t>
    </dgm:pt>
    <dgm:pt modelId="{0FAF3FA1-8E6C-455E-B189-A468B3F4D8BC}" type="pres">
      <dgm:prSet presAssocID="{C06C39C9-71B8-489C-9C45-3DD37A424E39}" presName="node" presStyleLbl="node1" presStyleIdx="4" presStyleCnt="7" custScaleX="315241" custScaleY="128732" custRadScaleRad="189105" custRadScaleInc="160337">
        <dgm:presLayoutVars>
          <dgm:bulletEnabled val="1"/>
        </dgm:presLayoutVars>
      </dgm:prSet>
      <dgm:spPr>
        <a:prstGeom prst="ellipse">
          <a:avLst/>
        </a:prstGeom>
      </dgm:spPr>
      <dgm:t>
        <a:bodyPr/>
        <a:lstStyle/>
        <a:p>
          <a:endParaRPr lang="en-US"/>
        </a:p>
      </dgm:t>
    </dgm:pt>
    <dgm:pt modelId="{4C755D63-E57A-4826-AD35-228CF0B8702F}" type="pres">
      <dgm:prSet presAssocID="{E6BC16BB-F93A-4745-8B71-07703A9D0891}" presName="Name9" presStyleLbl="parChTrans1D2" presStyleIdx="5" presStyleCnt="7"/>
      <dgm:spPr>
        <a:custGeom>
          <a:avLst/>
          <a:gdLst/>
          <a:ahLst/>
          <a:cxnLst/>
          <a:rect l="0" t="0" r="0" b="0"/>
          <a:pathLst>
            <a:path>
              <a:moveTo>
                <a:pt x="0" y="6594"/>
              </a:moveTo>
              <a:lnTo>
                <a:pt x="984098" y="6594"/>
              </a:lnTo>
            </a:path>
          </a:pathLst>
        </a:custGeom>
      </dgm:spPr>
      <dgm:t>
        <a:bodyPr/>
        <a:lstStyle/>
        <a:p>
          <a:endParaRPr lang="en-US"/>
        </a:p>
      </dgm:t>
    </dgm:pt>
    <dgm:pt modelId="{7ABA132F-4D21-4791-9A9A-84D258152BDE}" type="pres">
      <dgm:prSet presAssocID="{E6BC16BB-F93A-4745-8B71-07703A9D0891}" presName="connTx" presStyleLbl="parChTrans1D2" presStyleIdx="5" presStyleCnt="7"/>
      <dgm:spPr/>
      <dgm:t>
        <a:bodyPr/>
        <a:lstStyle/>
        <a:p>
          <a:endParaRPr lang="en-US"/>
        </a:p>
      </dgm:t>
    </dgm:pt>
    <dgm:pt modelId="{24E3E7DC-0BA5-48AF-955A-AA52F4F430B1}" type="pres">
      <dgm:prSet presAssocID="{0BE60BA9-2025-462F-AA1B-F34616BD63F6}" presName="node" presStyleLbl="node1" presStyleIdx="5" presStyleCnt="7" custScaleX="288823" custScaleY="125070" custRadScaleRad="339811" custRadScaleInc="51476">
        <dgm:presLayoutVars>
          <dgm:bulletEnabled val="1"/>
        </dgm:presLayoutVars>
      </dgm:prSet>
      <dgm:spPr>
        <a:prstGeom prst="ellipse">
          <a:avLst/>
        </a:prstGeom>
      </dgm:spPr>
      <dgm:t>
        <a:bodyPr/>
        <a:lstStyle/>
        <a:p>
          <a:endParaRPr lang="en-US"/>
        </a:p>
      </dgm:t>
    </dgm:pt>
    <dgm:pt modelId="{E3CB5DB8-2282-45FB-9E5F-A0F7C1267DC9}" type="pres">
      <dgm:prSet presAssocID="{E25ACED9-64BE-4FFA-8C93-F38031958FA9}" presName="Name9" presStyleLbl="parChTrans1D2" presStyleIdx="6" presStyleCnt="7"/>
      <dgm:spPr>
        <a:custGeom>
          <a:avLst/>
          <a:gdLst/>
          <a:ahLst/>
          <a:cxnLst/>
          <a:rect l="0" t="0" r="0" b="0"/>
          <a:pathLst>
            <a:path>
              <a:moveTo>
                <a:pt x="0" y="6594"/>
              </a:moveTo>
              <a:lnTo>
                <a:pt x="603152" y="6594"/>
              </a:lnTo>
            </a:path>
          </a:pathLst>
        </a:custGeom>
      </dgm:spPr>
      <dgm:t>
        <a:bodyPr/>
        <a:lstStyle/>
        <a:p>
          <a:endParaRPr lang="en-US"/>
        </a:p>
      </dgm:t>
    </dgm:pt>
    <dgm:pt modelId="{737E721F-8678-45AE-8B6B-48BBD5CBAE25}" type="pres">
      <dgm:prSet presAssocID="{E25ACED9-64BE-4FFA-8C93-F38031958FA9}" presName="connTx" presStyleLbl="parChTrans1D2" presStyleIdx="6" presStyleCnt="7"/>
      <dgm:spPr/>
      <dgm:t>
        <a:bodyPr/>
        <a:lstStyle/>
        <a:p>
          <a:endParaRPr lang="en-US"/>
        </a:p>
      </dgm:t>
    </dgm:pt>
    <dgm:pt modelId="{2EA04359-081B-43A3-861D-095126BB9402}" type="pres">
      <dgm:prSet presAssocID="{D034F6AC-E459-483A-BC18-22A33AE5BDAE}" presName="node" presStyleLbl="node1" presStyleIdx="6" presStyleCnt="7" custScaleX="294597" custScaleY="108744" custRadScaleRad="218890" custRadScaleInc="-58397">
        <dgm:presLayoutVars>
          <dgm:bulletEnabled val="1"/>
        </dgm:presLayoutVars>
      </dgm:prSet>
      <dgm:spPr>
        <a:prstGeom prst="ellipse">
          <a:avLst/>
        </a:prstGeom>
      </dgm:spPr>
      <dgm:t>
        <a:bodyPr/>
        <a:lstStyle/>
        <a:p>
          <a:endParaRPr lang="en-US"/>
        </a:p>
      </dgm:t>
    </dgm:pt>
  </dgm:ptLst>
  <dgm:cxnLst>
    <dgm:cxn modelId="{BF65F824-D4F4-4A84-83B4-6B1944B62AAD}" srcId="{DE541715-C648-404D-8124-F14F463E9202}" destId="{4631C2C5-1554-4289-90B0-F2D55D1595B6}" srcOrd="3" destOrd="0" parTransId="{4693CA52-075F-4BD8-ABEA-5368BE377DDA}" sibTransId="{9B3CB24D-A47A-4081-B256-B868D89D5387}"/>
    <dgm:cxn modelId="{60AFFD45-121C-4EB8-A5A9-181D2A804D25}" type="presOf" srcId="{E6BC16BB-F93A-4745-8B71-07703A9D0891}" destId="{7ABA132F-4D21-4791-9A9A-84D258152BDE}" srcOrd="1" destOrd="0" presId="urn:microsoft.com/office/officeart/2005/8/layout/radial1"/>
    <dgm:cxn modelId="{1E15581C-70C8-4ACE-86F0-7DB2D354B825}" type="presOf" srcId="{4693CA52-075F-4BD8-ABEA-5368BE377DDA}" destId="{62A1F741-432F-46BE-AE07-15F0B6D5EA89}" srcOrd="1" destOrd="0" presId="urn:microsoft.com/office/officeart/2005/8/layout/radial1"/>
    <dgm:cxn modelId="{40CC8B03-AFB7-44CF-977D-B8B26162E3FE}" type="presOf" srcId="{0BE60BA9-2025-462F-AA1B-F34616BD63F6}" destId="{24E3E7DC-0BA5-48AF-955A-AA52F4F430B1}" srcOrd="0" destOrd="0" presId="urn:microsoft.com/office/officeart/2005/8/layout/radial1"/>
    <dgm:cxn modelId="{F8EA8009-013F-4D91-9BD5-8F13910A3D5F}" type="presOf" srcId="{E25ACED9-64BE-4FFA-8C93-F38031958FA9}" destId="{E3CB5DB8-2282-45FB-9E5F-A0F7C1267DC9}" srcOrd="0" destOrd="0" presId="urn:microsoft.com/office/officeart/2005/8/layout/radial1"/>
    <dgm:cxn modelId="{DB613666-54CF-4D7E-982B-E399CC961051}" srcId="{DE541715-C648-404D-8124-F14F463E9202}" destId="{8D95C031-B53C-42FF-A312-F15FA4C9B96F}" srcOrd="1" destOrd="0" parTransId="{8350B580-CEC5-40B7-8EB5-A172D5915A6B}" sibTransId="{F52C44D8-90AA-45A0-B521-998C42893448}"/>
    <dgm:cxn modelId="{0E8F243D-F9E2-4F52-956B-3A5D667EC9EB}" type="presOf" srcId="{DE541715-C648-404D-8124-F14F463E9202}" destId="{062AF917-2F47-4639-8A23-58AD52EC0F32}" srcOrd="0" destOrd="0" presId="urn:microsoft.com/office/officeart/2005/8/layout/radial1"/>
    <dgm:cxn modelId="{A1C8553A-C9ED-44D4-BF8D-B9844332441C}" srcId="{DE541715-C648-404D-8124-F14F463E9202}" destId="{D034F6AC-E459-483A-BC18-22A33AE5BDAE}" srcOrd="6" destOrd="0" parTransId="{E25ACED9-64BE-4FFA-8C93-F38031958FA9}" sibTransId="{9E283739-CFFF-4188-B6AB-05FB0B17A987}"/>
    <dgm:cxn modelId="{DA740704-6E02-4402-8325-D0302449434E}" srcId="{34E6C8D5-8D4F-4714-8A12-8F4599A8E760}" destId="{4F895710-9C0A-4357-A62A-B00C2B1BB2A2}" srcOrd="1" destOrd="0" parTransId="{4492527F-B2BC-4423-9ACC-2816666249A0}" sibTransId="{A0A859C5-79E5-4C97-AF72-54A6D166EEA1}"/>
    <dgm:cxn modelId="{E1660A97-6B1A-422A-AE32-D773AC438079}" type="presOf" srcId="{D034F6AC-E459-483A-BC18-22A33AE5BDAE}" destId="{2EA04359-081B-43A3-861D-095126BB9402}" srcOrd="0" destOrd="0" presId="urn:microsoft.com/office/officeart/2005/8/layout/radial1"/>
    <dgm:cxn modelId="{A0A91F32-E308-4B73-AB56-E4F48AC8CB11}" type="presOf" srcId="{7AF774ED-547E-4C04-8670-B0C1D08C5EE9}" destId="{5337AE63-3722-42CC-AF72-36670EB7C5E1}" srcOrd="0" destOrd="0" presId="urn:microsoft.com/office/officeart/2005/8/layout/radial1"/>
    <dgm:cxn modelId="{F6EAD94C-E02E-436A-9603-F2E4750E0770}" type="presOf" srcId="{E2FC291C-D685-4C64-9B85-7318D8496566}" destId="{743B4520-8441-42A0-AFCB-45C212516FFF}" srcOrd="0" destOrd="0" presId="urn:microsoft.com/office/officeart/2005/8/layout/radial1"/>
    <dgm:cxn modelId="{86D3E326-AA7B-4292-A7E3-18F0AD9068FC}" type="presOf" srcId="{E25ACED9-64BE-4FFA-8C93-F38031958FA9}" destId="{737E721F-8678-45AE-8B6B-48BBD5CBAE25}" srcOrd="1" destOrd="0" presId="urn:microsoft.com/office/officeart/2005/8/layout/radial1"/>
    <dgm:cxn modelId="{2E60C494-A32B-45C3-9865-C4A9AD3560BF}" type="presOf" srcId="{0FABC453-0A5C-4CAE-813B-F0494A34E025}" destId="{ADF94B70-0D7F-4A27-8DF9-17BCD27F4A7A}" srcOrd="0" destOrd="0" presId="urn:microsoft.com/office/officeart/2005/8/layout/radial1"/>
    <dgm:cxn modelId="{8E5B3E04-3760-437C-813B-EC92BEC4219A}" type="presOf" srcId="{4693CA52-075F-4BD8-ABEA-5368BE377DDA}" destId="{4AC11394-3179-4EC5-A97F-D1A1B521CE2F}" srcOrd="0" destOrd="0" presId="urn:microsoft.com/office/officeart/2005/8/layout/radial1"/>
    <dgm:cxn modelId="{D54A3E7E-09DA-4FE1-92DC-70B929799773}" type="presOf" srcId="{960C5593-E0FF-4AA5-AA0B-E8BDFFBC5E53}" destId="{CED9197C-8322-406B-917C-172FA36E7B76}" srcOrd="0" destOrd="0" presId="urn:microsoft.com/office/officeart/2005/8/layout/radial1"/>
    <dgm:cxn modelId="{248698A6-055B-40E3-B808-D624056EF2B0}" srcId="{DE541715-C648-404D-8124-F14F463E9202}" destId="{C06C39C9-71B8-489C-9C45-3DD37A424E39}" srcOrd="4" destOrd="0" parTransId="{0FABC453-0A5C-4CAE-813B-F0494A34E025}" sibTransId="{DCD34884-F96E-475A-9010-14DE66A403A6}"/>
    <dgm:cxn modelId="{98DE6461-4379-4D0B-A86F-9C29CA8E2DB7}" type="presOf" srcId="{8350B580-CEC5-40B7-8EB5-A172D5915A6B}" destId="{55614E8E-7D68-4791-82B7-FD152FE54268}" srcOrd="1" destOrd="0" presId="urn:microsoft.com/office/officeart/2005/8/layout/radial1"/>
    <dgm:cxn modelId="{96D63159-A12D-4924-974F-08DDDDF45DA5}" type="presOf" srcId="{0FABC453-0A5C-4CAE-813B-F0494A34E025}" destId="{EA4144E0-C5B2-4FC0-BDB2-550B61DB7DFD}" srcOrd="1" destOrd="0" presId="urn:microsoft.com/office/officeart/2005/8/layout/radial1"/>
    <dgm:cxn modelId="{96EB22AF-1892-430F-836C-7929A36144FA}" type="presOf" srcId="{E6BC16BB-F93A-4745-8B71-07703A9D0891}" destId="{4C755D63-E57A-4826-AD35-228CF0B8702F}" srcOrd="0" destOrd="0" presId="urn:microsoft.com/office/officeart/2005/8/layout/radial1"/>
    <dgm:cxn modelId="{974F4BAB-5B57-4D3F-9864-CA8139DDD016}" type="presOf" srcId="{34E6C8D5-8D4F-4714-8A12-8F4599A8E760}" destId="{08F189A1-AB47-41D1-8058-7A6DA66B3F52}" srcOrd="0" destOrd="0" presId="urn:microsoft.com/office/officeart/2005/8/layout/radial1"/>
    <dgm:cxn modelId="{40E0FA1E-6945-455F-A323-84C43D84F97D}" type="presOf" srcId="{8D95C031-B53C-42FF-A312-F15FA4C9B96F}" destId="{9DCD972B-1513-465A-AD2B-AD5E9EEB7291}" srcOrd="0" destOrd="0" presId="urn:microsoft.com/office/officeart/2005/8/layout/radial1"/>
    <dgm:cxn modelId="{8A0B41D7-A8A6-487C-A60D-AAAF46F28292}" type="presOf" srcId="{4631C2C5-1554-4289-90B0-F2D55D1595B6}" destId="{035B4C9A-0916-4FCC-A1CF-85DB358A289A}" srcOrd="0" destOrd="0" presId="urn:microsoft.com/office/officeart/2005/8/layout/radial1"/>
    <dgm:cxn modelId="{AD2EB3D2-1381-46CB-80E7-BA9A804B7DD3}" srcId="{DE541715-C648-404D-8124-F14F463E9202}" destId="{0BE60BA9-2025-462F-AA1B-F34616BD63F6}" srcOrd="5" destOrd="0" parTransId="{E6BC16BB-F93A-4745-8B71-07703A9D0891}" sibTransId="{C8DD518E-881E-4111-9EDE-7F061DEDE6FF}"/>
    <dgm:cxn modelId="{F18F22E2-1C5B-4CF7-A87D-5F423B239BCA}" type="presOf" srcId="{E2FC291C-D685-4C64-9B85-7318D8496566}" destId="{AB25BD6D-C05F-49D2-AE4A-144CA3C0FC88}" srcOrd="1" destOrd="0" presId="urn:microsoft.com/office/officeart/2005/8/layout/radial1"/>
    <dgm:cxn modelId="{789B22FC-F389-4CFD-91AE-80A64205990B}" type="presOf" srcId="{C06C39C9-71B8-489C-9C45-3DD37A424E39}" destId="{0FAF3FA1-8E6C-455E-B189-A468B3F4D8BC}" srcOrd="0" destOrd="0" presId="urn:microsoft.com/office/officeart/2005/8/layout/radial1"/>
    <dgm:cxn modelId="{63150898-4C0D-4AA7-9E39-FB4D98C66D78}" type="presOf" srcId="{70EC699C-58C9-413E-92A6-88F3FF9B1DC9}" destId="{825B4589-2D50-4097-AF2B-6D3BD9DDE0B2}"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3597F8D4-E0D8-45F4-BB48-7FD22AAE79C7}" srcId="{DE541715-C648-404D-8124-F14F463E9202}" destId="{70EC699C-58C9-413E-92A6-88F3FF9B1DC9}" srcOrd="0" destOrd="0" parTransId="{E2FC291C-D685-4C64-9B85-7318D8496566}" sibTransId="{18BDC942-54AA-48C8-9849-2287B2AEC32C}"/>
    <dgm:cxn modelId="{743470DC-9531-4C1F-B3B5-894F97B561F9}" type="presOf" srcId="{8350B580-CEC5-40B7-8EB5-A172D5915A6B}" destId="{7A96B68C-E15D-4E1B-A46C-7E5DE405A90C}" srcOrd="0" destOrd="0" presId="urn:microsoft.com/office/officeart/2005/8/layout/radial1"/>
    <dgm:cxn modelId="{3964611F-9C0C-404E-95A1-46CDE3069A31}" type="presOf" srcId="{7AF774ED-547E-4C04-8670-B0C1D08C5EE9}" destId="{326412CE-9911-4799-A459-B56F02EB4473}" srcOrd="1" destOrd="0" presId="urn:microsoft.com/office/officeart/2005/8/layout/radial1"/>
    <dgm:cxn modelId="{529D05ED-97D5-4116-BE13-DE3D93351F7F}" srcId="{DE541715-C648-404D-8124-F14F463E9202}" destId="{960C5593-E0FF-4AA5-AA0B-E8BDFFBC5E53}" srcOrd="2" destOrd="0" parTransId="{7AF774ED-547E-4C04-8670-B0C1D08C5EE9}" sibTransId="{88F12DF7-015F-4F26-950A-DAE493699644}"/>
    <dgm:cxn modelId="{4094415B-5A9C-4022-98FB-AD76D055FBC2}" type="presParOf" srcId="{08F189A1-AB47-41D1-8058-7A6DA66B3F52}" destId="{062AF917-2F47-4639-8A23-58AD52EC0F32}" srcOrd="0" destOrd="0" presId="urn:microsoft.com/office/officeart/2005/8/layout/radial1"/>
    <dgm:cxn modelId="{E6A8EDCD-7C76-433D-B6C3-8C7B540CB722}" type="presParOf" srcId="{08F189A1-AB47-41D1-8058-7A6DA66B3F52}" destId="{743B4520-8441-42A0-AFCB-45C212516FFF}" srcOrd="1" destOrd="0" presId="urn:microsoft.com/office/officeart/2005/8/layout/radial1"/>
    <dgm:cxn modelId="{FB368C28-F94E-4EBE-A722-677CB91E233D}" type="presParOf" srcId="{743B4520-8441-42A0-AFCB-45C212516FFF}" destId="{AB25BD6D-C05F-49D2-AE4A-144CA3C0FC88}" srcOrd="0" destOrd="0" presId="urn:microsoft.com/office/officeart/2005/8/layout/radial1"/>
    <dgm:cxn modelId="{03D2088B-6CB4-4FDC-BA57-E1EE8E505D50}" type="presParOf" srcId="{08F189A1-AB47-41D1-8058-7A6DA66B3F52}" destId="{825B4589-2D50-4097-AF2B-6D3BD9DDE0B2}" srcOrd="2" destOrd="0" presId="urn:microsoft.com/office/officeart/2005/8/layout/radial1"/>
    <dgm:cxn modelId="{4A35EAE7-054C-4F10-ABA4-96E5B18B42F9}" type="presParOf" srcId="{08F189A1-AB47-41D1-8058-7A6DA66B3F52}" destId="{7A96B68C-E15D-4E1B-A46C-7E5DE405A90C}" srcOrd="3" destOrd="0" presId="urn:microsoft.com/office/officeart/2005/8/layout/radial1"/>
    <dgm:cxn modelId="{DDD08FFF-F3E2-48CF-B725-039542C9D7E9}" type="presParOf" srcId="{7A96B68C-E15D-4E1B-A46C-7E5DE405A90C}" destId="{55614E8E-7D68-4791-82B7-FD152FE54268}" srcOrd="0" destOrd="0" presId="urn:microsoft.com/office/officeart/2005/8/layout/radial1"/>
    <dgm:cxn modelId="{3490D557-363E-4D50-98BD-8675A88D9EAB}" type="presParOf" srcId="{08F189A1-AB47-41D1-8058-7A6DA66B3F52}" destId="{9DCD972B-1513-465A-AD2B-AD5E9EEB7291}" srcOrd="4" destOrd="0" presId="urn:microsoft.com/office/officeart/2005/8/layout/radial1"/>
    <dgm:cxn modelId="{34DD913A-5141-4204-9FD1-6010799884B5}" type="presParOf" srcId="{08F189A1-AB47-41D1-8058-7A6DA66B3F52}" destId="{5337AE63-3722-42CC-AF72-36670EB7C5E1}" srcOrd="5" destOrd="0" presId="urn:microsoft.com/office/officeart/2005/8/layout/radial1"/>
    <dgm:cxn modelId="{313EFA85-2DB5-4306-9C42-7C1FF7F32168}" type="presParOf" srcId="{5337AE63-3722-42CC-AF72-36670EB7C5E1}" destId="{326412CE-9911-4799-A459-B56F02EB4473}" srcOrd="0" destOrd="0" presId="urn:microsoft.com/office/officeart/2005/8/layout/radial1"/>
    <dgm:cxn modelId="{86DE517C-0B5A-4885-8FBC-9436129A4C46}" type="presParOf" srcId="{08F189A1-AB47-41D1-8058-7A6DA66B3F52}" destId="{CED9197C-8322-406B-917C-172FA36E7B76}" srcOrd="6" destOrd="0" presId="urn:microsoft.com/office/officeart/2005/8/layout/radial1"/>
    <dgm:cxn modelId="{A7CADC8C-B009-4931-9351-465E134C952C}" type="presParOf" srcId="{08F189A1-AB47-41D1-8058-7A6DA66B3F52}" destId="{4AC11394-3179-4EC5-A97F-D1A1B521CE2F}" srcOrd="7" destOrd="0" presId="urn:microsoft.com/office/officeart/2005/8/layout/radial1"/>
    <dgm:cxn modelId="{33C3E1A2-87AB-4078-8917-2864F3A835F4}" type="presParOf" srcId="{4AC11394-3179-4EC5-A97F-D1A1B521CE2F}" destId="{62A1F741-432F-46BE-AE07-15F0B6D5EA89}" srcOrd="0" destOrd="0" presId="urn:microsoft.com/office/officeart/2005/8/layout/radial1"/>
    <dgm:cxn modelId="{796261D3-BC85-452B-883B-E72A47E288A1}" type="presParOf" srcId="{08F189A1-AB47-41D1-8058-7A6DA66B3F52}" destId="{035B4C9A-0916-4FCC-A1CF-85DB358A289A}" srcOrd="8" destOrd="0" presId="urn:microsoft.com/office/officeart/2005/8/layout/radial1"/>
    <dgm:cxn modelId="{56EC2B7B-2729-44A7-98DE-337C662053E6}" type="presParOf" srcId="{08F189A1-AB47-41D1-8058-7A6DA66B3F52}" destId="{ADF94B70-0D7F-4A27-8DF9-17BCD27F4A7A}" srcOrd="9" destOrd="0" presId="urn:microsoft.com/office/officeart/2005/8/layout/radial1"/>
    <dgm:cxn modelId="{114DE15B-948D-4625-93E2-CDB4480D5A53}" type="presParOf" srcId="{ADF94B70-0D7F-4A27-8DF9-17BCD27F4A7A}" destId="{EA4144E0-C5B2-4FC0-BDB2-550B61DB7DFD}" srcOrd="0" destOrd="0" presId="urn:microsoft.com/office/officeart/2005/8/layout/radial1"/>
    <dgm:cxn modelId="{DBB6CD8F-E640-4D71-8652-2E60ADEF7354}" type="presParOf" srcId="{08F189A1-AB47-41D1-8058-7A6DA66B3F52}" destId="{0FAF3FA1-8E6C-455E-B189-A468B3F4D8BC}" srcOrd="10" destOrd="0" presId="urn:microsoft.com/office/officeart/2005/8/layout/radial1"/>
    <dgm:cxn modelId="{1F81FEA2-1CA4-48DA-A58F-1D483FAB55BA}" type="presParOf" srcId="{08F189A1-AB47-41D1-8058-7A6DA66B3F52}" destId="{4C755D63-E57A-4826-AD35-228CF0B8702F}" srcOrd="11" destOrd="0" presId="urn:microsoft.com/office/officeart/2005/8/layout/radial1"/>
    <dgm:cxn modelId="{64A81771-59C9-4E0E-B78E-74D926D456FC}" type="presParOf" srcId="{4C755D63-E57A-4826-AD35-228CF0B8702F}" destId="{7ABA132F-4D21-4791-9A9A-84D258152BDE}" srcOrd="0" destOrd="0" presId="urn:microsoft.com/office/officeart/2005/8/layout/radial1"/>
    <dgm:cxn modelId="{18F2E470-947B-411C-8F07-872630E061D9}" type="presParOf" srcId="{08F189A1-AB47-41D1-8058-7A6DA66B3F52}" destId="{24E3E7DC-0BA5-48AF-955A-AA52F4F430B1}" srcOrd="12" destOrd="0" presId="urn:microsoft.com/office/officeart/2005/8/layout/radial1"/>
    <dgm:cxn modelId="{47576FCF-A2E8-4DED-9DA6-D5B04F3105A5}" type="presParOf" srcId="{08F189A1-AB47-41D1-8058-7A6DA66B3F52}" destId="{E3CB5DB8-2282-45FB-9E5F-A0F7C1267DC9}" srcOrd="13" destOrd="0" presId="urn:microsoft.com/office/officeart/2005/8/layout/radial1"/>
    <dgm:cxn modelId="{A97D68EC-7CF6-48AC-812D-B7F5051A112E}" type="presParOf" srcId="{E3CB5DB8-2282-45FB-9E5F-A0F7C1267DC9}" destId="{737E721F-8678-45AE-8B6B-48BBD5CBAE25}" srcOrd="0" destOrd="0" presId="urn:microsoft.com/office/officeart/2005/8/layout/radial1"/>
    <dgm:cxn modelId="{CE42FB81-9652-4E2A-91AA-3DEB9724B608}" type="presParOf" srcId="{08F189A1-AB47-41D1-8058-7A6DA66B3F52}" destId="{2EA04359-081B-43A3-861D-095126BB9402}" srcOrd="14" destOrd="0" presId="urn:microsoft.com/office/officeart/2005/8/layout/radial1"/>
  </dgm:cxnLst>
  <dgm:bg/>
  <dgm:whole/>
  <dgm:extLst>
    <a:ext uri="http://schemas.microsoft.com/office/drawing/2008/diagram">
      <dsp:dataModelExt xmlns:dsp="http://schemas.microsoft.com/office/drawing/2008/diagram" relId="rId149" minVer="http://schemas.openxmlformats.org/drawingml/2006/diagram"/>
    </a:ext>
    <a:ext uri="{C62137D5-CB1D-491B-B009-E17868A290BF}">
      <dgm14:recolorImg xmlns:dgm14="http://schemas.microsoft.com/office/drawing/2010/diagram" val="1"/>
    </a:ext>
  </dgm:extLst>
</dgm:dataModel>
</file>

<file path=word/diagrams/data16.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436956" y="928028"/>
          <a:ext cx="1163496" cy="4861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2EF75B39-F486-43BE-8B27-294595126005}">
      <dgm:prSet phldrT="[Text]" custT="1"/>
      <dgm:spPr>
        <a:xfrm>
          <a:off x="2461162" y="10017"/>
          <a:ext cx="1126909" cy="5330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6F0DCEC-2B26-4038-AF1F-D0A98A0F7930}" type="parTrans" cxnId="{D0987D88-807B-4994-94E2-80A6C1D9AE52}">
      <dgm:prSet/>
      <dgm:spPr>
        <a:xfrm rot="16222721">
          <a:off x="2829084" y="727032"/>
          <a:ext cx="384996"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842803" y="396965"/>
          <a:ext cx="1095195" cy="4838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6DE2413-45CD-453B-A258-F22A53BBB241}" type="parTrans" cxnId="{A5666C79-BF01-4153-AB0A-BB16CAE1F135}">
      <dgm:prSet/>
      <dgm:spPr>
        <a:xfrm rot="20327628">
          <a:off x="3425607" y="893608"/>
          <a:ext cx="572741"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86786" y="886842"/>
          <a:ext cx="1157634" cy="58656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البيانات العالمية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2A69187-F965-4704-9C1A-29B2281F912F}" type="parTrans" cxnId="{BA0B21AC-350F-4DDA-A443-58447D95EEF1}">
      <dgm:prSet/>
      <dgm:spPr>
        <a:xfrm rot="10786818">
          <a:off x="1244400" y="1167115"/>
          <a:ext cx="1192585"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971210" y="327875"/>
          <a:ext cx="1299827" cy="51171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6278D4F-93AB-42D0-B837-2B99BC1EE808}" type="parTrans" cxnId="{D4C1BC69-C745-405B-9248-C6E8862DD509}">
      <dgm:prSet/>
      <dgm:spPr>
        <a:xfrm rot="12167746">
          <a:off x="2042422" y="876090"/>
          <a:ext cx="589133"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21293A80-0F61-406E-BFCA-C5725BC3581F}">
      <dgm:prSet phldrT="[Text]" custT="1"/>
      <dgm:spPr>
        <a:xfrm>
          <a:off x="4699105" y="911064"/>
          <a:ext cx="1244492" cy="5099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3D773F4-8F00-40EC-A451-C5A5ADE485BC}" type="parTrans" cxnId="{BD8D6ADE-EC44-459F-BA83-8828A6DCC5C3}">
      <dgm:prSet/>
      <dgm:spPr>
        <a:xfrm rot="21592425">
          <a:off x="3600443" y="1160105"/>
          <a:ext cx="1098672"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57D66A3-5C96-41AD-A09B-F6DC2C7DFB10}" type="sibTrans" cxnId="{BD8D6ADE-EC44-459F-BA83-8828A6DCC5C3}">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07213" custScaleY="86580" custLinFactNeighborX="-291" custLinFactNeighborY="11301"/>
      <dgm:spPr>
        <a:prstGeom prst="ellipse">
          <a:avLst/>
        </a:prstGeom>
      </dgm:spPr>
      <dgm:t>
        <a:bodyPr/>
        <a:lstStyle/>
        <a:p>
          <a:endParaRPr lang="en-US"/>
        </a:p>
      </dgm:t>
    </dgm:pt>
    <dgm:pt modelId="{650854B0-9FE7-4FFD-96B2-18F6452E0859}" type="pres">
      <dgm:prSet presAssocID="{66F0DCEC-2B26-4038-AF1F-D0A98A0F7930}" presName="Name9" presStyleLbl="parChTrans1D2" presStyleIdx="0" presStyleCnt="5"/>
      <dgm:spPr>
        <a:custGeom>
          <a:avLst/>
          <a:gdLst/>
          <a:ahLst/>
          <a:cxnLst/>
          <a:rect l="0" t="0" r="0" b="0"/>
          <a:pathLst>
            <a:path>
              <a:moveTo>
                <a:pt x="0" y="8502"/>
              </a:moveTo>
              <a:lnTo>
                <a:pt x="401655" y="8502"/>
              </a:lnTo>
            </a:path>
          </a:pathLst>
        </a:custGeom>
      </dgm:spPr>
      <dgm:t>
        <a:bodyPr/>
        <a:lstStyle/>
        <a:p>
          <a:endParaRPr lang="en-US"/>
        </a:p>
      </dgm:t>
    </dgm:pt>
    <dgm:pt modelId="{7FE108B5-F558-4942-A9EC-465F3C2E5813}" type="pres">
      <dgm:prSet presAssocID="{66F0DCEC-2B26-4038-AF1F-D0A98A0F7930}" presName="connTx" presStyleLbl="parChTrans1D2" presStyleIdx="0" presStyleCnt="5"/>
      <dgm:spPr/>
      <dgm:t>
        <a:bodyPr/>
        <a:lstStyle/>
        <a:p>
          <a:endParaRPr lang="en-US"/>
        </a:p>
      </dgm:t>
    </dgm:pt>
    <dgm:pt modelId="{6394B413-6D12-4C4F-9A8D-E0508CAE8617}" type="pres">
      <dgm:prSet presAssocID="{2EF75B39-F486-43BE-8B27-294595126005}" presName="node" presStyleLbl="node1" presStyleIdx="0" presStyleCnt="5" custScaleX="200697" custScaleY="94929" custRadScaleRad="99803" custRadScaleInc="362">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1" presStyleCnt="5"/>
      <dgm:spPr>
        <a:custGeom>
          <a:avLst/>
          <a:gdLst/>
          <a:ahLst/>
          <a:cxnLst/>
          <a:rect l="0" t="0" r="0" b="0"/>
          <a:pathLst>
            <a:path>
              <a:moveTo>
                <a:pt x="0" y="8502"/>
              </a:moveTo>
              <a:lnTo>
                <a:pt x="611519" y="8502"/>
              </a:lnTo>
            </a:path>
          </a:pathLst>
        </a:custGeom>
      </dgm:spPr>
      <dgm:t>
        <a:bodyPr/>
        <a:lstStyle/>
        <a:p>
          <a:endParaRPr lang="en-US"/>
        </a:p>
      </dgm:t>
    </dgm:pt>
    <dgm:pt modelId="{B0514361-30D3-4311-BC21-0743B7F01673}" type="pres">
      <dgm:prSet presAssocID="{F6DE2413-45CD-453B-A258-F22A53BBB241}" presName="connTx" presStyleLbl="parChTrans1D2" presStyleIdx="1" presStyleCnt="5"/>
      <dgm:spPr/>
      <dgm:t>
        <a:bodyPr/>
        <a:lstStyle/>
        <a:p>
          <a:endParaRPr lang="en-US"/>
        </a:p>
      </dgm:t>
    </dgm:pt>
    <dgm:pt modelId="{2ED32773-10C9-4671-A0BF-4C0DAB40AE25}" type="pres">
      <dgm:prSet presAssocID="{4761FE57-664D-44AD-8EF1-E6096D64297F}" presName="node" presStyleLbl="node1" presStyleIdx="1" presStyleCnt="5" custScaleX="195049" custScaleY="86169" custRadScaleRad="193731" custRadScaleInc="8265">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2" presStyleCnt="5"/>
      <dgm:spPr>
        <a:custGeom>
          <a:avLst/>
          <a:gdLst/>
          <a:ahLst/>
          <a:cxnLst/>
          <a:rect l="0" t="0" r="0" b="0"/>
          <a:pathLst>
            <a:path>
              <a:moveTo>
                <a:pt x="0" y="8502"/>
              </a:moveTo>
              <a:lnTo>
                <a:pt x="1178174" y="8502"/>
              </a:lnTo>
            </a:path>
          </a:pathLst>
        </a:custGeom>
      </dgm:spPr>
      <dgm:t>
        <a:bodyPr/>
        <a:lstStyle/>
        <a:p>
          <a:endParaRPr lang="en-US"/>
        </a:p>
      </dgm:t>
    </dgm:pt>
    <dgm:pt modelId="{F87499B4-AA7B-416D-9B28-377D046017EC}" type="pres">
      <dgm:prSet presAssocID="{93D773F4-8F00-40EC-A451-C5A5ADE485BC}" presName="connTx" presStyleLbl="parChTrans1D2" presStyleIdx="2" presStyleCnt="5"/>
      <dgm:spPr/>
      <dgm:t>
        <a:bodyPr/>
        <a:lstStyle/>
        <a:p>
          <a:endParaRPr lang="en-US"/>
        </a:p>
      </dgm:t>
    </dgm:pt>
    <dgm:pt modelId="{638FE4E5-2063-40D0-A44F-91C88716CF8C}" type="pres">
      <dgm:prSet presAssocID="{21293A80-0F61-406E-BFCA-C5725BC3581F}" presName="node" presStyleLbl="node1" presStyleIdx="2" presStyleCnt="5" custScaleX="221638" custScaleY="90815" custRadScaleRad="315253" custRadScaleInc="-138931">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3" presStyleCnt="5"/>
      <dgm:spPr>
        <a:custGeom>
          <a:avLst/>
          <a:gdLst/>
          <a:ahLst/>
          <a:cxnLst/>
          <a:rect l="0" t="0" r="0" b="0"/>
          <a:pathLst>
            <a:path>
              <a:moveTo>
                <a:pt x="0" y="8502"/>
              </a:moveTo>
              <a:lnTo>
                <a:pt x="1276148" y="8502"/>
              </a:lnTo>
            </a:path>
          </a:pathLst>
        </a:custGeom>
      </dgm:spPr>
      <dgm:t>
        <a:bodyPr/>
        <a:lstStyle/>
        <a:p>
          <a:endParaRPr lang="en-US"/>
        </a:p>
      </dgm:t>
    </dgm:pt>
    <dgm:pt modelId="{E01163DA-75CF-4C32-B81E-41BBCCC937B3}" type="pres">
      <dgm:prSet presAssocID="{52A69187-F965-4704-9C1A-29B2281F912F}" presName="connTx" presStyleLbl="parChTrans1D2" presStyleIdx="3" presStyleCnt="5"/>
      <dgm:spPr/>
      <dgm:t>
        <a:bodyPr/>
        <a:lstStyle/>
        <a:p>
          <a:endParaRPr lang="en-US"/>
        </a:p>
      </dgm:t>
    </dgm:pt>
    <dgm:pt modelId="{F74F2681-A109-4B75-8C08-B2B26769CF03}" type="pres">
      <dgm:prSet presAssocID="{576E161B-59E2-4177-8320-584EBC426979}" presName="node" presStyleLbl="node1" presStyleIdx="3" presStyleCnt="5" custScaleX="206169" custScaleY="104464" custRadScaleRad="323438" custRadScaleInc="138260">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4" presStyleCnt="5"/>
      <dgm:spPr>
        <a:custGeom>
          <a:avLst/>
          <a:gdLst/>
          <a:ahLst/>
          <a:cxnLst/>
          <a:rect l="0" t="0" r="0" b="0"/>
          <a:pathLst>
            <a:path>
              <a:moveTo>
                <a:pt x="0" y="8502"/>
              </a:moveTo>
              <a:lnTo>
                <a:pt x="766822" y="8502"/>
              </a:lnTo>
            </a:path>
          </a:pathLst>
        </a:custGeom>
      </dgm:spPr>
      <dgm:t>
        <a:bodyPr/>
        <a:lstStyle/>
        <a:p>
          <a:endParaRPr lang="en-US"/>
        </a:p>
      </dgm:t>
    </dgm:pt>
    <dgm:pt modelId="{C620A703-6BE9-4C0F-B737-266F7434DAB4}" type="pres">
      <dgm:prSet presAssocID="{D6278D4F-93AB-42D0-B837-2B99BC1EE808}" presName="connTx" presStyleLbl="parChTrans1D2" presStyleIdx="4" presStyleCnt="5"/>
      <dgm:spPr/>
      <dgm:t>
        <a:bodyPr/>
        <a:lstStyle/>
        <a:p>
          <a:endParaRPr lang="en-US"/>
        </a:p>
      </dgm:t>
    </dgm:pt>
    <dgm:pt modelId="{05C48364-E63B-4056-87CF-0BE50D74190B}" type="pres">
      <dgm:prSet presAssocID="{CEEBDBB9-7602-49B1-BBEB-80C6D1238598}" presName="node" presStyleLbl="node1" presStyleIdx="4" presStyleCnt="5" custScaleX="231493" custScaleY="91134" custRadScaleRad="200324" custRadScaleInc="-3443">
        <dgm:presLayoutVars>
          <dgm:bulletEnabled val="1"/>
        </dgm:presLayoutVars>
      </dgm:prSet>
      <dgm:spPr>
        <a:prstGeom prst="ellipse">
          <a:avLst/>
        </a:prstGeom>
      </dgm:spPr>
      <dgm:t>
        <a:bodyPr/>
        <a:lstStyle/>
        <a:p>
          <a:endParaRPr lang="en-US"/>
        </a:p>
      </dgm:t>
    </dgm:pt>
  </dgm:ptLst>
  <dgm:cxnLst>
    <dgm:cxn modelId="{FDAEFAC5-4D24-4EDB-8E02-E5085C46F0F7}" type="presOf" srcId="{D6278D4F-93AB-42D0-B837-2B99BC1EE808}" destId="{C620A703-6BE9-4C0F-B737-266F7434DAB4}" srcOrd="1" destOrd="0" presId="urn:microsoft.com/office/officeart/2005/8/layout/radial1"/>
    <dgm:cxn modelId="{8CAE2B56-7B87-4ECF-ABBA-09B80290FE3D}" type="presOf" srcId="{2EF75B39-F486-43BE-8B27-294595126005}" destId="{6394B413-6D12-4C4F-9A8D-E0508CAE8617}" srcOrd="0" destOrd="0" presId="urn:microsoft.com/office/officeart/2005/8/layout/radial1"/>
    <dgm:cxn modelId="{BD8D6ADE-EC44-459F-BA83-8828A6DCC5C3}" srcId="{60F584FC-F7FF-4FD7-86E3-8773293C0460}" destId="{21293A80-0F61-406E-BFCA-C5725BC3581F}" srcOrd="2" destOrd="0" parTransId="{93D773F4-8F00-40EC-A451-C5A5ADE485BC}" sibTransId="{257D66A3-5C96-41AD-A09B-F6DC2C7DFB10}"/>
    <dgm:cxn modelId="{D4C1BC69-C745-405B-9248-C6E8862DD509}" srcId="{60F584FC-F7FF-4FD7-86E3-8773293C0460}" destId="{CEEBDBB9-7602-49B1-BBEB-80C6D1238598}" srcOrd="4" destOrd="0" parTransId="{D6278D4F-93AB-42D0-B837-2B99BC1EE808}" sibTransId="{3F7B98CE-94D6-4D7D-8314-AFA01590058A}"/>
    <dgm:cxn modelId="{0872B5C3-971C-4397-94C1-FDC0412A9ADC}" srcId="{3E4183EF-B989-4620-A02C-D54686D6628F}" destId="{60F584FC-F7FF-4FD7-86E3-8773293C0460}" srcOrd="0" destOrd="0" parTransId="{474A81AD-BFE3-4D32-9342-2C25E06E5B46}" sibTransId="{28FB44EF-A1AD-4FBB-B0D1-E98EB36FC510}"/>
    <dgm:cxn modelId="{A758611C-A2A3-4AEB-852F-549D16535185}" type="presOf" srcId="{66F0DCEC-2B26-4038-AF1F-D0A98A0F7930}" destId="{650854B0-9FE7-4FFD-96B2-18F6452E0859}" srcOrd="0" destOrd="0" presId="urn:microsoft.com/office/officeart/2005/8/layout/radial1"/>
    <dgm:cxn modelId="{22AFD8E7-C6C4-45A0-A083-563A9FAC6E8D}" type="presOf" srcId="{93D773F4-8F00-40EC-A451-C5A5ADE485BC}" destId="{6A5F15CA-77E2-4C48-8498-A7C7D3C4428C}" srcOrd="0" destOrd="0" presId="urn:microsoft.com/office/officeart/2005/8/layout/radial1"/>
    <dgm:cxn modelId="{13AB1526-FDB7-4ECF-8056-62044DA04187}" type="presOf" srcId="{60F584FC-F7FF-4FD7-86E3-8773293C0460}" destId="{3C7CADF7-0742-432E-9EEF-EA9C347A7661}" srcOrd="0" destOrd="0" presId="urn:microsoft.com/office/officeart/2005/8/layout/radial1"/>
    <dgm:cxn modelId="{E29C5019-F94B-40D3-A05B-1AD209AE0DD3}" type="presOf" srcId="{F6DE2413-45CD-453B-A258-F22A53BBB241}" destId="{DEF09AAB-E09E-4486-8914-E37D47E60824}" srcOrd="0" destOrd="0" presId="urn:microsoft.com/office/officeart/2005/8/layout/radial1"/>
    <dgm:cxn modelId="{A95B7148-4F5A-4049-872C-78E30798091A}" type="presOf" srcId="{CEEBDBB9-7602-49B1-BBEB-80C6D1238598}" destId="{05C48364-E63B-4056-87CF-0BE50D74190B}" srcOrd="0" destOrd="0" presId="urn:microsoft.com/office/officeart/2005/8/layout/radial1"/>
    <dgm:cxn modelId="{D59AB634-5911-488A-ABDC-F8C7F84A33C5}" type="presOf" srcId="{66F0DCEC-2B26-4038-AF1F-D0A98A0F7930}" destId="{7FE108B5-F558-4942-A9EC-465F3C2E5813}" srcOrd="1" destOrd="0" presId="urn:microsoft.com/office/officeart/2005/8/layout/radial1"/>
    <dgm:cxn modelId="{8EC975C7-3CB9-4468-B740-D1C9B1D31FAE}" type="presOf" srcId="{F6DE2413-45CD-453B-A258-F22A53BBB241}" destId="{B0514361-30D3-4311-BC21-0743B7F01673}" srcOrd="1" destOrd="0" presId="urn:microsoft.com/office/officeart/2005/8/layout/radial1"/>
    <dgm:cxn modelId="{3FDDF90C-719D-4543-AF9A-298A514F7001}" type="presOf" srcId="{52A69187-F965-4704-9C1A-29B2281F912F}" destId="{E01163DA-75CF-4C32-B81E-41BBCCC937B3}" srcOrd="1" destOrd="0" presId="urn:microsoft.com/office/officeart/2005/8/layout/radial1"/>
    <dgm:cxn modelId="{A5666C79-BF01-4153-AB0A-BB16CAE1F135}" srcId="{60F584FC-F7FF-4FD7-86E3-8773293C0460}" destId="{4761FE57-664D-44AD-8EF1-E6096D64297F}" srcOrd="1" destOrd="0" parTransId="{F6DE2413-45CD-453B-A258-F22A53BBB241}" sibTransId="{288511AC-ECAB-47A8-A0B0-D7AAFEE02A39}"/>
    <dgm:cxn modelId="{3DCA02BA-5F53-4EF9-BBC7-CBD04997209B}" type="presOf" srcId="{3E4183EF-B989-4620-A02C-D54686D6628F}" destId="{4FC73BDC-CE2C-45F4-85CD-F387963DA006}" srcOrd="0" destOrd="0" presId="urn:microsoft.com/office/officeart/2005/8/layout/radial1"/>
    <dgm:cxn modelId="{78622878-B338-4618-9F24-2AA39052C1D5}" type="presOf" srcId="{93D773F4-8F00-40EC-A451-C5A5ADE485BC}" destId="{F87499B4-AA7B-416D-9B28-377D046017EC}" srcOrd="1" destOrd="0" presId="urn:microsoft.com/office/officeart/2005/8/layout/radial1"/>
    <dgm:cxn modelId="{B62F3E05-5EE0-4871-B695-E1CB5F74D3B4}" type="presOf" srcId="{D6278D4F-93AB-42D0-B837-2B99BC1EE808}" destId="{AC7E3352-64BC-4978-9AB6-2DD833483239}" srcOrd="0" destOrd="0" presId="urn:microsoft.com/office/officeart/2005/8/layout/radial1"/>
    <dgm:cxn modelId="{D0987D88-807B-4994-94E2-80A6C1D9AE52}" srcId="{60F584FC-F7FF-4FD7-86E3-8773293C0460}" destId="{2EF75B39-F486-43BE-8B27-294595126005}" srcOrd="0" destOrd="0" parTransId="{66F0DCEC-2B26-4038-AF1F-D0A98A0F7930}" sibTransId="{A29EC13D-3B1F-4904-8025-5B38BEEF3183}"/>
    <dgm:cxn modelId="{8974429C-52FA-4F5C-AEC9-FACCBA032188}" type="presOf" srcId="{21293A80-0F61-406E-BFCA-C5725BC3581F}" destId="{638FE4E5-2063-40D0-A44F-91C88716CF8C}" srcOrd="0" destOrd="0" presId="urn:microsoft.com/office/officeart/2005/8/layout/radial1"/>
    <dgm:cxn modelId="{E2C00D9D-9263-4161-BAA8-11B24300F3F5}" type="presOf" srcId="{52A69187-F965-4704-9C1A-29B2281F912F}" destId="{EAF47FDD-7D57-4FF6-9F6B-6E604D2CC0DE}" srcOrd="0" destOrd="0" presId="urn:microsoft.com/office/officeart/2005/8/layout/radial1"/>
    <dgm:cxn modelId="{BA0B21AC-350F-4DDA-A443-58447D95EEF1}" srcId="{60F584FC-F7FF-4FD7-86E3-8773293C0460}" destId="{576E161B-59E2-4177-8320-584EBC426979}" srcOrd="3" destOrd="0" parTransId="{52A69187-F965-4704-9C1A-29B2281F912F}" sibTransId="{E9F92651-5262-450E-9258-F1F8976476A8}"/>
    <dgm:cxn modelId="{CFBF6ECC-BF2E-4B3D-BCA3-A01CD486AA5F}" type="presOf" srcId="{576E161B-59E2-4177-8320-584EBC426979}" destId="{F74F2681-A109-4B75-8C08-B2B26769CF03}" srcOrd="0" destOrd="0" presId="urn:microsoft.com/office/officeart/2005/8/layout/radial1"/>
    <dgm:cxn modelId="{02FF5745-E0E9-49B2-B9DC-D86BCD46E020}" type="presOf" srcId="{4761FE57-664D-44AD-8EF1-E6096D64297F}" destId="{2ED32773-10C9-4671-A0BF-4C0DAB40AE25}" srcOrd="0" destOrd="0" presId="urn:microsoft.com/office/officeart/2005/8/layout/radial1"/>
    <dgm:cxn modelId="{7A0938B6-C464-4D17-80B9-C9125AD81EA4}" type="presParOf" srcId="{4FC73BDC-CE2C-45F4-85CD-F387963DA006}" destId="{3C7CADF7-0742-432E-9EEF-EA9C347A7661}" srcOrd="0" destOrd="0" presId="urn:microsoft.com/office/officeart/2005/8/layout/radial1"/>
    <dgm:cxn modelId="{D87B90FC-524B-4B7D-ADBB-D0725BC5E5FE}" type="presParOf" srcId="{4FC73BDC-CE2C-45F4-85CD-F387963DA006}" destId="{650854B0-9FE7-4FFD-96B2-18F6452E0859}" srcOrd="1" destOrd="0" presId="urn:microsoft.com/office/officeart/2005/8/layout/radial1"/>
    <dgm:cxn modelId="{5860D4C6-6214-4300-A937-AADC659F2A3F}" type="presParOf" srcId="{650854B0-9FE7-4FFD-96B2-18F6452E0859}" destId="{7FE108B5-F558-4942-A9EC-465F3C2E5813}" srcOrd="0" destOrd="0" presId="urn:microsoft.com/office/officeart/2005/8/layout/radial1"/>
    <dgm:cxn modelId="{8993A4C6-EC1E-415F-9DB4-314C06567D94}" type="presParOf" srcId="{4FC73BDC-CE2C-45F4-85CD-F387963DA006}" destId="{6394B413-6D12-4C4F-9A8D-E0508CAE8617}" srcOrd="2" destOrd="0" presId="urn:microsoft.com/office/officeart/2005/8/layout/radial1"/>
    <dgm:cxn modelId="{AE9E8681-DF3D-496B-A419-D98750841A83}" type="presParOf" srcId="{4FC73BDC-CE2C-45F4-85CD-F387963DA006}" destId="{DEF09AAB-E09E-4486-8914-E37D47E60824}" srcOrd="3" destOrd="0" presId="urn:microsoft.com/office/officeart/2005/8/layout/radial1"/>
    <dgm:cxn modelId="{8E149871-D415-4F2D-949B-852C4A26ED62}" type="presParOf" srcId="{DEF09AAB-E09E-4486-8914-E37D47E60824}" destId="{B0514361-30D3-4311-BC21-0743B7F01673}" srcOrd="0" destOrd="0" presId="urn:microsoft.com/office/officeart/2005/8/layout/radial1"/>
    <dgm:cxn modelId="{55A08D45-204B-46DD-B3F2-C29B98FF607B}" type="presParOf" srcId="{4FC73BDC-CE2C-45F4-85CD-F387963DA006}" destId="{2ED32773-10C9-4671-A0BF-4C0DAB40AE25}" srcOrd="4" destOrd="0" presId="urn:microsoft.com/office/officeart/2005/8/layout/radial1"/>
    <dgm:cxn modelId="{4EFF7C2A-77F2-49C2-8816-462465C9813D}" type="presParOf" srcId="{4FC73BDC-CE2C-45F4-85CD-F387963DA006}" destId="{6A5F15CA-77E2-4C48-8498-A7C7D3C4428C}" srcOrd="5" destOrd="0" presId="urn:microsoft.com/office/officeart/2005/8/layout/radial1"/>
    <dgm:cxn modelId="{DE8F789F-5455-41A3-9CFE-566C470A2AC9}" type="presParOf" srcId="{6A5F15CA-77E2-4C48-8498-A7C7D3C4428C}" destId="{F87499B4-AA7B-416D-9B28-377D046017EC}" srcOrd="0" destOrd="0" presId="urn:microsoft.com/office/officeart/2005/8/layout/radial1"/>
    <dgm:cxn modelId="{AB378B8C-3327-4411-ABEA-1B7B352AF2A0}" type="presParOf" srcId="{4FC73BDC-CE2C-45F4-85CD-F387963DA006}" destId="{638FE4E5-2063-40D0-A44F-91C88716CF8C}" srcOrd="6" destOrd="0" presId="urn:microsoft.com/office/officeart/2005/8/layout/radial1"/>
    <dgm:cxn modelId="{CF04525D-877A-4B74-AFBA-09FC21DE5EF8}" type="presParOf" srcId="{4FC73BDC-CE2C-45F4-85CD-F387963DA006}" destId="{EAF47FDD-7D57-4FF6-9F6B-6E604D2CC0DE}" srcOrd="7" destOrd="0" presId="urn:microsoft.com/office/officeart/2005/8/layout/radial1"/>
    <dgm:cxn modelId="{4C91CCAE-6EAC-4272-9AB2-0BD4D2361803}" type="presParOf" srcId="{EAF47FDD-7D57-4FF6-9F6B-6E604D2CC0DE}" destId="{E01163DA-75CF-4C32-B81E-41BBCCC937B3}" srcOrd="0" destOrd="0" presId="urn:microsoft.com/office/officeart/2005/8/layout/radial1"/>
    <dgm:cxn modelId="{B2DDBF30-21AF-45F7-BF38-ADE7BBBAA46B}" type="presParOf" srcId="{4FC73BDC-CE2C-45F4-85CD-F387963DA006}" destId="{F74F2681-A109-4B75-8C08-B2B26769CF03}" srcOrd="8" destOrd="0" presId="urn:microsoft.com/office/officeart/2005/8/layout/radial1"/>
    <dgm:cxn modelId="{3909F7C1-FB37-4A84-AE79-787CB516B4ED}" type="presParOf" srcId="{4FC73BDC-CE2C-45F4-85CD-F387963DA006}" destId="{AC7E3352-64BC-4978-9AB6-2DD833483239}" srcOrd="9" destOrd="0" presId="urn:microsoft.com/office/officeart/2005/8/layout/radial1"/>
    <dgm:cxn modelId="{8A2BE214-3AD0-4DCA-9DD8-BF1704EEF1D3}" type="presParOf" srcId="{AC7E3352-64BC-4978-9AB6-2DD833483239}" destId="{C620A703-6BE9-4C0F-B737-266F7434DAB4}" srcOrd="0" destOrd="0" presId="urn:microsoft.com/office/officeart/2005/8/layout/radial1"/>
    <dgm:cxn modelId="{CAF9AAAD-26D0-44F2-9196-74362AE36511}" type="presParOf" srcId="{4FC73BDC-CE2C-45F4-85CD-F387963DA006}" destId="{05C48364-E63B-4056-87CF-0BE50D74190B}" srcOrd="10" destOrd="0" presId="urn:microsoft.com/office/officeart/2005/8/layout/radial1"/>
  </dgm:cxnLst>
  <dgm:bg/>
  <dgm:whole/>
  <dgm:extLst>
    <a:ext uri="http://schemas.microsoft.com/office/drawing/2008/diagram">
      <dsp:dataModelExt xmlns:dsp="http://schemas.microsoft.com/office/drawing/2008/diagram" relId="rId15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284524" y="676823"/>
          <a:ext cx="1185946" cy="44488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rtl="1"/>
          <a:r>
            <a:rPr lang="ar-EG"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94B19768-91E8-4E7A-A857-C8521D65AF24}">
      <dgm:prSet phldrT="[Text]" custT="1"/>
      <dgm:spPr>
        <a:xfrm>
          <a:off x="2380903" y="64596"/>
          <a:ext cx="998201" cy="49988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F889DAC-CE52-4F0F-B94D-85598619AB82}" type="parTrans" cxnId="{E719C6E7-4776-4FC2-9ECD-F0D273135B37}">
      <dgm:prSet/>
      <dgm:spPr>
        <a:xfrm rot="16214742">
          <a:off x="2822519" y="612944"/>
          <a:ext cx="112346" cy="1541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74FD7F3-8467-46EB-ACD9-4B0EA7D3C4BA}" type="sibTrans" cxnId="{E719C6E7-4776-4FC2-9ECD-F0D273135B37}">
      <dgm:prSet/>
      <dgm:spPr/>
      <dgm:t>
        <a:bodyPr/>
        <a:lstStyle/>
        <a:p>
          <a:endParaRPr lang="en-US"/>
        </a:p>
      </dgm:t>
    </dgm:pt>
    <dgm:pt modelId="{584F0456-7C88-4E15-A6D5-3DF2BDDC45F2}">
      <dgm:prSet phldrT="[Text]" custT="1"/>
      <dgm:spPr>
        <a:xfrm>
          <a:off x="3493961" y="282286"/>
          <a:ext cx="1100861" cy="43776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BE92476-635C-4AE2-AD14-BF50BB0972EC}" type="parTrans" cxnId="{44EB880B-7660-4CF0-97E5-4E577ACA821D}">
      <dgm:prSet/>
      <dgm:spPr>
        <a:xfrm rot="20469744">
          <a:off x="3307401" y="688940"/>
          <a:ext cx="328019" cy="1541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endParaRPr lang="en-US"/>
        </a:p>
      </dgm:t>
    </dgm:pt>
    <dgm:pt modelId="{2EF75B39-F486-43BE-8B27-294595126005}">
      <dgm:prSet phldrT="[Text]" custT="1"/>
      <dgm:spPr>
        <a:xfrm>
          <a:off x="3883191" y="935362"/>
          <a:ext cx="1226748" cy="49110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6F0DCEC-2B26-4038-AF1F-D0A98A0F7930}" type="parTrans" cxnId="{D0987D88-807B-4994-94E2-80A6C1D9AE52}">
      <dgm:prSet/>
      <dgm:spPr>
        <a:xfrm rot="592092">
          <a:off x="3411552" y="1030243"/>
          <a:ext cx="526349" cy="1541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576E161B-59E2-4177-8320-584EBC426979}">
      <dgm:prSet phldrT="[Text]" custT="1"/>
      <dgm:spPr>
        <a:xfrm>
          <a:off x="713882" y="956038"/>
          <a:ext cx="1143295" cy="52716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2A69187-F965-4704-9C1A-29B2281F912F}" type="parTrans" cxnId="{BA0B21AC-350F-4DDA-A443-58447D95EEF1}">
      <dgm:prSet/>
      <dgm:spPr>
        <a:xfrm rot="10117332">
          <a:off x="1803989" y="1051598"/>
          <a:ext cx="556437" cy="1541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1085945" y="216138"/>
          <a:ext cx="1222918" cy="4813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6278D4F-93AB-42D0-B837-2B99BC1EE808}" type="parTrans" cxnId="{D4C1BC69-C745-405B-9248-C6E8862DD509}">
      <dgm:prSet/>
      <dgm:spPr>
        <a:xfrm rot="12033108">
          <a:off x="2129367" y="674719"/>
          <a:ext cx="339516" cy="1541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21293A80-0F61-406E-BFCA-C5725BC3581F}">
      <dgm:prSet phldrT="[Text]" custT="1"/>
      <dgm:spPr>
        <a:xfrm>
          <a:off x="2218861" y="1250258"/>
          <a:ext cx="1343018" cy="4867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3D773F4-8F00-40EC-A451-C5A5ADE485BC}" type="parTrans" cxnId="{BD8D6ADE-EC44-459F-BA83-8828A6DCC5C3}">
      <dgm:prSet/>
      <dgm:spPr>
        <a:xfrm rot="5325552">
          <a:off x="2819410" y="1178278"/>
          <a:ext cx="128593" cy="1541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57D66A3-5C96-41AD-A09B-F6DC2C7DFB10}" type="sibTrans" cxnId="{BD8D6ADE-EC44-459F-BA83-8828A6DCC5C3}">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40576" custScaleY="90248"/>
      <dgm:spPr>
        <a:prstGeom prst="ellipse">
          <a:avLst/>
        </a:prstGeom>
      </dgm:spPr>
      <dgm:t>
        <a:bodyPr/>
        <a:lstStyle/>
        <a:p>
          <a:endParaRPr lang="en-US"/>
        </a:p>
      </dgm:t>
    </dgm:pt>
    <dgm:pt modelId="{72463A3F-A956-4917-8722-9FD79FB3E09A}" type="pres">
      <dgm:prSet presAssocID="{1F889DAC-CE52-4F0F-B94D-85598619AB82}" presName="Name9" presStyleLbl="parChTrans1D2" presStyleIdx="0" presStyleCnt="6"/>
      <dgm:spPr>
        <a:custGeom>
          <a:avLst/>
          <a:gdLst/>
          <a:ahLst/>
          <a:cxnLst/>
          <a:rect l="0" t="0" r="0" b="0"/>
          <a:pathLst>
            <a:path>
              <a:moveTo>
                <a:pt x="0" y="7778"/>
              </a:moveTo>
              <a:lnTo>
                <a:pt x="126270" y="7778"/>
              </a:lnTo>
            </a:path>
          </a:pathLst>
        </a:custGeom>
      </dgm:spPr>
      <dgm:t>
        <a:bodyPr/>
        <a:lstStyle/>
        <a:p>
          <a:endParaRPr lang="en-US"/>
        </a:p>
      </dgm:t>
    </dgm:pt>
    <dgm:pt modelId="{E5E0F749-58A7-4B5D-B40F-552D5369ABEE}" type="pres">
      <dgm:prSet presAssocID="{1F889DAC-CE52-4F0F-B94D-85598619AB82}" presName="connTx" presStyleLbl="parChTrans1D2" presStyleIdx="0" presStyleCnt="6"/>
      <dgm:spPr/>
      <dgm:t>
        <a:bodyPr/>
        <a:lstStyle/>
        <a:p>
          <a:endParaRPr lang="en-US"/>
        </a:p>
      </dgm:t>
    </dgm:pt>
    <dgm:pt modelId="{A030EF9D-9337-4706-B87A-64BDE162520A}" type="pres">
      <dgm:prSet presAssocID="{94B19768-91E8-4E7A-A857-C8521D65AF24}" presName="node" presStyleLbl="node1" presStyleIdx="0" presStyleCnt="6" custScaleX="202491" custScaleY="101404" custRadScaleRad="91113" custRadScaleInc="819">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6"/>
      <dgm:spPr>
        <a:custGeom>
          <a:avLst/>
          <a:gdLst/>
          <a:ahLst/>
          <a:cxnLst/>
          <a:rect l="0" t="0" r="0" b="0"/>
          <a:pathLst>
            <a:path>
              <a:moveTo>
                <a:pt x="0" y="7778"/>
              </a:moveTo>
              <a:lnTo>
                <a:pt x="403209" y="7778"/>
              </a:lnTo>
            </a:path>
          </a:pathLst>
        </a:custGeom>
      </dgm:spPr>
      <dgm:t>
        <a:bodyPr/>
        <a:lstStyle/>
        <a:p>
          <a:endParaRPr lang="en-US"/>
        </a:p>
      </dgm:t>
    </dgm:pt>
    <dgm:pt modelId="{48B32C5A-7076-4480-B5CB-D9EFDA8D8FDB}" type="pres">
      <dgm:prSet presAssocID="{5BE92476-635C-4AE2-AD14-BF50BB0972EC}" presName="connTx" presStyleLbl="parChTrans1D2" presStyleIdx="1" presStyleCnt="6"/>
      <dgm:spPr/>
      <dgm:t>
        <a:bodyPr/>
        <a:lstStyle/>
        <a:p>
          <a:endParaRPr lang="en-US"/>
        </a:p>
      </dgm:t>
    </dgm:pt>
    <dgm:pt modelId="{423B6D89-2000-40C7-8429-BD38C7402395}" type="pres">
      <dgm:prSet presAssocID="{584F0456-7C88-4E15-A6D5-3DF2BDDC45F2}" presName="node" presStyleLbl="node1" presStyleIdx="1" presStyleCnt="6" custScaleX="223316" custScaleY="88803" custRadScaleRad="192115" custRadScaleInc="37208">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6"/>
      <dgm:spPr>
        <a:custGeom>
          <a:avLst/>
          <a:gdLst/>
          <a:ahLst/>
          <a:cxnLst/>
          <a:rect l="0" t="0" r="0" b="0"/>
          <a:pathLst>
            <a:path>
              <a:moveTo>
                <a:pt x="0" y="7778"/>
              </a:moveTo>
              <a:lnTo>
                <a:pt x="1060081" y="7778"/>
              </a:lnTo>
            </a:path>
          </a:pathLst>
        </a:custGeom>
      </dgm:spPr>
      <dgm:t>
        <a:bodyPr/>
        <a:lstStyle/>
        <a:p>
          <a:endParaRPr lang="en-US"/>
        </a:p>
      </dgm:t>
    </dgm:pt>
    <dgm:pt modelId="{7FE108B5-F558-4942-A9EC-465F3C2E5813}" type="pres">
      <dgm:prSet presAssocID="{66F0DCEC-2B26-4038-AF1F-D0A98A0F7930}" presName="connTx" presStyleLbl="parChTrans1D2" presStyleIdx="2" presStyleCnt="6"/>
      <dgm:spPr/>
      <dgm:t>
        <a:bodyPr/>
        <a:lstStyle/>
        <a:p>
          <a:endParaRPr lang="en-US"/>
        </a:p>
      </dgm:t>
    </dgm:pt>
    <dgm:pt modelId="{6394B413-6D12-4C4F-9A8D-E0508CAE8617}" type="pres">
      <dgm:prSet presAssocID="{2EF75B39-F486-43BE-8B27-294595126005}" presName="node" presStyleLbl="node1" presStyleIdx="2" presStyleCnt="6" custScaleX="248853" custScaleY="99623" custRadScaleRad="256071" custRadScaleInc="-67106">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3" presStyleCnt="6"/>
      <dgm:spPr>
        <a:custGeom>
          <a:avLst/>
          <a:gdLst/>
          <a:ahLst/>
          <a:cxnLst/>
          <a:rect l="0" t="0" r="0" b="0"/>
          <a:pathLst>
            <a:path>
              <a:moveTo>
                <a:pt x="0" y="7778"/>
              </a:moveTo>
              <a:lnTo>
                <a:pt x="141173" y="7778"/>
              </a:lnTo>
            </a:path>
          </a:pathLst>
        </a:custGeom>
      </dgm:spPr>
      <dgm:t>
        <a:bodyPr/>
        <a:lstStyle/>
        <a:p>
          <a:endParaRPr lang="en-US"/>
        </a:p>
      </dgm:t>
    </dgm:pt>
    <dgm:pt modelId="{F87499B4-AA7B-416D-9B28-377D046017EC}" type="pres">
      <dgm:prSet presAssocID="{93D773F4-8F00-40EC-A451-C5A5ADE485BC}" presName="connTx" presStyleLbl="parChTrans1D2" presStyleIdx="3" presStyleCnt="6"/>
      <dgm:spPr/>
      <dgm:t>
        <a:bodyPr/>
        <a:lstStyle/>
        <a:p>
          <a:endParaRPr lang="en-US"/>
        </a:p>
      </dgm:t>
    </dgm:pt>
    <dgm:pt modelId="{638FE4E5-2063-40D0-A44F-91C88716CF8C}" type="pres">
      <dgm:prSet presAssocID="{21293A80-0F61-406E-BFCA-C5725BC3581F}" presName="node" presStyleLbl="node1" presStyleIdx="3" presStyleCnt="6" custScaleX="272439" custScaleY="98741" custRadScaleRad="92636" custRadScaleInc="-4136">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4" presStyleCnt="6"/>
      <dgm:spPr>
        <a:custGeom>
          <a:avLst/>
          <a:gdLst/>
          <a:ahLst/>
          <a:cxnLst/>
          <a:rect l="0" t="0" r="0" b="0"/>
          <a:pathLst>
            <a:path>
              <a:moveTo>
                <a:pt x="0" y="7778"/>
              </a:moveTo>
              <a:lnTo>
                <a:pt x="942251" y="7778"/>
              </a:lnTo>
            </a:path>
          </a:pathLst>
        </a:custGeom>
      </dgm:spPr>
      <dgm:t>
        <a:bodyPr/>
        <a:lstStyle/>
        <a:p>
          <a:endParaRPr lang="en-US"/>
        </a:p>
      </dgm:t>
    </dgm:pt>
    <dgm:pt modelId="{E01163DA-75CF-4C32-B81E-41BBCCC937B3}" type="pres">
      <dgm:prSet presAssocID="{52A69187-F965-4704-9C1A-29B2281F912F}" presName="connTx" presStyleLbl="parChTrans1D2" presStyleIdx="4" presStyleCnt="6"/>
      <dgm:spPr/>
      <dgm:t>
        <a:bodyPr/>
        <a:lstStyle/>
        <a:p>
          <a:endParaRPr lang="en-US"/>
        </a:p>
      </dgm:t>
    </dgm:pt>
    <dgm:pt modelId="{F74F2681-A109-4B75-8C08-B2B26769CF03}" type="pres">
      <dgm:prSet presAssocID="{576E161B-59E2-4177-8320-584EBC426979}" presName="node" presStyleLbl="node1" presStyleIdx="4" presStyleCnt="6" custScaleX="231924" custScaleY="106939" custRadScaleRad="253032" custRadScaleInc="62074">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5" presStyleCnt="6"/>
      <dgm:spPr>
        <a:custGeom>
          <a:avLst/>
          <a:gdLst/>
          <a:ahLst/>
          <a:cxnLst/>
          <a:rect l="0" t="0" r="0" b="0"/>
          <a:pathLst>
            <a:path>
              <a:moveTo>
                <a:pt x="0" y="7778"/>
              </a:moveTo>
              <a:lnTo>
                <a:pt x="386761" y="7778"/>
              </a:lnTo>
            </a:path>
          </a:pathLst>
        </a:custGeom>
      </dgm:spPr>
      <dgm:t>
        <a:bodyPr/>
        <a:lstStyle/>
        <a:p>
          <a:endParaRPr lang="en-US"/>
        </a:p>
      </dgm:t>
    </dgm:pt>
    <dgm:pt modelId="{C620A703-6BE9-4C0F-B737-266F7434DAB4}" type="pres">
      <dgm:prSet presAssocID="{D6278D4F-93AB-42D0-B837-2B99BC1EE808}" presName="connTx" presStyleLbl="parChTrans1D2" presStyleIdx="5" presStyleCnt="6"/>
      <dgm:spPr/>
      <dgm:t>
        <a:bodyPr/>
        <a:lstStyle/>
        <a:p>
          <a:endParaRPr lang="en-US"/>
        </a:p>
      </dgm:t>
    </dgm:pt>
    <dgm:pt modelId="{05C48364-E63B-4056-87CF-0BE50D74190B}" type="pres">
      <dgm:prSet presAssocID="{CEEBDBB9-7602-49B1-BBEB-80C6D1238598}" presName="node" presStyleLbl="node1" presStyleIdx="5" presStyleCnt="6" custScaleX="248076" custScaleY="97652" custRadScaleRad="196380" custRadScaleInc="-31494">
        <dgm:presLayoutVars>
          <dgm:bulletEnabled val="1"/>
        </dgm:presLayoutVars>
      </dgm:prSet>
      <dgm:spPr>
        <a:prstGeom prst="ellipse">
          <a:avLst/>
        </a:prstGeom>
      </dgm:spPr>
      <dgm:t>
        <a:bodyPr/>
        <a:lstStyle/>
        <a:p>
          <a:endParaRPr lang="en-US"/>
        </a:p>
      </dgm:t>
    </dgm:pt>
  </dgm:ptLst>
  <dgm:cxnLst>
    <dgm:cxn modelId="{44EB880B-7660-4CF0-97E5-4E577ACA821D}" srcId="{60F584FC-F7FF-4FD7-86E3-8773293C0460}" destId="{584F0456-7C88-4E15-A6D5-3DF2BDDC45F2}" srcOrd="1" destOrd="0" parTransId="{5BE92476-635C-4AE2-AD14-BF50BB0972EC}" sibTransId="{3EF0F88F-A3C1-4CFC-8CDA-621CE91394E1}"/>
    <dgm:cxn modelId="{3EE1D9AC-2253-4FD4-B535-A5957F6866F1}" type="presOf" srcId="{1F889DAC-CE52-4F0F-B94D-85598619AB82}" destId="{72463A3F-A956-4917-8722-9FD79FB3E09A}" srcOrd="0" destOrd="0" presId="urn:microsoft.com/office/officeart/2005/8/layout/radial1"/>
    <dgm:cxn modelId="{CAA4E7E2-274A-4320-8F05-BC3A8412E96E}" type="presOf" srcId="{576E161B-59E2-4177-8320-584EBC426979}" destId="{F74F2681-A109-4B75-8C08-B2B26769CF03}" srcOrd="0" destOrd="0" presId="urn:microsoft.com/office/officeart/2005/8/layout/radial1"/>
    <dgm:cxn modelId="{2F1C4A3A-1F43-496B-9568-BBE24CDB674B}" type="presOf" srcId="{93D773F4-8F00-40EC-A451-C5A5ADE485BC}" destId="{F87499B4-AA7B-416D-9B28-377D046017EC}" srcOrd="1" destOrd="0" presId="urn:microsoft.com/office/officeart/2005/8/layout/radial1"/>
    <dgm:cxn modelId="{C324E7B2-4CBF-44FA-8894-F0F921CB19FD}" type="presOf" srcId="{94B19768-91E8-4E7A-A857-C8521D65AF24}" destId="{A030EF9D-9337-4706-B87A-64BDE162520A}" srcOrd="0" destOrd="0" presId="urn:microsoft.com/office/officeart/2005/8/layout/radial1"/>
    <dgm:cxn modelId="{19F47D3A-6652-4B43-8148-FCAB59C136E5}" type="presOf" srcId="{2EF75B39-F486-43BE-8B27-294595126005}" destId="{6394B413-6D12-4C4F-9A8D-E0508CAE8617}" srcOrd="0" destOrd="0" presId="urn:microsoft.com/office/officeart/2005/8/layout/radial1"/>
    <dgm:cxn modelId="{8FB40DD9-7E14-4141-B08D-8DB2D275EB50}" type="presOf" srcId="{60F584FC-F7FF-4FD7-86E3-8773293C0460}" destId="{3C7CADF7-0742-432E-9EEF-EA9C347A7661}" srcOrd="0" destOrd="0" presId="urn:microsoft.com/office/officeart/2005/8/layout/radial1"/>
    <dgm:cxn modelId="{62481951-2BF2-4F16-9722-C0134FD4FDD9}" type="presOf" srcId="{5BE92476-635C-4AE2-AD14-BF50BB0972EC}" destId="{48B32C5A-7076-4480-B5CB-D9EFDA8D8FDB}" srcOrd="1" destOrd="0" presId="urn:microsoft.com/office/officeart/2005/8/layout/radial1"/>
    <dgm:cxn modelId="{6CBD9543-14C2-43EC-9E76-8E6989C016B2}" type="presOf" srcId="{52A69187-F965-4704-9C1A-29B2281F912F}" destId="{EAF47FDD-7D57-4FF6-9F6B-6E604D2CC0DE}" srcOrd="0" destOrd="0" presId="urn:microsoft.com/office/officeart/2005/8/layout/radial1"/>
    <dgm:cxn modelId="{90607D04-B5C7-4F29-BC4B-98FDAF97B59F}" type="presOf" srcId="{CEEBDBB9-7602-49B1-BBEB-80C6D1238598}" destId="{05C48364-E63B-4056-87CF-0BE50D74190B}" srcOrd="0" destOrd="0" presId="urn:microsoft.com/office/officeart/2005/8/layout/radial1"/>
    <dgm:cxn modelId="{28A5E249-90C4-4C8C-B606-9F40D483A4A4}" type="presOf" srcId="{21293A80-0F61-406E-BFCA-C5725BC3581F}" destId="{638FE4E5-2063-40D0-A44F-91C88716CF8C}" srcOrd="0" destOrd="0" presId="urn:microsoft.com/office/officeart/2005/8/layout/radial1"/>
    <dgm:cxn modelId="{FC03A2FA-75FC-402C-BC50-471124F9B9EC}" type="presOf" srcId="{1F889DAC-CE52-4F0F-B94D-85598619AB82}" destId="{E5E0F749-58A7-4B5D-B40F-552D5369ABEE}" srcOrd="1" destOrd="0" presId="urn:microsoft.com/office/officeart/2005/8/layout/radial1"/>
    <dgm:cxn modelId="{2D45F0B8-599F-4308-BA38-E7701D55CA66}" type="presOf" srcId="{584F0456-7C88-4E15-A6D5-3DF2BDDC45F2}" destId="{423B6D89-2000-40C7-8429-BD38C7402395}" srcOrd="0" destOrd="0" presId="urn:microsoft.com/office/officeart/2005/8/layout/radial1"/>
    <dgm:cxn modelId="{BD8D6ADE-EC44-459F-BA83-8828A6DCC5C3}" srcId="{60F584FC-F7FF-4FD7-86E3-8773293C0460}" destId="{21293A80-0F61-406E-BFCA-C5725BC3581F}" srcOrd="3" destOrd="0" parTransId="{93D773F4-8F00-40EC-A451-C5A5ADE485BC}" sibTransId="{257D66A3-5C96-41AD-A09B-F6DC2C7DFB10}"/>
    <dgm:cxn modelId="{D4C1BC69-C745-405B-9248-C6E8862DD509}" srcId="{60F584FC-F7FF-4FD7-86E3-8773293C0460}" destId="{CEEBDBB9-7602-49B1-BBEB-80C6D1238598}" srcOrd="5" destOrd="0" parTransId="{D6278D4F-93AB-42D0-B837-2B99BC1EE808}" sibTransId="{3F7B98CE-94D6-4D7D-8314-AFA01590058A}"/>
    <dgm:cxn modelId="{0455EC41-8DD3-4B33-9DCF-042835BCC0B8}" type="presOf" srcId="{D6278D4F-93AB-42D0-B837-2B99BC1EE808}" destId="{C620A703-6BE9-4C0F-B737-266F7434DAB4}" srcOrd="1"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9F034F86-266F-43E1-8A3B-66D5C7CD15CB}" type="presOf" srcId="{93D773F4-8F00-40EC-A451-C5A5ADE485BC}" destId="{6A5F15CA-77E2-4C48-8498-A7C7D3C4428C}" srcOrd="0" destOrd="0" presId="urn:microsoft.com/office/officeart/2005/8/layout/radial1"/>
    <dgm:cxn modelId="{441D2953-3FFB-4667-93E1-CBCEEDBB056D}" type="presOf" srcId="{66F0DCEC-2B26-4038-AF1F-D0A98A0F7930}" destId="{650854B0-9FE7-4FFD-96B2-18F6452E0859}" srcOrd="0" destOrd="0" presId="urn:microsoft.com/office/officeart/2005/8/layout/radial1"/>
    <dgm:cxn modelId="{38496846-C789-4A16-A4BC-7C3832C4CA1B}" type="presOf" srcId="{D6278D4F-93AB-42D0-B837-2B99BC1EE808}" destId="{AC7E3352-64BC-4978-9AB6-2DD833483239}" srcOrd="0" destOrd="0" presId="urn:microsoft.com/office/officeart/2005/8/layout/radial1"/>
    <dgm:cxn modelId="{BA0B21AC-350F-4DDA-A443-58447D95EEF1}" srcId="{60F584FC-F7FF-4FD7-86E3-8773293C0460}" destId="{576E161B-59E2-4177-8320-584EBC426979}" srcOrd="4" destOrd="0" parTransId="{52A69187-F965-4704-9C1A-29B2281F912F}" sibTransId="{E9F92651-5262-450E-9258-F1F8976476A8}"/>
    <dgm:cxn modelId="{7A379339-4BB9-4909-B0FD-0D5D2C0CFF53}" type="presOf" srcId="{66F0DCEC-2B26-4038-AF1F-D0A98A0F7930}" destId="{7FE108B5-F558-4942-A9EC-465F3C2E5813}" srcOrd="1" destOrd="0" presId="urn:microsoft.com/office/officeart/2005/8/layout/radial1"/>
    <dgm:cxn modelId="{F812CA53-0EBA-4811-A86C-CF2236DD4C2C}" type="presOf" srcId="{3E4183EF-B989-4620-A02C-D54686D6628F}" destId="{4FC73BDC-CE2C-45F4-85CD-F387963DA006}" srcOrd="0" destOrd="0" presId="urn:microsoft.com/office/officeart/2005/8/layout/radial1"/>
    <dgm:cxn modelId="{37712157-77D5-4152-97C6-0D887D2DFF1A}" type="presOf" srcId="{5BE92476-635C-4AE2-AD14-BF50BB0972EC}" destId="{00112A8F-12E8-45AC-B551-DFB66BE45059}" srcOrd="0" destOrd="0" presId="urn:microsoft.com/office/officeart/2005/8/layout/radial1"/>
    <dgm:cxn modelId="{E719C6E7-4776-4FC2-9ECD-F0D273135B37}" srcId="{60F584FC-F7FF-4FD7-86E3-8773293C0460}" destId="{94B19768-91E8-4E7A-A857-C8521D65AF24}" srcOrd="0" destOrd="0" parTransId="{1F889DAC-CE52-4F0F-B94D-85598619AB82}" sibTransId="{174FD7F3-8467-46EB-ACD9-4B0EA7D3C4BA}"/>
    <dgm:cxn modelId="{D0987D88-807B-4994-94E2-80A6C1D9AE52}" srcId="{60F584FC-F7FF-4FD7-86E3-8773293C0460}" destId="{2EF75B39-F486-43BE-8B27-294595126005}" srcOrd="2" destOrd="0" parTransId="{66F0DCEC-2B26-4038-AF1F-D0A98A0F7930}" sibTransId="{A29EC13D-3B1F-4904-8025-5B38BEEF3183}"/>
    <dgm:cxn modelId="{8B79A7E2-AFB6-49BC-8845-A9AB312A57B8}" type="presOf" srcId="{52A69187-F965-4704-9C1A-29B2281F912F}" destId="{E01163DA-75CF-4C32-B81E-41BBCCC937B3}" srcOrd="1" destOrd="0" presId="urn:microsoft.com/office/officeart/2005/8/layout/radial1"/>
    <dgm:cxn modelId="{DBE2B0FE-0DE2-48FE-843B-1EA4CA07CE59}" type="presParOf" srcId="{4FC73BDC-CE2C-45F4-85CD-F387963DA006}" destId="{3C7CADF7-0742-432E-9EEF-EA9C347A7661}" srcOrd="0" destOrd="0" presId="urn:microsoft.com/office/officeart/2005/8/layout/radial1"/>
    <dgm:cxn modelId="{4EB98FB1-2D40-4B20-88EE-95B93105317D}" type="presParOf" srcId="{4FC73BDC-CE2C-45F4-85CD-F387963DA006}" destId="{72463A3F-A956-4917-8722-9FD79FB3E09A}" srcOrd="1" destOrd="0" presId="urn:microsoft.com/office/officeart/2005/8/layout/radial1"/>
    <dgm:cxn modelId="{1BDCB470-C344-4633-9E9A-94EBCAC91173}" type="presParOf" srcId="{72463A3F-A956-4917-8722-9FD79FB3E09A}" destId="{E5E0F749-58A7-4B5D-B40F-552D5369ABEE}" srcOrd="0" destOrd="0" presId="urn:microsoft.com/office/officeart/2005/8/layout/radial1"/>
    <dgm:cxn modelId="{111D643C-2F85-4326-A8A3-0D1427506B11}" type="presParOf" srcId="{4FC73BDC-CE2C-45F4-85CD-F387963DA006}" destId="{A030EF9D-9337-4706-B87A-64BDE162520A}" srcOrd="2" destOrd="0" presId="urn:microsoft.com/office/officeart/2005/8/layout/radial1"/>
    <dgm:cxn modelId="{70D0FF06-9D65-4C01-9B1A-4275656C67F1}" type="presParOf" srcId="{4FC73BDC-CE2C-45F4-85CD-F387963DA006}" destId="{00112A8F-12E8-45AC-B551-DFB66BE45059}" srcOrd="3" destOrd="0" presId="urn:microsoft.com/office/officeart/2005/8/layout/radial1"/>
    <dgm:cxn modelId="{3116959B-D88D-46D2-A7A2-849EA7D85540}" type="presParOf" srcId="{00112A8F-12E8-45AC-B551-DFB66BE45059}" destId="{48B32C5A-7076-4480-B5CB-D9EFDA8D8FDB}" srcOrd="0" destOrd="0" presId="urn:microsoft.com/office/officeart/2005/8/layout/radial1"/>
    <dgm:cxn modelId="{4ACB6175-E65C-408A-8BFD-45EA75695821}" type="presParOf" srcId="{4FC73BDC-CE2C-45F4-85CD-F387963DA006}" destId="{423B6D89-2000-40C7-8429-BD38C7402395}" srcOrd="4" destOrd="0" presId="urn:microsoft.com/office/officeart/2005/8/layout/radial1"/>
    <dgm:cxn modelId="{35519E2F-15A8-4625-AB16-FACEB188BC40}" type="presParOf" srcId="{4FC73BDC-CE2C-45F4-85CD-F387963DA006}" destId="{650854B0-9FE7-4FFD-96B2-18F6452E0859}" srcOrd="5" destOrd="0" presId="urn:microsoft.com/office/officeart/2005/8/layout/radial1"/>
    <dgm:cxn modelId="{B8A21F5F-C656-4E20-B32A-84E2CDE3F240}" type="presParOf" srcId="{650854B0-9FE7-4FFD-96B2-18F6452E0859}" destId="{7FE108B5-F558-4942-A9EC-465F3C2E5813}" srcOrd="0" destOrd="0" presId="urn:microsoft.com/office/officeart/2005/8/layout/radial1"/>
    <dgm:cxn modelId="{6DED141D-56E6-4F1D-8E1A-F2B75CE7C830}" type="presParOf" srcId="{4FC73BDC-CE2C-45F4-85CD-F387963DA006}" destId="{6394B413-6D12-4C4F-9A8D-E0508CAE8617}" srcOrd="6" destOrd="0" presId="urn:microsoft.com/office/officeart/2005/8/layout/radial1"/>
    <dgm:cxn modelId="{2847566C-6947-4023-940B-806021579393}" type="presParOf" srcId="{4FC73BDC-CE2C-45F4-85CD-F387963DA006}" destId="{6A5F15CA-77E2-4C48-8498-A7C7D3C4428C}" srcOrd="7" destOrd="0" presId="urn:microsoft.com/office/officeart/2005/8/layout/radial1"/>
    <dgm:cxn modelId="{CD58E119-5ED9-4F1E-9630-E969C5468DCA}" type="presParOf" srcId="{6A5F15CA-77E2-4C48-8498-A7C7D3C4428C}" destId="{F87499B4-AA7B-416D-9B28-377D046017EC}" srcOrd="0" destOrd="0" presId="urn:microsoft.com/office/officeart/2005/8/layout/radial1"/>
    <dgm:cxn modelId="{0B424055-8D7A-4F92-80C2-A4C165471E3D}" type="presParOf" srcId="{4FC73BDC-CE2C-45F4-85CD-F387963DA006}" destId="{638FE4E5-2063-40D0-A44F-91C88716CF8C}" srcOrd="8" destOrd="0" presId="urn:microsoft.com/office/officeart/2005/8/layout/radial1"/>
    <dgm:cxn modelId="{BD6142BB-31E8-4999-ADAD-AB7D364C1AC6}" type="presParOf" srcId="{4FC73BDC-CE2C-45F4-85CD-F387963DA006}" destId="{EAF47FDD-7D57-4FF6-9F6B-6E604D2CC0DE}" srcOrd="9" destOrd="0" presId="urn:microsoft.com/office/officeart/2005/8/layout/radial1"/>
    <dgm:cxn modelId="{88ACF567-5D21-4F4E-81DE-905DDC91C61B}" type="presParOf" srcId="{EAF47FDD-7D57-4FF6-9F6B-6E604D2CC0DE}" destId="{E01163DA-75CF-4C32-B81E-41BBCCC937B3}" srcOrd="0" destOrd="0" presId="urn:microsoft.com/office/officeart/2005/8/layout/radial1"/>
    <dgm:cxn modelId="{C0478049-2BD4-4CAA-B2C4-999DBDF2AA3D}" type="presParOf" srcId="{4FC73BDC-CE2C-45F4-85CD-F387963DA006}" destId="{F74F2681-A109-4B75-8C08-B2B26769CF03}" srcOrd="10" destOrd="0" presId="urn:microsoft.com/office/officeart/2005/8/layout/radial1"/>
    <dgm:cxn modelId="{9E5B0C12-6742-4AC2-8780-1FCED69975F2}" type="presParOf" srcId="{4FC73BDC-CE2C-45F4-85CD-F387963DA006}" destId="{AC7E3352-64BC-4978-9AB6-2DD833483239}" srcOrd="11" destOrd="0" presId="urn:microsoft.com/office/officeart/2005/8/layout/radial1"/>
    <dgm:cxn modelId="{849FAFDF-8CB7-43FE-AA9E-9313165FF371}" type="presParOf" srcId="{AC7E3352-64BC-4978-9AB6-2DD833483239}" destId="{C620A703-6BE9-4C0F-B737-266F7434DAB4}" srcOrd="0" destOrd="0" presId="urn:microsoft.com/office/officeart/2005/8/layout/radial1"/>
    <dgm:cxn modelId="{811B4CF9-63AF-4656-8EC6-ED9D2975AAE7}" type="presParOf" srcId="{4FC73BDC-CE2C-45F4-85CD-F387963DA006}" destId="{05C48364-E63B-4056-87CF-0BE50D74190B}" srcOrd="12" destOrd="0" presId="urn:microsoft.com/office/officeart/2005/8/layout/radial1"/>
  </dgm:cxnLst>
  <dgm:bg/>
  <dgm:whole/>
  <dgm:extLst>
    <a:ext uri="http://schemas.microsoft.com/office/drawing/2008/diagram">
      <dsp:dataModelExt xmlns:dsp="http://schemas.microsoft.com/office/drawing/2008/diagram" relId="rId165"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259449" y="970729"/>
          <a:ext cx="1211766" cy="35103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94B19768-91E8-4E7A-A857-C8521D65AF24}">
      <dgm:prSet phldrT="[Text]" custT="1"/>
      <dgm:spPr>
        <a:xfrm>
          <a:off x="4107757" y="407842"/>
          <a:ext cx="1327058" cy="50089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F889DAC-CE52-4F0F-B94D-85598619AB82}" type="parTrans" cxnId="{E719C6E7-4776-4FC2-9ECD-F0D273135B37}">
      <dgm:prSet/>
      <dgm:spPr>
        <a:xfrm rot="20738388">
          <a:off x="3304768" y="908112"/>
          <a:ext cx="931950" cy="12666"/>
        </a:xfrm>
        <a:custGeom>
          <a:avLst/>
          <a:gdLst/>
          <a:ahLst/>
          <a:cxnLst/>
          <a:rect l="0" t="0" r="0" b="0"/>
          <a:pathLst>
            <a:path>
              <a:moveTo>
                <a:pt x="0" y="6333"/>
              </a:moveTo>
              <a:lnTo>
                <a:pt x="1024358"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74FD7F3-8467-46EB-ACD9-4B0EA7D3C4BA}" type="sibTrans" cxnId="{E719C6E7-4776-4FC2-9ECD-F0D273135B37}">
      <dgm:prSet/>
      <dgm:spPr/>
      <dgm:t>
        <a:bodyPr/>
        <a:lstStyle/>
        <a:p>
          <a:endParaRPr lang="en-US"/>
        </a:p>
      </dgm:t>
    </dgm:pt>
    <dgm:pt modelId="{584F0456-7C88-4E15-A6D5-3DF2BDDC45F2}">
      <dgm:prSet phldrT="[Text]" custT="1"/>
      <dgm:spPr>
        <a:xfrm>
          <a:off x="4699773" y="968085"/>
          <a:ext cx="986573" cy="41901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BE92476-635C-4AE2-AD14-BF50BB0972EC}" type="parTrans" cxnId="{44EB880B-7660-4CF0-97E5-4E577ACA821D}">
      <dgm:prSet/>
      <dgm:spPr>
        <a:xfrm rot="46295">
          <a:off x="3470506" y="1156342"/>
          <a:ext cx="1229570" cy="12666"/>
        </a:xfrm>
        <a:custGeom>
          <a:avLst/>
          <a:gdLst/>
          <a:ahLst/>
          <a:cxnLst/>
          <a:rect l="0" t="0" r="0" b="0"/>
          <a:pathLst>
            <a:path>
              <a:moveTo>
                <a:pt x="0" y="6333"/>
              </a:moveTo>
              <a:lnTo>
                <a:pt x="1274989"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endParaRPr lang="en-US"/>
        </a:p>
      </dgm:t>
    </dgm:pt>
    <dgm:pt modelId="{2EF75B39-F486-43BE-8B27-294595126005}">
      <dgm:prSet phldrT="[Text]" custT="1"/>
      <dgm:spPr>
        <a:xfrm>
          <a:off x="4189606" y="1445933"/>
          <a:ext cx="1338744" cy="42354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6F0DCEC-2B26-4038-AF1F-D0A98A0F7930}" type="parTrans" cxnId="{D0987D88-807B-4994-94E2-80A6C1D9AE52}">
      <dgm:prSet/>
      <dgm:spPr>
        <a:xfrm rot="863322">
          <a:off x="3302397" y="1387134"/>
          <a:ext cx="1053179" cy="12666"/>
        </a:xfrm>
        <a:custGeom>
          <a:avLst/>
          <a:gdLst/>
          <a:ahLst/>
          <a:cxnLst/>
          <a:rect l="0" t="0" r="0" b="0"/>
          <a:pathLst>
            <a:path>
              <a:moveTo>
                <a:pt x="0" y="6333"/>
              </a:moveTo>
              <a:lnTo>
                <a:pt x="1148356"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176332" y="1653187"/>
          <a:ext cx="1066131" cy="42831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6DE2413-45CD-453B-A258-F22A53BBB241}" type="parTrans" cxnId="{A5666C79-BF01-4153-AB0A-BB16CAE1F135}">
      <dgm:prSet/>
      <dgm:spPr>
        <a:xfrm rot="2430467">
          <a:off x="2993278" y="1486672"/>
          <a:ext cx="555892" cy="12666"/>
        </a:xfrm>
        <a:custGeom>
          <a:avLst/>
          <a:gdLst/>
          <a:ahLst/>
          <a:cxnLst/>
          <a:rect l="0" t="0" r="0" b="0"/>
          <a:pathLst>
            <a:path>
              <a:moveTo>
                <a:pt x="0" y="6333"/>
              </a:moveTo>
              <a:lnTo>
                <a:pt x="598583"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1806260" y="1700402"/>
          <a:ext cx="1319823" cy="4067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2A69187-F965-4704-9C1A-29B2281F912F}" type="parTrans" cxnId="{BA0B21AC-350F-4DDA-A443-58447D95EEF1}">
      <dgm:prSet/>
      <dgm:spPr>
        <a:xfrm rot="7067139">
          <a:off x="2456312" y="1505058"/>
          <a:ext cx="433233" cy="12666"/>
        </a:xfrm>
        <a:custGeom>
          <a:avLst/>
          <a:gdLst/>
          <a:ahLst/>
          <a:cxnLst/>
          <a:rect l="0" t="0" r="0" b="0"/>
          <a:pathLst>
            <a:path>
              <a:moveTo>
                <a:pt x="0" y="6333"/>
              </a:moveTo>
              <a:lnTo>
                <a:pt x="468721"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457123" y="1558855"/>
          <a:ext cx="1372366" cy="40993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التواصل</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6278D4F-93AB-42D0-B837-2B99BC1EE808}" type="parTrans" cxnId="{D4C1BC69-C745-405B-9248-C6E8862DD509}">
      <dgm:prSet/>
      <dgm:spPr>
        <a:xfrm rot="9616227">
          <a:off x="1554324" y="1438222"/>
          <a:ext cx="958424" cy="12666"/>
        </a:xfrm>
        <a:custGeom>
          <a:avLst/>
          <a:gdLst/>
          <a:ahLst/>
          <a:cxnLst/>
          <a:rect l="0" t="0" r="0" b="0"/>
          <a:pathLst>
            <a:path>
              <a:moveTo>
                <a:pt x="0" y="6333"/>
              </a:moveTo>
              <a:lnTo>
                <a:pt x="1001679"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61905482-A221-41E9-B64F-E0DDCF7406CB}">
      <dgm:prSet phldrT="[Text]" custT="1"/>
      <dgm:spPr>
        <a:xfrm>
          <a:off x="103634" y="1058984"/>
          <a:ext cx="1182368" cy="46088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الإدارة التنفيذية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9A5BFAE-AE0D-4BC3-821E-ACDBC402E1F3}" type="parTrans" cxnId="{7A10D267-5114-47D3-9B72-BCDF70FFAB8C}">
      <dgm:prSet/>
      <dgm:spPr>
        <a:xfrm rot="10573551">
          <a:off x="1276631" y="1211762"/>
          <a:ext cx="999024" cy="12666"/>
        </a:xfrm>
        <a:custGeom>
          <a:avLst/>
          <a:gdLst/>
          <a:ahLst/>
          <a:cxnLst/>
          <a:rect l="0" t="0" r="0" b="0"/>
          <a:pathLst>
            <a:path>
              <a:moveTo>
                <a:pt x="0" y="6333"/>
              </a:moveTo>
              <a:lnTo>
                <a:pt x="1057724"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endParaRPr lang="en-US"/>
        </a:p>
      </dgm:t>
    </dgm:pt>
    <dgm:pt modelId="{39DF5EDE-47C5-44AA-84A0-610EE4D8EEAF}">
      <dgm:prSet phldrT="[Text]" custT="1"/>
      <dgm:spPr>
        <a:xfrm>
          <a:off x="1249597" y="131749"/>
          <a:ext cx="1109019" cy="45476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لاهاي</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C8D74EC-0F5E-4E72-B00E-305D37408E09}" type="parTrans" cxnId="{12DD7879-5DAB-453E-8626-CC034CCD481D}">
      <dgm:prSet/>
      <dgm:spPr>
        <a:xfrm rot="12993863">
          <a:off x="2002260" y="764109"/>
          <a:ext cx="712790" cy="12666"/>
        </a:xfrm>
        <a:custGeom>
          <a:avLst/>
          <a:gdLst/>
          <a:ahLst/>
          <a:cxnLst/>
          <a:rect l="0" t="0" r="0" b="0"/>
          <a:pathLst>
            <a:path>
              <a:moveTo>
                <a:pt x="0" y="6333"/>
              </a:moveTo>
              <a:lnTo>
                <a:pt x="759383"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B460AF1-5C69-4760-9FBE-539FD0921E3A}" type="sibTrans" cxnId="{12DD7879-5DAB-453E-8626-CC034CCD481D}">
      <dgm:prSet/>
      <dgm:spPr/>
      <dgm:t>
        <a:bodyPr/>
        <a:lstStyle/>
        <a:p>
          <a:endParaRPr lang="en-US"/>
        </a:p>
      </dgm:t>
    </dgm:pt>
    <dgm:pt modelId="{8EC353A6-4F6A-4502-96F3-6C0A4C1DAA96}">
      <dgm:prSet phldrT="[Text]" custT="1"/>
      <dgm:spPr>
        <a:xfrm>
          <a:off x="143821" y="481414"/>
          <a:ext cx="1333904" cy="51645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22</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إدارة البرامج والموارد</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B96F5D54-1A60-4750-86C5-C7C55223704E}" type="parTrans" cxnId="{5DAFA89F-4C50-49EC-868E-81320326A617}">
      <dgm:prSet/>
      <dgm:spPr>
        <a:xfrm rot="11471665">
          <a:off x="1395328" y="945870"/>
          <a:ext cx="979034" cy="12666"/>
        </a:xfrm>
        <a:custGeom>
          <a:avLst/>
          <a:gdLst/>
          <a:ahLst/>
          <a:cxnLst/>
          <a:rect l="0" t="0" r="0" b="0"/>
          <a:pathLst>
            <a:path>
              <a:moveTo>
                <a:pt x="0" y="6333"/>
              </a:moveTo>
              <a:lnTo>
                <a:pt x="1060003"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F43BDEE-CFCB-4DD6-B860-72E17A3E4431}" type="sibTrans" cxnId="{5DAFA89F-4C50-49EC-868E-81320326A617}">
      <dgm:prSet/>
      <dgm:spPr/>
      <dgm:t>
        <a:bodyPr/>
        <a:lstStyle/>
        <a:p>
          <a:endParaRPr lang="en-US"/>
        </a:p>
      </dgm:t>
    </dgm:pt>
    <dgm:pt modelId="{3110F8A9-A32E-44E7-AAE5-A9281BC11D7B}">
      <dgm:prSet phldrT="[Text]" custT="1"/>
      <dgm:spPr>
        <a:xfrm>
          <a:off x="3350258" y="121704"/>
          <a:ext cx="914834" cy="44549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B3B77C7-59D8-43B0-9BA2-3E78FCCABCCC}" type="parTrans" cxnId="{DE06B915-0368-4A58-89A2-BA3A28BA167F}">
      <dgm:prSet/>
      <dgm:spPr>
        <a:xfrm rot="19176424">
          <a:off x="2979250" y="752600"/>
          <a:ext cx="682570" cy="12666"/>
        </a:xfrm>
        <a:custGeom>
          <a:avLst/>
          <a:gdLst/>
          <a:ahLst/>
          <a:cxnLst/>
          <a:rect l="0" t="0" r="0" b="0"/>
          <a:pathLst>
            <a:path>
              <a:moveTo>
                <a:pt x="0" y="6333"/>
              </a:moveTo>
              <a:lnTo>
                <a:pt x="753376"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223407A-018E-42E6-9FD5-98A2D63554C9}" type="sibTrans" cxnId="{DE06B915-0368-4A58-89A2-BA3A28BA167F}">
      <dgm:prSet/>
      <dgm:spPr/>
      <dgm:t>
        <a:bodyPr/>
        <a:lstStyle/>
        <a:p>
          <a:endParaRPr lang="en-US"/>
        </a:p>
      </dgm:t>
    </dgm:pt>
    <dgm:pt modelId="{9A4BDCAE-D9CA-400C-8B2D-68AB68A08E2A}">
      <dgm:prSet phldrT="[Text]" custT="1"/>
      <dgm:spPr>
        <a:xfrm>
          <a:off x="2423154" y="70750"/>
          <a:ext cx="898122" cy="40382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8ADEECF-D7D2-4E14-BB97-4FB081DAC71A}" type="sibTrans" cxnId="{A0D7B160-B2D6-4FF0-B898-61A69264BA8C}">
      <dgm:prSet/>
      <dgm:spPr/>
      <dgm:t>
        <a:bodyPr/>
        <a:lstStyle/>
        <a:p>
          <a:endParaRPr lang="en-US"/>
        </a:p>
      </dgm:t>
    </dgm:pt>
    <dgm:pt modelId="{E9A3E352-4E95-497B-A994-2D750C2A9509}" type="parTrans" cxnId="{A0D7B160-B2D6-4FF0-B898-61A69264BA8C}">
      <dgm:prSet/>
      <dgm:spPr>
        <a:xfrm rot="16227085">
          <a:off x="2620585" y="716319"/>
          <a:ext cx="496169" cy="12666"/>
        </a:xfrm>
        <a:custGeom>
          <a:avLst/>
          <a:gdLst/>
          <a:ahLst/>
          <a:cxnLst/>
          <a:rect l="0" t="0" r="0" b="0"/>
          <a:pathLst>
            <a:path>
              <a:moveTo>
                <a:pt x="0" y="6333"/>
              </a:moveTo>
              <a:lnTo>
                <a:pt x="534915" y="6333"/>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98958" custScaleY="86604" custLinFactNeighborX="-877" custLinFactNeighborY="230"/>
      <dgm:spPr>
        <a:prstGeom prst="ellipse">
          <a:avLst/>
        </a:prstGeom>
      </dgm:spPr>
      <dgm:t>
        <a:bodyPr/>
        <a:lstStyle/>
        <a:p>
          <a:endParaRPr lang="en-US"/>
        </a:p>
      </dgm:t>
    </dgm:pt>
    <dgm:pt modelId="{E887F142-3B93-49E1-A09D-1DCD207D21D1}" type="pres">
      <dgm:prSet presAssocID="{E9A3E352-4E95-497B-A994-2D750C2A9509}" presName="Name9" presStyleLbl="parChTrans1D2" presStyleIdx="0" presStyleCnt="11"/>
      <dgm:spPr>
        <a:custGeom>
          <a:avLst/>
          <a:gdLst/>
          <a:ahLst/>
          <a:cxnLst/>
          <a:rect l="0" t="0" r="0" b="0"/>
          <a:pathLst>
            <a:path>
              <a:moveTo>
                <a:pt x="0" y="6333"/>
              </a:moveTo>
              <a:lnTo>
                <a:pt x="534915" y="6333"/>
              </a:lnTo>
            </a:path>
          </a:pathLst>
        </a:custGeom>
      </dgm:spPr>
      <dgm:t>
        <a:bodyPr/>
        <a:lstStyle/>
        <a:p>
          <a:endParaRPr lang="en-US"/>
        </a:p>
      </dgm:t>
    </dgm:pt>
    <dgm:pt modelId="{0C3245EA-B4A2-4A29-A94D-6F5271E8D13D}" type="pres">
      <dgm:prSet presAssocID="{E9A3E352-4E95-497B-A994-2D750C2A9509}" presName="connTx" presStyleLbl="parChTrans1D2" presStyleIdx="0" presStyleCnt="11"/>
      <dgm:spPr/>
      <dgm:t>
        <a:bodyPr/>
        <a:lstStyle/>
        <a:p>
          <a:endParaRPr lang="en-US"/>
        </a:p>
      </dgm:t>
    </dgm:pt>
    <dgm:pt modelId="{3EA08C86-6A87-4381-A9A9-F10D993E2D53}" type="pres">
      <dgm:prSet presAssocID="{9A4BDCAE-D9CA-400C-8B2D-68AB68A08E2A}" presName="node" presStyleLbl="node1" presStyleIdx="0" presStyleCnt="11" custScaleX="221578" custScaleY="99629" custRadScaleRad="92854" custRadScaleInc="-3842">
        <dgm:presLayoutVars>
          <dgm:bulletEnabled val="1"/>
        </dgm:presLayoutVars>
      </dgm:prSet>
      <dgm:spPr>
        <a:prstGeom prst="ellipse">
          <a:avLst/>
        </a:prstGeom>
      </dgm:spPr>
      <dgm:t>
        <a:bodyPr/>
        <a:lstStyle/>
        <a:p>
          <a:endParaRPr lang="en-US"/>
        </a:p>
      </dgm:t>
    </dgm:pt>
    <dgm:pt modelId="{3DC5E90A-495A-4818-A1D5-03E6AF30AA1D}" type="pres">
      <dgm:prSet presAssocID="{EB3B77C7-59D8-43B0-9BA2-3E78FCCABCCC}" presName="Name9" presStyleLbl="parChTrans1D2" presStyleIdx="1" presStyleCnt="11"/>
      <dgm:spPr>
        <a:custGeom>
          <a:avLst/>
          <a:gdLst/>
          <a:ahLst/>
          <a:cxnLst/>
          <a:rect l="0" t="0" r="0" b="0"/>
          <a:pathLst>
            <a:path>
              <a:moveTo>
                <a:pt x="0" y="6333"/>
              </a:moveTo>
              <a:lnTo>
                <a:pt x="753376" y="6333"/>
              </a:lnTo>
            </a:path>
          </a:pathLst>
        </a:custGeom>
      </dgm:spPr>
      <dgm:t>
        <a:bodyPr/>
        <a:lstStyle/>
        <a:p>
          <a:endParaRPr lang="en-US"/>
        </a:p>
      </dgm:t>
    </dgm:pt>
    <dgm:pt modelId="{3AE7EF91-FC65-4BEB-9007-70FE25DE1AD2}" type="pres">
      <dgm:prSet presAssocID="{EB3B77C7-59D8-43B0-9BA2-3E78FCCABCCC}" presName="connTx" presStyleLbl="parChTrans1D2" presStyleIdx="1" presStyleCnt="11"/>
      <dgm:spPr/>
      <dgm:t>
        <a:bodyPr/>
        <a:lstStyle/>
        <a:p>
          <a:endParaRPr lang="en-US"/>
        </a:p>
      </dgm:t>
    </dgm:pt>
    <dgm:pt modelId="{43DCCA43-33C0-4CEE-BAB5-C639F5D70563}" type="pres">
      <dgm:prSet presAssocID="{3110F8A9-A32E-44E7-AAE5-A9281BC11D7B}" presName="node" presStyleLbl="node1" presStyleIdx="1" presStyleCnt="11" custScaleX="225701" custScaleY="109908" custRadScaleRad="130525" custRadScaleInc="101045">
        <dgm:presLayoutVars>
          <dgm:bulletEnabled val="1"/>
        </dgm:presLayoutVars>
      </dgm:prSet>
      <dgm:spPr>
        <a:prstGeom prst="ellipse">
          <a:avLst/>
        </a:prstGeom>
      </dgm:spPr>
      <dgm:t>
        <a:bodyPr/>
        <a:lstStyle/>
        <a:p>
          <a:endParaRPr lang="en-US"/>
        </a:p>
      </dgm:t>
    </dgm:pt>
    <dgm:pt modelId="{72463A3F-A956-4917-8722-9FD79FB3E09A}" type="pres">
      <dgm:prSet presAssocID="{1F889DAC-CE52-4F0F-B94D-85598619AB82}" presName="Name9" presStyleLbl="parChTrans1D2" presStyleIdx="2" presStyleCnt="11"/>
      <dgm:spPr>
        <a:custGeom>
          <a:avLst/>
          <a:gdLst/>
          <a:ahLst/>
          <a:cxnLst/>
          <a:rect l="0" t="0" r="0" b="0"/>
          <a:pathLst>
            <a:path>
              <a:moveTo>
                <a:pt x="0" y="6333"/>
              </a:moveTo>
              <a:lnTo>
                <a:pt x="1024358" y="6333"/>
              </a:lnTo>
            </a:path>
          </a:pathLst>
        </a:custGeom>
      </dgm:spPr>
      <dgm:t>
        <a:bodyPr/>
        <a:lstStyle/>
        <a:p>
          <a:endParaRPr lang="en-US"/>
        </a:p>
      </dgm:t>
    </dgm:pt>
    <dgm:pt modelId="{E5E0F749-58A7-4B5D-B40F-552D5369ABEE}" type="pres">
      <dgm:prSet presAssocID="{1F889DAC-CE52-4F0F-B94D-85598619AB82}" presName="connTx" presStyleLbl="parChTrans1D2" presStyleIdx="2" presStyleCnt="11"/>
      <dgm:spPr/>
      <dgm:t>
        <a:bodyPr/>
        <a:lstStyle/>
        <a:p>
          <a:endParaRPr lang="en-US"/>
        </a:p>
      </dgm:t>
    </dgm:pt>
    <dgm:pt modelId="{A030EF9D-9337-4706-B87A-64BDE162520A}" type="pres">
      <dgm:prSet presAssocID="{94B19768-91E8-4E7A-A857-C8521D65AF24}" presName="node" presStyleLbl="node1" presStyleIdx="2" presStyleCnt="11" custScaleX="327402" custScaleY="123577" custRadScaleRad="208330" custRadScaleInc="62261">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3" presStyleCnt="11"/>
      <dgm:spPr>
        <a:custGeom>
          <a:avLst/>
          <a:gdLst/>
          <a:ahLst/>
          <a:cxnLst/>
          <a:rect l="0" t="0" r="0" b="0"/>
          <a:pathLst>
            <a:path>
              <a:moveTo>
                <a:pt x="0" y="6333"/>
              </a:moveTo>
              <a:lnTo>
                <a:pt x="1274989" y="6333"/>
              </a:lnTo>
            </a:path>
          </a:pathLst>
        </a:custGeom>
      </dgm:spPr>
      <dgm:t>
        <a:bodyPr/>
        <a:lstStyle/>
        <a:p>
          <a:endParaRPr lang="en-US"/>
        </a:p>
      </dgm:t>
    </dgm:pt>
    <dgm:pt modelId="{48B32C5A-7076-4480-B5CB-D9EFDA8D8FDB}" type="pres">
      <dgm:prSet presAssocID="{5BE92476-635C-4AE2-AD14-BF50BB0972EC}" presName="connTx" presStyleLbl="parChTrans1D2" presStyleIdx="3" presStyleCnt="11"/>
      <dgm:spPr/>
      <dgm:t>
        <a:bodyPr/>
        <a:lstStyle/>
        <a:p>
          <a:endParaRPr lang="en-US"/>
        </a:p>
      </dgm:t>
    </dgm:pt>
    <dgm:pt modelId="{423B6D89-2000-40C7-8429-BD38C7402395}" type="pres">
      <dgm:prSet presAssocID="{584F0456-7C88-4E15-A6D5-3DF2BDDC45F2}" presName="node" presStyleLbl="node1" presStyleIdx="3" presStyleCnt="11" custScaleX="243400" custScaleY="103377" custRadScaleRad="246903" custRadScaleInc="-44599">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4" presStyleCnt="11"/>
      <dgm:spPr>
        <a:custGeom>
          <a:avLst/>
          <a:gdLst/>
          <a:ahLst/>
          <a:cxnLst/>
          <a:rect l="0" t="0" r="0" b="0"/>
          <a:pathLst>
            <a:path>
              <a:moveTo>
                <a:pt x="0" y="6333"/>
              </a:moveTo>
              <a:lnTo>
                <a:pt x="1148356" y="6333"/>
              </a:lnTo>
            </a:path>
          </a:pathLst>
        </a:custGeom>
      </dgm:spPr>
      <dgm:t>
        <a:bodyPr/>
        <a:lstStyle/>
        <a:p>
          <a:endParaRPr lang="en-US"/>
        </a:p>
      </dgm:t>
    </dgm:pt>
    <dgm:pt modelId="{7FE108B5-F558-4942-A9EC-465F3C2E5813}" type="pres">
      <dgm:prSet presAssocID="{66F0DCEC-2B26-4038-AF1F-D0A98A0F7930}" presName="connTx" presStyleLbl="parChTrans1D2" presStyleIdx="4" presStyleCnt="11"/>
      <dgm:spPr/>
      <dgm:t>
        <a:bodyPr/>
        <a:lstStyle/>
        <a:p>
          <a:endParaRPr lang="en-US"/>
        </a:p>
      </dgm:t>
    </dgm:pt>
    <dgm:pt modelId="{6394B413-6D12-4C4F-9A8D-E0508CAE8617}" type="pres">
      <dgm:prSet presAssocID="{2EF75B39-F486-43BE-8B27-294595126005}" presName="node" presStyleLbl="node1" presStyleIdx="4" presStyleCnt="11" custScaleX="330285" custScaleY="104495" custRadScaleRad="218257" custRadScaleInc="-160655">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5" presStyleCnt="11"/>
      <dgm:spPr>
        <a:custGeom>
          <a:avLst/>
          <a:gdLst/>
          <a:ahLst/>
          <a:cxnLst/>
          <a:rect l="0" t="0" r="0" b="0"/>
          <a:pathLst>
            <a:path>
              <a:moveTo>
                <a:pt x="0" y="6333"/>
              </a:moveTo>
              <a:lnTo>
                <a:pt x="598583" y="6333"/>
              </a:lnTo>
            </a:path>
          </a:pathLst>
        </a:custGeom>
      </dgm:spPr>
      <dgm:t>
        <a:bodyPr/>
        <a:lstStyle/>
        <a:p>
          <a:endParaRPr lang="en-US"/>
        </a:p>
      </dgm:t>
    </dgm:pt>
    <dgm:pt modelId="{B0514361-30D3-4311-BC21-0743B7F01673}" type="pres">
      <dgm:prSet presAssocID="{F6DE2413-45CD-453B-A258-F22A53BBB241}" presName="connTx" presStyleLbl="parChTrans1D2" presStyleIdx="5" presStyleCnt="11"/>
      <dgm:spPr/>
      <dgm:t>
        <a:bodyPr/>
        <a:lstStyle/>
        <a:p>
          <a:endParaRPr lang="en-US"/>
        </a:p>
      </dgm:t>
    </dgm:pt>
    <dgm:pt modelId="{2ED32773-10C9-4671-A0BF-4C0DAB40AE25}" type="pres">
      <dgm:prSet presAssocID="{4761FE57-664D-44AD-8EF1-E6096D64297F}" presName="node" presStyleLbl="node1" presStyleIdx="5" presStyleCnt="11" custScaleX="263028" custScaleY="105670" custRadScaleRad="117551" custRadScaleInc="-198017">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6" presStyleCnt="11"/>
      <dgm:spPr>
        <a:custGeom>
          <a:avLst/>
          <a:gdLst/>
          <a:ahLst/>
          <a:cxnLst/>
          <a:rect l="0" t="0" r="0" b="0"/>
          <a:pathLst>
            <a:path>
              <a:moveTo>
                <a:pt x="0" y="6333"/>
              </a:moveTo>
              <a:lnTo>
                <a:pt x="468721" y="6333"/>
              </a:lnTo>
            </a:path>
          </a:pathLst>
        </a:custGeom>
      </dgm:spPr>
      <dgm:t>
        <a:bodyPr/>
        <a:lstStyle/>
        <a:p>
          <a:endParaRPr lang="en-US"/>
        </a:p>
      </dgm:t>
    </dgm:pt>
    <dgm:pt modelId="{E01163DA-75CF-4C32-B81E-41BBCCC937B3}" type="pres">
      <dgm:prSet presAssocID="{52A69187-F965-4704-9C1A-29B2281F912F}" presName="connTx" presStyleLbl="parChTrans1D2" presStyleIdx="6" presStyleCnt="11"/>
      <dgm:spPr/>
      <dgm:t>
        <a:bodyPr/>
        <a:lstStyle/>
        <a:p>
          <a:endParaRPr lang="en-US"/>
        </a:p>
      </dgm:t>
    </dgm:pt>
    <dgm:pt modelId="{F74F2681-A109-4B75-8C08-B2B26769CF03}" type="pres">
      <dgm:prSet presAssocID="{576E161B-59E2-4177-8320-584EBC426979}" presName="node" presStyleLbl="node1" presStyleIdx="6" presStyleCnt="11" custScaleX="325617" custScaleY="100352" custRadScaleRad="92693" custRadScaleInc="74853">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7" presStyleCnt="11"/>
      <dgm:spPr>
        <a:custGeom>
          <a:avLst/>
          <a:gdLst/>
          <a:ahLst/>
          <a:cxnLst/>
          <a:rect l="0" t="0" r="0" b="0"/>
          <a:pathLst>
            <a:path>
              <a:moveTo>
                <a:pt x="0" y="6333"/>
              </a:moveTo>
              <a:lnTo>
                <a:pt x="1001679" y="6333"/>
              </a:lnTo>
            </a:path>
          </a:pathLst>
        </a:custGeom>
      </dgm:spPr>
      <dgm:t>
        <a:bodyPr/>
        <a:lstStyle/>
        <a:p>
          <a:endParaRPr lang="en-US"/>
        </a:p>
      </dgm:t>
    </dgm:pt>
    <dgm:pt modelId="{C620A703-6BE9-4C0F-B737-266F7434DAB4}" type="pres">
      <dgm:prSet presAssocID="{D6278D4F-93AB-42D0-B837-2B99BC1EE808}" presName="connTx" presStyleLbl="parChTrans1D2" presStyleIdx="7" presStyleCnt="11"/>
      <dgm:spPr/>
      <dgm:t>
        <a:bodyPr/>
        <a:lstStyle/>
        <a:p>
          <a:endParaRPr lang="en-US"/>
        </a:p>
      </dgm:t>
    </dgm:pt>
    <dgm:pt modelId="{05C48364-E63B-4056-87CF-0BE50D74190B}" type="pres">
      <dgm:prSet presAssocID="{CEEBDBB9-7602-49B1-BBEB-80C6D1238598}" presName="node" presStyleLbl="node1" presStyleIdx="7" presStyleCnt="11" custScaleX="338580" custScaleY="101136" custRadScaleRad="197209" custRadScaleInc="129713">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8" presStyleCnt="11"/>
      <dgm:spPr>
        <a:custGeom>
          <a:avLst/>
          <a:gdLst/>
          <a:ahLst/>
          <a:cxnLst/>
          <a:rect l="0" t="0" r="0" b="0"/>
          <a:pathLst>
            <a:path>
              <a:moveTo>
                <a:pt x="0" y="6333"/>
              </a:moveTo>
              <a:lnTo>
                <a:pt x="1057724" y="6333"/>
              </a:lnTo>
            </a:path>
          </a:pathLst>
        </a:custGeom>
      </dgm:spPr>
      <dgm:t>
        <a:bodyPr/>
        <a:lstStyle/>
        <a:p>
          <a:endParaRPr lang="en-US"/>
        </a:p>
      </dgm:t>
    </dgm:pt>
    <dgm:pt modelId="{2261EECA-A4AA-4C81-9B4D-3893A28ED758}" type="pres">
      <dgm:prSet presAssocID="{19A5BFAE-AE0D-4BC3-821E-ACDBC402E1F3}" presName="connTx" presStyleLbl="parChTrans1D2" presStyleIdx="8" presStyleCnt="11"/>
      <dgm:spPr/>
      <dgm:t>
        <a:bodyPr/>
        <a:lstStyle/>
        <a:p>
          <a:endParaRPr lang="en-US"/>
        </a:p>
      </dgm:t>
    </dgm:pt>
    <dgm:pt modelId="{CFBB929F-8BEB-442D-8D00-28EE1C02C39C}" type="pres">
      <dgm:prSet presAssocID="{61905482-A221-41E9-B64F-E0DDCF7406CB}" presName="node" presStyleLbl="node1" presStyleIdx="8" presStyleCnt="11" custScaleX="291705" custScaleY="113706" custRadScaleRad="234120" custRadScaleInc="26422">
        <dgm:presLayoutVars>
          <dgm:bulletEnabled val="1"/>
        </dgm:presLayoutVars>
      </dgm:prSet>
      <dgm:spPr>
        <a:prstGeom prst="ellipse">
          <a:avLst/>
        </a:prstGeom>
      </dgm:spPr>
      <dgm:t>
        <a:bodyPr/>
        <a:lstStyle/>
        <a:p>
          <a:endParaRPr lang="en-US"/>
        </a:p>
      </dgm:t>
    </dgm:pt>
    <dgm:pt modelId="{C494819C-C98E-47AA-9AF0-D23BA2FEB24F}" type="pres">
      <dgm:prSet presAssocID="{B96F5D54-1A60-4750-86C5-C7C55223704E}" presName="Name9" presStyleLbl="parChTrans1D2" presStyleIdx="9" presStyleCnt="11"/>
      <dgm:spPr>
        <a:custGeom>
          <a:avLst/>
          <a:gdLst/>
          <a:ahLst/>
          <a:cxnLst/>
          <a:rect l="0" t="0" r="0" b="0"/>
          <a:pathLst>
            <a:path>
              <a:moveTo>
                <a:pt x="0" y="6333"/>
              </a:moveTo>
              <a:lnTo>
                <a:pt x="1060003" y="6333"/>
              </a:lnTo>
            </a:path>
          </a:pathLst>
        </a:custGeom>
      </dgm:spPr>
      <dgm:t>
        <a:bodyPr/>
        <a:lstStyle/>
        <a:p>
          <a:endParaRPr lang="en-US"/>
        </a:p>
      </dgm:t>
    </dgm:pt>
    <dgm:pt modelId="{0DC7814B-4209-4BC4-A177-2102084D3CE1}" type="pres">
      <dgm:prSet presAssocID="{B96F5D54-1A60-4750-86C5-C7C55223704E}" presName="connTx" presStyleLbl="parChTrans1D2" presStyleIdx="9" presStyleCnt="11"/>
      <dgm:spPr/>
      <dgm:t>
        <a:bodyPr/>
        <a:lstStyle/>
        <a:p>
          <a:endParaRPr lang="en-US"/>
        </a:p>
      </dgm:t>
    </dgm:pt>
    <dgm:pt modelId="{77FEFA40-E907-476F-8675-3DC698720930}" type="pres">
      <dgm:prSet presAssocID="{8EC353A6-4F6A-4502-96F3-6C0A4C1DAA96}" presName="node" presStyleLbl="node1" presStyleIdx="9" presStyleCnt="11" custScaleX="329091" custScaleY="127415" custRadScaleRad="225339" custRadScaleInc="-82820">
        <dgm:presLayoutVars>
          <dgm:bulletEnabled val="1"/>
        </dgm:presLayoutVars>
      </dgm:prSet>
      <dgm:spPr>
        <a:prstGeom prst="ellipse">
          <a:avLst/>
        </a:prstGeom>
      </dgm:spPr>
      <dgm:t>
        <a:bodyPr/>
        <a:lstStyle/>
        <a:p>
          <a:endParaRPr lang="en-US"/>
        </a:p>
      </dgm:t>
    </dgm:pt>
    <dgm:pt modelId="{EF98737B-1136-4CD3-A0AC-E4FF8E58DD83}" type="pres">
      <dgm:prSet presAssocID="{2C8D74EC-0F5E-4E72-B00E-305D37408E09}" presName="Name9" presStyleLbl="parChTrans1D2" presStyleIdx="10" presStyleCnt="11"/>
      <dgm:spPr>
        <a:custGeom>
          <a:avLst/>
          <a:gdLst/>
          <a:ahLst/>
          <a:cxnLst/>
          <a:rect l="0" t="0" r="0" b="0"/>
          <a:pathLst>
            <a:path>
              <a:moveTo>
                <a:pt x="0" y="6333"/>
              </a:moveTo>
              <a:lnTo>
                <a:pt x="759383" y="6333"/>
              </a:lnTo>
            </a:path>
          </a:pathLst>
        </a:custGeom>
      </dgm:spPr>
      <dgm:t>
        <a:bodyPr/>
        <a:lstStyle/>
        <a:p>
          <a:endParaRPr lang="en-US"/>
        </a:p>
      </dgm:t>
    </dgm:pt>
    <dgm:pt modelId="{4E2AD2D6-918F-4857-8567-9FCA82A4E2B0}" type="pres">
      <dgm:prSet presAssocID="{2C8D74EC-0F5E-4E72-B00E-305D37408E09}" presName="connTx" presStyleLbl="parChTrans1D2" presStyleIdx="10" presStyleCnt="11"/>
      <dgm:spPr/>
      <dgm:t>
        <a:bodyPr/>
        <a:lstStyle/>
        <a:p>
          <a:endParaRPr lang="en-US"/>
        </a:p>
      </dgm:t>
    </dgm:pt>
    <dgm:pt modelId="{C8187693-0532-46C7-A6F3-C4A32348C87B}" type="pres">
      <dgm:prSet presAssocID="{39DF5EDE-47C5-44AA-84A0-610EE4D8EEAF}" presName="node" presStyleLbl="node1" presStyleIdx="10" presStyleCnt="11" custScaleX="273609" custScaleY="112197" custRadScaleRad="142268" custRadScaleInc="-130032">
        <dgm:presLayoutVars>
          <dgm:bulletEnabled val="1"/>
        </dgm:presLayoutVars>
      </dgm:prSet>
      <dgm:spPr>
        <a:prstGeom prst="ellipse">
          <a:avLst/>
        </a:prstGeom>
      </dgm:spPr>
      <dgm:t>
        <a:bodyPr/>
        <a:lstStyle/>
        <a:p>
          <a:endParaRPr lang="en-US"/>
        </a:p>
      </dgm:t>
    </dgm:pt>
  </dgm:ptLst>
  <dgm:cxnLst>
    <dgm:cxn modelId="{E719C6E7-4776-4FC2-9ECD-F0D273135B37}" srcId="{60F584FC-F7FF-4FD7-86E3-8773293C0460}" destId="{94B19768-91E8-4E7A-A857-C8521D65AF24}" srcOrd="2" destOrd="0" parTransId="{1F889DAC-CE52-4F0F-B94D-85598619AB82}" sibTransId="{174FD7F3-8467-46EB-ACD9-4B0EA7D3C4BA}"/>
    <dgm:cxn modelId="{DE06B915-0368-4A58-89A2-BA3A28BA167F}" srcId="{60F584FC-F7FF-4FD7-86E3-8773293C0460}" destId="{3110F8A9-A32E-44E7-AAE5-A9281BC11D7B}" srcOrd="1" destOrd="0" parTransId="{EB3B77C7-59D8-43B0-9BA2-3E78FCCABCCC}" sibTransId="{7223407A-018E-42E6-9FD5-98A2D63554C9}"/>
    <dgm:cxn modelId="{12DD7879-5DAB-453E-8626-CC034CCD481D}" srcId="{60F584FC-F7FF-4FD7-86E3-8773293C0460}" destId="{39DF5EDE-47C5-44AA-84A0-610EE4D8EEAF}" srcOrd="10" destOrd="0" parTransId="{2C8D74EC-0F5E-4E72-B00E-305D37408E09}" sibTransId="{7B460AF1-5C69-4760-9FBE-539FD0921E3A}"/>
    <dgm:cxn modelId="{355517CF-2792-4E71-8C78-BE5282B3A6AA}" type="presOf" srcId="{2EF75B39-F486-43BE-8B27-294595126005}" destId="{6394B413-6D12-4C4F-9A8D-E0508CAE8617}" srcOrd="0" destOrd="0" presId="urn:microsoft.com/office/officeart/2005/8/layout/radial1"/>
    <dgm:cxn modelId="{363FCE2C-8231-4AD0-BDDD-E3010CE818AF}" type="presOf" srcId="{2C8D74EC-0F5E-4E72-B00E-305D37408E09}" destId="{4E2AD2D6-918F-4857-8567-9FCA82A4E2B0}" srcOrd="1" destOrd="0" presId="urn:microsoft.com/office/officeart/2005/8/layout/radial1"/>
    <dgm:cxn modelId="{776374A3-5548-4746-AA10-D47D0DE664E6}" type="presOf" srcId="{3E4183EF-B989-4620-A02C-D54686D6628F}" destId="{4FC73BDC-CE2C-45F4-85CD-F387963DA006}" srcOrd="0" destOrd="0" presId="urn:microsoft.com/office/officeart/2005/8/layout/radial1"/>
    <dgm:cxn modelId="{BDD91475-9725-4EF2-9E3D-E3B9EA20DFF1}" type="presOf" srcId="{F6DE2413-45CD-453B-A258-F22A53BBB241}" destId="{DEF09AAB-E09E-4486-8914-E37D47E60824}" srcOrd="0" destOrd="0" presId="urn:microsoft.com/office/officeart/2005/8/layout/radial1"/>
    <dgm:cxn modelId="{DB55D729-B147-4E19-8483-34A8A22AA76A}" type="presOf" srcId="{1F889DAC-CE52-4F0F-B94D-85598619AB82}" destId="{72463A3F-A956-4917-8722-9FD79FB3E09A}" srcOrd="0" destOrd="0" presId="urn:microsoft.com/office/officeart/2005/8/layout/radial1"/>
    <dgm:cxn modelId="{59B5D856-EC30-4C18-A128-86AC95CF21E2}" type="presOf" srcId="{EB3B77C7-59D8-43B0-9BA2-3E78FCCABCCC}" destId="{3DC5E90A-495A-4818-A1D5-03E6AF30AA1D}" srcOrd="0" destOrd="0" presId="urn:microsoft.com/office/officeart/2005/8/layout/radial1"/>
    <dgm:cxn modelId="{D725EB3E-1A65-4F38-B5F1-AE964137CAF1}" type="presOf" srcId="{94B19768-91E8-4E7A-A857-C8521D65AF24}" destId="{A030EF9D-9337-4706-B87A-64BDE162520A}" srcOrd="0" destOrd="0" presId="urn:microsoft.com/office/officeart/2005/8/layout/radial1"/>
    <dgm:cxn modelId="{3C8B87D7-8988-4E4D-A02A-02F770B71D0D}" type="presOf" srcId="{60F584FC-F7FF-4FD7-86E3-8773293C0460}" destId="{3C7CADF7-0742-432E-9EEF-EA9C347A7661}" srcOrd="0" destOrd="0" presId="urn:microsoft.com/office/officeart/2005/8/layout/radial1"/>
    <dgm:cxn modelId="{2387359A-79CA-426D-B450-0C7EA7C1271C}" type="presOf" srcId="{3110F8A9-A32E-44E7-AAE5-A9281BC11D7B}" destId="{43DCCA43-33C0-4CEE-BAB5-C639F5D70563}" srcOrd="0" destOrd="0" presId="urn:microsoft.com/office/officeart/2005/8/layout/radial1"/>
    <dgm:cxn modelId="{06A59EB1-2CFF-46D4-ABD9-E18E4CA76F79}" type="presOf" srcId="{52A69187-F965-4704-9C1A-29B2281F912F}" destId="{E01163DA-75CF-4C32-B81E-41BBCCC937B3}" srcOrd="1" destOrd="0" presId="urn:microsoft.com/office/officeart/2005/8/layout/radial1"/>
    <dgm:cxn modelId="{EE139E82-BED7-4460-9826-97C35C4AECE8}" type="presOf" srcId="{19A5BFAE-AE0D-4BC3-821E-ACDBC402E1F3}" destId="{06FD983D-3F71-4BCE-AD7F-6DD1041A2F23}" srcOrd="0" destOrd="0" presId="urn:microsoft.com/office/officeart/2005/8/layout/radial1"/>
    <dgm:cxn modelId="{7A10D267-5114-47D3-9B72-BCDF70FFAB8C}" srcId="{60F584FC-F7FF-4FD7-86E3-8773293C0460}" destId="{61905482-A221-41E9-B64F-E0DDCF7406CB}" srcOrd="8" destOrd="0" parTransId="{19A5BFAE-AE0D-4BC3-821E-ACDBC402E1F3}" sibTransId="{41B3C576-1467-4E2A-8F61-40CA47AE2A73}"/>
    <dgm:cxn modelId="{94EF7B06-0F8E-4EA0-875B-202784A9CE93}" type="presOf" srcId="{E9A3E352-4E95-497B-A994-2D750C2A9509}" destId="{E887F142-3B93-49E1-A09D-1DCD207D21D1}" srcOrd="0" destOrd="0" presId="urn:microsoft.com/office/officeart/2005/8/layout/radial1"/>
    <dgm:cxn modelId="{A493A1F5-87B6-4361-9FF1-5113754802A0}" type="presOf" srcId="{EB3B77C7-59D8-43B0-9BA2-3E78FCCABCCC}" destId="{3AE7EF91-FC65-4BEB-9007-70FE25DE1AD2}" srcOrd="1" destOrd="0" presId="urn:microsoft.com/office/officeart/2005/8/layout/radial1"/>
    <dgm:cxn modelId="{6FE7B2AA-3A8C-4080-BBF2-84770F9C89E0}" type="presOf" srcId="{B96F5D54-1A60-4750-86C5-C7C55223704E}" destId="{C494819C-C98E-47AA-9AF0-D23BA2FEB24F}" srcOrd="0" destOrd="0" presId="urn:microsoft.com/office/officeart/2005/8/layout/radial1"/>
    <dgm:cxn modelId="{07B6E9AB-3D51-4742-822A-F5F2B3B5F094}" type="presOf" srcId="{19A5BFAE-AE0D-4BC3-821E-ACDBC402E1F3}" destId="{2261EECA-A4AA-4C81-9B4D-3893A28ED758}" srcOrd="1" destOrd="0" presId="urn:microsoft.com/office/officeart/2005/8/layout/radial1"/>
    <dgm:cxn modelId="{BA0B21AC-350F-4DDA-A443-58447D95EEF1}" srcId="{60F584FC-F7FF-4FD7-86E3-8773293C0460}" destId="{576E161B-59E2-4177-8320-584EBC426979}" srcOrd="6" destOrd="0" parTransId="{52A69187-F965-4704-9C1A-29B2281F912F}" sibTransId="{E9F92651-5262-450E-9258-F1F8976476A8}"/>
    <dgm:cxn modelId="{5C40FF97-9494-4295-A45A-F1983D66C150}" type="presOf" srcId="{576E161B-59E2-4177-8320-584EBC426979}" destId="{F74F2681-A109-4B75-8C08-B2B26769CF03}" srcOrd="0" destOrd="0" presId="urn:microsoft.com/office/officeart/2005/8/layout/radial1"/>
    <dgm:cxn modelId="{E0582CF7-94E3-465B-A06A-0ED3127B2BA7}" type="presOf" srcId="{D6278D4F-93AB-42D0-B837-2B99BC1EE808}" destId="{C620A703-6BE9-4C0F-B737-266F7434DAB4}" srcOrd="1" destOrd="0" presId="urn:microsoft.com/office/officeart/2005/8/layout/radial1"/>
    <dgm:cxn modelId="{B1F6F7E9-618B-4E58-9EE0-42E9D7B61737}" type="presOf" srcId="{61905482-A221-41E9-B64F-E0DDCF7406CB}" destId="{CFBB929F-8BEB-442D-8D00-28EE1C02C39C}" srcOrd="0" destOrd="0" presId="urn:microsoft.com/office/officeart/2005/8/layout/radial1"/>
    <dgm:cxn modelId="{46524D45-ED05-43A6-B763-128829C0B3ED}" type="presOf" srcId="{1F889DAC-CE52-4F0F-B94D-85598619AB82}" destId="{E5E0F749-58A7-4B5D-B40F-552D5369ABEE}" srcOrd="1" destOrd="0" presId="urn:microsoft.com/office/officeart/2005/8/layout/radial1"/>
    <dgm:cxn modelId="{16D0EFA9-79E9-4027-9A11-C5F76F0F396B}" type="presOf" srcId="{B96F5D54-1A60-4750-86C5-C7C55223704E}" destId="{0DC7814B-4209-4BC4-A177-2102084D3CE1}" srcOrd="1"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8D37D6C9-614D-476C-8496-3D63FA2E575C}" type="presOf" srcId="{D6278D4F-93AB-42D0-B837-2B99BC1EE808}" destId="{AC7E3352-64BC-4978-9AB6-2DD833483239}" srcOrd="0" destOrd="0" presId="urn:microsoft.com/office/officeart/2005/8/layout/radial1"/>
    <dgm:cxn modelId="{EDC45ED5-A43C-42E9-80EB-59C78803E463}" type="presOf" srcId="{66F0DCEC-2B26-4038-AF1F-D0A98A0F7930}" destId="{650854B0-9FE7-4FFD-96B2-18F6452E0859}" srcOrd="0" destOrd="0" presId="urn:microsoft.com/office/officeart/2005/8/layout/radial1"/>
    <dgm:cxn modelId="{5DD2689F-3BCB-46BD-9E8A-43BC39583AE7}" type="presOf" srcId="{5BE92476-635C-4AE2-AD14-BF50BB0972EC}" destId="{00112A8F-12E8-45AC-B551-DFB66BE45059}" srcOrd="0" destOrd="0" presId="urn:microsoft.com/office/officeart/2005/8/layout/radial1"/>
    <dgm:cxn modelId="{44EB880B-7660-4CF0-97E5-4E577ACA821D}" srcId="{60F584FC-F7FF-4FD7-86E3-8773293C0460}" destId="{584F0456-7C88-4E15-A6D5-3DF2BDDC45F2}" srcOrd="3" destOrd="0" parTransId="{5BE92476-635C-4AE2-AD14-BF50BB0972EC}" sibTransId="{3EF0F88F-A3C1-4CFC-8CDA-621CE91394E1}"/>
    <dgm:cxn modelId="{A0D7B160-B2D6-4FF0-B898-61A69264BA8C}" srcId="{60F584FC-F7FF-4FD7-86E3-8773293C0460}" destId="{9A4BDCAE-D9CA-400C-8B2D-68AB68A08E2A}" srcOrd="0" destOrd="0" parTransId="{E9A3E352-4E95-497B-A994-2D750C2A9509}" sibTransId="{D8ADEECF-D7D2-4E14-BB97-4FB081DAC71A}"/>
    <dgm:cxn modelId="{AE5C241D-3FCE-416F-9B1E-DCCF80F55051}" type="presOf" srcId="{F6DE2413-45CD-453B-A258-F22A53BBB241}" destId="{B0514361-30D3-4311-BC21-0743B7F01673}" srcOrd="1" destOrd="0" presId="urn:microsoft.com/office/officeart/2005/8/layout/radial1"/>
    <dgm:cxn modelId="{4D7B6619-E6ED-4F26-B973-27EA3B3785BB}" type="presOf" srcId="{39DF5EDE-47C5-44AA-84A0-610EE4D8EEAF}" destId="{C8187693-0532-46C7-A6F3-C4A32348C87B}" srcOrd="0" destOrd="0" presId="urn:microsoft.com/office/officeart/2005/8/layout/radial1"/>
    <dgm:cxn modelId="{5DAFA89F-4C50-49EC-868E-81320326A617}" srcId="{60F584FC-F7FF-4FD7-86E3-8773293C0460}" destId="{8EC353A6-4F6A-4502-96F3-6C0A4C1DAA96}" srcOrd="9" destOrd="0" parTransId="{B96F5D54-1A60-4750-86C5-C7C55223704E}" sibTransId="{1F43BDEE-CFCB-4DD6-B860-72E17A3E4431}"/>
    <dgm:cxn modelId="{5308C311-D3A8-4122-B329-25018E7B2172}" type="presOf" srcId="{5BE92476-635C-4AE2-AD14-BF50BB0972EC}" destId="{48B32C5A-7076-4480-B5CB-D9EFDA8D8FDB}" srcOrd="1" destOrd="0" presId="urn:microsoft.com/office/officeart/2005/8/layout/radial1"/>
    <dgm:cxn modelId="{A8DEE8B5-6616-4084-AA6C-22DD080F1ADB}" type="presOf" srcId="{E9A3E352-4E95-497B-A994-2D750C2A9509}" destId="{0C3245EA-B4A2-4A29-A94D-6F5271E8D13D}" srcOrd="1" destOrd="0" presId="urn:microsoft.com/office/officeart/2005/8/layout/radial1"/>
    <dgm:cxn modelId="{D0987D88-807B-4994-94E2-80A6C1D9AE52}" srcId="{60F584FC-F7FF-4FD7-86E3-8773293C0460}" destId="{2EF75B39-F486-43BE-8B27-294595126005}" srcOrd="4" destOrd="0" parTransId="{66F0DCEC-2B26-4038-AF1F-D0A98A0F7930}" sibTransId="{A29EC13D-3B1F-4904-8025-5B38BEEF3183}"/>
    <dgm:cxn modelId="{D4C1BC69-C745-405B-9248-C6E8862DD509}" srcId="{60F584FC-F7FF-4FD7-86E3-8773293C0460}" destId="{CEEBDBB9-7602-49B1-BBEB-80C6D1238598}" srcOrd="7" destOrd="0" parTransId="{D6278D4F-93AB-42D0-B837-2B99BC1EE808}" sibTransId="{3F7B98CE-94D6-4D7D-8314-AFA01590058A}"/>
    <dgm:cxn modelId="{8B52CE5F-D68D-4053-823D-A41A1F8A9C56}" type="presOf" srcId="{4761FE57-664D-44AD-8EF1-E6096D64297F}" destId="{2ED32773-10C9-4671-A0BF-4C0DAB40AE25}" srcOrd="0" destOrd="0" presId="urn:microsoft.com/office/officeart/2005/8/layout/radial1"/>
    <dgm:cxn modelId="{D20F25AA-6827-4640-B45F-959FE187A936}" type="presOf" srcId="{584F0456-7C88-4E15-A6D5-3DF2BDDC45F2}" destId="{423B6D89-2000-40C7-8429-BD38C7402395}" srcOrd="0" destOrd="0" presId="urn:microsoft.com/office/officeart/2005/8/layout/radial1"/>
    <dgm:cxn modelId="{6C777D9C-1A23-4598-AA3B-FDFF79F84915}" type="presOf" srcId="{2C8D74EC-0F5E-4E72-B00E-305D37408E09}" destId="{EF98737B-1136-4CD3-A0AC-E4FF8E58DD83}" srcOrd="0" destOrd="0" presId="urn:microsoft.com/office/officeart/2005/8/layout/radial1"/>
    <dgm:cxn modelId="{D3CACD27-5DB6-41B4-90D7-14A5FEF49BE6}" type="presOf" srcId="{66F0DCEC-2B26-4038-AF1F-D0A98A0F7930}" destId="{7FE108B5-F558-4942-A9EC-465F3C2E5813}" srcOrd="1" destOrd="0" presId="urn:microsoft.com/office/officeart/2005/8/layout/radial1"/>
    <dgm:cxn modelId="{7052DA98-531E-4C37-A69C-3E936E2AD659}" type="presOf" srcId="{CEEBDBB9-7602-49B1-BBEB-80C6D1238598}" destId="{05C48364-E63B-4056-87CF-0BE50D74190B}" srcOrd="0" destOrd="0" presId="urn:microsoft.com/office/officeart/2005/8/layout/radial1"/>
    <dgm:cxn modelId="{BC2259E5-23AD-4B7F-A4D4-EE40D1E30CDF}" type="presOf" srcId="{9A4BDCAE-D9CA-400C-8B2D-68AB68A08E2A}" destId="{3EA08C86-6A87-4381-A9A9-F10D993E2D53}" srcOrd="0" destOrd="0" presId="urn:microsoft.com/office/officeart/2005/8/layout/radial1"/>
    <dgm:cxn modelId="{E74D8B67-8258-4305-8A78-7CBF411B26F5}" type="presOf" srcId="{8EC353A6-4F6A-4502-96F3-6C0A4C1DAA96}" destId="{77FEFA40-E907-476F-8675-3DC698720930}" srcOrd="0" destOrd="0" presId="urn:microsoft.com/office/officeart/2005/8/layout/radial1"/>
    <dgm:cxn modelId="{A5666C79-BF01-4153-AB0A-BB16CAE1F135}" srcId="{60F584FC-F7FF-4FD7-86E3-8773293C0460}" destId="{4761FE57-664D-44AD-8EF1-E6096D64297F}" srcOrd="5" destOrd="0" parTransId="{F6DE2413-45CD-453B-A258-F22A53BBB241}" sibTransId="{288511AC-ECAB-47A8-A0B0-D7AAFEE02A39}"/>
    <dgm:cxn modelId="{0055C953-C818-446D-934C-B1A1FD2FC620}" type="presOf" srcId="{52A69187-F965-4704-9C1A-29B2281F912F}" destId="{EAF47FDD-7D57-4FF6-9F6B-6E604D2CC0DE}" srcOrd="0" destOrd="0" presId="urn:microsoft.com/office/officeart/2005/8/layout/radial1"/>
    <dgm:cxn modelId="{E2044C2D-FC4D-4779-9E3F-834407C357FA}" type="presParOf" srcId="{4FC73BDC-CE2C-45F4-85CD-F387963DA006}" destId="{3C7CADF7-0742-432E-9EEF-EA9C347A7661}" srcOrd="0" destOrd="0" presId="urn:microsoft.com/office/officeart/2005/8/layout/radial1"/>
    <dgm:cxn modelId="{63128C49-3588-4B95-8E71-1C6962312AE3}" type="presParOf" srcId="{4FC73BDC-CE2C-45F4-85CD-F387963DA006}" destId="{E887F142-3B93-49E1-A09D-1DCD207D21D1}" srcOrd="1" destOrd="0" presId="urn:microsoft.com/office/officeart/2005/8/layout/radial1"/>
    <dgm:cxn modelId="{8156B716-0D8E-467B-AE9D-2F0BA81C3358}" type="presParOf" srcId="{E887F142-3B93-49E1-A09D-1DCD207D21D1}" destId="{0C3245EA-B4A2-4A29-A94D-6F5271E8D13D}" srcOrd="0" destOrd="0" presId="urn:microsoft.com/office/officeart/2005/8/layout/radial1"/>
    <dgm:cxn modelId="{FCE09964-B7A1-4127-BD2D-4265482BC342}" type="presParOf" srcId="{4FC73BDC-CE2C-45F4-85CD-F387963DA006}" destId="{3EA08C86-6A87-4381-A9A9-F10D993E2D53}" srcOrd="2" destOrd="0" presId="urn:microsoft.com/office/officeart/2005/8/layout/radial1"/>
    <dgm:cxn modelId="{1196078D-FE34-42B7-9BED-D9D5AE7FF2C4}" type="presParOf" srcId="{4FC73BDC-CE2C-45F4-85CD-F387963DA006}" destId="{3DC5E90A-495A-4818-A1D5-03E6AF30AA1D}" srcOrd="3" destOrd="0" presId="urn:microsoft.com/office/officeart/2005/8/layout/radial1"/>
    <dgm:cxn modelId="{40710639-AD37-4F78-8574-4D3C0FB6E035}" type="presParOf" srcId="{3DC5E90A-495A-4818-A1D5-03E6AF30AA1D}" destId="{3AE7EF91-FC65-4BEB-9007-70FE25DE1AD2}" srcOrd="0" destOrd="0" presId="urn:microsoft.com/office/officeart/2005/8/layout/radial1"/>
    <dgm:cxn modelId="{F98C0911-F1D9-48E4-867A-F109F7F168BF}" type="presParOf" srcId="{4FC73BDC-CE2C-45F4-85CD-F387963DA006}" destId="{43DCCA43-33C0-4CEE-BAB5-C639F5D70563}" srcOrd="4" destOrd="0" presId="urn:microsoft.com/office/officeart/2005/8/layout/radial1"/>
    <dgm:cxn modelId="{935D47E7-24A0-4B54-B574-D41F6F8637BB}" type="presParOf" srcId="{4FC73BDC-CE2C-45F4-85CD-F387963DA006}" destId="{72463A3F-A956-4917-8722-9FD79FB3E09A}" srcOrd="5" destOrd="0" presId="urn:microsoft.com/office/officeart/2005/8/layout/radial1"/>
    <dgm:cxn modelId="{B5530143-56C5-441B-A41B-84E8F41528B9}" type="presParOf" srcId="{72463A3F-A956-4917-8722-9FD79FB3E09A}" destId="{E5E0F749-58A7-4B5D-B40F-552D5369ABEE}" srcOrd="0" destOrd="0" presId="urn:microsoft.com/office/officeart/2005/8/layout/radial1"/>
    <dgm:cxn modelId="{E600BEC1-C468-43F2-AB53-463230C2F18B}" type="presParOf" srcId="{4FC73BDC-CE2C-45F4-85CD-F387963DA006}" destId="{A030EF9D-9337-4706-B87A-64BDE162520A}" srcOrd="6" destOrd="0" presId="urn:microsoft.com/office/officeart/2005/8/layout/radial1"/>
    <dgm:cxn modelId="{DFCA2C49-5A0F-4790-A19B-FEA55A90D1B9}" type="presParOf" srcId="{4FC73BDC-CE2C-45F4-85CD-F387963DA006}" destId="{00112A8F-12E8-45AC-B551-DFB66BE45059}" srcOrd="7" destOrd="0" presId="urn:microsoft.com/office/officeart/2005/8/layout/radial1"/>
    <dgm:cxn modelId="{2C4608A9-2A02-49B2-A8A2-9482F7993E47}" type="presParOf" srcId="{00112A8F-12E8-45AC-B551-DFB66BE45059}" destId="{48B32C5A-7076-4480-B5CB-D9EFDA8D8FDB}" srcOrd="0" destOrd="0" presId="urn:microsoft.com/office/officeart/2005/8/layout/radial1"/>
    <dgm:cxn modelId="{8642C452-317C-48A6-BC5E-4555F62FC775}" type="presParOf" srcId="{4FC73BDC-CE2C-45F4-85CD-F387963DA006}" destId="{423B6D89-2000-40C7-8429-BD38C7402395}" srcOrd="8" destOrd="0" presId="urn:microsoft.com/office/officeart/2005/8/layout/radial1"/>
    <dgm:cxn modelId="{ABD78FC3-42D0-4930-A5A3-203D60B27E0C}" type="presParOf" srcId="{4FC73BDC-CE2C-45F4-85CD-F387963DA006}" destId="{650854B0-9FE7-4FFD-96B2-18F6452E0859}" srcOrd="9" destOrd="0" presId="urn:microsoft.com/office/officeart/2005/8/layout/radial1"/>
    <dgm:cxn modelId="{4E8FB990-74C2-4A46-A621-3990B11660EE}" type="presParOf" srcId="{650854B0-9FE7-4FFD-96B2-18F6452E0859}" destId="{7FE108B5-F558-4942-A9EC-465F3C2E5813}" srcOrd="0" destOrd="0" presId="urn:microsoft.com/office/officeart/2005/8/layout/radial1"/>
    <dgm:cxn modelId="{43B5C1F8-D061-4BB0-BB65-06C4F3BDFF4E}" type="presParOf" srcId="{4FC73BDC-CE2C-45F4-85CD-F387963DA006}" destId="{6394B413-6D12-4C4F-9A8D-E0508CAE8617}" srcOrd="10" destOrd="0" presId="urn:microsoft.com/office/officeart/2005/8/layout/radial1"/>
    <dgm:cxn modelId="{7B298158-7173-4DA3-989D-F2C709618A8B}" type="presParOf" srcId="{4FC73BDC-CE2C-45F4-85CD-F387963DA006}" destId="{DEF09AAB-E09E-4486-8914-E37D47E60824}" srcOrd="11" destOrd="0" presId="urn:microsoft.com/office/officeart/2005/8/layout/radial1"/>
    <dgm:cxn modelId="{C5512363-AE6B-4F10-B0B9-EBAFCC56810D}" type="presParOf" srcId="{DEF09AAB-E09E-4486-8914-E37D47E60824}" destId="{B0514361-30D3-4311-BC21-0743B7F01673}" srcOrd="0" destOrd="0" presId="urn:microsoft.com/office/officeart/2005/8/layout/radial1"/>
    <dgm:cxn modelId="{D452401B-FE16-4EBE-B298-969135757584}" type="presParOf" srcId="{4FC73BDC-CE2C-45F4-85CD-F387963DA006}" destId="{2ED32773-10C9-4671-A0BF-4C0DAB40AE25}" srcOrd="12" destOrd="0" presId="urn:microsoft.com/office/officeart/2005/8/layout/radial1"/>
    <dgm:cxn modelId="{AE64E28C-8F49-4746-A7E3-E9C2C5746198}" type="presParOf" srcId="{4FC73BDC-CE2C-45F4-85CD-F387963DA006}" destId="{EAF47FDD-7D57-4FF6-9F6B-6E604D2CC0DE}" srcOrd="13" destOrd="0" presId="urn:microsoft.com/office/officeart/2005/8/layout/radial1"/>
    <dgm:cxn modelId="{4F1DA7AA-5A0D-4419-9DB8-31CC95D5C05C}" type="presParOf" srcId="{EAF47FDD-7D57-4FF6-9F6B-6E604D2CC0DE}" destId="{E01163DA-75CF-4C32-B81E-41BBCCC937B3}" srcOrd="0" destOrd="0" presId="urn:microsoft.com/office/officeart/2005/8/layout/radial1"/>
    <dgm:cxn modelId="{E9A3540F-B866-4F0C-A13A-27CFC47787B6}" type="presParOf" srcId="{4FC73BDC-CE2C-45F4-85CD-F387963DA006}" destId="{F74F2681-A109-4B75-8C08-B2B26769CF03}" srcOrd="14" destOrd="0" presId="urn:microsoft.com/office/officeart/2005/8/layout/radial1"/>
    <dgm:cxn modelId="{85F2587B-0638-4880-B9D9-39708B58CFF7}" type="presParOf" srcId="{4FC73BDC-CE2C-45F4-85CD-F387963DA006}" destId="{AC7E3352-64BC-4978-9AB6-2DD833483239}" srcOrd="15" destOrd="0" presId="urn:microsoft.com/office/officeart/2005/8/layout/radial1"/>
    <dgm:cxn modelId="{98C1CBD2-76AF-4C2C-BAC8-48ABCD0D04FE}" type="presParOf" srcId="{AC7E3352-64BC-4978-9AB6-2DD833483239}" destId="{C620A703-6BE9-4C0F-B737-266F7434DAB4}" srcOrd="0" destOrd="0" presId="urn:microsoft.com/office/officeart/2005/8/layout/radial1"/>
    <dgm:cxn modelId="{24283781-F7A8-4FC6-8847-838F258743FA}" type="presParOf" srcId="{4FC73BDC-CE2C-45F4-85CD-F387963DA006}" destId="{05C48364-E63B-4056-87CF-0BE50D74190B}" srcOrd="16" destOrd="0" presId="urn:microsoft.com/office/officeart/2005/8/layout/radial1"/>
    <dgm:cxn modelId="{3F0E4FC9-015A-4A2B-9210-D90699E6B073}" type="presParOf" srcId="{4FC73BDC-CE2C-45F4-85CD-F387963DA006}" destId="{06FD983D-3F71-4BCE-AD7F-6DD1041A2F23}" srcOrd="17" destOrd="0" presId="urn:microsoft.com/office/officeart/2005/8/layout/radial1"/>
    <dgm:cxn modelId="{F16AC7F6-5448-41EB-B6D2-CB4EE9EC2ED3}" type="presParOf" srcId="{06FD983D-3F71-4BCE-AD7F-6DD1041A2F23}" destId="{2261EECA-A4AA-4C81-9B4D-3893A28ED758}" srcOrd="0" destOrd="0" presId="urn:microsoft.com/office/officeart/2005/8/layout/radial1"/>
    <dgm:cxn modelId="{00AC83D7-7EBA-47FB-9BA2-E2FA749A9941}" type="presParOf" srcId="{4FC73BDC-CE2C-45F4-85CD-F387963DA006}" destId="{CFBB929F-8BEB-442D-8D00-28EE1C02C39C}" srcOrd="18" destOrd="0" presId="urn:microsoft.com/office/officeart/2005/8/layout/radial1"/>
    <dgm:cxn modelId="{90625B4A-9A8C-4237-A927-115C0D621A25}" type="presParOf" srcId="{4FC73BDC-CE2C-45F4-85CD-F387963DA006}" destId="{C494819C-C98E-47AA-9AF0-D23BA2FEB24F}" srcOrd="19" destOrd="0" presId="urn:microsoft.com/office/officeart/2005/8/layout/radial1"/>
    <dgm:cxn modelId="{303887DC-6407-4709-BC64-E53A3D8F2079}" type="presParOf" srcId="{C494819C-C98E-47AA-9AF0-D23BA2FEB24F}" destId="{0DC7814B-4209-4BC4-A177-2102084D3CE1}" srcOrd="0" destOrd="0" presId="urn:microsoft.com/office/officeart/2005/8/layout/radial1"/>
    <dgm:cxn modelId="{D0C4B6BC-830E-4266-B998-848761FA6DF6}" type="presParOf" srcId="{4FC73BDC-CE2C-45F4-85CD-F387963DA006}" destId="{77FEFA40-E907-476F-8675-3DC698720930}" srcOrd="20" destOrd="0" presId="urn:microsoft.com/office/officeart/2005/8/layout/radial1"/>
    <dgm:cxn modelId="{3C669943-9091-44EB-AEFC-19FAA13E1A29}" type="presParOf" srcId="{4FC73BDC-CE2C-45F4-85CD-F387963DA006}" destId="{EF98737B-1136-4CD3-A0AC-E4FF8E58DD83}" srcOrd="21" destOrd="0" presId="urn:microsoft.com/office/officeart/2005/8/layout/radial1"/>
    <dgm:cxn modelId="{C8A94C4E-595F-4E75-8258-85BD1AD49A48}" type="presParOf" srcId="{EF98737B-1136-4CD3-A0AC-E4FF8E58DD83}" destId="{4E2AD2D6-918F-4857-8567-9FCA82A4E2B0}" srcOrd="0" destOrd="0" presId="urn:microsoft.com/office/officeart/2005/8/layout/radial1"/>
    <dgm:cxn modelId="{3FD1C3EE-35D2-448D-B417-DD04260BFF31}" type="presParOf" srcId="{4FC73BDC-CE2C-45F4-85CD-F387963DA006}" destId="{C8187693-0532-46C7-A6F3-C4A32348C87B}" srcOrd="22" destOrd="0" presId="urn:microsoft.com/office/officeart/2005/8/layout/radial1"/>
  </dgm:cxnLst>
  <dgm:bg/>
  <dgm:whole/>
  <dgm:extLst>
    <a:ext uri="http://schemas.microsoft.com/office/drawing/2008/diagram">
      <dsp:dataModelExt xmlns:dsp="http://schemas.microsoft.com/office/drawing/2008/diagram" relId="rId172"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49885" y="705862"/>
          <a:ext cx="1196229" cy="40435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22092" y="628459"/>
          <a:ext cx="1237424" cy="55533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التواصل</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2850">
          <a:off x="1259515" y="900963"/>
          <a:ext cx="1090371"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64957" y="1044670"/>
          <a:ext cx="1140307" cy="5300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039915">
          <a:off x="3378558" y="1097457"/>
          <a:ext cx="39207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614152" y="630118"/>
          <a:ext cx="1326272" cy="5572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080">
          <a:off x="3546115" y="902266"/>
          <a:ext cx="106803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2354231" y="1249379"/>
          <a:ext cx="1191506" cy="4590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5A6C23B-D452-4078-BA3A-466D0894B9EB}" type="parTrans" cxnId="{0266A1D0-CEC9-45F3-8B31-A21772E8AA19}">
      <dgm:prSet/>
      <dgm:spPr>
        <a:xfrm rot="5388050">
          <a:off x="2879361" y="1173669"/>
          <a:ext cx="13916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880B408D-A44E-4E41-A0D3-775A9D2AA162}">
      <dgm:prSet phldrT="[Text]" custT="1"/>
      <dgm:spPr>
        <a:xfrm>
          <a:off x="2303843" y="2287"/>
          <a:ext cx="1335944" cy="4821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E848F776-8237-42C9-A1C0-B5B0EB7FE51B}" type="parTrans" cxnId="{C4CE955B-C7EA-442D-BA54-FCED6F4F9301}">
      <dgm:prSet/>
      <dgm:spPr>
        <a:xfrm rot="16323128">
          <a:off x="2848435" y="589045"/>
          <a:ext cx="221552"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6C0D1BD-440F-496E-8208-41C1352C17C4}" type="sibTrans" cxnId="{C4CE955B-C7EA-442D-BA54-FCED6F4F9301}">
      <dgm:prSet/>
      <dgm:spPr/>
      <dgm:t>
        <a:bodyPr/>
        <a:lstStyle/>
        <a:p>
          <a:endParaRPr lang="en-US"/>
        </a:p>
      </dgm:t>
    </dgm:pt>
    <dgm:pt modelId="{7E91AD2C-2762-4D69-BFD6-4095380ECAB8}">
      <dgm:prSet phldrT="[Text]" custT="1"/>
      <dgm:spPr>
        <a:xfrm>
          <a:off x="3688766" y="286614"/>
          <a:ext cx="1149312" cy="46084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D28B5B3-293B-4D04-9ABB-EE16A5C97D16}" type="parTrans" cxnId="{19C1565A-DB23-4F9C-ABEF-4480DF7D14CE}">
      <dgm:prSet/>
      <dgm:spPr>
        <a:xfrm rot="20606743">
          <a:off x="3388405" y="708266"/>
          <a:ext cx="422122"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336DBA-E790-4546-ABCA-DDAC89AEDA30}" type="sibTrans" cxnId="{19C1565A-DB23-4F9C-ABEF-4480DF7D14CE}">
      <dgm:prSet/>
      <dgm:spPr/>
      <dgm:t>
        <a:bodyPr/>
        <a:lstStyle/>
        <a:p>
          <a:endParaRPr lang="en-US"/>
        </a:p>
      </dgm:t>
    </dgm:pt>
    <dgm:pt modelId="{F87686C8-F658-4DC2-BC5F-AB0B4E40ED1C}">
      <dgm:prSet phldrT="[Text]" custT="1"/>
      <dgm:spPr>
        <a:xfrm>
          <a:off x="1074287" y="1079546"/>
          <a:ext cx="1231674" cy="54300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42DDAC3B-802E-470C-B26C-35741B306D27}" type="parTrans" cxnId="{0C88C0B3-8AAC-4FA9-BE4C-2222B2B4A1BE}">
      <dgm:prSet/>
      <dgm:spPr>
        <a:xfrm rot="9635897">
          <a:off x="2160366" y="1111619"/>
          <a:ext cx="384386"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E7B45A4-A643-4A31-AD3B-09FF641A16EC}" type="sibTrans" cxnId="{0C88C0B3-8AAC-4FA9-BE4C-2222B2B4A1BE}">
      <dgm:prSet/>
      <dgm:spPr/>
      <dgm:t>
        <a:bodyPr/>
        <a:lstStyle/>
        <a:p>
          <a:endParaRPr lang="en-US"/>
        </a:p>
      </dgm:t>
    </dgm:pt>
    <dgm:pt modelId="{11C12EEB-5340-467D-991C-E6C3B5DBDAEA}">
      <dgm:prSet phldrT="[Text]" custT="1"/>
      <dgm:spPr>
        <a:xfrm>
          <a:off x="1065332" y="229405"/>
          <a:ext cx="1363893" cy="46888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4258538-4C68-461F-9E82-62C8DF009C0A}" type="parTrans" cxnId="{AFEA8542-2500-4D00-B2F1-3B6B93AA3E37}">
      <dgm:prSet/>
      <dgm:spPr>
        <a:xfrm rot="12018079">
          <a:off x="2200474" y="691055"/>
          <a:ext cx="355100"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9B0886E-99F7-4F88-AD18-3A305D812CB8}" type="sibTrans" cxnId="{AFEA8542-2500-4D00-B2F1-3B6B93AA3E37}">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95840" custLinFactNeighborX="0" custLinFactNeighborY="386"/>
      <dgm:spPr>
        <a:prstGeom prst="ellipse">
          <a:avLst/>
        </a:prstGeom>
      </dgm:spPr>
      <dgm:t>
        <a:bodyPr/>
        <a:lstStyle/>
        <a:p>
          <a:endParaRPr lang="en-US"/>
        </a:p>
      </dgm:t>
    </dgm:pt>
    <dgm:pt modelId="{DB73B42A-BE4F-46BC-B512-015EB15734E7}" type="pres">
      <dgm:prSet presAssocID="{E848F776-8237-42C9-A1C0-B5B0EB7FE51B}" presName="Name9" presStyleLbl="parChTrans1D2" presStyleIdx="0" presStyleCnt="8"/>
      <dgm:spPr>
        <a:custGeom>
          <a:avLst/>
          <a:gdLst/>
          <a:ahLst/>
          <a:cxnLst/>
          <a:rect l="0" t="0" r="0" b="0"/>
          <a:pathLst>
            <a:path>
              <a:moveTo>
                <a:pt x="0" y="6126"/>
              </a:moveTo>
              <a:lnTo>
                <a:pt x="257054" y="6126"/>
              </a:lnTo>
            </a:path>
          </a:pathLst>
        </a:custGeom>
      </dgm:spPr>
      <dgm:t>
        <a:bodyPr/>
        <a:lstStyle/>
        <a:p>
          <a:endParaRPr lang="en-US"/>
        </a:p>
      </dgm:t>
    </dgm:pt>
    <dgm:pt modelId="{498B4397-C22F-4D1E-9B41-E3ABFC4C6934}" type="pres">
      <dgm:prSet presAssocID="{E848F776-8237-42C9-A1C0-B5B0EB7FE51B}" presName="connTx" presStyleLbl="parChTrans1D2" presStyleIdx="0" presStyleCnt="8"/>
      <dgm:spPr/>
      <dgm:t>
        <a:bodyPr/>
        <a:lstStyle/>
        <a:p>
          <a:endParaRPr lang="en-US"/>
        </a:p>
      </dgm:t>
    </dgm:pt>
    <dgm:pt modelId="{8C16842D-5717-4E53-9353-18DF877708CF}" type="pres">
      <dgm:prSet presAssocID="{880B408D-A44E-4E41-A0D3-775A9D2AA162}" presName="node" presStyleLbl="node1" presStyleIdx="0" presStyleCnt="8" custScaleX="330393" custScaleY="119253" custRadScaleRad="95912" custRadScaleInc="9194">
        <dgm:presLayoutVars>
          <dgm:bulletEnabled val="1"/>
        </dgm:presLayoutVars>
      </dgm:prSet>
      <dgm:spPr>
        <a:prstGeom prst="ellipse">
          <a:avLst/>
        </a:prstGeom>
      </dgm:spPr>
      <dgm:t>
        <a:bodyPr/>
        <a:lstStyle/>
        <a:p>
          <a:endParaRPr lang="en-US"/>
        </a:p>
      </dgm:t>
    </dgm:pt>
    <dgm:pt modelId="{F32845D8-3F89-45CE-82D0-5F6D6B81E25D}" type="pres">
      <dgm:prSet presAssocID="{8D28B5B3-293B-4D04-9ABB-EE16A5C97D16}" presName="Name9" presStyleLbl="parChTrans1D2" presStyleIdx="1" presStyleCnt="8"/>
      <dgm:spPr>
        <a:custGeom>
          <a:avLst/>
          <a:gdLst/>
          <a:ahLst/>
          <a:cxnLst/>
          <a:rect l="0" t="0" r="0" b="0"/>
          <a:pathLst>
            <a:path>
              <a:moveTo>
                <a:pt x="0" y="6126"/>
              </a:moveTo>
              <a:lnTo>
                <a:pt x="422238" y="6126"/>
              </a:lnTo>
            </a:path>
          </a:pathLst>
        </a:custGeom>
      </dgm:spPr>
      <dgm:t>
        <a:bodyPr/>
        <a:lstStyle/>
        <a:p>
          <a:endParaRPr lang="en-US"/>
        </a:p>
      </dgm:t>
    </dgm:pt>
    <dgm:pt modelId="{22743AED-C443-4F2B-8D4D-266AC58BB10F}" type="pres">
      <dgm:prSet presAssocID="{8D28B5B3-293B-4D04-9ABB-EE16A5C97D16}" presName="connTx" presStyleLbl="parChTrans1D2" presStyleIdx="1" presStyleCnt="8"/>
      <dgm:spPr/>
      <dgm:t>
        <a:bodyPr/>
        <a:lstStyle/>
        <a:p>
          <a:endParaRPr lang="en-US"/>
        </a:p>
      </dgm:t>
    </dgm:pt>
    <dgm:pt modelId="{56946440-4960-4194-9471-9ABCF62950BA}" type="pres">
      <dgm:prSet presAssocID="{7E91AD2C-2762-4D69-BFD6-4095380ECAB8}" presName="node" presStyleLbl="node1" presStyleIdx="1" presStyleCnt="8" custScaleX="284237" custScaleY="113971" custRadScaleRad="199276" custRadScaleInc="127371">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8"/>
      <dgm:spPr>
        <a:custGeom>
          <a:avLst/>
          <a:gdLst/>
          <a:ahLst/>
          <a:cxnLst/>
          <a:rect l="0" t="0" r="0" b="0"/>
          <a:pathLst>
            <a:path>
              <a:moveTo>
                <a:pt x="0" y="6126"/>
              </a:moveTo>
              <a:lnTo>
                <a:pt x="1068037" y="6126"/>
              </a:lnTo>
            </a:path>
          </a:pathLst>
        </a:custGeom>
      </dgm:spPr>
      <dgm:t>
        <a:bodyPr/>
        <a:lstStyle/>
        <a:p>
          <a:endParaRPr lang="en-US"/>
        </a:p>
      </dgm:t>
    </dgm:pt>
    <dgm:pt modelId="{326412CE-9911-4799-A459-B56F02EB4473}" type="pres">
      <dgm:prSet presAssocID="{7AF774ED-547E-4C04-8670-B0C1D08C5EE9}" presName="connTx" presStyleLbl="parChTrans1D2" presStyleIdx="2" presStyleCnt="8"/>
      <dgm:spPr/>
      <dgm:t>
        <a:bodyPr/>
        <a:lstStyle/>
        <a:p>
          <a:endParaRPr lang="en-US"/>
        </a:p>
      </dgm:t>
    </dgm:pt>
    <dgm:pt modelId="{CED9197C-8322-406B-917C-172FA36E7B76}" type="pres">
      <dgm:prSet presAssocID="{960C5593-E0FF-4AA5-AA0B-E8BDFFBC5E53}" presName="node" presStyleLbl="node1" presStyleIdx="2" presStyleCnt="8" custScaleX="328001" custScaleY="137826" custRadScaleRad="339917" custRadScaleInc="658">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3" presStyleCnt="8"/>
      <dgm:spPr>
        <a:custGeom>
          <a:avLst/>
          <a:gdLst/>
          <a:ahLst/>
          <a:cxnLst/>
          <a:rect l="0" t="0" r="0" b="0"/>
          <a:pathLst>
            <a:path>
              <a:moveTo>
                <a:pt x="0" y="6126"/>
              </a:moveTo>
              <a:lnTo>
                <a:pt x="392192" y="6126"/>
              </a:lnTo>
            </a:path>
          </a:pathLst>
        </a:custGeom>
      </dgm:spPr>
      <dgm:t>
        <a:bodyPr/>
        <a:lstStyle/>
        <a:p>
          <a:endParaRPr lang="en-US"/>
        </a:p>
      </dgm:t>
    </dgm:pt>
    <dgm:pt modelId="{62A1F741-432F-46BE-AE07-15F0B6D5EA89}" type="pres">
      <dgm:prSet presAssocID="{4693CA52-075F-4BD8-ABEA-5368BE377DDA}" presName="connTx" presStyleLbl="parChTrans1D2" presStyleIdx="3" presStyleCnt="8"/>
      <dgm:spPr/>
      <dgm:t>
        <a:bodyPr/>
        <a:lstStyle/>
        <a:p>
          <a:endParaRPr lang="en-US"/>
        </a:p>
      </dgm:t>
    </dgm:pt>
    <dgm:pt modelId="{035B4C9A-0916-4FCC-A1CF-85DB358A289A}" type="pres">
      <dgm:prSet presAssocID="{4631C2C5-1554-4289-90B0-F2D55D1595B6}" presName="node" presStyleLbl="node1" presStyleIdx="3" presStyleCnt="8" custScaleX="282010" custScaleY="131096" custRadScaleRad="196241" custRadScaleInc="-122013">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4" presStyleCnt="8"/>
      <dgm:spPr>
        <a:custGeom>
          <a:avLst/>
          <a:gdLst/>
          <a:ahLst/>
          <a:cxnLst/>
          <a:rect l="0" t="0" r="0" b="0"/>
          <a:pathLst>
            <a:path>
              <a:moveTo>
                <a:pt x="0" y="6126"/>
              </a:moveTo>
              <a:lnTo>
                <a:pt x="139216" y="6126"/>
              </a:lnTo>
            </a:path>
          </a:pathLst>
        </a:custGeom>
      </dgm:spPr>
      <dgm:t>
        <a:bodyPr/>
        <a:lstStyle/>
        <a:p>
          <a:endParaRPr lang="en-US"/>
        </a:p>
      </dgm:t>
    </dgm:pt>
    <dgm:pt modelId="{C7C9B7EB-2DEF-4B99-8D38-AC2E9641BEB5}" type="pres">
      <dgm:prSet presAssocID="{45A6C23B-D452-4078-BA3A-466D0894B9EB}" presName="connTx" presStyleLbl="parChTrans1D2" presStyleIdx="4" presStyleCnt="8"/>
      <dgm:spPr/>
      <dgm:t>
        <a:bodyPr/>
        <a:lstStyle/>
        <a:p>
          <a:endParaRPr lang="en-US"/>
        </a:p>
      </dgm:t>
    </dgm:pt>
    <dgm:pt modelId="{976BA53C-17D4-4F7C-9078-1272C469C9E5}" type="pres">
      <dgm:prSet presAssocID="{5C260341-F1C3-4458-A657-957289015FC3}" presName="node" presStyleLbl="node1" presStyleIdx="4" presStyleCnt="8" custScaleX="294672" custScaleY="113526" custRadScaleRad="83760" custRadScaleInc="-877">
        <dgm:presLayoutVars>
          <dgm:bulletEnabled val="1"/>
        </dgm:presLayoutVars>
      </dgm:prSet>
      <dgm:spPr>
        <a:prstGeom prst="ellipse">
          <a:avLst/>
        </a:prstGeom>
      </dgm:spPr>
      <dgm:t>
        <a:bodyPr/>
        <a:lstStyle/>
        <a:p>
          <a:endParaRPr lang="en-US"/>
        </a:p>
      </dgm:t>
    </dgm:pt>
    <dgm:pt modelId="{73944B9B-8143-474E-A2B5-719E57EA1FE0}" type="pres">
      <dgm:prSet presAssocID="{42DDAC3B-802E-470C-B26C-35741B306D27}" presName="Name9" presStyleLbl="parChTrans1D2" presStyleIdx="5" presStyleCnt="8"/>
      <dgm:spPr>
        <a:custGeom>
          <a:avLst/>
          <a:gdLst/>
          <a:ahLst/>
          <a:cxnLst/>
          <a:rect l="0" t="0" r="0" b="0"/>
          <a:pathLst>
            <a:path>
              <a:moveTo>
                <a:pt x="0" y="6126"/>
              </a:moveTo>
              <a:lnTo>
                <a:pt x="384499" y="6126"/>
              </a:lnTo>
            </a:path>
          </a:pathLst>
        </a:custGeom>
      </dgm:spPr>
      <dgm:t>
        <a:bodyPr/>
        <a:lstStyle/>
        <a:p>
          <a:endParaRPr lang="en-US"/>
        </a:p>
      </dgm:t>
    </dgm:pt>
    <dgm:pt modelId="{F5AD7B03-58D4-4480-B85C-FFEEB047B4AA}" type="pres">
      <dgm:prSet presAssocID="{42DDAC3B-802E-470C-B26C-35741B306D27}" presName="connTx" presStyleLbl="parChTrans1D2" presStyleIdx="5" presStyleCnt="8"/>
      <dgm:spPr/>
      <dgm:t>
        <a:bodyPr/>
        <a:lstStyle/>
        <a:p>
          <a:endParaRPr lang="en-US"/>
        </a:p>
      </dgm:t>
    </dgm:pt>
    <dgm:pt modelId="{2BDBEDDB-6DE8-44DC-8FC2-1ED793273BD1}" type="pres">
      <dgm:prSet presAssocID="{F87686C8-F658-4DC2-BC5F-AB0B4E40ED1C}" presName="node" presStyleLbl="node1" presStyleIdx="5" presStyleCnt="8" custScaleX="304606" custScaleY="134290" custRadScaleRad="194127" custRadScaleInc="112815">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6" presStyleCnt="8"/>
      <dgm:spPr>
        <a:custGeom>
          <a:avLst/>
          <a:gdLst/>
          <a:ahLst/>
          <a:cxnLst/>
          <a:rect l="0" t="0" r="0" b="0"/>
          <a:pathLst>
            <a:path>
              <a:moveTo>
                <a:pt x="0" y="6126"/>
              </a:moveTo>
              <a:lnTo>
                <a:pt x="1090567" y="6126"/>
              </a:lnTo>
            </a:path>
          </a:pathLst>
        </a:custGeom>
      </dgm:spPr>
      <dgm:t>
        <a:bodyPr/>
        <a:lstStyle/>
        <a:p>
          <a:endParaRPr lang="en-US"/>
        </a:p>
      </dgm:t>
    </dgm:pt>
    <dgm:pt modelId="{EA4144E0-C5B2-4FC0-BDB2-550B61DB7DFD}" type="pres">
      <dgm:prSet presAssocID="{0FABC453-0A5C-4CAE-813B-F0494A34E025}" presName="connTx" presStyleLbl="parChTrans1D2" presStyleIdx="6" presStyleCnt="8"/>
      <dgm:spPr/>
      <dgm:t>
        <a:bodyPr/>
        <a:lstStyle/>
        <a:p>
          <a:endParaRPr lang="en-US"/>
        </a:p>
      </dgm:t>
    </dgm:pt>
    <dgm:pt modelId="{0FAF3FA1-8E6C-455E-B189-A468B3F4D8BC}" type="pres">
      <dgm:prSet presAssocID="{C06C39C9-71B8-489C-9C45-3DD37A424E39}" presName="node" presStyleLbl="node1" presStyleIdx="6" presStyleCnt="8" custScaleX="306028" custScaleY="137339" custRadScaleRad="335402" custRadScaleInc="-375">
        <dgm:presLayoutVars>
          <dgm:bulletEnabled val="1"/>
        </dgm:presLayoutVars>
      </dgm:prSet>
      <dgm:spPr>
        <a:prstGeom prst="ellipse">
          <a:avLst/>
        </a:prstGeom>
      </dgm:spPr>
      <dgm:t>
        <a:bodyPr/>
        <a:lstStyle/>
        <a:p>
          <a:endParaRPr lang="en-US"/>
        </a:p>
      </dgm:t>
    </dgm:pt>
    <dgm:pt modelId="{7DF391B8-9498-4F55-ACE3-A6D0DB9A80F6}" type="pres">
      <dgm:prSet presAssocID="{24258538-4C68-461F-9E82-62C8DF009C0A}" presName="Name9" presStyleLbl="parChTrans1D2" presStyleIdx="7" presStyleCnt="8"/>
      <dgm:spPr>
        <a:custGeom>
          <a:avLst/>
          <a:gdLst/>
          <a:ahLst/>
          <a:cxnLst/>
          <a:rect l="0" t="0" r="0" b="0"/>
          <a:pathLst>
            <a:path>
              <a:moveTo>
                <a:pt x="0" y="6126"/>
              </a:moveTo>
              <a:lnTo>
                <a:pt x="355209" y="6126"/>
              </a:lnTo>
            </a:path>
          </a:pathLst>
        </a:custGeom>
      </dgm:spPr>
      <dgm:t>
        <a:bodyPr/>
        <a:lstStyle/>
        <a:p>
          <a:endParaRPr lang="en-US"/>
        </a:p>
      </dgm:t>
    </dgm:pt>
    <dgm:pt modelId="{9D0B803B-5ADE-4578-AB67-EBE1C99F7C08}" type="pres">
      <dgm:prSet presAssocID="{24258538-4C68-461F-9E82-62C8DF009C0A}" presName="connTx" presStyleLbl="parChTrans1D2" presStyleIdx="7" presStyleCnt="8"/>
      <dgm:spPr/>
      <dgm:t>
        <a:bodyPr/>
        <a:lstStyle/>
        <a:p>
          <a:endParaRPr lang="en-US"/>
        </a:p>
      </dgm:t>
    </dgm:pt>
    <dgm:pt modelId="{E3F75BBA-60EC-4D9A-B0CC-E18ADA53928C}" type="pres">
      <dgm:prSet presAssocID="{11C12EEB-5340-467D-991C-E6C3B5DBDAEA}" presName="node" presStyleLbl="node1" presStyleIdx="7" presStyleCnt="8" custScaleX="337305" custScaleY="115959" custRadScaleRad="185846" custRadScaleInc="-110764">
        <dgm:presLayoutVars>
          <dgm:bulletEnabled val="1"/>
        </dgm:presLayoutVars>
      </dgm:prSet>
      <dgm:spPr>
        <a:prstGeom prst="ellipse">
          <a:avLst/>
        </a:prstGeom>
      </dgm:spPr>
      <dgm:t>
        <a:bodyPr/>
        <a:lstStyle/>
        <a:p>
          <a:endParaRPr lang="en-US"/>
        </a:p>
      </dgm:t>
    </dgm:pt>
  </dgm:ptLst>
  <dgm:cxnLst>
    <dgm:cxn modelId="{BF65F824-D4F4-4A84-83B4-6B1944B62AAD}" srcId="{DE541715-C648-404D-8124-F14F463E9202}" destId="{4631C2C5-1554-4289-90B0-F2D55D1595B6}" srcOrd="3" destOrd="0" parTransId="{4693CA52-075F-4BD8-ABEA-5368BE377DDA}" sibTransId="{9B3CB24D-A47A-4081-B256-B868D89D5387}"/>
    <dgm:cxn modelId="{98ECF216-47F9-4DEF-B155-58627C268748}" type="presOf" srcId="{E848F776-8237-42C9-A1C0-B5B0EB7FE51B}" destId="{498B4397-C22F-4D1E-9B41-E3ABFC4C6934}" srcOrd="1" destOrd="0" presId="urn:microsoft.com/office/officeart/2005/8/layout/radial1"/>
    <dgm:cxn modelId="{F0D9EF4D-3C48-4FB3-916B-A1D66A4494D6}" type="presOf" srcId="{24258538-4C68-461F-9E82-62C8DF009C0A}" destId="{7DF391B8-9498-4F55-ACE3-A6D0DB9A80F6}" srcOrd="0" destOrd="0" presId="urn:microsoft.com/office/officeart/2005/8/layout/radial1"/>
    <dgm:cxn modelId="{40DA1B0F-1456-4621-ABCF-B1330AFC052D}" type="presOf" srcId="{5C260341-F1C3-4458-A657-957289015FC3}" destId="{976BA53C-17D4-4F7C-9078-1272C469C9E5}" srcOrd="0" destOrd="0" presId="urn:microsoft.com/office/officeart/2005/8/layout/radial1"/>
    <dgm:cxn modelId="{946A5673-D1DB-4E99-9C0E-9F78725D3E45}" type="presOf" srcId="{7E91AD2C-2762-4D69-BFD6-4095380ECAB8}" destId="{56946440-4960-4194-9471-9ABCF62950BA}" srcOrd="0" destOrd="0" presId="urn:microsoft.com/office/officeart/2005/8/layout/radial1"/>
    <dgm:cxn modelId="{B90DBD44-5597-43CD-A302-DA19B8C47FC8}" type="presOf" srcId="{F87686C8-F658-4DC2-BC5F-AB0B4E40ED1C}" destId="{2BDBEDDB-6DE8-44DC-8FC2-1ED793273BD1}" srcOrd="0" destOrd="0" presId="urn:microsoft.com/office/officeart/2005/8/layout/radial1"/>
    <dgm:cxn modelId="{BE6791C3-4A44-4C1B-9294-4F7C0B0E9805}" type="presOf" srcId="{0FABC453-0A5C-4CAE-813B-F0494A34E025}" destId="{EA4144E0-C5B2-4FC0-BDB2-550B61DB7DFD}" srcOrd="1" destOrd="0" presId="urn:microsoft.com/office/officeart/2005/8/layout/radial1"/>
    <dgm:cxn modelId="{13F7016F-6AB9-4241-A466-7F041BBCB7D2}" type="presOf" srcId="{8D28B5B3-293B-4D04-9ABB-EE16A5C97D16}" destId="{F32845D8-3F89-45CE-82D0-5F6D6B81E25D}" srcOrd="0" destOrd="0" presId="urn:microsoft.com/office/officeart/2005/8/layout/radial1"/>
    <dgm:cxn modelId="{EC7A10B1-86B1-4EDF-B2E2-26E3C6C05FCB}" type="presOf" srcId="{34E6C8D5-8D4F-4714-8A12-8F4599A8E760}" destId="{08F189A1-AB47-41D1-8058-7A6DA66B3F52}" srcOrd="0" destOrd="0" presId="urn:microsoft.com/office/officeart/2005/8/layout/radial1"/>
    <dgm:cxn modelId="{A9361FDB-9442-429B-8347-7747595606D4}" type="presOf" srcId="{C06C39C9-71B8-489C-9C45-3DD37A424E39}" destId="{0FAF3FA1-8E6C-455E-B189-A468B3F4D8BC}" srcOrd="0" destOrd="0" presId="urn:microsoft.com/office/officeart/2005/8/layout/radial1"/>
    <dgm:cxn modelId="{23255BD3-8902-46C4-A242-3DB8D2ECEC1C}" type="presOf" srcId="{880B408D-A44E-4E41-A0D3-775A9D2AA162}" destId="{8C16842D-5717-4E53-9353-18DF877708CF}" srcOrd="0" destOrd="0" presId="urn:microsoft.com/office/officeart/2005/8/layout/radial1"/>
    <dgm:cxn modelId="{C9F22FA8-9DC8-43B6-8E89-0EC27FA8F5A2}" type="presOf" srcId="{4693CA52-075F-4BD8-ABEA-5368BE377DDA}" destId="{4AC11394-3179-4EC5-A97F-D1A1B521CE2F}"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5F0664CC-EEDB-4718-BD74-4A05F5ABE30D}" type="presOf" srcId="{11C12EEB-5340-467D-991C-E6C3B5DBDAEA}" destId="{E3F75BBA-60EC-4D9A-B0CC-E18ADA53928C}" srcOrd="0" destOrd="0" presId="urn:microsoft.com/office/officeart/2005/8/layout/radial1"/>
    <dgm:cxn modelId="{AFEA8542-2500-4D00-B2F1-3B6B93AA3E37}" srcId="{DE541715-C648-404D-8124-F14F463E9202}" destId="{11C12EEB-5340-467D-991C-E6C3B5DBDAEA}" srcOrd="7" destOrd="0" parTransId="{24258538-4C68-461F-9E82-62C8DF009C0A}" sibTransId="{79B0886E-99F7-4F88-AD18-3A305D812CB8}"/>
    <dgm:cxn modelId="{85B800CF-06F7-4240-9332-096A77D4D4D1}" type="presOf" srcId="{7AF774ED-547E-4C04-8670-B0C1D08C5EE9}" destId="{5337AE63-3722-42CC-AF72-36670EB7C5E1}" srcOrd="0" destOrd="0" presId="urn:microsoft.com/office/officeart/2005/8/layout/radial1"/>
    <dgm:cxn modelId="{C4CE955B-C7EA-442D-BA54-FCED6F4F9301}" srcId="{DE541715-C648-404D-8124-F14F463E9202}" destId="{880B408D-A44E-4E41-A0D3-775A9D2AA162}" srcOrd="0" destOrd="0" parTransId="{E848F776-8237-42C9-A1C0-B5B0EB7FE51B}" sibTransId="{C6C0D1BD-440F-496E-8208-41C1352C17C4}"/>
    <dgm:cxn modelId="{0C88C0B3-8AAC-4FA9-BE4C-2222B2B4A1BE}" srcId="{DE541715-C648-404D-8124-F14F463E9202}" destId="{F87686C8-F658-4DC2-BC5F-AB0B4E40ED1C}" srcOrd="5" destOrd="0" parTransId="{42DDAC3B-802E-470C-B26C-35741B306D27}" sibTransId="{FE7B45A4-A643-4A31-AD3B-09FF641A16EC}"/>
    <dgm:cxn modelId="{8E786C85-0FB5-4232-AD84-3B28507A6442}" type="presOf" srcId="{960C5593-E0FF-4AA5-AA0B-E8BDFFBC5E53}" destId="{CED9197C-8322-406B-917C-172FA36E7B76}" srcOrd="0" destOrd="0" presId="urn:microsoft.com/office/officeart/2005/8/layout/radial1"/>
    <dgm:cxn modelId="{4A70B072-8FA8-4C35-B804-93987442D387}" type="presOf" srcId="{DE541715-C648-404D-8124-F14F463E9202}" destId="{062AF917-2F47-4639-8A23-58AD52EC0F32}" srcOrd="0" destOrd="0" presId="urn:microsoft.com/office/officeart/2005/8/layout/radial1"/>
    <dgm:cxn modelId="{0266A1D0-CEC9-45F3-8B31-A21772E8AA19}" srcId="{DE541715-C648-404D-8124-F14F463E9202}" destId="{5C260341-F1C3-4458-A657-957289015FC3}" srcOrd="4" destOrd="0" parTransId="{45A6C23B-D452-4078-BA3A-466D0894B9EB}" sibTransId="{89B7C331-6FB9-4771-84B2-9F75AB1415C9}"/>
    <dgm:cxn modelId="{A80C0F70-5140-47EB-97CF-D1BC682D94BE}" type="presOf" srcId="{24258538-4C68-461F-9E82-62C8DF009C0A}" destId="{9D0B803B-5ADE-4578-AB67-EBE1C99F7C08}" srcOrd="1" destOrd="0" presId="urn:microsoft.com/office/officeart/2005/8/layout/radial1"/>
    <dgm:cxn modelId="{8634EA93-531D-4ADE-A05E-A18BC8480650}" type="presOf" srcId="{7AF774ED-547E-4C04-8670-B0C1D08C5EE9}" destId="{326412CE-9911-4799-A459-B56F02EB4473}" srcOrd="1" destOrd="0" presId="urn:microsoft.com/office/officeart/2005/8/layout/radial1"/>
    <dgm:cxn modelId="{248698A6-055B-40E3-B808-D624056EF2B0}" srcId="{DE541715-C648-404D-8124-F14F463E9202}" destId="{C06C39C9-71B8-489C-9C45-3DD37A424E39}" srcOrd="6" destOrd="0" parTransId="{0FABC453-0A5C-4CAE-813B-F0494A34E025}" sibTransId="{DCD34884-F96E-475A-9010-14DE66A403A6}"/>
    <dgm:cxn modelId="{10E6DB04-1D92-49E2-92CD-2BA22B518119}" type="presOf" srcId="{45A6C23B-D452-4078-BA3A-466D0894B9EB}" destId="{C7C9B7EB-2DEF-4B99-8D38-AC2E9641BEB5}" srcOrd="1" destOrd="0" presId="urn:microsoft.com/office/officeart/2005/8/layout/radial1"/>
    <dgm:cxn modelId="{709129DD-40FC-471E-984B-5F84A233588F}" type="presOf" srcId="{8D28B5B3-293B-4D04-9ABB-EE16A5C97D16}" destId="{22743AED-C443-4F2B-8D4D-266AC58BB10F}" srcOrd="1" destOrd="0" presId="urn:microsoft.com/office/officeart/2005/8/layout/radial1"/>
    <dgm:cxn modelId="{6CBEA188-6B3A-4C9A-82B3-6716FCDED137}" type="presOf" srcId="{42DDAC3B-802E-470C-B26C-35741B306D27}" destId="{73944B9B-8143-474E-A2B5-719E57EA1FE0}" srcOrd="0" destOrd="0" presId="urn:microsoft.com/office/officeart/2005/8/layout/radial1"/>
    <dgm:cxn modelId="{92F338E8-9D11-4902-AB30-07F7B4CEA5CA}" type="presOf" srcId="{42DDAC3B-802E-470C-B26C-35741B306D27}" destId="{F5AD7B03-58D4-4480-B85C-FFEEB047B4AA}" srcOrd="1" destOrd="0" presId="urn:microsoft.com/office/officeart/2005/8/layout/radial1"/>
    <dgm:cxn modelId="{ED7739BD-522C-4504-B44E-AF347169BBA7}" type="presOf" srcId="{4631C2C5-1554-4289-90B0-F2D55D1595B6}" destId="{035B4C9A-0916-4FCC-A1CF-85DB358A289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5772ED21-862F-47BA-A619-3617807070F7}" type="presOf" srcId="{4693CA52-075F-4BD8-ABEA-5368BE377DDA}" destId="{62A1F741-432F-46BE-AE07-15F0B6D5EA89}" srcOrd="1" destOrd="0" presId="urn:microsoft.com/office/officeart/2005/8/layout/radial1"/>
    <dgm:cxn modelId="{6F361B2A-1061-40B0-864A-F0BC97AA9BE6}" type="presOf" srcId="{0FABC453-0A5C-4CAE-813B-F0494A34E025}" destId="{ADF94B70-0D7F-4A27-8DF9-17BCD27F4A7A}" srcOrd="0" destOrd="0" presId="urn:microsoft.com/office/officeart/2005/8/layout/radial1"/>
    <dgm:cxn modelId="{2B5A7509-76D2-426C-B18E-8FED0AE00E02}" type="presOf" srcId="{45A6C23B-D452-4078-BA3A-466D0894B9EB}" destId="{64248C57-3CE0-4657-BC67-6279BA0257B1}" srcOrd="0" destOrd="0" presId="urn:microsoft.com/office/officeart/2005/8/layout/radial1"/>
    <dgm:cxn modelId="{19C1565A-DB23-4F9C-ABEF-4480DF7D14CE}" srcId="{DE541715-C648-404D-8124-F14F463E9202}" destId="{7E91AD2C-2762-4D69-BFD6-4095380ECAB8}" srcOrd="1" destOrd="0" parTransId="{8D28B5B3-293B-4D04-9ABB-EE16A5C97D16}" sibTransId="{26336DBA-E790-4546-ABCA-DDAC89AEDA30}"/>
    <dgm:cxn modelId="{1E63EDC2-6528-445A-AD67-CCFDC527C2C0}" type="presOf" srcId="{E848F776-8237-42C9-A1C0-B5B0EB7FE51B}" destId="{DB73B42A-BE4F-46BC-B512-015EB15734E7}" srcOrd="0" destOrd="0" presId="urn:microsoft.com/office/officeart/2005/8/layout/radial1"/>
    <dgm:cxn modelId="{529D05ED-97D5-4116-BE13-DE3D93351F7F}" srcId="{DE541715-C648-404D-8124-F14F463E9202}" destId="{960C5593-E0FF-4AA5-AA0B-E8BDFFBC5E53}" srcOrd="2" destOrd="0" parTransId="{7AF774ED-547E-4C04-8670-B0C1D08C5EE9}" sibTransId="{88F12DF7-015F-4F26-950A-DAE493699644}"/>
    <dgm:cxn modelId="{AC701E98-3826-4013-A871-CE5FBE1350AA}" type="presParOf" srcId="{08F189A1-AB47-41D1-8058-7A6DA66B3F52}" destId="{062AF917-2F47-4639-8A23-58AD52EC0F32}" srcOrd="0" destOrd="0" presId="urn:microsoft.com/office/officeart/2005/8/layout/radial1"/>
    <dgm:cxn modelId="{B7A81CCD-7379-460F-8A7F-457C2ACDD299}" type="presParOf" srcId="{08F189A1-AB47-41D1-8058-7A6DA66B3F52}" destId="{DB73B42A-BE4F-46BC-B512-015EB15734E7}" srcOrd="1" destOrd="0" presId="urn:microsoft.com/office/officeart/2005/8/layout/radial1"/>
    <dgm:cxn modelId="{D24F7783-F0F0-4757-8F28-DC17BD638EBD}" type="presParOf" srcId="{DB73B42A-BE4F-46BC-B512-015EB15734E7}" destId="{498B4397-C22F-4D1E-9B41-E3ABFC4C6934}" srcOrd="0" destOrd="0" presId="urn:microsoft.com/office/officeart/2005/8/layout/radial1"/>
    <dgm:cxn modelId="{CA6A44C0-E5EE-4CA9-AFA8-3BF7A392AE14}" type="presParOf" srcId="{08F189A1-AB47-41D1-8058-7A6DA66B3F52}" destId="{8C16842D-5717-4E53-9353-18DF877708CF}" srcOrd="2" destOrd="0" presId="urn:microsoft.com/office/officeart/2005/8/layout/radial1"/>
    <dgm:cxn modelId="{F1839751-04ED-4AFF-B35B-5D3AB938B355}" type="presParOf" srcId="{08F189A1-AB47-41D1-8058-7A6DA66B3F52}" destId="{F32845D8-3F89-45CE-82D0-5F6D6B81E25D}" srcOrd="3" destOrd="0" presId="urn:microsoft.com/office/officeart/2005/8/layout/radial1"/>
    <dgm:cxn modelId="{97D55EF1-87BE-48DF-8730-9D6B868FBFF2}" type="presParOf" srcId="{F32845D8-3F89-45CE-82D0-5F6D6B81E25D}" destId="{22743AED-C443-4F2B-8D4D-266AC58BB10F}" srcOrd="0" destOrd="0" presId="urn:microsoft.com/office/officeart/2005/8/layout/radial1"/>
    <dgm:cxn modelId="{FC9D9356-9ECC-4E48-A7C5-ED3C8C4351F6}" type="presParOf" srcId="{08F189A1-AB47-41D1-8058-7A6DA66B3F52}" destId="{56946440-4960-4194-9471-9ABCF62950BA}" srcOrd="4" destOrd="0" presId="urn:microsoft.com/office/officeart/2005/8/layout/radial1"/>
    <dgm:cxn modelId="{FBDEBCA5-4AA1-4392-B4D1-8CEBE23130C4}" type="presParOf" srcId="{08F189A1-AB47-41D1-8058-7A6DA66B3F52}" destId="{5337AE63-3722-42CC-AF72-36670EB7C5E1}" srcOrd="5" destOrd="0" presId="urn:microsoft.com/office/officeart/2005/8/layout/radial1"/>
    <dgm:cxn modelId="{DA8DAC65-73C9-4CE2-9990-4F27A1F81FED}" type="presParOf" srcId="{5337AE63-3722-42CC-AF72-36670EB7C5E1}" destId="{326412CE-9911-4799-A459-B56F02EB4473}" srcOrd="0" destOrd="0" presId="urn:microsoft.com/office/officeart/2005/8/layout/radial1"/>
    <dgm:cxn modelId="{409C3687-B976-4E25-A199-31D8D6F08FCA}" type="presParOf" srcId="{08F189A1-AB47-41D1-8058-7A6DA66B3F52}" destId="{CED9197C-8322-406B-917C-172FA36E7B76}" srcOrd="6" destOrd="0" presId="urn:microsoft.com/office/officeart/2005/8/layout/radial1"/>
    <dgm:cxn modelId="{B09A0591-5876-485F-9FB2-AB97FB9C04D2}" type="presParOf" srcId="{08F189A1-AB47-41D1-8058-7A6DA66B3F52}" destId="{4AC11394-3179-4EC5-A97F-D1A1B521CE2F}" srcOrd="7" destOrd="0" presId="urn:microsoft.com/office/officeart/2005/8/layout/radial1"/>
    <dgm:cxn modelId="{EEE7556C-7A19-4755-B89C-F98E960EEFA0}" type="presParOf" srcId="{4AC11394-3179-4EC5-A97F-D1A1B521CE2F}" destId="{62A1F741-432F-46BE-AE07-15F0B6D5EA89}" srcOrd="0" destOrd="0" presId="urn:microsoft.com/office/officeart/2005/8/layout/radial1"/>
    <dgm:cxn modelId="{A678B03E-5544-4399-ABE5-A96E3F2FF08F}" type="presParOf" srcId="{08F189A1-AB47-41D1-8058-7A6DA66B3F52}" destId="{035B4C9A-0916-4FCC-A1CF-85DB358A289A}" srcOrd="8" destOrd="0" presId="urn:microsoft.com/office/officeart/2005/8/layout/radial1"/>
    <dgm:cxn modelId="{3136EC75-A5DF-4956-B3B6-470D48813BE6}" type="presParOf" srcId="{08F189A1-AB47-41D1-8058-7A6DA66B3F52}" destId="{64248C57-3CE0-4657-BC67-6279BA0257B1}" srcOrd="9" destOrd="0" presId="urn:microsoft.com/office/officeart/2005/8/layout/radial1"/>
    <dgm:cxn modelId="{72A91CFD-EEA4-42AF-8139-4E85C94994E2}" type="presParOf" srcId="{64248C57-3CE0-4657-BC67-6279BA0257B1}" destId="{C7C9B7EB-2DEF-4B99-8D38-AC2E9641BEB5}" srcOrd="0" destOrd="0" presId="urn:microsoft.com/office/officeart/2005/8/layout/radial1"/>
    <dgm:cxn modelId="{76CA2672-D5C7-42C7-8C03-DA93A93357D2}" type="presParOf" srcId="{08F189A1-AB47-41D1-8058-7A6DA66B3F52}" destId="{976BA53C-17D4-4F7C-9078-1272C469C9E5}" srcOrd="10" destOrd="0" presId="urn:microsoft.com/office/officeart/2005/8/layout/radial1"/>
    <dgm:cxn modelId="{7CC4CB7D-BE01-47FD-A1D7-A635B7936933}" type="presParOf" srcId="{08F189A1-AB47-41D1-8058-7A6DA66B3F52}" destId="{73944B9B-8143-474E-A2B5-719E57EA1FE0}" srcOrd="11" destOrd="0" presId="urn:microsoft.com/office/officeart/2005/8/layout/radial1"/>
    <dgm:cxn modelId="{0F24B3E4-88EE-4992-A137-36F07FC99072}" type="presParOf" srcId="{73944B9B-8143-474E-A2B5-719E57EA1FE0}" destId="{F5AD7B03-58D4-4480-B85C-FFEEB047B4AA}" srcOrd="0" destOrd="0" presId="urn:microsoft.com/office/officeart/2005/8/layout/radial1"/>
    <dgm:cxn modelId="{1701A897-9CC7-434A-A539-981FBE27B64C}" type="presParOf" srcId="{08F189A1-AB47-41D1-8058-7A6DA66B3F52}" destId="{2BDBEDDB-6DE8-44DC-8FC2-1ED793273BD1}" srcOrd="12" destOrd="0" presId="urn:microsoft.com/office/officeart/2005/8/layout/radial1"/>
    <dgm:cxn modelId="{EE79D1B6-0FA0-4350-B3E3-1CE3B3B15132}" type="presParOf" srcId="{08F189A1-AB47-41D1-8058-7A6DA66B3F52}" destId="{ADF94B70-0D7F-4A27-8DF9-17BCD27F4A7A}" srcOrd="13" destOrd="0" presId="urn:microsoft.com/office/officeart/2005/8/layout/radial1"/>
    <dgm:cxn modelId="{A50CF239-F37F-4C7F-9E65-80C1275AC9DF}" type="presParOf" srcId="{ADF94B70-0D7F-4A27-8DF9-17BCD27F4A7A}" destId="{EA4144E0-C5B2-4FC0-BDB2-550B61DB7DFD}" srcOrd="0" destOrd="0" presId="urn:microsoft.com/office/officeart/2005/8/layout/radial1"/>
    <dgm:cxn modelId="{E4DEDD8B-8E5F-4481-B937-AA153839A48F}" type="presParOf" srcId="{08F189A1-AB47-41D1-8058-7A6DA66B3F52}" destId="{0FAF3FA1-8E6C-455E-B189-A468B3F4D8BC}" srcOrd="14" destOrd="0" presId="urn:microsoft.com/office/officeart/2005/8/layout/radial1"/>
    <dgm:cxn modelId="{4A9F0C72-0092-4012-97DE-2C391C01E0C3}" type="presParOf" srcId="{08F189A1-AB47-41D1-8058-7A6DA66B3F52}" destId="{7DF391B8-9498-4F55-ACE3-A6D0DB9A80F6}" srcOrd="15" destOrd="0" presId="urn:microsoft.com/office/officeart/2005/8/layout/radial1"/>
    <dgm:cxn modelId="{FEF4EC27-0BD9-4884-A5B8-F33DDBD79318}" type="presParOf" srcId="{7DF391B8-9498-4F55-ACE3-A6D0DB9A80F6}" destId="{9D0B803B-5ADE-4578-AB67-EBE1C99F7C08}" srcOrd="0" destOrd="0" presId="urn:microsoft.com/office/officeart/2005/8/layout/radial1"/>
    <dgm:cxn modelId="{3DEC7FFB-764A-4289-A4B9-9E72FDB9A3A8}" type="presParOf" srcId="{08F189A1-AB47-41D1-8058-7A6DA66B3F52}" destId="{E3F75BBA-60EC-4D9A-B0CC-E18ADA53928C}" srcOrd="16" destOrd="0" presId="urn:microsoft.com/office/officeart/2005/8/layout/radial1"/>
  </dgm:cxnLst>
  <dgm:bg/>
  <dgm:whole/>
  <dgm:extLst>
    <a:ext uri="http://schemas.microsoft.com/office/drawing/2008/diagram">
      <dsp:dataModelExt xmlns:dsp="http://schemas.microsoft.com/office/drawing/2008/diagram" relId="rId17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pPr rtl="1"/>
          <a:endParaRPr lang="en-US" sz="800"/>
        </a:p>
      </dgm:t>
    </dgm:pt>
    <dgm:pt modelId="{C06C39C9-71B8-489C-9C45-3DD37A424E39}">
      <dgm:prSet phldrT="[Text]" custT="1"/>
      <dgm:spPr>
        <a:xfrm>
          <a:off x="466725" y="515049"/>
          <a:ext cx="1261513" cy="45420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631C2C5-1554-4289-90B0-F2D55D1595B6}">
      <dgm:prSet phldrT="[Text]" custT="1"/>
      <dgm:spPr>
        <a:xfrm>
          <a:off x="4188545" y="516645"/>
          <a:ext cx="1459781" cy="45370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E541715-C648-404D-8124-F14F463E9202}">
      <dgm:prSet phldrT="[Text]" custT="1"/>
      <dgm:spPr>
        <a:xfrm>
          <a:off x="2333625" y="538314"/>
          <a:ext cx="1085848" cy="40901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296">
          <a:off x="1728239" y="736106"/>
          <a:ext cx="605386"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134">
          <a:off x="3419473" y="736731"/>
          <a:ext cx="769072"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6547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2"/>
      <dgm:spPr>
        <a:custGeom>
          <a:avLst/>
          <a:gdLst/>
          <a:ahLst/>
          <a:cxnLst/>
          <a:rect l="0" t="0" r="0" b="0"/>
          <a:pathLst>
            <a:path>
              <a:moveTo>
                <a:pt x="0" y="6398"/>
              </a:moveTo>
              <a:lnTo>
                <a:pt x="769072" y="6398"/>
              </a:lnTo>
            </a:path>
          </a:pathLst>
        </a:custGeom>
      </dgm:spPr>
      <dgm:t>
        <a:bodyPr/>
        <a:lstStyle/>
        <a:p>
          <a:endParaRPr lang="en-US"/>
        </a:p>
      </dgm:t>
    </dgm:pt>
    <dgm:pt modelId="{62A1F741-432F-46BE-AE07-15F0B6D5EA89}" type="pres">
      <dgm:prSet presAssocID="{4693CA52-075F-4BD8-ABEA-5368BE377DDA}" presName="connTx" presStyleLbl="parChTrans1D2" presStyleIdx="0" presStyleCnt="2"/>
      <dgm:spPr/>
      <dgm:t>
        <a:bodyPr/>
        <a:lstStyle/>
        <a:p>
          <a:endParaRPr lang="en-US"/>
        </a:p>
      </dgm:t>
    </dgm:pt>
    <dgm:pt modelId="{035B4C9A-0916-4FCC-A1CF-85DB358A289A}" type="pres">
      <dgm:prSet presAssocID="{4631C2C5-1554-4289-90B0-F2D55D1595B6}" presName="node" presStyleLbl="node1" presStyleIdx="0" presStyleCnt="2" custScaleX="356898" custScaleY="110925" custRadScaleRad="383284" custRadScaleInc="100021">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1" presStyleCnt="2"/>
      <dgm:spPr>
        <a:custGeom>
          <a:avLst/>
          <a:gdLst/>
          <a:ahLst/>
          <a:cxnLst/>
          <a:rect l="0" t="0" r="0" b="0"/>
          <a:pathLst>
            <a:path>
              <a:moveTo>
                <a:pt x="0" y="6398"/>
              </a:moveTo>
              <a:lnTo>
                <a:pt x="605386" y="6398"/>
              </a:lnTo>
            </a:path>
          </a:pathLst>
        </a:custGeom>
      </dgm:spPr>
      <dgm:t>
        <a:bodyPr/>
        <a:lstStyle/>
        <a:p>
          <a:endParaRPr lang="en-US"/>
        </a:p>
      </dgm:t>
    </dgm:pt>
    <dgm:pt modelId="{EA4144E0-C5B2-4FC0-BDB2-550B61DB7DFD}" type="pres">
      <dgm:prSet presAssocID="{0FABC453-0A5C-4CAE-813B-F0494A34E025}" presName="connTx" presStyleLbl="parChTrans1D2" presStyleIdx="1" presStyleCnt="2"/>
      <dgm:spPr/>
      <dgm:t>
        <a:bodyPr/>
        <a:lstStyle/>
        <a:p>
          <a:endParaRPr lang="en-US"/>
        </a:p>
      </dgm:t>
    </dgm:pt>
    <dgm:pt modelId="{0FAF3FA1-8E6C-455E-B189-A468B3F4D8BC}" type="pres">
      <dgm:prSet presAssocID="{C06C39C9-71B8-489C-9C45-3DD37A424E39}" presName="node" presStyleLbl="node1" presStyleIdx="1" presStyleCnt="2" custScaleX="308424" custScaleY="111048" custRadScaleRad="333950" custRadScaleInc="100024">
        <dgm:presLayoutVars>
          <dgm:bulletEnabled val="1"/>
        </dgm:presLayoutVars>
      </dgm:prSet>
      <dgm:spPr>
        <a:prstGeom prst="ellipse">
          <a:avLst/>
        </a:prstGeom>
      </dgm:spPr>
      <dgm:t>
        <a:bodyPr/>
        <a:lstStyle/>
        <a:p>
          <a:endParaRPr lang="en-US"/>
        </a:p>
      </dgm:t>
    </dgm:pt>
  </dgm:ptLst>
  <dgm:cxnLst>
    <dgm:cxn modelId="{9528EC0F-FDCD-4C57-B6A6-FB74D5ACB013}" type="presOf" srcId="{0FABC453-0A5C-4CAE-813B-F0494A34E025}" destId="{ADF94B70-0D7F-4A27-8DF9-17BCD27F4A7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DA740704-6E02-4402-8325-D0302449434E}" srcId="{34E6C8D5-8D4F-4714-8A12-8F4599A8E760}" destId="{4F895710-9C0A-4357-A62A-B00C2B1BB2A2}" srcOrd="1" destOrd="0" parTransId="{4492527F-B2BC-4423-9ACC-2816666249A0}" sibTransId="{A0A859C5-79E5-4C97-AF72-54A6D166EEA1}"/>
    <dgm:cxn modelId="{E2B0DA9A-6A94-461A-BA9F-1C8A153D793A}" type="presOf" srcId="{C06C39C9-71B8-489C-9C45-3DD37A424E39}" destId="{0FAF3FA1-8E6C-455E-B189-A468B3F4D8BC}" srcOrd="0" destOrd="0" presId="urn:microsoft.com/office/officeart/2005/8/layout/radial1"/>
    <dgm:cxn modelId="{20F3856F-2788-40B2-9BA2-5B8957BFF87D}" type="presOf" srcId="{34E6C8D5-8D4F-4714-8A12-8F4599A8E760}" destId="{08F189A1-AB47-41D1-8058-7A6DA66B3F52}" srcOrd="0" destOrd="0" presId="urn:microsoft.com/office/officeart/2005/8/layout/radial1"/>
    <dgm:cxn modelId="{9A42E659-29B3-4845-A09B-007C7B36A4E0}" type="presOf" srcId="{DE541715-C648-404D-8124-F14F463E9202}" destId="{062AF917-2F47-4639-8A23-58AD52EC0F32}" srcOrd="0" destOrd="0" presId="urn:microsoft.com/office/officeart/2005/8/layout/radial1"/>
    <dgm:cxn modelId="{73E01242-B5C1-4F3C-ABF0-CF7CAE9AA74F}" type="presOf" srcId="{4631C2C5-1554-4289-90B0-F2D55D1595B6}" destId="{035B4C9A-0916-4FCC-A1CF-85DB358A289A}" srcOrd="0" destOrd="0" presId="urn:microsoft.com/office/officeart/2005/8/layout/radial1"/>
    <dgm:cxn modelId="{F963C06A-68C0-4452-A3C1-512E8BD0D9FD}" type="presOf" srcId="{0FABC453-0A5C-4CAE-813B-F0494A34E025}" destId="{EA4144E0-C5B2-4FC0-BDB2-550B61DB7DFD}" srcOrd="1" destOrd="0" presId="urn:microsoft.com/office/officeart/2005/8/layout/radial1"/>
    <dgm:cxn modelId="{F1E71699-D4C5-4B8E-A084-D4D214A225A8}" type="presOf" srcId="{4693CA52-075F-4BD8-ABEA-5368BE377DDA}" destId="{4AC11394-3179-4EC5-A97F-D1A1B521CE2F}" srcOrd="0" destOrd="0" presId="urn:microsoft.com/office/officeart/2005/8/layout/radial1"/>
    <dgm:cxn modelId="{248698A6-055B-40E3-B808-D624056EF2B0}" srcId="{DE541715-C648-404D-8124-F14F463E9202}" destId="{C06C39C9-71B8-489C-9C45-3DD37A424E39}" srcOrd="1" destOrd="0" parTransId="{0FABC453-0A5C-4CAE-813B-F0494A34E025}" sibTransId="{DCD34884-F96E-475A-9010-14DE66A403A6}"/>
    <dgm:cxn modelId="{5A6D056E-9CBA-4F8A-8C9E-2A50F204E88D}" type="presOf" srcId="{4693CA52-075F-4BD8-ABEA-5368BE377DDA}" destId="{62A1F741-432F-46BE-AE07-15F0B6D5EA89}" srcOrd="1" destOrd="0" presId="urn:microsoft.com/office/officeart/2005/8/layout/radial1"/>
    <dgm:cxn modelId="{C5936327-ADF2-48AC-A362-EDBF64EF046E}" type="presParOf" srcId="{08F189A1-AB47-41D1-8058-7A6DA66B3F52}" destId="{062AF917-2F47-4639-8A23-58AD52EC0F32}" srcOrd="0" destOrd="0" presId="urn:microsoft.com/office/officeart/2005/8/layout/radial1"/>
    <dgm:cxn modelId="{46BD9227-1748-46D7-8E19-E82826F73615}" type="presParOf" srcId="{08F189A1-AB47-41D1-8058-7A6DA66B3F52}" destId="{4AC11394-3179-4EC5-A97F-D1A1B521CE2F}" srcOrd="1" destOrd="0" presId="urn:microsoft.com/office/officeart/2005/8/layout/radial1"/>
    <dgm:cxn modelId="{B178474E-2611-4594-81F2-46423B3E03C4}" type="presParOf" srcId="{4AC11394-3179-4EC5-A97F-D1A1B521CE2F}" destId="{62A1F741-432F-46BE-AE07-15F0B6D5EA89}" srcOrd="0" destOrd="0" presId="urn:microsoft.com/office/officeart/2005/8/layout/radial1"/>
    <dgm:cxn modelId="{06C10202-5A54-4EC3-A1BA-89204BB91F4F}" type="presParOf" srcId="{08F189A1-AB47-41D1-8058-7A6DA66B3F52}" destId="{035B4C9A-0916-4FCC-A1CF-85DB358A289A}" srcOrd="2" destOrd="0" presId="urn:microsoft.com/office/officeart/2005/8/layout/radial1"/>
    <dgm:cxn modelId="{E6B40909-4EE1-4A66-9AB5-3039DE6E80F0}" type="presParOf" srcId="{08F189A1-AB47-41D1-8058-7A6DA66B3F52}" destId="{ADF94B70-0D7F-4A27-8DF9-17BCD27F4A7A}" srcOrd="3" destOrd="0" presId="urn:microsoft.com/office/officeart/2005/8/layout/radial1"/>
    <dgm:cxn modelId="{48FC6328-1B47-4D84-B4BD-1527E820F8A5}" type="presParOf" srcId="{ADF94B70-0D7F-4A27-8DF9-17BCD27F4A7A}" destId="{EA4144E0-C5B2-4FC0-BDB2-550B61DB7DFD}" srcOrd="0" destOrd="0" presId="urn:microsoft.com/office/officeart/2005/8/layout/radial1"/>
    <dgm:cxn modelId="{E281C8B7-E2A1-435D-9BB6-D5F791E8CF4C}" type="presParOf" srcId="{08F189A1-AB47-41D1-8058-7A6DA66B3F52}" destId="{0FAF3FA1-8E6C-455E-B189-A468B3F4D8BC}" srcOrd="4" destOrd="0" presId="urn:microsoft.com/office/officeart/2005/8/layout/radial1"/>
  </dgm:cxnLst>
  <dgm:bg/>
  <dgm:whole/>
  <dgm:extLst>
    <a:ext uri="http://schemas.microsoft.com/office/drawing/2008/diagram">
      <dsp:dataModelExt xmlns:dsp="http://schemas.microsoft.com/office/drawing/2008/diagram" relId="rId51" minVer="http://schemas.openxmlformats.org/drawingml/2006/diagram"/>
    </a:ext>
    <a:ext uri="{C62137D5-CB1D-491B-B009-E17868A290BF}">
      <dgm14:recolorImg xmlns:dgm14="http://schemas.microsoft.com/office/drawing/2010/diagram" val="1"/>
    </a:ext>
  </dgm:extLst>
</dgm:dataModel>
</file>

<file path=word/diagrams/data20.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395070" y="767657"/>
          <a:ext cx="1193709" cy="40731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74A81AD-BFE3-4D32-9342-2C25E06E5B46}" type="parTrans" cxnId="{0872B5C3-971C-4397-94C1-FDC0412A9ADC}">
      <dgm:prSet/>
      <dgm:spPr/>
      <dgm:t>
        <a:bodyPr/>
        <a:lstStyle/>
        <a:p>
          <a:pPr algn="ctr"/>
          <a:endParaRPr lang="en-US"/>
        </a:p>
      </dgm:t>
    </dgm:pt>
    <dgm:pt modelId="{28FB44EF-A1AD-4FBB-B0D1-E98EB36FC510}" type="sibTrans" cxnId="{0872B5C3-971C-4397-94C1-FDC0412A9ADC}">
      <dgm:prSet/>
      <dgm:spPr/>
      <dgm:t>
        <a:bodyPr/>
        <a:lstStyle/>
        <a:p>
          <a:pPr algn="ctr"/>
          <a:endParaRPr lang="en-US"/>
        </a:p>
      </dgm:t>
    </dgm:pt>
    <dgm:pt modelId="{9A4BDCAE-D9CA-400C-8B2D-68AB68A08E2A}">
      <dgm:prSet phldrT="[Text]" custT="1"/>
      <dgm:spPr>
        <a:xfrm>
          <a:off x="2486472" y="76355"/>
          <a:ext cx="1001819" cy="4963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9A3E352-4E95-497B-A994-2D750C2A9509}" type="parTrans" cxnId="{A0D7B160-B2D6-4FF0-B898-61A69264BA8C}">
      <dgm:prSet/>
      <dgm:spPr>
        <a:xfrm rot="16175855">
          <a:off x="2892323" y="663851"/>
          <a:ext cx="194972"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ADEECF-D7D2-4E14-BB97-4FB081DAC71A}" type="sibTrans" cxnId="{A0D7B160-B2D6-4FF0-B898-61A69264BA8C}">
      <dgm:prSet/>
      <dgm:spPr/>
      <dgm:t>
        <a:bodyPr/>
        <a:lstStyle/>
        <a:p>
          <a:pPr algn="ctr"/>
          <a:endParaRPr lang="en-US"/>
        </a:p>
      </dgm:t>
    </dgm:pt>
    <dgm:pt modelId="{584F0456-7C88-4E15-A6D5-3DF2BDDC45F2}">
      <dgm:prSet phldrT="[Text]" custT="1"/>
      <dgm:spPr>
        <a:xfrm>
          <a:off x="3746088" y="170872"/>
          <a:ext cx="1318511" cy="5020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BE92476-635C-4AE2-AD14-BF50BB0972EC}" type="parTrans" cxnId="{44EB880B-7660-4CF0-97E5-4E577ACA821D}">
      <dgm:prSet/>
      <dgm:spPr>
        <a:xfrm rot="20325438">
          <a:off x="3365309" y="703405"/>
          <a:ext cx="599092"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pPr algn="ctr"/>
          <a:endParaRPr lang="en-US"/>
        </a:p>
      </dgm:t>
    </dgm:pt>
    <dgm:pt modelId="{2EF75B39-F486-43BE-8B27-294595126005}">
      <dgm:prSet phldrT="[Text]" custT="1"/>
      <dgm:spPr>
        <a:xfrm>
          <a:off x="4786567" y="736167"/>
          <a:ext cx="1049066" cy="47196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6F0DCEC-2B26-4038-AF1F-D0A98A0F7930}" type="parTrans" cxnId="{D0987D88-807B-4994-94E2-80A6C1D9AE52}">
      <dgm:prSet/>
      <dgm:spPr>
        <a:xfrm rot="1232">
          <a:off x="3588779" y="965423"/>
          <a:ext cx="1197788"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pPr algn="ctr"/>
          <a:endParaRPr lang="en-US"/>
        </a:p>
      </dgm:t>
    </dgm:pt>
    <dgm:pt modelId="{4761FE57-664D-44AD-8EF1-E6096D64297F}">
      <dgm:prSet phldrT="[Text]" custT="1"/>
      <dgm:spPr>
        <a:xfrm>
          <a:off x="214543" y="722101"/>
          <a:ext cx="1236355" cy="49264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6DE2413-45CD-453B-A258-F22A53BBB241}" type="parTrans" cxnId="{A5666C79-BF01-4153-AB0A-BB16CAE1F135}">
      <dgm:prSet/>
      <dgm:spPr>
        <a:xfrm rot="10804604">
          <a:off x="1450895" y="963563"/>
          <a:ext cx="944180"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pPr algn="ctr"/>
          <a:endParaRPr lang="en-US"/>
        </a:p>
      </dgm:t>
    </dgm:pt>
    <dgm:pt modelId="{61905482-A221-41E9-B64F-E0DDCF7406CB}">
      <dgm:prSet phldrT="[Text]" custT="1"/>
      <dgm:spPr>
        <a:xfrm>
          <a:off x="1013178" y="170869"/>
          <a:ext cx="1363691" cy="51750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9A5BFAE-AE0D-4BC3-821E-ACDBC402E1F3}" type="parTrans" cxnId="{7A10D267-5114-47D3-9B72-BCDF70FFAB8C}">
      <dgm:prSet/>
      <dgm:spPr>
        <a:xfrm rot="12160169">
          <a:off x="2134247" y="711044"/>
          <a:ext cx="499359"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pPr algn="ctr"/>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85902" custScaleY="97556" custLinFactNeighborX="812" custLinFactNeighborY="19492"/>
      <dgm:spPr>
        <a:prstGeom prst="ellipse">
          <a:avLst/>
        </a:prstGeom>
      </dgm:spPr>
      <dgm:t>
        <a:bodyPr/>
        <a:lstStyle/>
        <a:p>
          <a:endParaRPr lang="en-US"/>
        </a:p>
      </dgm:t>
    </dgm:pt>
    <dgm:pt modelId="{E887F142-3B93-49E1-A09D-1DCD207D21D1}" type="pres">
      <dgm:prSet presAssocID="{E9A3E352-4E95-497B-A994-2D750C2A9509}" presName="Name9" presStyleLbl="parChTrans1D2" presStyleIdx="0" presStyleCnt="5"/>
      <dgm:spPr>
        <a:custGeom>
          <a:avLst/>
          <a:gdLst/>
          <a:ahLst/>
          <a:cxnLst/>
          <a:rect l="0" t="0" r="0" b="0"/>
          <a:pathLst>
            <a:path>
              <a:moveTo>
                <a:pt x="0" y="6322"/>
              </a:moveTo>
              <a:lnTo>
                <a:pt x="283126" y="6322"/>
              </a:lnTo>
            </a:path>
          </a:pathLst>
        </a:custGeom>
      </dgm:spPr>
      <dgm:t>
        <a:bodyPr/>
        <a:lstStyle/>
        <a:p>
          <a:endParaRPr lang="en-US"/>
        </a:p>
      </dgm:t>
    </dgm:pt>
    <dgm:pt modelId="{0C3245EA-B4A2-4A29-A94D-6F5271E8D13D}" type="pres">
      <dgm:prSet presAssocID="{E9A3E352-4E95-497B-A994-2D750C2A9509}" presName="connTx" presStyleLbl="parChTrans1D2" presStyleIdx="0" presStyleCnt="5"/>
      <dgm:spPr/>
      <dgm:t>
        <a:bodyPr/>
        <a:lstStyle/>
        <a:p>
          <a:endParaRPr lang="en-US"/>
        </a:p>
      </dgm:t>
    </dgm:pt>
    <dgm:pt modelId="{3EA08C86-6A87-4381-A9A9-F10D993E2D53}" type="pres">
      <dgm:prSet presAssocID="{9A4BDCAE-D9CA-400C-8B2D-68AB68A08E2A}" presName="node" presStyleLbl="node1" presStyleIdx="0" presStyleCnt="5" custScaleX="239943" custScaleY="118876" custRadScaleRad="79981" custRadScaleInc="1569">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5"/>
      <dgm:spPr>
        <a:custGeom>
          <a:avLst/>
          <a:gdLst/>
          <a:ahLst/>
          <a:cxnLst/>
          <a:rect l="0" t="0" r="0" b="0"/>
          <a:pathLst>
            <a:path>
              <a:moveTo>
                <a:pt x="0" y="6322"/>
              </a:moveTo>
              <a:lnTo>
                <a:pt x="717773" y="6322"/>
              </a:lnTo>
            </a:path>
          </a:pathLst>
        </a:custGeom>
      </dgm:spPr>
      <dgm:t>
        <a:bodyPr/>
        <a:lstStyle/>
        <a:p>
          <a:endParaRPr lang="en-US"/>
        </a:p>
      </dgm:t>
    </dgm:pt>
    <dgm:pt modelId="{48B32C5A-7076-4480-B5CB-D9EFDA8D8FDB}" type="pres">
      <dgm:prSet presAssocID="{5BE92476-635C-4AE2-AD14-BF50BB0972EC}" presName="connTx" presStyleLbl="parChTrans1D2" presStyleIdx="1" presStyleCnt="5"/>
      <dgm:spPr/>
      <dgm:t>
        <a:bodyPr/>
        <a:lstStyle/>
        <a:p>
          <a:endParaRPr lang="en-US"/>
        </a:p>
      </dgm:t>
    </dgm:pt>
    <dgm:pt modelId="{423B6D89-2000-40C7-8429-BD38C7402395}" type="pres">
      <dgm:prSet presAssocID="{584F0456-7C88-4E15-A6D5-3DF2BDDC45F2}" presName="node" presStyleLbl="node1" presStyleIdx="1" presStyleCnt="5" custScaleX="315793" custScaleY="120234" custRadScaleRad="268850" custRadScaleInc="12920">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5"/>
      <dgm:spPr>
        <a:custGeom>
          <a:avLst/>
          <a:gdLst/>
          <a:ahLst/>
          <a:cxnLst/>
          <a:rect l="0" t="0" r="0" b="0"/>
          <a:pathLst>
            <a:path>
              <a:moveTo>
                <a:pt x="0" y="6322"/>
              </a:moveTo>
              <a:lnTo>
                <a:pt x="1343028" y="6322"/>
              </a:lnTo>
            </a:path>
          </a:pathLst>
        </a:custGeom>
      </dgm:spPr>
      <dgm:t>
        <a:bodyPr/>
        <a:lstStyle/>
        <a:p>
          <a:endParaRPr lang="en-US"/>
        </a:p>
      </dgm:t>
    </dgm:pt>
    <dgm:pt modelId="{7FE108B5-F558-4942-A9EC-465F3C2E5813}" type="pres">
      <dgm:prSet presAssocID="{66F0DCEC-2B26-4038-AF1F-D0A98A0F7930}" presName="connTx" presStyleLbl="parChTrans1D2" presStyleIdx="2" presStyleCnt="5"/>
      <dgm:spPr/>
      <dgm:t>
        <a:bodyPr/>
        <a:lstStyle/>
        <a:p>
          <a:endParaRPr lang="en-US"/>
        </a:p>
      </dgm:t>
    </dgm:pt>
    <dgm:pt modelId="{6394B413-6D12-4C4F-9A8D-E0508CAE8617}" type="pres">
      <dgm:prSet presAssocID="{2EF75B39-F486-43BE-8B27-294595126005}" presName="node" presStyleLbl="node1" presStyleIdx="2" presStyleCnt="5" custScaleX="251259" custScaleY="113038" custRadScaleRad="429962" custRadScaleInc="-135493">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3" presStyleCnt="5"/>
      <dgm:spPr>
        <a:custGeom>
          <a:avLst/>
          <a:gdLst/>
          <a:ahLst/>
          <a:cxnLst/>
          <a:rect l="0" t="0" r="0" b="0"/>
          <a:pathLst>
            <a:path>
              <a:moveTo>
                <a:pt x="0" y="6322"/>
              </a:moveTo>
              <a:lnTo>
                <a:pt x="1114107" y="6322"/>
              </a:lnTo>
            </a:path>
          </a:pathLst>
        </a:custGeom>
      </dgm:spPr>
      <dgm:t>
        <a:bodyPr/>
        <a:lstStyle/>
        <a:p>
          <a:endParaRPr lang="en-US"/>
        </a:p>
      </dgm:t>
    </dgm:pt>
    <dgm:pt modelId="{B0514361-30D3-4311-BC21-0743B7F01673}" type="pres">
      <dgm:prSet presAssocID="{F6DE2413-45CD-453B-A258-F22A53BBB241}" presName="connTx" presStyleLbl="parChTrans1D2" presStyleIdx="3" presStyleCnt="5"/>
      <dgm:spPr/>
      <dgm:t>
        <a:bodyPr/>
        <a:lstStyle/>
        <a:p>
          <a:endParaRPr lang="en-US"/>
        </a:p>
      </dgm:t>
    </dgm:pt>
    <dgm:pt modelId="{2ED32773-10C9-4671-A0BF-4C0DAB40AE25}" type="pres">
      <dgm:prSet presAssocID="{4761FE57-664D-44AD-8EF1-E6096D64297F}" presName="node" presStyleLbl="node1" presStyleIdx="3" presStyleCnt="5" custScaleX="296116" custScaleY="117993" custRadScaleRad="397371" custRadScaleInc="134575">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4" presStyleCnt="5"/>
      <dgm:spPr>
        <a:custGeom>
          <a:avLst/>
          <a:gdLst/>
          <a:ahLst/>
          <a:cxnLst/>
          <a:rect l="0" t="0" r="0" b="0"/>
          <a:pathLst>
            <a:path>
              <a:moveTo>
                <a:pt x="0" y="6322"/>
              </a:moveTo>
              <a:lnTo>
                <a:pt x="586918" y="6322"/>
              </a:lnTo>
            </a:path>
          </a:pathLst>
        </a:custGeom>
      </dgm:spPr>
      <dgm:t>
        <a:bodyPr/>
        <a:lstStyle/>
        <a:p>
          <a:endParaRPr lang="en-US"/>
        </a:p>
      </dgm:t>
    </dgm:pt>
    <dgm:pt modelId="{2261EECA-A4AA-4C81-9B4D-3893A28ED758}" type="pres">
      <dgm:prSet presAssocID="{19A5BFAE-AE0D-4BC3-821E-ACDBC402E1F3}" presName="connTx" presStyleLbl="parChTrans1D2" presStyleIdx="4" presStyleCnt="5"/>
      <dgm:spPr/>
      <dgm:t>
        <a:bodyPr/>
        <a:lstStyle/>
        <a:p>
          <a:endParaRPr lang="en-US"/>
        </a:p>
      </dgm:t>
    </dgm:pt>
    <dgm:pt modelId="{CFBB929F-8BEB-442D-8D00-28EE1C02C39C}" type="pres">
      <dgm:prSet presAssocID="{61905482-A221-41E9-B64F-E0DDCF7406CB}" presName="node" presStyleLbl="node1" presStyleIdx="4" presStyleCnt="5" custScaleX="326614" custScaleY="123947" custRadScaleRad="244547" custRadScaleInc="-10114">
        <dgm:presLayoutVars>
          <dgm:bulletEnabled val="1"/>
        </dgm:presLayoutVars>
      </dgm:prSet>
      <dgm:spPr>
        <a:prstGeom prst="ellipse">
          <a:avLst/>
        </a:prstGeom>
      </dgm:spPr>
      <dgm:t>
        <a:bodyPr/>
        <a:lstStyle/>
        <a:p>
          <a:endParaRPr lang="en-US"/>
        </a:p>
      </dgm:t>
    </dgm:pt>
  </dgm:ptLst>
  <dgm:cxnLst>
    <dgm:cxn modelId="{D57B8FA7-9D2E-4F18-8CE9-7F1E3320C898}" type="presOf" srcId="{5BE92476-635C-4AE2-AD14-BF50BB0972EC}" destId="{00112A8F-12E8-45AC-B551-DFB66BE45059}" srcOrd="0" destOrd="0" presId="urn:microsoft.com/office/officeart/2005/8/layout/radial1"/>
    <dgm:cxn modelId="{44EB880B-7660-4CF0-97E5-4E577ACA821D}" srcId="{60F584FC-F7FF-4FD7-86E3-8773293C0460}" destId="{584F0456-7C88-4E15-A6D5-3DF2BDDC45F2}" srcOrd="1" destOrd="0" parTransId="{5BE92476-635C-4AE2-AD14-BF50BB0972EC}" sibTransId="{3EF0F88F-A3C1-4CFC-8CDA-621CE91394E1}"/>
    <dgm:cxn modelId="{B1724778-C2AC-455E-B88C-BBF3768052A2}" type="presOf" srcId="{66F0DCEC-2B26-4038-AF1F-D0A98A0F7930}" destId="{650854B0-9FE7-4FFD-96B2-18F6452E0859}" srcOrd="0"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A0D7B160-B2D6-4FF0-B898-61A69264BA8C}" srcId="{60F584FC-F7FF-4FD7-86E3-8773293C0460}" destId="{9A4BDCAE-D9CA-400C-8B2D-68AB68A08E2A}" srcOrd="0" destOrd="0" parTransId="{E9A3E352-4E95-497B-A994-2D750C2A9509}" sibTransId="{D8ADEECF-D7D2-4E14-BB97-4FB081DAC71A}"/>
    <dgm:cxn modelId="{00C15C48-AC39-4BA9-A6D6-566286DBFF2E}" type="presOf" srcId="{66F0DCEC-2B26-4038-AF1F-D0A98A0F7930}" destId="{7FE108B5-F558-4942-A9EC-465F3C2E5813}" srcOrd="1" destOrd="0" presId="urn:microsoft.com/office/officeart/2005/8/layout/radial1"/>
    <dgm:cxn modelId="{AB994FC7-6F32-4A3A-8E1F-CCD911ECAD31}" type="presOf" srcId="{61905482-A221-41E9-B64F-E0DDCF7406CB}" destId="{CFBB929F-8BEB-442D-8D00-28EE1C02C39C}" srcOrd="0" destOrd="0" presId="urn:microsoft.com/office/officeart/2005/8/layout/radial1"/>
    <dgm:cxn modelId="{7A10D267-5114-47D3-9B72-BCDF70FFAB8C}" srcId="{60F584FC-F7FF-4FD7-86E3-8773293C0460}" destId="{61905482-A221-41E9-B64F-E0DDCF7406CB}" srcOrd="4" destOrd="0" parTransId="{19A5BFAE-AE0D-4BC3-821E-ACDBC402E1F3}" sibTransId="{41B3C576-1467-4E2A-8F61-40CA47AE2A73}"/>
    <dgm:cxn modelId="{02F4A5A2-6E2D-4F7A-A902-28C2038B1035}" type="presOf" srcId="{5BE92476-635C-4AE2-AD14-BF50BB0972EC}" destId="{48B32C5A-7076-4480-B5CB-D9EFDA8D8FDB}" srcOrd="1" destOrd="0" presId="urn:microsoft.com/office/officeart/2005/8/layout/radial1"/>
    <dgm:cxn modelId="{BB696430-DEFD-41AA-B87D-43C8061A8CE6}" type="presOf" srcId="{F6DE2413-45CD-453B-A258-F22A53BBB241}" destId="{DEF09AAB-E09E-4486-8914-E37D47E60824}" srcOrd="0" destOrd="0" presId="urn:microsoft.com/office/officeart/2005/8/layout/radial1"/>
    <dgm:cxn modelId="{62E0FFF6-289A-4158-A39B-FD2E0E7C4967}" type="presOf" srcId="{4761FE57-664D-44AD-8EF1-E6096D64297F}" destId="{2ED32773-10C9-4671-A0BF-4C0DAB40AE25}" srcOrd="0" destOrd="0" presId="urn:microsoft.com/office/officeart/2005/8/layout/radial1"/>
    <dgm:cxn modelId="{D5B96065-E4FE-42B2-8913-5ECFB114C559}" type="presOf" srcId="{3E4183EF-B989-4620-A02C-D54686D6628F}" destId="{4FC73BDC-CE2C-45F4-85CD-F387963DA006}" srcOrd="0" destOrd="0" presId="urn:microsoft.com/office/officeart/2005/8/layout/radial1"/>
    <dgm:cxn modelId="{50B1992C-3191-405A-9B88-6D15CC8C71F8}" type="presOf" srcId="{2EF75B39-F486-43BE-8B27-294595126005}" destId="{6394B413-6D12-4C4F-9A8D-E0508CAE8617}" srcOrd="0" destOrd="0" presId="urn:microsoft.com/office/officeart/2005/8/layout/radial1"/>
    <dgm:cxn modelId="{138D17D7-8C09-411D-B4C1-519B747BFD18}" type="presOf" srcId="{F6DE2413-45CD-453B-A258-F22A53BBB241}" destId="{B0514361-30D3-4311-BC21-0743B7F01673}" srcOrd="1" destOrd="0" presId="urn:microsoft.com/office/officeart/2005/8/layout/radial1"/>
    <dgm:cxn modelId="{E417CC8E-729C-4CA1-8007-423644855A2C}" type="presOf" srcId="{19A5BFAE-AE0D-4BC3-821E-ACDBC402E1F3}" destId="{06FD983D-3F71-4BCE-AD7F-6DD1041A2F23}" srcOrd="0" destOrd="0" presId="urn:microsoft.com/office/officeart/2005/8/layout/radial1"/>
    <dgm:cxn modelId="{A5666C79-BF01-4153-AB0A-BB16CAE1F135}" srcId="{60F584FC-F7FF-4FD7-86E3-8773293C0460}" destId="{4761FE57-664D-44AD-8EF1-E6096D64297F}" srcOrd="3" destOrd="0" parTransId="{F6DE2413-45CD-453B-A258-F22A53BBB241}" sibTransId="{288511AC-ECAB-47A8-A0B0-D7AAFEE02A39}"/>
    <dgm:cxn modelId="{C4159354-B9D8-4741-B994-DA7C599A0D8D}" type="presOf" srcId="{9A4BDCAE-D9CA-400C-8B2D-68AB68A08E2A}" destId="{3EA08C86-6A87-4381-A9A9-F10D993E2D53}" srcOrd="0" destOrd="0" presId="urn:microsoft.com/office/officeart/2005/8/layout/radial1"/>
    <dgm:cxn modelId="{67F6E747-2654-46B0-A87D-ECCF8018BC5C}" type="presOf" srcId="{E9A3E352-4E95-497B-A994-2D750C2A9509}" destId="{E887F142-3B93-49E1-A09D-1DCD207D21D1}" srcOrd="0" destOrd="0" presId="urn:microsoft.com/office/officeart/2005/8/layout/radial1"/>
    <dgm:cxn modelId="{D0987D88-807B-4994-94E2-80A6C1D9AE52}" srcId="{60F584FC-F7FF-4FD7-86E3-8773293C0460}" destId="{2EF75B39-F486-43BE-8B27-294595126005}" srcOrd="2" destOrd="0" parTransId="{66F0DCEC-2B26-4038-AF1F-D0A98A0F7930}" sibTransId="{A29EC13D-3B1F-4904-8025-5B38BEEF3183}"/>
    <dgm:cxn modelId="{133CC987-A9A0-4156-AEBD-F1358E70C838}" type="presOf" srcId="{19A5BFAE-AE0D-4BC3-821E-ACDBC402E1F3}" destId="{2261EECA-A4AA-4C81-9B4D-3893A28ED758}" srcOrd="1" destOrd="0" presId="urn:microsoft.com/office/officeart/2005/8/layout/radial1"/>
    <dgm:cxn modelId="{12DDFD3F-EDCE-40CF-AD77-E8F5A3AC9E64}" type="presOf" srcId="{E9A3E352-4E95-497B-A994-2D750C2A9509}" destId="{0C3245EA-B4A2-4A29-A94D-6F5271E8D13D}" srcOrd="1" destOrd="0" presId="urn:microsoft.com/office/officeart/2005/8/layout/radial1"/>
    <dgm:cxn modelId="{9BE302A0-007B-42ED-9ECA-1CD7C31F3322}" type="presOf" srcId="{60F584FC-F7FF-4FD7-86E3-8773293C0460}" destId="{3C7CADF7-0742-432E-9EEF-EA9C347A7661}" srcOrd="0" destOrd="0" presId="urn:microsoft.com/office/officeart/2005/8/layout/radial1"/>
    <dgm:cxn modelId="{F4406860-A7F6-4093-883E-2B6DC0D21911}" type="presOf" srcId="{584F0456-7C88-4E15-A6D5-3DF2BDDC45F2}" destId="{423B6D89-2000-40C7-8429-BD38C7402395}" srcOrd="0" destOrd="0" presId="urn:microsoft.com/office/officeart/2005/8/layout/radial1"/>
    <dgm:cxn modelId="{A8E34D0F-7858-4E48-B269-1065BB7EE765}" type="presParOf" srcId="{4FC73BDC-CE2C-45F4-85CD-F387963DA006}" destId="{3C7CADF7-0742-432E-9EEF-EA9C347A7661}" srcOrd="0" destOrd="0" presId="urn:microsoft.com/office/officeart/2005/8/layout/radial1"/>
    <dgm:cxn modelId="{F0772346-55A9-47A3-9504-B1DD82DFB268}" type="presParOf" srcId="{4FC73BDC-CE2C-45F4-85CD-F387963DA006}" destId="{E887F142-3B93-49E1-A09D-1DCD207D21D1}" srcOrd="1" destOrd="0" presId="urn:microsoft.com/office/officeart/2005/8/layout/radial1"/>
    <dgm:cxn modelId="{97E11E23-18FE-415A-AD78-7372791155FD}" type="presParOf" srcId="{E887F142-3B93-49E1-A09D-1DCD207D21D1}" destId="{0C3245EA-B4A2-4A29-A94D-6F5271E8D13D}" srcOrd="0" destOrd="0" presId="urn:microsoft.com/office/officeart/2005/8/layout/radial1"/>
    <dgm:cxn modelId="{8E49D484-CED1-4164-9E2E-EA46F7220C9A}" type="presParOf" srcId="{4FC73BDC-CE2C-45F4-85CD-F387963DA006}" destId="{3EA08C86-6A87-4381-A9A9-F10D993E2D53}" srcOrd="2" destOrd="0" presId="urn:microsoft.com/office/officeart/2005/8/layout/radial1"/>
    <dgm:cxn modelId="{2D7342F0-F1CC-45EF-BF60-CE8CBCA22828}" type="presParOf" srcId="{4FC73BDC-CE2C-45F4-85CD-F387963DA006}" destId="{00112A8F-12E8-45AC-B551-DFB66BE45059}" srcOrd="3" destOrd="0" presId="urn:microsoft.com/office/officeart/2005/8/layout/radial1"/>
    <dgm:cxn modelId="{684A7724-8701-4359-A67F-358CB29D18A3}" type="presParOf" srcId="{00112A8F-12E8-45AC-B551-DFB66BE45059}" destId="{48B32C5A-7076-4480-B5CB-D9EFDA8D8FDB}" srcOrd="0" destOrd="0" presId="urn:microsoft.com/office/officeart/2005/8/layout/radial1"/>
    <dgm:cxn modelId="{D3D57310-17CE-4823-A7F1-24DB439C6BDB}" type="presParOf" srcId="{4FC73BDC-CE2C-45F4-85CD-F387963DA006}" destId="{423B6D89-2000-40C7-8429-BD38C7402395}" srcOrd="4" destOrd="0" presId="urn:microsoft.com/office/officeart/2005/8/layout/radial1"/>
    <dgm:cxn modelId="{82282F45-23A3-48AB-A06D-3D75B0A098C9}" type="presParOf" srcId="{4FC73BDC-CE2C-45F4-85CD-F387963DA006}" destId="{650854B0-9FE7-4FFD-96B2-18F6452E0859}" srcOrd="5" destOrd="0" presId="urn:microsoft.com/office/officeart/2005/8/layout/radial1"/>
    <dgm:cxn modelId="{2B2C8524-6A1E-4A9D-87CB-48718A249695}" type="presParOf" srcId="{650854B0-9FE7-4FFD-96B2-18F6452E0859}" destId="{7FE108B5-F558-4942-A9EC-465F3C2E5813}" srcOrd="0" destOrd="0" presId="urn:microsoft.com/office/officeart/2005/8/layout/radial1"/>
    <dgm:cxn modelId="{38B229EF-C202-4CCC-9DAD-2209AD1CE90F}" type="presParOf" srcId="{4FC73BDC-CE2C-45F4-85CD-F387963DA006}" destId="{6394B413-6D12-4C4F-9A8D-E0508CAE8617}" srcOrd="6" destOrd="0" presId="urn:microsoft.com/office/officeart/2005/8/layout/radial1"/>
    <dgm:cxn modelId="{18854243-1AF5-4DFA-BE34-9A83463F9ABA}" type="presParOf" srcId="{4FC73BDC-CE2C-45F4-85CD-F387963DA006}" destId="{DEF09AAB-E09E-4486-8914-E37D47E60824}" srcOrd="7" destOrd="0" presId="urn:microsoft.com/office/officeart/2005/8/layout/radial1"/>
    <dgm:cxn modelId="{7D779B97-9E59-4C75-9484-96CDF15A10A2}" type="presParOf" srcId="{DEF09AAB-E09E-4486-8914-E37D47E60824}" destId="{B0514361-30D3-4311-BC21-0743B7F01673}" srcOrd="0" destOrd="0" presId="urn:microsoft.com/office/officeart/2005/8/layout/radial1"/>
    <dgm:cxn modelId="{F9F4CC3E-F070-41DC-B7C8-D5CE28D79B92}" type="presParOf" srcId="{4FC73BDC-CE2C-45F4-85CD-F387963DA006}" destId="{2ED32773-10C9-4671-A0BF-4C0DAB40AE25}" srcOrd="8" destOrd="0" presId="urn:microsoft.com/office/officeart/2005/8/layout/radial1"/>
    <dgm:cxn modelId="{BFB45E07-4400-423F-A622-FF29F374BD85}" type="presParOf" srcId="{4FC73BDC-CE2C-45F4-85CD-F387963DA006}" destId="{06FD983D-3F71-4BCE-AD7F-6DD1041A2F23}" srcOrd="9" destOrd="0" presId="urn:microsoft.com/office/officeart/2005/8/layout/radial1"/>
    <dgm:cxn modelId="{F1B73DEF-7971-4C36-862D-291B43FD05C6}" type="presParOf" srcId="{06FD983D-3F71-4BCE-AD7F-6DD1041A2F23}" destId="{2261EECA-A4AA-4C81-9B4D-3893A28ED758}" srcOrd="0" destOrd="0" presId="urn:microsoft.com/office/officeart/2005/8/layout/radial1"/>
    <dgm:cxn modelId="{A9A308C6-E1D9-4807-8F09-E00C5658A12A}" type="presParOf" srcId="{4FC73BDC-CE2C-45F4-85CD-F387963DA006}" destId="{CFBB929F-8BEB-442D-8D00-28EE1C02C39C}" srcOrd="10" destOrd="0" presId="urn:microsoft.com/office/officeart/2005/8/layout/radial1"/>
  </dgm:cxnLst>
  <dgm:bg/>
  <dgm:whole/>
  <dgm:extLst>
    <a:ext uri="http://schemas.microsoft.com/office/drawing/2008/diagram">
      <dsp:dataModelExt xmlns:dsp="http://schemas.microsoft.com/office/drawing/2008/diagram" relId="rId187"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317171" y="1115542"/>
          <a:ext cx="1159397" cy="37687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561130" y="463946"/>
          <a:ext cx="1085550" cy="55275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1847099">
          <a:off x="1543689" y="1021901"/>
          <a:ext cx="958535"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44FBC2E2-D754-42C1-BEE4-690296442511}">
      <dgm:prSet phldrT="[Text]" custT="1"/>
      <dgm:spPr>
        <a:xfrm>
          <a:off x="99877" y="1044112"/>
          <a:ext cx="1173117" cy="50643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10810348">
          <a:off x="1272977" y="1293318"/>
          <a:ext cx="1044221"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2628F477-2289-4CEE-9618-96DDAFCD4291}">
      <dgm:prSet phldrT="[Text]" custT="1"/>
      <dgm:spPr>
        <a:xfrm>
          <a:off x="648457" y="1571381"/>
          <a:ext cx="1113030" cy="51354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9767176">
          <a:off x="1647997" y="1552156"/>
          <a:ext cx="848235"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C1FA040-4399-40F0-866F-845B7914F68D}">
      <dgm:prSet phldrT="[Text]" custT="1"/>
      <dgm:spPr>
        <a:xfrm>
          <a:off x="1768101" y="1781893"/>
          <a:ext cx="1170235" cy="49707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7608600">
          <a:off x="2453753" y="1632980"/>
          <a:ext cx="382813"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14602118-D739-48CC-85E0-791974AFA995}">
      <dgm:prSet phldrT="[Text]" custT="1"/>
      <dgm:spPr>
        <a:xfrm>
          <a:off x="3098728" y="1721552"/>
          <a:ext cx="1177856" cy="54675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2468713">
          <a:off x="3047787" y="1609704"/>
          <a:ext cx="414779"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B0D84B1-C440-4746-9EEF-F1ED71D64DD2}">
      <dgm:prSet phldrT="[Text]" custT="1"/>
      <dgm:spPr>
        <a:xfrm>
          <a:off x="4201355" y="1520969"/>
          <a:ext cx="982998" cy="41361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796628">
          <a:off x="3353663" y="1513303"/>
          <a:ext cx="922834"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DAE892F-3F2D-42A5-BB1C-58D0E6BD9A47}">
      <dgm:prSet phldrT="[Text]" custT="1"/>
      <dgm:spPr>
        <a:xfrm>
          <a:off x="4506082" y="921257"/>
          <a:ext cx="1104535" cy="5005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المعارف التقليدية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389596">
          <a:off x="3465555" y="1229721"/>
          <a:ext cx="1046488"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F0FE4372-65E6-4D92-B9B0-D2B79F26FB27}">
      <dgm:prSet phldrT="[Text]" custT="1"/>
      <dgm:spPr>
        <a:xfrm>
          <a:off x="4275643" y="424004"/>
          <a:ext cx="867344" cy="4435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402447">
          <a:off x="3249236" y="961526"/>
          <a:ext cx="1140762"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898446A3-EA8C-4C13-8A65-DF8A110D0838}">
      <dgm:prSet phldrT="[Text]" custT="1"/>
      <dgm:spPr>
        <a:xfrm>
          <a:off x="3405252" y="90951"/>
          <a:ext cx="953120" cy="4701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912243">
          <a:off x="2956002" y="823381"/>
          <a:ext cx="835010"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8A5766F-115C-487E-B7CB-4ADE150678D1}">
      <dgm:prSet phldrT="[Text]" custT="1"/>
      <dgm:spPr>
        <a:xfrm>
          <a:off x="2444589" y="544"/>
          <a:ext cx="904562" cy="43467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200000">
          <a:off x="2556707" y="768032"/>
          <a:ext cx="680326"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30FB17EC-C15B-4BC5-A5F8-93316C76A7D4}">
      <dgm:prSet phldrT="[Text]" custT="1"/>
      <dgm:spPr>
        <a:xfrm>
          <a:off x="1402727" y="104005"/>
          <a:ext cx="979966" cy="4701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التحديات العالمية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B9D3332-6506-49A3-B313-03598D7AB1F1}" type="parTrans" cxnId="{D234319B-4C2D-4168-B829-6322CF3AD3F4}">
      <dgm:prSet/>
      <dgm:spPr>
        <a:xfrm rot="13431459">
          <a:off x="1995631" y="830096"/>
          <a:ext cx="831431" cy="14693"/>
        </a:xfrm>
        <a:noFill/>
        <a:ln w="635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BA5F467-8B69-4E2F-97AD-8C76474C75DA}" type="sibTrans" cxnId="{D234319B-4C2D-4168-B829-6322CF3AD3F4}">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46597" custScaleY="80160"/>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1"/>
      <dgm:spPr>
        <a:custGeom>
          <a:avLst/>
          <a:gdLst/>
          <a:ahLst/>
          <a:cxnLst/>
          <a:rect l="0" t="0" r="0" b="0"/>
          <a:pathLst>
            <a:path>
              <a:moveTo>
                <a:pt x="0" y="7346"/>
              </a:moveTo>
              <a:lnTo>
                <a:pt x="680326" y="7346"/>
              </a:lnTo>
            </a:path>
          </a:pathLst>
        </a:custGeom>
      </dgm:spPr>
      <dgm:t>
        <a:bodyPr/>
        <a:lstStyle/>
        <a:p>
          <a:endParaRPr lang="en-US"/>
        </a:p>
      </dgm:t>
    </dgm:pt>
    <dgm:pt modelId="{B06AADB2-5D51-41DC-8677-C0CC2357518B}" type="pres">
      <dgm:prSet presAssocID="{BA28F4A6-AD16-499D-88C1-DBE004B28175}" presName="connTx" presStyleLbl="parChTrans1D2" presStyleIdx="0" presStyleCnt="11"/>
      <dgm:spPr/>
      <dgm:t>
        <a:bodyPr/>
        <a:lstStyle/>
        <a:p>
          <a:endParaRPr lang="en-US"/>
        </a:p>
      </dgm:t>
    </dgm:pt>
    <dgm:pt modelId="{AFD0CC05-9AD4-4A51-8739-4FB4CA1E4ACE}" type="pres">
      <dgm:prSet presAssocID="{68A5766F-115C-487E-B7CB-4ADE150678D1}" presName="node" presStyleLbl="node1" presStyleIdx="0" presStyleCnt="11" custScaleX="192395" custScaleY="92452">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1"/>
      <dgm:spPr>
        <a:custGeom>
          <a:avLst/>
          <a:gdLst/>
          <a:ahLst/>
          <a:cxnLst/>
          <a:rect l="0" t="0" r="0" b="0"/>
          <a:pathLst>
            <a:path>
              <a:moveTo>
                <a:pt x="0" y="7346"/>
              </a:moveTo>
              <a:lnTo>
                <a:pt x="835010" y="7346"/>
              </a:lnTo>
            </a:path>
          </a:pathLst>
        </a:custGeom>
      </dgm:spPr>
      <dgm:t>
        <a:bodyPr/>
        <a:lstStyle/>
        <a:p>
          <a:endParaRPr lang="en-US"/>
        </a:p>
      </dgm:t>
    </dgm:pt>
    <dgm:pt modelId="{A8CF68B1-7D91-429E-8C8D-53007288E1DC}" type="pres">
      <dgm:prSet presAssocID="{DB9FEC62-86A7-454A-89B3-F32F1907C71A}" presName="connTx" presStyleLbl="parChTrans1D2" presStyleIdx="1" presStyleCnt="11"/>
      <dgm:spPr/>
      <dgm:t>
        <a:bodyPr/>
        <a:lstStyle/>
        <a:p>
          <a:endParaRPr lang="en-US"/>
        </a:p>
      </dgm:t>
    </dgm:pt>
    <dgm:pt modelId="{D9366F31-B7D7-4B43-830C-AD5E2193A794}" type="pres">
      <dgm:prSet presAssocID="{898446A3-EA8C-4C13-8A65-DF8A110D0838}" presName="node" presStyleLbl="node1" presStyleIdx="1" presStyleCnt="11" custScaleX="202723" custRadScaleRad="127795" custRadScaleInc="76247">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1"/>
      <dgm:spPr>
        <a:custGeom>
          <a:avLst/>
          <a:gdLst/>
          <a:ahLst/>
          <a:cxnLst/>
          <a:rect l="0" t="0" r="0" b="0"/>
          <a:pathLst>
            <a:path>
              <a:moveTo>
                <a:pt x="0" y="7346"/>
              </a:moveTo>
              <a:lnTo>
                <a:pt x="1140762" y="7346"/>
              </a:lnTo>
            </a:path>
          </a:pathLst>
        </a:custGeom>
      </dgm:spPr>
      <dgm:t>
        <a:bodyPr/>
        <a:lstStyle/>
        <a:p>
          <a:endParaRPr lang="en-US"/>
        </a:p>
      </dgm:t>
    </dgm:pt>
    <dgm:pt modelId="{905DF954-A0B6-4A5F-9CE2-F1C3ADBDD0C1}" type="pres">
      <dgm:prSet presAssocID="{D94B5549-C2D2-4629-ACDF-33C6E334FA3A}" presName="connTx" presStyleLbl="parChTrans1D2" presStyleIdx="2" presStyleCnt="11"/>
      <dgm:spPr/>
      <dgm:t>
        <a:bodyPr/>
        <a:lstStyle/>
        <a:p>
          <a:endParaRPr lang="en-US"/>
        </a:p>
      </dgm:t>
    </dgm:pt>
    <dgm:pt modelId="{ECD2D13D-466C-468B-BD6C-1B646D8E5B8E}" type="pres">
      <dgm:prSet presAssocID="{F0FE4372-65E6-4D92-B9B0-D2B79F26FB27}" presName="node" presStyleLbl="node1" presStyleIdx="2" presStyleCnt="11" custScaleX="184479" custScaleY="94335" custRadScaleRad="177540" custRadScaleInc="28027">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1"/>
      <dgm:spPr>
        <a:custGeom>
          <a:avLst/>
          <a:gdLst/>
          <a:ahLst/>
          <a:cxnLst/>
          <a:rect l="0" t="0" r="0" b="0"/>
          <a:pathLst>
            <a:path>
              <a:moveTo>
                <a:pt x="0" y="7346"/>
              </a:moveTo>
              <a:lnTo>
                <a:pt x="1046488" y="7346"/>
              </a:lnTo>
            </a:path>
          </a:pathLst>
        </a:custGeom>
      </dgm:spPr>
      <dgm:t>
        <a:bodyPr/>
        <a:lstStyle/>
        <a:p>
          <a:endParaRPr lang="en-US"/>
        </a:p>
      </dgm:t>
    </dgm:pt>
    <dgm:pt modelId="{48797E66-4F8B-4B79-BCA7-6F88E85CF835}" type="pres">
      <dgm:prSet presAssocID="{D22DE764-173E-47DF-9480-722F8D8EA62C}" presName="connTx" presStyleLbl="parChTrans1D2" presStyleIdx="3" presStyleCnt="11"/>
      <dgm:spPr/>
      <dgm:t>
        <a:bodyPr/>
        <a:lstStyle/>
        <a:p>
          <a:endParaRPr lang="en-US"/>
        </a:p>
      </dgm:t>
    </dgm:pt>
    <dgm:pt modelId="{7E7DDE23-6C04-407D-AAB6-669511EA704E}" type="pres">
      <dgm:prSet presAssocID="{6DAE892F-3F2D-42A5-BB1C-58D0E6BD9A47}" presName="node" presStyleLbl="node1" presStyleIdx="3" presStyleCnt="11" custScaleX="234928" custScaleY="106461" custRadScaleRad="199386" custRadScaleInc="-71430">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1"/>
      <dgm:spPr>
        <a:custGeom>
          <a:avLst/>
          <a:gdLst/>
          <a:ahLst/>
          <a:cxnLst/>
          <a:rect l="0" t="0" r="0" b="0"/>
          <a:pathLst>
            <a:path>
              <a:moveTo>
                <a:pt x="0" y="7346"/>
              </a:moveTo>
              <a:lnTo>
                <a:pt x="922834" y="7346"/>
              </a:lnTo>
            </a:path>
          </a:pathLst>
        </a:custGeom>
      </dgm:spPr>
      <dgm:t>
        <a:bodyPr/>
        <a:lstStyle/>
        <a:p>
          <a:endParaRPr lang="en-US"/>
        </a:p>
      </dgm:t>
    </dgm:pt>
    <dgm:pt modelId="{0D3BFC0A-5ED4-4CCF-A336-A529B3363890}" type="pres">
      <dgm:prSet presAssocID="{9E510621-404D-46D6-8EB3-39712C8626D4}" presName="connTx" presStyleLbl="parChTrans1D2" presStyleIdx="4" presStyleCnt="11"/>
      <dgm:spPr/>
      <dgm:t>
        <a:bodyPr/>
        <a:lstStyle/>
        <a:p>
          <a:endParaRPr lang="en-US"/>
        </a:p>
      </dgm:t>
    </dgm:pt>
    <dgm:pt modelId="{66DADE40-99AE-41BE-B997-129EED231064}" type="pres">
      <dgm:prSet presAssocID="{DB0D84B1-C440-4746-9EEF-F1ED71D64DD2}" presName="node" presStyleLbl="node1" presStyleIdx="4" presStyleCnt="11" custScaleX="209078" custScaleY="87974" custRadScaleRad="169902" custRadScaleInc="-168862">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1"/>
      <dgm:spPr>
        <a:custGeom>
          <a:avLst/>
          <a:gdLst/>
          <a:ahLst/>
          <a:cxnLst/>
          <a:rect l="0" t="0" r="0" b="0"/>
          <a:pathLst>
            <a:path>
              <a:moveTo>
                <a:pt x="0" y="7346"/>
              </a:moveTo>
              <a:lnTo>
                <a:pt x="414779" y="7346"/>
              </a:lnTo>
            </a:path>
          </a:pathLst>
        </a:custGeom>
      </dgm:spPr>
      <dgm:t>
        <a:bodyPr/>
        <a:lstStyle/>
        <a:p>
          <a:endParaRPr lang="en-US"/>
        </a:p>
      </dgm:t>
    </dgm:pt>
    <dgm:pt modelId="{32B4D7AF-BD29-4AC4-BA11-37F2AE9561F4}" type="pres">
      <dgm:prSet presAssocID="{3F89048A-3F9F-4897-8631-4599F4976029}" presName="connTx" presStyleLbl="parChTrans1D2" presStyleIdx="5" presStyleCnt="11"/>
      <dgm:spPr/>
      <dgm:t>
        <a:bodyPr/>
        <a:lstStyle/>
        <a:p>
          <a:endParaRPr lang="en-US"/>
        </a:p>
      </dgm:t>
    </dgm:pt>
    <dgm:pt modelId="{DB594876-4070-4577-942D-67F5CD4D6A19}" type="pres">
      <dgm:prSet presAssocID="{14602118-D739-48CC-85E0-791974AFA995}" presName="node" presStyleLbl="node1" presStyleIdx="5" presStyleCnt="11" custScaleX="250523" custScaleY="116291" custRadScaleRad="96687" custRadScaleInc="-198557">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1"/>
      <dgm:spPr>
        <a:custGeom>
          <a:avLst/>
          <a:gdLst/>
          <a:ahLst/>
          <a:cxnLst/>
          <a:rect l="0" t="0" r="0" b="0"/>
          <a:pathLst>
            <a:path>
              <a:moveTo>
                <a:pt x="0" y="7346"/>
              </a:moveTo>
              <a:lnTo>
                <a:pt x="382813" y="7346"/>
              </a:lnTo>
            </a:path>
          </a:pathLst>
        </a:custGeom>
      </dgm:spPr>
      <dgm:t>
        <a:bodyPr/>
        <a:lstStyle/>
        <a:p>
          <a:endParaRPr lang="en-US"/>
        </a:p>
      </dgm:t>
    </dgm:pt>
    <dgm:pt modelId="{B930024E-8665-4782-9C41-36517A71FCD4}" type="pres">
      <dgm:prSet presAssocID="{98585C11-761C-43C4-979D-FB1B8BABF102}" presName="connTx" presStyleLbl="parChTrans1D2" presStyleIdx="6" presStyleCnt="11"/>
      <dgm:spPr/>
      <dgm:t>
        <a:bodyPr/>
        <a:lstStyle/>
        <a:p>
          <a:endParaRPr lang="en-US"/>
        </a:p>
      </dgm:t>
    </dgm:pt>
    <dgm:pt modelId="{69F18085-0AC3-4BAE-9B16-F8478FFBD61E}" type="pres">
      <dgm:prSet presAssocID="{7C1FA040-4399-40F0-866F-845B7914F68D}" presName="node" presStyleLbl="node1" presStyleIdx="6" presStyleCnt="11" custScaleX="248902" custScaleY="105725" custRadScaleRad="83542" custRadScaleInc="124950">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1"/>
      <dgm:spPr>
        <a:custGeom>
          <a:avLst/>
          <a:gdLst/>
          <a:ahLst/>
          <a:cxnLst/>
          <a:rect l="0" t="0" r="0" b="0"/>
          <a:pathLst>
            <a:path>
              <a:moveTo>
                <a:pt x="0" y="7346"/>
              </a:moveTo>
              <a:lnTo>
                <a:pt x="848235" y="7346"/>
              </a:lnTo>
            </a:path>
          </a:pathLst>
        </a:custGeom>
      </dgm:spPr>
      <dgm:t>
        <a:bodyPr/>
        <a:lstStyle/>
        <a:p>
          <a:endParaRPr lang="en-US"/>
        </a:p>
      </dgm:t>
    </dgm:pt>
    <dgm:pt modelId="{3EA6B60F-F2E8-4D48-9EC1-CAAE09243949}" type="pres">
      <dgm:prSet presAssocID="{DEF73824-C893-4963-9504-7E97D2FF5253}" presName="connTx" presStyleLbl="parChTrans1D2" presStyleIdx="7" presStyleCnt="11"/>
      <dgm:spPr/>
      <dgm:t>
        <a:bodyPr/>
        <a:lstStyle/>
        <a:p>
          <a:endParaRPr lang="en-US"/>
        </a:p>
      </dgm:t>
    </dgm:pt>
    <dgm:pt modelId="{49C45DFA-0A15-4DAA-80DC-CAE4ABCC6B43}" type="pres">
      <dgm:prSet presAssocID="{2628F477-2289-4CEE-9618-96DDAFCD4291}" presName="node" presStyleLbl="node1" presStyleIdx="7" presStyleCnt="11" custScaleX="236735" custScaleY="109229" custRadScaleRad="163082" custRadScaleInc="144805">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1"/>
      <dgm:spPr>
        <a:custGeom>
          <a:avLst/>
          <a:gdLst/>
          <a:ahLst/>
          <a:cxnLst/>
          <a:rect l="0" t="0" r="0" b="0"/>
          <a:pathLst>
            <a:path>
              <a:moveTo>
                <a:pt x="0" y="7346"/>
              </a:moveTo>
              <a:lnTo>
                <a:pt x="1044221" y="7346"/>
              </a:lnTo>
            </a:path>
          </a:pathLst>
        </a:custGeom>
      </dgm:spPr>
      <dgm:t>
        <a:bodyPr/>
        <a:lstStyle/>
        <a:p>
          <a:endParaRPr lang="en-US"/>
        </a:p>
      </dgm:t>
    </dgm:pt>
    <dgm:pt modelId="{280B3AB5-4999-4B99-8BE9-E09C9DF5D482}" type="pres">
      <dgm:prSet presAssocID="{2F72DDEE-62D3-48A5-836A-4C87596541F0}" presName="connTx" presStyleLbl="parChTrans1D2" presStyleIdx="8" presStyleCnt="11"/>
      <dgm:spPr/>
      <dgm:t>
        <a:bodyPr/>
        <a:lstStyle/>
        <a:p>
          <a:endParaRPr lang="en-US"/>
        </a:p>
      </dgm:t>
    </dgm:pt>
    <dgm:pt modelId="{402B25BB-F397-46B5-AAB7-C38C2276BF82}" type="pres">
      <dgm:prSet presAssocID="{44FBC2E2-D754-42C1-BEE4-690296442511}" presName="node" presStyleLbl="node1" presStyleIdx="8" presStyleCnt="11" custScaleX="249515" custScaleY="107715" custRadScaleRad="203521" custRadScaleInc="51054">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1"/>
      <dgm:spPr>
        <a:custGeom>
          <a:avLst/>
          <a:gdLst/>
          <a:ahLst/>
          <a:cxnLst/>
          <a:rect l="0" t="0" r="0" b="0"/>
          <a:pathLst>
            <a:path>
              <a:moveTo>
                <a:pt x="0" y="7346"/>
              </a:moveTo>
              <a:lnTo>
                <a:pt x="958535" y="7346"/>
              </a:lnTo>
            </a:path>
          </a:pathLst>
        </a:custGeom>
      </dgm:spPr>
      <dgm:t>
        <a:bodyPr/>
        <a:lstStyle/>
        <a:p>
          <a:endParaRPr lang="en-US"/>
        </a:p>
      </dgm:t>
    </dgm:pt>
    <dgm:pt modelId="{A140118B-14B1-45A7-9CF9-17E4D006F84D}" type="pres">
      <dgm:prSet presAssocID="{B4A5C031-92B2-438E-80BC-EAA05F5C7CF7}" presName="connTx" presStyleLbl="parChTrans1D2" presStyleIdx="9" presStyleCnt="11"/>
      <dgm:spPr/>
      <dgm:t>
        <a:bodyPr/>
        <a:lstStyle/>
        <a:p>
          <a:endParaRPr lang="en-US"/>
        </a:p>
      </dgm:t>
    </dgm:pt>
    <dgm:pt modelId="{5AF8D9AC-0C15-4D1B-BCD3-7FFCFF0A581D}" type="pres">
      <dgm:prSet presAssocID="{D460D018-736B-4CE5-A14B-061F8EFE829B}" presName="node" presStyleLbl="node1" presStyleIdx="9" presStyleCnt="11" custScaleX="230890" custScaleY="117568" custRadScaleRad="173048" custRadScaleInc="-43351">
        <dgm:presLayoutVars>
          <dgm:bulletEnabled val="1"/>
        </dgm:presLayoutVars>
      </dgm:prSet>
      <dgm:spPr>
        <a:prstGeom prst="ellipse">
          <a:avLst/>
        </a:prstGeom>
      </dgm:spPr>
      <dgm:t>
        <a:bodyPr/>
        <a:lstStyle/>
        <a:p>
          <a:endParaRPr lang="en-US"/>
        </a:p>
      </dgm:t>
    </dgm:pt>
    <dgm:pt modelId="{EA581F84-B016-4CDB-99D6-9E3DD9F505FC}" type="pres">
      <dgm:prSet presAssocID="{0B9D3332-6506-49A3-B313-03598D7AB1F1}" presName="Name9" presStyleLbl="parChTrans1D2" presStyleIdx="10" presStyleCnt="11"/>
      <dgm:spPr>
        <a:custGeom>
          <a:avLst/>
          <a:gdLst/>
          <a:ahLst/>
          <a:cxnLst/>
          <a:rect l="0" t="0" r="0" b="0"/>
          <a:pathLst>
            <a:path>
              <a:moveTo>
                <a:pt x="0" y="7346"/>
              </a:moveTo>
              <a:lnTo>
                <a:pt x="831431" y="7346"/>
              </a:lnTo>
            </a:path>
          </a:pathLst>
        </a:custGeom>
      </dgm:spPr>
      <dgm:t>
        <a:bodyPr/>
        <a:lstStyle/>
        <a:p>
          <a:endParaRPr lang="en-US"/>
        </a:p>
      </dgm:t>
    </dgm:pt>
    <dgm:pt modelId="{5EA7C01D-B441-4CF8-BC42-1137E519F776}" type="pres">
      <dgm:prSet presAssocID="{0B9D3332-6506-49A3-B313-03598D7AB1F1}" presName="connTx" presStyleLbl="parChTrans1D2" presStyleIdx="10" presStyleCnt="11"/>
      <dgm:spPr/>
      <dgm:t>
        <a:bodyPr/>
        <a:lstStyle/>
        <a:p>
          <a:endParaRPr lang="en-US"/>
        </a:p>
      </dgm:t>
    </dgm:pt>
    <dgm:pt modelId="{0BAA02DA-E841-4BF5-8708-178825E9BEE2}" type="pres">
      <dgm:prSet presAssocID="{30FB17EC-C15B-4BC5-A5F8-93316C76A7D4}" presName="node" presStyleLbl="node1" presStyleIdx="10" presStyleCnt="11" custScaleX="208433" custRadScaleRad="128221" custRadScaleInc="-81981">
        <dgm:presLayoutVars>
          <dgm:bulletEnabled val="1"/>
        </dgm:presLayoutVars>
      </dgm:prSet>
      <dgm:spPr>
        <a:prstGeom prst="ellipse">
          <a:avLst/>
        </a:prstGeom>
      </dgm:spPr>
      <dgm:t>
        <a:bodyPr/>
        <a:lstStyle/>
        <a:p>
          <a:endParaRPr lang="en-US"/>
        </a:p>
      </dgm:t>
    </dgm:pt>
  </dgm:ptLst>
  <dgm:cxnLst>
    <dgm:cxn modelId="{6CDC39F7-9BF7-46E0-8F80-393334AFB1C8}" type="presOf" srcId="{D981426F-5B7B-4AA5-957A-6E8C9E1A2487}" destId="{9D8B49BD-1DF7-4888-9A7E-2CFD4320CC2B}" srcOrd="0" destOrd="0" presId="urn:microsoft.com/office/officeart/2005/8/layout/radial1"/>
    <dgm:cxn modelId="{26401A08-4A51-45D3-A4FF-76772F9AE7DE}" type="presOf" srcId="{9E510621-404D-46D6-8EB3-39712C8626D4}" destId="{DC281168-2DBC-4CFB-B21D-C54E9628B383}" srcOrd="0" destOrd="0" presId="urn:microsoft.com/office/officeart/2005/8/layout/radial1"/>
    <dgm:cxn modelId="{1DE19809-C28B-4755-A990-3D32B5B86D08}" type="presOf" srcId="{0B9D3332-6506-49A3-B313-03598D7AB1F1}" destId="{5EA7C01D-B441-4CF8-BC42-1137E519F776}" srcOrd="1" destOrd="0" presId="urn:microsoft.com/office/officeart/2005/8/layout/radial1"/>
    <dgm:cxn modelId="{FE1169E0-24DF-4FBB-A1C9-8F332C85663A}" srcId="{A7516A72-1FC0-46ED-AAC4-AF0F7063F737}" destId="{6DAE892F-3F2D-42A5-BB1C-58D0E6BD9A47}" srcOrd="3" destOrd="0" parTransId="{D22DE764-173E-47DF-9480-722F8D8EA62C}" sibTransId="{28BD2EB6-8814-456D-B684-C7C0E2C0705F}"/>
    <dgm:cxn modelId="{E8A5F4B5-2DE9-4E46-94BC-1E6759FA5E27}" type="presOf" srcId="{44FBC2E2-D754-42C1-BEE4-690296442511}" destId="{402B25BB-F397-46B5-AAB7-C38C2276BF82}" srcOrd="0" destOrd="0" presId="urn:microsoft.com/office/officeart/2005/8/layout/radial1"/>
    <dgm:cxn modelId="{7438D60F-DD5C-4101-A7F7-F84DE2E4465D}" type="presOf" srcId="{A7516A72-1FC0-46ED-AAC4-AF0F7063F737}" destId="{493DA7EC-5D69-41B7-92E4-ED7ED9F48883}" srcOrd="0" destOrd="0" presId="urn:microsoft.com/office/officeart/2005/8/layout/radial1"/>
    <dgm:cxn modelId="{06D1ED6B-6FA1-4F1F-BD72-AAE2BA1C363B}" type="presOf" srcId="{F0FE4372-65E6-4D92-B9B0-D2B79F26FB27}" destId="{ECD2D13D-466C-468B-BD6C-1B646D8E5B8E}" srcOrd="0" destOrd="0" presId="urn:microsoft.com/office/officeart/2005/8/layout/radial1"/>
    <dgm:cxn modelId="{DA28D596-4AE3-4F6E-942F-41BAEF8869A4}" type="presOf" srcId="{3F89048A-3F9F-4897-8631-4599F4976029}" destId="{32B4D7AF-BD29-4AC4-BA11-37F2AE9561F4}" srcOrd="1" destOrd="0" presId="urn:microsoft.com/office/officeart/2005/8/layout/radial1"/>
    <dgm:cxn modelId="{EA8C7DBE-303F-4679-8F28-D6154343123A}" type="presOf" srcId="{D94B5549-C2D2-4629-ACDF-33C6E334FA3A}" destId="{905DF954-A0B6-4A5F-9CE2-F1C3ADBDD0C1}" srcOrd="1" destOrd="0" presId="urn:microsoft.com/office/officeart/2005/8/layout/radial1"/>
    <dgm:cxn modelId="{ED031E9A-024E-4965-8025-E3E8C513A048}" type="presOf" srcId="{DEF73824-C893-4963-9504-7E97D2FF5253}" destId="{3EA6B60F-F2E8-4D48-9EC1-CAAE09243949}" srcOrd="1" destOrd="0" presId="urn:microsoft.com/office/officeart/2005/8/layout/radial1"/>
    <dgm:cxn modelId="{4CC06061-5EFD-4D2C-8FD1-737B8F12D67D}" type="presOf" srcId="{B4A5C031-92B2-438E-80BC-EAA05F5C7CF7}" destId="{EFB9CB5A-411C-454B-96B1-9ED988829CBE}" srcOrd="0" destOrd="0" presId="urn:microsoft.com/office/officeart/2005/8/layout/radial1"/>
    <dgm:cxn modelId="{2B93DD1F-A809-4F8F-A973-9CB1773B728B}" type="presOf" srcId="{98585C11-761C-43C4-979D-FB1B8BABF102}" destId="{E49C447F-3477-4311-B10B-FFFA7DE7209F}" srcOrd="0" destOrd="0" presId="urn:microsoft.com/office/officeart/2005/8/layout/radial1"/>
    <dgm:cxn modelId="{33ED15C5-1A86-4B0E-9DED-F4CD16825E77}" type="presOf" srcId="{B4A5C031-92B2-438E-80BC-EAA05F5C7CF7}" destId="{A140118B-14B1-45A7-9CF9-17E4D006F84D}" srcOrd="1" destOrd="0" presId="urn:microsoft.com/office/officeart/2005/8/layout/radial1"/>
    <dgm:cxn modelId="{D00A1402-F5FE-4F84-BE7A-872143F2BDE9}" type="presOf" srcId="{DB0D84B1-C440-4746-9EEF-F1ED71D64DD2}" destId="{66DADE40-99AE-41BE-B997-129EED231064}" srcOrd="0" destOrd="0" presId="urn:microsoft.com/office/officeart/2005/8/layout/radial1"/>
    <dgm:cxn modelId="{D234319B-4C2D-4168-B829-6322CF3AD3F4}" srcId="{A7516A72-1FC0-46ED-AAC4-AF0F7063F737}" destId="{30FB17EC-C15B-4BC5-A5F8-93316C76A7D4}" srcOrd="10" destOrd="0" parTransId="{0B9D3332-6506-49A3-B313-03598D7AB1F1}" sibTransId="{CBA5F467-8B69-4E2F-97AD-8C76474C75DA}"/>
    <dgm:cxn modelId="{08F8550F-66F7-43A3-B5D7-2CCCA9495D76}" type="presOf" srcId="{DB9FEC62-86A7-454A-89B3-F32F1907C71A}" destId="{34515D96-C834-4D67-AF5C-3B293601CBC3}" srcOrd="0"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ECE49355-9FAD-419A-8E6D-A46D54A34DB0}" type="presOf" srcId="{98585C11-761C-43C4-979D-FB1B8BABF102}" destId="{B930024E-8665-4782-9C41-36517A71FCD4}" srcOrd="1" destOrd="0" presId="urn:microsoft.com/office/officeart/2005/8/layout/radial1"/>
    <dgm:cxn modelId="{3532B659-ACFD-4325-AD59-FCFB194B0531}" type="presOf" srcId="{0B9D3332-6506-49A3-B313-03598D7AB1F1}" destId="{EA581F84-B016-4CDB-99D6-9E3DD9F505FC}" srcOrd="0" destOrd="0" presId="urn:microsoft.com/office/officeart/2005/8/layout/radial1"/>
    <dgm:cxn modelId="{4B58E850-9236-4C49-A3B9-CD51CA52C48E}" type="presOf" srcId="{BA28F4A6-AD16-499D-88C1-DBE004B28175}" destId="{E6ACA703-0949-41B3-BE6B-C702E5C7275F}" srcOrd="0" destOrd="0" presId="urn:microsoft.com/office/officeart/2005/8/layout/radial1"/>
    <dgm:cxn modelId="{1EEAD628-303E-422D-9598-9D00070C6F0D}" type="presOf" srcId="{68A5766F-115C-487E-B7CB-4ADE150678D1}" destId="{AFD0CC05-9AD4-4A51-8739-4FB4CA1E4ACE}" srcOrd="0" destOrd="0" presId="urn:microsoft.com/office/officeart/2005/8/layout/radial1"/>
    <dgm:cxn modelId="{278AD766-1B4D-4362-BDB8-B19EEF2F4943}" type="presOf" srcId="{6DAE892F-3F2D-42A5-BB1C-58D0E6BD9A47}" destId="{7E7DDE23-6C04-407D-AAB6-669511EA704E}" srcOrd="0" destOrd="0" presId="urn:microsoft.com/office/officeart/2005/8/layout/radial1"/>
    <dgm:cxn modelId="{E560496A-C259-4093-9AC6-468DCF60D494}" type="presOf" srcId="{30FB17EC-C15B-4BC5-A5F8-93316C76A7D4}" destId="{0BAA02DA-E841-4BF5-8708-178825E9BEE2}"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996B9653-906A-49F8-9E4B-3836F7905D4E}" srcId="{D981426F-5B7B-4AA5-957A-6E8C9E1A2487}" destId="{A7516A72-1FC0-46ED-AAC4-AF0F7063F737}" srcOrd="0" destOrd="0" parTransId="{D9E0AFEB-65B5-4280-ADD0-766B3ADA6CFD}" sibTransId="{6B1EB84D-437E-47A1-87CB-9027EE716AD0}"/>
    <dgm:cxn modelId="{395E2C81-B566-4C05-8D2E-DD84FF8913E1}" type="presOf" srcId="{7C1FA040-4399-40F0-866F-845B7914F68D}" destId="{69F18085-0AC3-4BAE-9B16-F8478FFBD61E}" srcOrd="0"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345C13DF-1D3F-4982-AF23-DC2641540559}" srcId="{A7516A72-1FC0-46ED-AAC4-AF0F7063F737}" destId="{7C1FA040-4399-40F0-866F-845B7914F68D}" srcOrd="6" destOrd="0" parTransId="{98585C11-761C-43C4-979D-FB1B8BABF102}" sibTransId="{82A7CC90-6A4C-422A-B221-BA4CF5B4D442}"/>
    <dgm:cxn modelId="{49D333DF-150E-41AE-9170-FC8A9AE4A0C3}" type="presOf" srcId="{D94B5549-C2D2-4629-ACDF-33C6E334FA3A}" destId="{3F0F15B6-4D5A-493B-B03E-AE8141DC3DCE}" srcOrd="0" destOrd="0" presId="urn:microsoft.com/office/officeart/2005/8/layout/radial1"/>
    <dgm:cxn modelId="{C827535F-F2B9-454A-A570-14DB65B78195}" type="presOf" srcId="{9E510621-404D-46D6-8EB3-39712C8626D4}" destId="{0D3BFC0A-5ED4-4CCF-A336-A529B3363890}" srcOrd="1"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62726A2A-4E59-4EA7-90F2-C400D80E09F2}" type="presOf" srcId="{DB9FEC62-86A7-454A-89B3-F32F1907C71A}" destId="{A8CF68B1-7D91-429E-8C8D-53007288E1DC}" srcOrd="1" destOrd="0" presId="urn:microsoft.com/office/officeart/2005/8/layout/radial1"/>
    <dgm:cxn modelId="{16BFF9E1-501B-48AE-86A7-48193CB335C4}" type="presOf" srcId="{D22DE764-173E-47DF-9480-722F8D8EA62C}" destId="{48797E66-4F8B-4B79-BCA7-6F88E85CF835}" srcOrd="1" destOrd="0" presId="urn:microsoft.com/office/officeart/2005/8/layout/radial1"/>
    <dgm:cxn modelId="{E5DD3C3F-F401-46C8-9D1F-CEE8478EFA81}" srcId="{A7516A72-1FC0-46ED-AAC4-AF0F7063F737}" destId="{2628F477-2289-4CEE-9618-96DDAFCD4291}" srcOrd="7" destOrd="0" parTransId="{DEF73824-C893-4963-9504-7E97D2FF5253}" sibTransId="{6D6ABE48-6FEB-4EAA-849C-585AC08FCF5B}"/>
    <dgm:cxn modelId="{27DDFEAB-7B45-49A3-9C8A-21588E804206}" type="presOf" srcId="{2628F477-2289-4CEE-9618-96DDAFCD4291}" destId="{49C45DFA-0A15-4DAA-80DC-CAE4ABCC6B43}" srcOrd="0" destOrd="0" presId="urn:microsoft.com/office/officeart/2005/8/layout/radial1"/>
    <dgm:cxn modelId="{1229807D-6A59-498C-A707-9DD6CEEA0C8D}" srcId="{A7516A72-1FC0-46ED-AAC4-AF0F7063F737}" destId="{F0FE4372-65E6-4D92-B9B0-D2B79F26FB27}" srcOrd="2" destOrd="0" parTransId="{D94B5549-C2D2-4629-ACDF-33C6E334FA3A}" sibTransId="{E2B06661-55BE-4022-AD18-067DB2509F93}"/>
    <dgm:cxn modelId="{248DF299-A971-4463-8768-29025129BA15}" type="presOf" srcId="{3F89048A-3F9F-4897-8631-4599F4976029}" destId="{4DF1B0BE-A63A-4BEA-9EE5-4168481CC99E}" srcOrd="0" destOrd="0" presId="urn:microsoft.com/office/officeart/2005/8/layout/radial1"/>
    <dgm:cxn modelId="{ADA936F7-8F7C-440C-BF63-9012D5EF7625}" type="presOf" srcId="{2F72DDEE-62D3-48A5-836A-4C87596541F0}" destId="{7B59CB2C-C82F-41EE-B3CF-ADD4878ADBA6}" srcOrd="0" destOrd="0" presId="urn:microsoft.com/office/officeart/2005/8/layout/radial1"/>
    <dgm:cxn modelId="{89C89195-C62A-4F03-AFB1-74287B573DFF}" type="presOf" srcId="{D460D018-736B-4CE5-A14B-061F8EFE829B}" destId="{5AF8D9AC-0C15-4D1B-BCD3-7FFCFF0A581D}" srcOrd="0" destOrd="0" presId="urn:microsoft.com/office/officeart/2005/8/layout/radial1"/>
    <dgm:cxn modelId="{10BFE82B-B422-41E2-A3AD-4B4961E2EB96}" type="presOf" srcId="{898446A3-EA8C-4C13-8A65-DF8A110D0838}" destId="{D9366F31-B7D7-4B43-830C-AD5E2193A794}" srcOrd="0" destOrd="0" presId="urn:microsoft.com/office/officeart/2005/8/layout/radial1"/>
    <dgm:cxn modelId="{D3CFD05C-A25F-42BF-9E19-6B97CBF1679F}" type="presOf" srcId="{DEF73824-C893-4963-9504-7E97D2FF5253}" destId="{FCC14444-D5E7-4E9C-B980-A27CD799E442}" srcOrd="0"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EE52F719-2CC1-4AC9-AFB5-2503F8667CE1}" type="presOf" srcId="{14602118-D739-48CC-85E0-791974AFA995}" destId="{DB594876-4070-4577-942D-67F5CD4D6A19}" srcOrd="0" destOrd="0" presId="urn:microsoft.com/office/officeart/2005/8/layout/radial1"/>
    <dgm:cxn modelId="{180B3F00-680C-47EE-B01F-1C8BD1BAE33B}" type="presOf" srcId="{BA28F4A6-AD16-499D-88C1-DBE004B28175}" destId="{B06AADB2-5D51-41DC-8677-C0CC2357518B}" srcOrd="1"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9C254D3F-9834-4CA2-9F7F-9BD9A4E3CC3C}" type="presOf" srcId="{2F72DDEE-62D3-48A5-836A-4C87596541F0}" destId="{280B3AB5-4999-4B99-8BE9-E09C9DF5D482}" srcOrd="1" destOrd="0" presId="urn:microsoft.com/office/officeart/2005/8/layout/radial1"/>
    <dgm:cxn modelId="{392AC5BF-AF6E-40C5-9255-688E41248389}" type="presOf" srcId="{D22DE764-173E-47DF-9480-722F8D8EA62C}" destId="{5CF8296B-0142-429D-A71A-20799D2EB74B}" srcOrd="0" destOrd="0" presId="urn:microsoft.com/office/officeart/2005/8/layout/radial1"/>
    <dgm:cxn modelId="{53326BF8-9A38-4723-A2DF-E5AA31D9CCF2}" type="presParOf" srcId="{9D8B49BD-1DF7-4888-9A7E-2CFD4320CC2B}" destId="{493DA7EC-5D69-41B7-92E4-ED7ED9F48883}" srcOrd="0" destOrd="0" presId="urn:microsoft.com/office/officeart/2005/8/layout/radial1"/>
    <dgm:cxn modelId="{EC51A984-5AB2-4412-BA90-17225D732AF4}" type="presParOf" srcId="{9D8B49BD-1DF7-4888-9A7E-2CFD4320CC2B}" destId="{E6ACA703-0949-41B3-BE6B-C702E5C7275F}" srcOrd="1" destOrd="0" presId="urn:microsoft.com/office/officeart/2005/8/layout/radial1"/>
    <dgm:cxn modelId="{E2E7D318-6332-45AF-A265-AAF011FB1D0D}" type="presParOf" srcId="{E6ACA703-0949-41B3-BE6B-C702E5C7275F}" destId="{B06AADB2-5D51-41DC-8677-C0CC2357518B}" srcOrd="0" destOrd="0" presId="urn:microsoft.com/office/officeart/2005/8/layout/radial1"/>
    <dgm:cxn modelId="{8E5D23B6-227F-45F3-8C23-3CC16EAD0A0C}" type="presParOf" srcId="{9D8B49BD-1DF7-4888-9A7E-2CFD4320CC2B}" destId="{AFD0CC05-9AD4-4A51-8739-4FB4CA1E4ACE}" srcOrd="2" destOrd="0" presId="urn:microsoft.com/office/officeart/2005/8/layout/radial1"/>
    <dgm:cxn modelId="{55358838-B0C5-406E-8076-5520FDCA413F}" type="presParOf" srcId="{9D8B49BD-1DF7-4888-9A7E-2CFD4320CC2B}" destId="{34515D96-C834-4D67-AF5C-3B293601CBC3}" srcOrd="3" destOrd="0" presId="urn:microsoft.com/office/officeart/2005/8/layout/radial1"/>
    <dgm:cxn modelId="{5BAEE4D9-36F8-44E6-A8E7-FC3FC0083C56}" type="presParOf" srcId="{34515D96-C834-4D67-AF5C-3B293601CBC3}" destId="{A8CF68B1-7D91-429E-8C8D-53007288E1DC}" srcOrd="0" destOrd="0" presId="urn:microsoft.com/office/officeart/2005/8/layout/radial1"/>
    <dgm:cxn modelId="{8877CB9F-F41C-4F79-923E-EDF4B9CDB407}" type="presParOf" srcId="{9D8B49BD-1DF7-4888-9A7E-2CFD4320CC2B}" destId="{D9366F31-B7D7-4B43-830C-AD5E2193A794}" srcOrd="4" destOrd="0" presId="urn:microsoft.com/office/officeart/2005/8/layout/radial1"/>
    <dgm:cxn modelId="{7987295B-DAAA-4B3D-A38B-444CF86D7107}" type="presParOf" srcId="{9D8B49BD-1DF7-4888-9A7E-2CFD4320CC2B}" destId="{3F0F15B6-4D5A-493B-B03E-AE8141DC3DCE}" srcOrd="5" destOrd="0" presId="urn:microsoft.com/office/officeart/2005/8/layout/radial1"/>
    <dgm:cxn modelId="{30B9C582-7399-4D3C-B429-002B1D816D20}" type="presParOf" srcId="{3F0F15B6-4D5A-493B-B03E-AE8141DC3DCE}" destId="{905DF954-A0B6-4A5F-9CE2-F1C3ADBDD0C1}" srcOrd="0" destOrd="0" presId="urn:microsoft.com/office/officeart/2005/8/layout/radial1"/>
    <dgm:cxn modelId="{8697C95B-86DD-4E77-B6B8-343426769644}" type="presParOf" srcId="{9D8B49BD-1DF7-4888-9A7E-2CFD4320CC2B}" destId="{ECD2D13D-466C-468B-BD6C-1B646D8E5B8E}" srcOrd="6" destOrd="0" presId="urn:microsoft.com/office/officeart/2005/8/layout/radial1"/>
    <dgm:cxn modelId="{198DE570-2F02-423E-96E1-F1653423C5D6}" type="presParOf" srcId="{9D8B49BD-1DF7-4888-9A7E-2CFD4320CC2B}" destId="{5CF8296B-0142-429D-A71A-20799D2EB74B}" srcOrd="7" destOrd="0" presId="urn:microsoft.com/office/officeart/2005/8/layout/radial1"/>
    <dgm:cxn modelId="{3F0D506D-A2B6-4D5F-94E2-D7AAD3ACBB4A}" type="presParOf" srcId="{5CF8296B-0142-429D-A71A-20799D2EB74B}" destId="{48797E66-4F8B-4B79-BCA7-6F88E85CF835}" srcOrd="0" destOrd="0" presId="urn:microsoft.com/office/officeart/2005/8/layout/radial1"/>
    <dgm:cxn modelId="{C2B8C1E6-A400-4937-8BB4-344F195CE5C7}" type="presParOf" srcId="{9D8B49BD-1DF7-4888-9A7E-2CFD4320CC2B}" destId="{7E7DDE23-6C04-407D-AAB6-669511EA704E}" srcOrd="8" destOrd="0" presId="urn:microsoft.com/office/officeart/2005/8/layout/radial1"/>
    <dgm:cxn modelId="{6C736A11-F0B3-44F6-BF5F-CF8061233281}" type="presParOf" srcId="{9D8B49BD-1DF7-4888-9A7E-2CFD4320CC2B}" destId="{DC281168-2DBC-4CFB-B21D-C54E9628B383}" srcOrd="9" destOrd="0" presId="urn:microsoft.com/office/officeart/2005/8/layout/radial1"/>
    <dgm:cxn modelId="{CFAFE135-416E-4ED7-A490-75177046D284}" type="presParOf" srcId="{DC281168-2DBC-4CFB-B21D-C54E9628B383}" destId="{0D3BFC0A-5ED4-4CCF-A336-A529B3363890}" srcOrd="0" destOrd="0" presId="urn:microsoft.com/office/officeart/2005/8/layout/radial1"/>
    <dgm:cxn modelId="{C6D9E367-1BAA-4351-B111-A8EB56D79FAA}" type="presParOf" srcId="{9D8B49BD-1DF7-4888-9A7E-2CFD4320CC2B}" destId="{66DADE40-99AE-41BE-B997-129EED231064}" srcOrd="10" destOrd="0" presId="urn:microsoft.com/office/officeart/2005/8/layout/radial1"/>
    <dgm:cxn modelId="{E570696E-9767-410B-8E4E-60A751386B45}" type="presParOf" srcId="{9D8B49BD-1DF7-4888-9A7E-2CFD4320CC2B}" destId="{4DF1B0BE-A63A-4BEA-9EE5-4168481CC99E}" srcOrd="11" destOrd="0" presId="urn:microsoft.com/office/officeart/2005/8/layout/radial1"/>
    <dgm:cxn modelId="{56479DC1-8003-4B94-83F4-A02976DB84ED}" type="presParOf" srcId="{4DF1B0BE-A63A-4BEA-9EE5-4168481CC99E}" destId="{32B4D7AF-BD29-4AC4-BA11-37F2AE9561F4}" srcOrd="0" destOrd="0" presId="urn:microsoft.com/office/officeart/2005/8/layout/radial1"/>
    <dgm:cxn modelId="{B58E51AF-BB3F-4210-9ED8-22120CF6BC53}" type="presParOf" srcId="{9D8B49BD-1DF7-4888-9A7E-2CFD4320CC2B}" destId="{DB594876-4070-4577-942D-67F5CD4D6A19}" srcOrd="12" destOrd="0" presId="urn:microsoft.com/office/officeart/2005/8/layout/radial1"/>
    <dgm:cxn modelId="{3D2325B8-390A-44A8-BBA3-F1202A141374}" type="presParOf" srcId="{9D8B49BD-1DF7-4888-9A7E-2CFD4320CC2B}" destId="{E49C447F-3477-4311-B10B-FFFA7DE7209F}" srcOrd="13" destOrd="0" presId="urn:microsoft.com/office/officeart/2005/8/layout/radial1"/>
    <dgm:cxn modelId="{A74CE80E-25C4-4AA9-AD87-45B1FF5D0CCD}" type="presParOf" srcId="{E49C447F-3477-4311-B10B-FFFA7DE7209F}" destId="{B930024E-8665-4782-9C41-36517A71FCD4}" srcOrd="0" destOrd="0" presId="urn:microsoft.com/office/officeart/2005/8/layout/radial1"/>
    <dgm:cxn modelId="{6BAE410F-75CF-4A9B-989F-510A48ED849D}" type="presParOf" srcId="{9D8B49BD-1DF7-4888-9A7E-2CFD4320CC2B}" destId="{69F18085-0AC3-4BAE-9B16-F8478FFBD61E}" srcOrd="14" destOrd="0" presId="urn:microsoft.com/office/officeart/2005/8/layout/radial1"/>
    <dgm:cxn modelId="{6F55A82B-5768-4200-A916-19A04F51C29C}" type="presParOf" srcId="{9D8B49BD-1DF7-4888-9A7E-2CFD4320CC2B}" destId="{FCC14444-D5E7-4E9C-B980-A27CD799E442}" srcOrd="15" destOrd="0" presId="urn:microsoft.com/office/officeart/2005/8/layout/radial1"/>
    <dgm:cxn modelId="{8790FF26-4CEF-4B14-8378-24B1AA9C1585}" type="presParOf" srcId="{FCC14444-D5E7-4E9C-B980-A27CD799E442}" destId="{3EA6B60F-F2E8-4D48-9EC1-CAAE09243949}" srcOrd="0" destOrd="0" presId="urn:microsoft.com/office/officeart/2005/8/layout/radial1"/>
    <dgm:cxn modelId="{D5592132-6EB3-4030-96E4-46740B81D3CE}" type="presParOf" srcId="{9D8B49BD-1DF7-4888-9A7E-2CFD4320CC2B}" destId="{49C45DFA-0A15-4DAA-80DC-CAE4ABCC6B43}" srcOrd="16" destOrd="0" presId="urn:microsoft.com/office/officeart/2005/8/layout/radial1"/>
    <dgm:cxn modelId="{000BD1EE-4499-4BFF-9A39-06C127DD6C81}" type="presParOf" srcId="{9D8B49BD-1DF7-4888-9A7E-2CFD4320CC2B}" destId="{7B59CB2C-C82F-41EE-B3CF-ADD4878ADBA6}" srcOrd="17" destOrd="0" presId="urn:microsoft.com/office/officeart/2005/8/layout/radial1"/>
    <dgm:cxn modelId="{D261B338-6812-4B39-ABD5-B1C4CD2D5316}" type="presParOf" srcId="{7B59CB2C-C82F-41EE-B3CF-ADD4878ADBA6}" destId="{280B3AB5-4999-4B99-8BE9-E09C9DF5D482}" srcOrd="0" destOrd="0" presId="urn:microsoft.com/office/officeart/2005/8/layout/radial1"/>
    <dgm:cxn modelId="{2D179F70-BBA6-46B4-B42F-F397C2693B87}" type="presParOf" srcId="{9D8B49BD-1DF7-4888-9A7E-2CFD4320CC2B}" destId="{402B25BB-F397-46B5-AAB7-C38C2276BF82}" srcOrd="18" destOrd="0" presId="urn:microsoft.com/office/officeart/2005/8/layout/radial1"/>
    <dgm:cxn modelId="{54016A1C-96F6-4FAC-ACDB-F985E8E41446}" type="presParOf" srcId="{9D8B49BD-1DF7-4888-9A7E-2CFD4320CC2B}" destId="{EFB9CB5A-411C-454B-96B1-9ED988829CBE}" srcOrd="19" destOrd="0" presId="urn:microsoft.com/office/officeart/2005/8/layout/radial1"/>
    <dgm:cxn modelId="{8557B1EC-961F-4CAC-B7CA-94130DD8BFE2}" type="presParOf" srcId="{EFB9CB5A-411C-454B-96B1-9ED988829CBE}" destId="{A140118B-14B1-45A7-9CF9-17E4D006F84D}" srcOrd="0" destOrd="0" presId="urn:microsoft.com/office/officeart/2005/8/layout/radial1"/>
    <dgm:cxn modelId="{9E336478-35FB-4AFD-8076-F6CB74949B64}" type="presParOf" srcId="{9D8B49BD-1DF7-4888-9A7E-2CFD4320CC2B}" destId="{5AF8D9AC-0C15-4D1B-BCD3-7FFCFF0A581D}" srcOrd="20" destOrd="0" presId="urn:microsoft.com/office/officeart/2005/8/layout/radial1"/>
    <dgm:cxn modelId="{FBD78E0F-8811-44F8-966E-04E24B604C94}" type="presParOf" srcId="{9D8B49BD-1DF7-4888-9A7E-2CFD4320CC2B}" destId="{EA581F84-B016-4CDB-99D6-9E3DD9F505FC}" srcOrd="21" destOrd="0" presId="urn:microsoft.com/office/officeart/2005/8/layout/radial1"/>
    <dgm:cxn modelId="{AF6BDF47-AD2D-4DF9-A45B-CCAE794FD166}" type="presParOf" srcId="{EA581F84-B016-4CDB-99D6-9E3DD9F505FC}" destId="{5EA7C01D-B441-4CF8-BC42-1137E519F776}" srcOrd="0" destOrd="0" presId="urn:microsoft.com/office/officeart/2005/8/layout/radial1"/>
    <dgm:cxn modelId="{2C32B8A9-D0F5-46D5-B17E-08AFEA9FB65A}" type="presParOf" srcId="{9D8B49BD-1DF7-4888-9A7E-2CFD4320CC2B}" destId="{0BAA02DA-E841-4BF5-8708-178825E9BEE2}" srcOrd="22" destOrd="0" presId="urn:microsoft.com/office/officeart/2005/8/layout/radial1"/>
  </dgm:cxnLst>
  <dgm:bg>
    <a:noFill/>
  </dgm:bg>
  <dgm:whole/>
  <dgm:extLst>
    <a:ext uri="http://schemas.microsoft.com/office/drawing/2008/diagram">
      <dsp:dataModelExt xmlns:dsp="http://schemas.microsoft.com/office/drawing/2008/diagram" relId="rId19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61096" y="600989"/>
          <a:ext cx="1103797" cy="34533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SA"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4644688" y="556667"/>
          <a:ext cx="1043844" cy="4265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21594334">
          <a:off x="3464885" y="766378"/>
          <a:ext cx="1179808" cy="10791"/>
        </a:xfrm>
        <a:custGeom>
          <a:avLst/>
          <a:gdLst/>
          <a:ahLst/>
          <a:cxnLst/>
          <a:rect l="0" t="0" r="0" b="0"/>
          <a:pathLst>
            <a:path>
              <a:moveTo>
                <a:pt x="0" y="5395"/>
              </a:moveTo>
              <a:lnTo>
                <a:pt x="1258892"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46269" y="98244"/>
          <a:ext cx="1335474" cy="4081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0484300">
          <a:off x="3272956" y="544884"/>
          <a:ext cx="607960" cy="10791"/>
        </a:xfrm>
        <a:custGeom>
          <a:avLst/>
          <a:gdLst/>
          <a:ahLst/>
          <a:cxnLst/>
          <a:rect l="0" t="0" r="0" b="0"/>
          <a:pathLst>
            <a:path>
              <a:moveTo>
                <a:pt x="0" y="5395"/>
              </a:moveTo>
              <a:lnTo>
                <a:pt x="653366"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480061" y="-16033"/>
          <a:ext cx="876195" cy="4105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30375">
          <a:off x="2812178" y="492344"/>
          <a:ext cx="206508" cy="10791"/>
        </a:xfrm>
        <a:custGeom>
          <a:avLst/>
          <a:gdLst/>
          <a:ahLst/>
          <a:cxnLst/>
          <a:rect l="0" t="0" r="0" b="0"/>
          <a:pathLst>
            <a:path>
              <a:moveTo>
                <a:pt x="0" y="5395"/>
              </a:moveTo>
              <a:lnTo>
                <a:pt x="225111"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88B3AC-9EBC-4ABD-B45F-EC2EC96E416C}">
      <dgm:prSet phldrT="[Text]" custT="1"/>
      <dgm:spPr>
        <a:xfrm>
          <a:off x="3688839" y="932078"/>
          <a:ext cx="1194578" cy="5179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B888D51-F36E-4A1A-AD65-530BDC7DD332}" type="parTrans" cxnId="{30B1AEB8-2F43-40DB-908B-C80EAFA6DFC6}">
      <dgm:prSet/>
      <dgm:spPr>
        <a:xfrm rot="1014511">
          <a:off x="3297789" y="962793"/>
          <a:ext cx="510293" cy="10791"/>
        </a:xfrm>
        <a:custGeom>
          <a:avLst/>
          <a:gdLst/>
          <a:ahLst/>
          <a:cxnLst/>
          <a:rect l="0" t="0" r="0" b="0"/>
          <a:pathLst>
            <a:path>
              <a:moveTo>
                <a:pt x="0" y="5395"/>
              </a:moveTo>
              <a:lnTo>
                <a:pt x="667894"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4ABB19A-0DAA-4029-A8CB-922DC7035BE3}" type="sibTrans" cxnId="{30B1AEB8-2F43-40DB-908B-C80EAFA6DFC6}">
      <dgm:prSet/>
      <dgm:spPr/>
      <dgm:t>
        <a:bodyPr/>
        <a:lstStyle/>
        <a:p>
          <a:endParaRPr lang="en-US"/>
        </a:p>
      </dgm:t>
    </dgm:pt>
    <dgm:pt modelId="{1ED1F83B-CD97-4E51-9FD1-4E2191C87DD9}">
      <dgm:prSet phldrT="[Text]" custT="1"/>
      <dgm:spPr>
        <a:xfrm>
          <a:off x="2240527" y="1092926"/>
          <a:ext cx="1335944" cy="48394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E014B54-4FFC-4271-A6FD-00D3C5F85913}" type="parTrans" cxnId="{1CDC68B5-EB25-4F4F-9CBB-8563203CE59F}">
      <dgm:prSet/>
      <dgm:spPr>
        <a:xfrm rot="5427536">
          <a:off x="2837719" y="1014229"/>
          <a:ext cx="146609" cy="10791"/>
        </a:xfrm>
        <a:custGeom>
          <a:avLst/>
          <a:gdLst/>
          <a:ahLst/>
          <a:cxnLst/>
          <a:rect l="0" t="0" r="0" b="0"/>
          <a:pathLst>
            <a:path>
              <a:moveTo>
                <a:pt x="0" y="5395"/>
              </a:moveTo>
              <a:lnTo>
                <a:pt x="172578"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B5AF736-2B95-46CE-82BA-DD5FB8A9AAE3}" type="sibTrans" cxnId="{1CDC68B5-EB25-4F4F-9CBB-8563203CE59F}">
      <dgm:prSet/>
      <dgm:spPr/>
      <dgm:t>
        <a:bodyPr/>
        <a:lstStyle/>
        <a:p>
          <a:endParaRPr lang="en-US"/>
        </a:p>
      </dgm:t>
    </dgm:pt>
    <dgm:pt modelId="{A94E6E4E-9ABC-4D91-9437-4DC447452660}">
      <dgm:prSet phldrT="[Text]" custT="1"/>
      <dgm:spPr>
        <a:xfrm>
          <a:off x="630" y="506901"/>
          <a:ext cx="1175654" cy="51901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936BDD9-A5D4-4D21-8A3B-A9B992679F1F}" type="parTrans" cxnId="{7E89E051-CD5C-4130-A5D7-C99408C8CCA0}">
      <dgm:prSet/>
      <dgm:spPr>
        <a:xfrm rot="10810718">
          <a:off x="1176267" y="764693"/>
          <a:ext cx="1184858" cy="10791"/>
        </a:xfrm>
        <a:custGeom>
          <a:avLst/>
          <a:gdLst/>
          <a:ahLst/>
          <a:cxnLst/>
          <a:rect l="0" t="0" r="0" b="0"/>
          <a:pathLst>
            <a:path>
              <a:moveTo>
                <a:pt x="0" y="5395"/>
              </a:moveTo>
              <a:lnTo>
                <a:pt x="1264119"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40EA14-C029-4AFD-8980-3E0592BA1C58}" type="sibTrans" cxnId="{7E89E051-CD5C-4130-A5D7-C99408C8CCA0}">
      <dgm:prSet/>
      <dgm:spPr/>
      <dgm:t>
        <a:bodyPr/>
        <a:lstStyle/>
        <a:p>
          <a:endParaRPr lang="en-US"/>
        </a:p>
      </dgm:t>
    </dgm:pt>
    <dgm:pt modelId="{47774346-E18D-4F76-8BAA-0550FDAF03CE}">
      <dgm:prSet phldrT="[Text]" custT="1"/>
      <dgm:spPr>
        <a:xfrm>
          <a:off x="1000944" y="64111"/>
          <a:ext cx="1190469" cy="46649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الإدارة التنفيذية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748ED0F-9025-4150-81AF-C1AEFFEE2246}" type="parTrans" cxnId="{7A2F3881-9A85-4A8C-9C4B-5CC9408F5855}">
      <dgm:prSet/>
      <dgm:spPr>
        <a:xfrm rot="11993118">
          <a:off x="2017131" y="543917"/>
          <a:ext cx="551250" cy="10791"/>
        </a:xfrm>
        <a:custGeom>
          <a:avLst/>
          <a:gdLst/>
          <a:ahLst/>
          <a:cxnLst/>
          <a:rect l="0" t="0" r="0" b="0"/>
          <a:pathLst>
            <a:path>
              <a:moveTo>
                <a:pt x="0" y="5395"/>
              </a:moveTo>
              <a:lnTo>
                <a:pt x="597469"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B5C7858-3354-40C7-A720-7E7DAAC6B51B}" type="sibTrans" cxnId="{7A2F3881-9A85-4A8C-9C4B-5CC9408F5855}">
      <dgm:prSet/>
      <dgm:spPr/>
      <dgm:t>
        <a:bodyPr/>
        <a:lstStyle/>
        <a:p>
          <a:endParaRPr lang="en-US"/>
        </a:p>
      </dgm:t>
    </dgm:pt>
    <dgm:pt modelId="{6CB633D8-E17A-4DE4-A2CF-9D4454C0DFA7}">
      <dgm:prSet phldrT="[Text]" custT="1"/>
      <dgm:spPr>
        <a:xfrm>
          <a:off x="920325" y="954216"/>
          <a:ext cx="1169597" cy="50403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endPar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9C50F4B-2CBA-4FCE-9BB6-CCE0C01C661E}" type="parTrans" cxnId="{6C865254-BB0C-46C7-BB45-F9AA32C0CDC7}">
      <dgm:prSet/>
      <dgm:spPr>
        <a:xfrm rot="9775202">
          <a:off x="1968878" y="971890"/>
          <a:ext cx="562766" cy="10791"/>
        </a:xfrm>
        <a:custGeom>
          <a:avLst/>
          <a:gdLst/>
          <a:ahLst/>
          <a:cxnLst/>
          <a:rect l="0" t="0" r="0" b="0"/>
          <a:pathLst>
            <a:path>
              <a:moveTo>
                <a:pt x="0" y="5395"/>
              </a:moveTo>
              <a:lnTo>
                <a:pt x="603884" y="5395"/>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35D8BBE-2377-4E15-9110-72BF718B05E7}" type="sibTrans" cxnId="{6C865254-BB0C-46C7-BB45-F9AA32C0CDC7}">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19633" custLinFactNeighborY="221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8"/>
      <dgm:spPr>
        <a:custGeom>
          <a:avLst/>
          <a:gdLst/>
          <a:ahLst/>
          <a:cxnLst/>
          <a:rect l="0" t="0" r="0" b="0"/>
          <a:pathLst>
            <a:path>
              <a:moveTo>
                <a:pt x="0" y="5395"/>
              </a:moveTo>
              <a:lnTo>
                <a:pt x="225111" y="5395"/>
              </a:lnTo>
            </a:path>
          </a:pathLst>
        </a:custGeom>
      </dgm:spPr>
      <dgm:t>
        <a:bodyPr/>
        <a:lstStyle/>
        <a:p>
          <a:endParaRPr lang="en-US"/>
        </a:p>
      </dgm:t>
    </dgm:pt>
    <dgm:pt modelId="{326412CE-9911-4799-A459-B56F02EB4473}" type="pres">
      <dgm:prSet presAssocID="{7AF774ED-547E-4C04-8670-B0C1D08C5EE9}" presName="connTx" presStyleLbl="parChTrans1D2" presStyleIdx="0" presStyleCnt="8"/>
      <dgm:spPr/>
      <dgm:t>
        <a:bodyPr/>
        <a:lstStyle/>
        <a:p>
          <a:endParaRPr lang="en-US"/>
        </a:p>
      </dgm:t>
    </dgm:pt>
    <dgm:pt modelId="{CED9197C-8322-406B-917C-172FA36E7B76}" type="pres">
      <dgm:prSet presAssocID="{960C5593-E0FF-4AA5-AA0B-E8BDFFBC5E53}" presName="node" presStyleLbl="node1" presStyleIdx="0" presStyleCnt="8" custScaleX="253725" custScaleY="118878" custRadScaleRad="95080" custRadScaleInc="2355">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8"/>
      <dgm:spPr>
        <a:custGeom>
          <a:avLst/>
          <a:gdLst/>
          <a:ahLst/>
          <a:cxnLst/>
          <a:rect l="0" t="0" r="0" b="0"/>
          <a:pathLst>
            <a:path>
              <a:moveTo>
                <a:pt x="0" y="5395"/>
              </a:moveTo>
              <a:lnTo>
                <a:pt x="653366" y="5395"/>
              </a:lnTo>
            </a:path>
          </a:pathLst>
        </a:custGeom>
      </dgm:spPr>
      <dgm:t>
        <a:bodyPr/>
        <a:lstStyle/>
        <a:p>
          <a:endParaRPr lang="en-US"/>
        </a:p>
      </dgm:t>
    </dgm:pt>
    <dgm:pt modelId="{62A1F741-432F-46BE-AE07-15F0B6D5EA89}" type="pres">
      <dgm:prSet presAssocID="{4693CA52-075F-4BD8-ABEA-5368BE377DDA}" presName="connTx" presStyleLbl="parChTrans1D2" presStyleIdx="1" presStyleCnt="8"/>
      <dgm:spPr/>
      <dgm:t>
        <a:bodyPr/>
        <a:lstStyle/>
        <a:p>
          <a:endParaRPr lang="en-US"/>
        </a:p>
      </dgm:t>
    </dgm:pt>
    <dgm:pt modelId="{035B4C9A-0916-4FCC-A1CF-85DB358A289A}" type="pres">
      <dgm:prSet presAssocID="{4631C2C5-1554-4289-90B0-F2D55D1595B6}" presName="node" presStyleLbl="node1" presStyleIdx="1" presStyleCnt="8" custScaleX="386721" custScaleY="118179" custRadScaleRad="250314" custRadScaleInc="121633">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8"/>
      <dgm:spPr>
        <a:custGeom>
          <a:avLst/>
          <a:gdLst/>
          <a:ahLst/>
          <a:cxnLst/>
          <a:rect l="0" t="0" r="0" b="0"/>
          <a:pathLst>
            <a:path>
              <a:moveTo>
                <a:pt x="0" y="5395"/>
              </a:moveTo>
              <a:lnTo>
                <a:pt x="1258892" y="5395"/>
              </a:lnTo>
            </a:path>
          </a:pathLst>
        </a:custGeom>
      </dgm:spPr>
      <dgm:t>
        <a:bodyPr/>
        <a:lstStyle/>
        <a:p>
          <a:endParaRPr lang="en-US"/>
        </a:p>
      </dgm:t>
    </dgm:pt>
    <dgm:pt modelId="{EA4144E0-C5B2-4FC0-BDB2-550B61DB7DFD}" type="pres">
      <dgm:prSet presAssocID="{0FABC453-0A5C-4CAE-813B-F0494A34E025}" presName="connTx" presStyleLbl="parChTrans1D2" presStyleIdx="2" presStyleCnt="8"/>
      <dgm:spPr/>
      <dgm:t>
        <a:bodyPr/>
        <a:lstStyle/>
        <a:p>
          <a:endParaRPr lang="en-US"/>
        </a:p>
      </dgm:t>
    </dgm:pt>
    <dgm:pt modelId="{0FAF3FA1-8E6C-455E-B189-A468B3F4D8BC}" type="pres">
      <dgm:prSet presAssocID="{C06C39C9-71B8-489C-9C45-3DD37A424E39}" presName="node" presStyleLbl="node1" presStyleIdx="2" presStyleCnt="8" custScaleX="302272" custScaleY="123518" custRadScaleRad="383748" custRadScaleInc="2524">
        <dgm:presLayoutVars>
          <dgm:bulletEnabled val="1"/>
        </dgm:presLayoutVars>
      </dgm:prSet>
      <dgm:spPr>
        <a:prstGeom prst="ellipse">
          <a:avLst/>
        </a:prstGeom>
      </dgm:spPr>
      <dgm:t>
        <a:bodyPr/>
        <a:lstStyle/>
        <a:p>
          <a:endParaRPr lang="en-US"/>
        </a:p>
      </dgm:t>
    </dgm:pt>
    <dgm:pt modelId="{447FEE0B-EFE1-4BAD-80EF-66C3DD36014A}" type="pres">
      <dgm:prSet presAssocID="{BB888D51-F36E-4A1A-AD65-530BDC7DD332}" presName="Name9" presStyleLbl="parChTrans1D2" presStyleIdx="3" presStyleCnt="8"/>
      <dgm:spPr>
        <a:custGeom>
          <a:avLst/>
          <a:gdLst/>
          <a:ahLst/>
          <a:cxnLst/>
          <a:rect l="0" t="0" r="0" b="0"/>
          <a:pathLst>
            <a:path>
              <a:moveTo>
                <a:pt x="0" y="5395"/>
              </a:moveTo>
              <a:lnTo>
                <a:pt x="667894" y="5395"/>
              </a:lnTo>
            </a:path>
          </a:pathLst>
        </a:custGeom>
      </dgm:spPr>
      <dgm:t>
        <a:bodyPr/>
        <a:lstStyle/>
        <a:p>
          <a:endParaRPr lang="en-US"/>
        </a:p>
      </dgm:t>
    </dgm:pt>
    <dgm:pt modelId="{0AC78349-4F42-425B-8A1A-4393D65C2051}" type="pres">
      <dgm:prSet presAssocID="{BB888D51-F36E-4A1A-AD65-530BDC7DD332}" presName="connTx" presStyleLbl="parChTrans1D2" presStyleIdx="3" presStyleCnt="8"/>
      <dgm:spPr/>
      <dgm:t>
        <a:bodyPr/>
        <a:lstStyle/>
        <a:p>
          <a:endParaRPr lang="en-US"/>
        </a:p>
      </dgm:t>
    </dgm:pt>
    <dgm:pt modelId="{3F1A2A14-E080-4448-96C3-A8E6002E7EE2}" type="pres">
      <dgm:prSet presAssocID="{7088B3AC-9EBC-4ABD-B45F-EC2EC96E416C}" presName="node" presStyleLbl="node1" presStyleIdx="3" presStyleCnt="8" custScaleX="345921" custScaleY="149995" custRadScaleRad="245698" custRadScaleInc="-120452">
        <dgm:presLayoutVars>
          <dgm:bulletEnabled val="1"/>
        </dgm:presLayoutVars>
      </dgm:prSet>
      <dgm:spPr>
        <a:prstGeom prst="ellipse">
          <a:avLst/>
        </a:prstGeom>
      </dgm:spPr>
      <dgm:t>
        <a:bodyPr/>
        <a:lstStyle/>
        <a:p>
          <a:endParaRPr lang="en-US"/>
        </a:p>
      </dgm:t>
    </dgm:pt>
    <dgm:pt modelId="{E64AB50F-BCCF-45E7-A4E4-85ABC4F0C76B}" type="pres">
      <dgm:prSet presAssocID="{AE014B54-4FFC-4271-A6FD-00D3C5F85913}" presName="Name9" presStyleLbl="parChTrans1D2" presStyleIdx="4" presStyleCnt="8"/>
      <dgm:spPr>
        <a:custGeom>
          <a:avLst/>
          <a:gdLst/>
          <a:ahLst/>
          <a:cxnLst/>
          <a:rect l="0" t="0" r="0" b="0"/>
          <a:pathLst>
            <a:path>
              <a:moveTo>
                <a:pt x="0" y="5395"/>
              </a:moveTo>
              <a:lnTo>
                <a:pt x="172578" y="5395"/>
              </a:lnTo>
            </a:path>
          </a:pathLst>
        </a:custGeom>
      </dgm:spPr>
      <dgm:t>
        <a:bodyPr/>
        <a:lstStyle/>
        <a:p>
          <a:endParaRPr lang="en-US"/>
        </a:p>
      </dgm:t>
    </dgm:pt>
    <dgm:pt modelId="{073D7962-B31D-49BD-AB47-082CE21EAD80}" type="pres">
      <dgm:prSet presAssocID="{AE014B54-4FFC-4271-A6FD-00D3C5F85913}" presName="connTx" presStyleLbl="parChTrans1D2" presStyleIdx="4" presStyleCnt="8"/>
      <dgm:spPr/>
      <dgm:t>
        <a:bodyPr/>
        <a:lstStyle/>
        <a:p>
          <a:endParaRPr lang="en-US"/>
        </a:p>
      </dgm:t>
    </dgm:pt>
    <dgm:pt modelId="{97004BB0-64D3-4A92-A1C1-813788F5650F}" type="pres">
      <dgm:prSet presAssocID="{1ED1F83B-CD97-4E51-9FD1-4E2191C87DD9}" presName="node" presStyleLbl="node1" presStyleIdx="4" presStyleCnt="8" custScaleX="386857" custScaleY="140138" custRadScaleRad="115204" custRadScaleInc="1692">
        <dgm:presLayoutVars>
          <dgm:bulletEnabled val="1"/>
        </dgm:presLayoutVars>
      </dgm:prSet>
      <dgm:spPr>
        <a:prstGeom prst="ellipse">
          <a:avLst/>
        </a:prstGeom>
      </dgm:spPr>
      <dgm:t>
        <a:bodyPr/>
        <a:lstStyle/>
        <a:p>
          <a:endParaRPr lang="en-US"/>
        </a:p>
      </dgm:t>
    </dgm:pt>
    <dgm:pt modelId="{B6AECE84-7D2E-4CE5-85C8-4C69518D07D3}" type="pres">
      <dgm:prSet presAssocID="{59C50F4B-2CBA-4FCE-9BB6-CCE0C01C661E}" presName="Name9" presStyleLbl="parChTrans1D2" presStyleIdx="5" presStyleCnt="8"/>
      <dgm:spPr>
        <a:custGeom>
          <a:avLst/>
          <a:gdLst/>
          <a:ahLst/>
          <a:cxnLst/>
          <a:rect l="0" t="0" r="0" b="0"/>
          <a:pathLst>
            <a:path>
              <a:moveTo>
                <a:pt x="0" y="5395"/>
              </a:moveTo>
              <a:lnTo>
                <a:pt x="603884" y="5395"/>
              </a:lnTo>
            </a:path>
          </a:pathLst>
        </a:custGeom>
      </dgm:spPr>
      <dgm:t>
        <a:bodyPr/>
        <a:lstStyle/>
        <a:p>
          <a:endParaRPr lang="en-US"/>
        </a:p>
      </dgm:t>
    </dgm:pt>
    <dgm:pt modelId="{50CE434F-BB05-46ED-AE97-2E3FB93A7239}" type="pres">
      <dgm:prSet presAssocID="{59C50F4B-2CBA-4FCE-9BB6-CCE0C01C661E}" presName="connTx" presStyleLbl="parChTrans1D2" presStyleIdx="5" presStyleCnt="8"/>
      <dgm:spPr/>
      <dgm:t>
        <a:bodyPr/>
        <a:lstStyle/>
        <a:p>
          <a:endParaRPr lang="en-US"/>
        </a:p>
      </dgm:t>
    </dgm:pt>
    <dgm:pt modelId="{1E378005-6F69-4397-8C2A-FC05D53E797D}" type="pres">
      <dgm:prSet presAssocID="{6CB633D8-E17A-4DE4-A2CF-9D4454C0DFA7}" presName="node" presStyleLbl="node1" presStyleIdx="5" presStyleCnt="8" custScaleX="338687" custScaleY="145957" custRadScaleRad="252121" custRadScaleInc="119806">
        <dgm:presLayoutVars>
          <dgm:bulletEnabled val="1"/>
        </dgm:presLayoutVars>
      </dgm:prSet>
      <dgm:spPr>
        <a:prstGeom prst="ellipse">
          <a:avLst/>
        </a:prstGeom>
      </dgm:spPr>
      <dgm:t>
        <a:bodyPr/>
        <a:lstStyle/>
        <a:p>
          <a:endParaRPr lang="en-US"/>
        </a:p>
      </dgm:t>
    </dgm:pt>
    <dgm:pt modelId="{D74286FF-AAFA-441A-87F1-98384D680093}" type="pres">
      <dgm:prSet presAssocID="{E936BDD9-A5D4-4D21-8A3B-A9B992679F1F}" presName="Name9" presStyleLbl="parChTrans1D2" presStyleIdx="6" presStyleCnt="8"/>
      <dgm:spPr>
        <a:custGeom>
          <a:avLst/>
          <a:gdLst/>
          <a:ahLst/>
          <a:cxnLst/>
          <a:rect l="0" t="0" r="0" b="0"/>
          <a:pathLst>
            <a:path>
              <a:moveTo>
                <a:pt x="0" y="5395"/>
              </a:moveTo>
              <a:lnTo>
                <a:pt x="1264119" y="5395"/>
              </a:lnTo>
            </a:path>
          </a:pathLst>
        </a:custGeom>
      </dgm:spPr>
      <dgm:t>
        <a:bodyPr/>
        <a:lstStyle/>
        <a:p>
          <a:endParaRPr lang="en-US"/>
        </a:p>
      </dgm:t>
    </dgm:pt>
    <dgm:pt modelId="{4733965B-CB9A-4F14-BD3E-CB16D7A3032B}" type="pres">
      <dgm:prSet presAssocID="{E936BDD9-A5D4-4D21-8A3B-A9B992679F1F}" presName="connTx" presStyleLbl="parChTrans1D2" presStyleIdx="6" presStyleCnt="8"/>
      <dgm:spPr/>
      <dgm:t>
        <a:bodyPr/>
        <a:lstStyle/>
        <a:p>
          <a:endParaRPr lang="en-US"/>
        </a:p>
      </dgm:t>
    </dgm:pt>
    <dgm:pt modelId="{755CFD49-3313-42A9-A1A9-D99CF689F3D7}" type="pres">
      <dgm:prSet presAssocID="{A94E6E4E-9ABC-4D91-9437-4DC447452660}" presName="node" presStyleLbl="node1" presStyleIdx="6" presStyleCnt="8" custScaleX="340441" custScaleY="150294" custRadScaleRad="395818" custRadScaleInc="-2060">
        <dgm:presLayoutVars>
          <dgm:bulletEnabled val="1"/>
        </dgm:presLayoutVars>
      </dgm:prSet>
      <dgm:spPr>
        <a:prstGeom prst="ellipse">
          <a:avLst/>
        </a:prstGeom>
      </dgm:spPr>
      <dgm:t>
        <a:bodyPr/>
        <a:lstStyle/>
        <a:p>
          <a:endParaRPr lang="en-US"/>
        </a:p>
      </dgm:t>
    </dgm:pt>
    <dgm:pt modelId="{6674A0B6-35AA-4763-B890-1E2177289BCF}" type="pres">
      <dgm:prSet presAssocID="{D748ED0F-9025-4150-81AF-C1AEFFEE2246}" presName="Name9" presStyleLbl="parChTrans1D2" presStyleIdx="7" presStyleCnt="8"/>
      <dgm:spPr>
        <a:custGeom>
          <a:avLst/>
          <a:gdLst/>
          <a:ahLst/>
          <a:cxnLst/>
          <a:rect l="0" t="0" r="0" b="0"/>
          <a:pathLst>
            <a:path>
              <a:moveTo>
                <a:pt x="0" y="5395"/>
              </a:moveTo>
              <a:lnTo>
                <a:pt x="597469" y="5395"/>
              </a:lnTo>
            </a:path>
          </a:pathLst>
        </a:custGeom>
      </dgm:spPr>
      <dgm:t>
        <a:bodyPr/>
        <a:lstStyle/>
        <a:p>
          <a:endParaRPr lang="en-US"/>
        </a:p>
      </dgm:t>
    </dgm:pt>
    <dgm:pt modelId="{A608A501-C2D4-466C-80D2-8354150DE79D}" type="pres">
      <dgm:prSet presAssocID="{D748ED0F-9025-4150-81AF-C1AEFFEE2246}" presName="connTx" presStyleLbl="parChTrans1D2" presStyleIdx="7" presStyleCnt="8"/>
      <dgm:spPr/>
      <dgm:t>
        <a:bodyPr/>
        <a:lstStyle/>
        <a:p>
          <a:endParaRPr lang="en-US"/>
        </a:p>
      </dgm:t>
    </dgm:pt>
    <dgm:pt modelId="{16FD236C-1C35-46D3-A6E9-C486F23997B9}" type="pres">
      <dgm:prSet presAssocID="{47774346-E18D-4F76-8BAA-0550FDAF03CE}" presName="node" presStyleLbl="node1" presStyleIdx="7" presStyleCnt="8" custScaleX="344731" custScaleY="135085" custRadScaleRad="236962" custRadScaleInc="-116104">
        <dgm:presLayoutVars>
          <dgm:bulletEnabled val="1"/>
        </dgm:presLayoutVars>
      </dgm:prSet>
      <dgm:spPr>
        <a:prstGeom prst="ellipse">
          <a:avLst/>
        </a:prstGeom>
      </dgm:spPr>
      <dgm:t>
        <a:bodyPr/>
        <a:lstStyle/>
        <a:p>
          <a:endParaRPr lang="en-US"/>
        </a:p>
      </dgm:t>
    </dgm:pt>
  </dgm:ptLst>
  <dgm:cxnLst>
    <dgm:cxn modelId="{BF65F824-D4F4-4A84-83B4-6B1944B62AAD}" srcId="{DE541715-C648-404D-8124-F14F463E9202}" destId="{4631C2C5-1554-4289-90B0-F2D55D1595B6}" srcOrd="1" destOrd="0" parTransId="{4693CA52-075F-4BD8-ABEA-5368BE377DDA}" sibTransId="{9B3CB24D-A47A-4081-B256-B868D89D5387}"/>
    <dgm:cxn modelId="{C6B64EEF-C908-4CEB-9245-6B219EA6B522}" type="presOf" srcId="{59C50F4B-2CBA-4FCE-9BB6-CCE0C01C661E}" destId="{50CE434F-BB05-46ED-AE97-2E3FB93A7239}" srcOrd="1" destOrd="0" presId="urn:microsoft.com/office/officeart/2005/8/layout/radial1"/>
    <dgm:cxn modelId="{F025C289-CAA5-4474-898A-9BB1A55C3C2E}" type="presOf" srcId="{4631C2C5-1554-4289-90B0-F2D55D1595B6}" destId="{035B4C9A-0916-4FCC-A1CF-85DB358A289A}" srcOrd="0" destOrd="0" presId="urn:microsoft.com/office/officeart/2005/8/layout/radial1"/>
    <dgm:cxn modelId="{66F65FC7-9DA7-4503-8A44-D1F8D515A773}" type="presOf" srcId="{E936BDD9-A5D4-4D21-8A3B-A9B992679F1F}" destId="{4733965B-CB9A-4F14-BD3E-CB16D7A3032B}" srcOrd="1" destOrd="0" presId="urn:microsoft.com/office/officeart/2005/8/layout/radial1"/>
    <dgm:cxn modelId="{3B68E9EE-883F-49EA-ABD0-8777AD861398}" type="presOf" srcId="{BB888D51-F36E-4A1A-AD65-530BDC7DD332}" destId="{0AC78349-4F42-425B-8A1A-4393D65C2051}" srcOrd="1" destOrd="0" presId="urn:microsoft.com/office/officeart/2005/8/layout/radial1"/>
    <dgm:cxn modelId="{97EF694A-769F-4BCC-98E8-EDAF40B1D2A3}" type="presOf" srcId="{7088B3AC-9EBC-4ABD-B45F-EC2EC96E416C}" destId="{3F1A2A14-E080-4448-96C3-A8E6002E7EE2}" srcOrd="0" destOrd="0" presId="urn:microsoft.com/office/officeart/2005/8/layout/radial1"/>
    <dgm:cxn modelId="{A867F8ED-BD85-49AE-9174-5A2EE2D31E2D}" type="presOf" srcId="{34E6C8D5-8D4F-4714-8A12-8F4599A8E760}" destId="{08F189A1-AB47-41D1-8058-7A6DA66B3F52}"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88DBC4E9-2C7A-4A09-91BC-9C8742D30E57}" type="presOf" srcId="{AE014B54-4FFC-4271-A6FD-00D3C5F85913}" destId="{E64AB50F-BCCF-45E7-A4E4-85ABC4F0C76B}" srcOrd="0" destOrd="0" presId="urn:microsoft.com/office/officeart/2005/8/layout/radial1"/>
    <dgm:cxn modelId="{D090CCC6-35F7-473A-A493-3DFA52C3E0BC}" type="presOf" srcId="{A94E6E4E-9ABC-4D91-9437-4DC447452660}" destId="{755CFD49-3313-42A9-A1A9-D99CF689F3D7}" srcOrd="0" destOrd="0" presId="urn:microsoft.com/office/officeart/2005/8/layout/radial1"/>
    <dgm:cxn modelId="{8C0D8CBC-2128-4D2B-9FC9-F3FBBF4AC033}" type="presOf" srcId="{960C5593-E0FF-4AA5-AA0B-E8BDFFBC5E53}" destId="{CED9197C-8322-406B-917C-172FA36E7B76}" srcOrd="0" destOrd="0" presId="urn:microsoft.com/office/officeart/2005/8/layout/radial1"/>
    <dgm:cxn modelId="{50477170-69F9-4037-9034-92B49C8BBA1E}" type="presOf" srcId="{C06C39C9-71B8-489C-9C45-3DD37A424E39}" destId="{0FAF3FA1-8E6C-455E-B189-A468B3F4D8BC}" srcOrd="0" destOrd="0" presId="urn:microsoft.com/office/officeart/2005/8/layout/radial1"/>
    <dgm:cxn modelId="{7A2F3881-9A85-4A8C-9C4B-5CC9408F5855}" srcId="{DE541715-C648-404D-8124-F14F463E9202}" destId="{47774346-E18D-4F76-8BAA-0550FDAF03CE}" srcOrd="7" destOrd="0" parTransId="{D748ED0F-9025-4150-81AF-C1AEFFEE2246}" sibTransId="{1B5C7858-3354-40C7-A720-7E7DAAC6B51B}"/>
    <dgm:cxn modelId="{FE76D923-E69C-4EC1-BE09-38F495F3CA82}" type="presOf" srcId="{1ED1F83B-CD97-4E51-9FD1-4E2191C87DD9}" destId="{97004BB0-64D3-4A92-A1C1-813788F5650F}" srcOrd="0"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F20A6745-85E2-49C7-814B-5DD4FF8C5CDD}" type="presOf" srcId="{59C50F4B-2CBA-4FCE-9BB6-CCE0C01C661E}" destId="{B6AECE84-7D2E-4CE5-85C8-4C69518D07D3}" srcOrd="0" destOrd="0" presId="urn:microsoft.com/office/officeart/2005/8/layout/radial1"/>
    <dgm:cxn modelId="{3F370F2D-EDAF-4DEF-B860-ECE53D0FE22D}" type="presOf" srcId="{4693CA52-075F-4BD8-ABEA-5368BE377DDA}" destId="{4AC11394-3179-4EC5-A97F-D1A1B521CE2F}" srcOrd="0" destOrd="0" presId="urn:microsoft.com/office/officeart/2005/8/layout/radial1"/>
    <dgm:cxn modelId="{7E89E051-CD5C-4130-A5D7-C99408C8CCA0}" srcId="{DE541715-C648-404D-8124-F14F463E9202}" destId="{A94E6E4E-9ABC-4D91-9437-4DC447452660}" srcOrd="6" destOrd="0" parTransId="{E936BDD9-A5D4-4D21-8A3B-A9B992679F1F}" sibTransId="{8B40EA14-C029-4AFD-8980-3E0592BA1C58}"/>
    <dgm:cxn modelId="{8D40F74C-7622-44DC-8DA4-900DBD0C1987}" type="presOf" srcId="{0FABC453-0A5C-4CAE-813B-F0494A34E025}" destId="{EA4144E0-C5B2-4FC0-BDB2-550B61DB7DFD}" srcOrd="1" destOrd="0" presId="urn:microsoft.com/office/officeart/2005/8/layout/radial1"/>
    <dgm:cxn modelId="{0206816D-2677-44B5-9F05-FF8961E363EA}" type="presOf" srcId="{4693CA52-075F-4BD8-ABEA-5368BE377DDA}" destId="{62A1F741-432F-46BE-AE07-15F0B6D5EA89}" srcOrd="1" destOrd="0" presId="urn:microsoft.com/office/officeart/2005/8/layout/radial1"/>
    <dgm:cxn modelId="{6EEA42CC-5614-4307-BFDA-3A602CCA2E18}" type="presOf" srcId="{7AF774ED-547E-4C04-8670-B0C1D08C5EE9}" destId="{326412CE-9911-4799-A459-B56F02EB4473}" srcOrd="1" destOrd="0" presId="urn:microsoft.com/office/officeart/2005/8/layout/radial1"/>
    <dgm:cxn modelId="{45E79C00-8B9D-4180-ACDB-C50B5CD33188}" type="presOf" srcId="{E936BDD9-A5D4-4D21-8A3B-A9B992679F1F}" destId="{D74286FF-AAFA-441A-87F1-98384D680093}" srcOrd="0" destOrd="0" presId="urn:microsoft.com/office/officeart/2005/8/layout/radial1"/>
    <dgm:cxn modelId="{FF8EEE0E-8435-42A9-9581-458A0FD17496}" type="presOf" srcId="{AE014B54-4FFC-4271-A6FD-00D3C5F85913}" destId="{073D7962-B31D-49BD-AB47-082CE21EAD80}" srcOrd="1" destOrd="0" presId="urn:microsoft.com/office/officeart/2005/8/layout/radial1"/>
    <dgm:cxn modelId="{AF013CEC-58C0-40E2-96E8-97062D9FD289}" type="presOf" srcId="{6CB633D8-E17A-4DE4-A2CF-9D4454C0DFA7}" destId="{1E378005-6F69-4397-8C2A-FC05D53E797D}" srcOrd="0" destOrd="0" presId="urn:microsoft.com/office/officeart/2005/8/layout/radial1"/>
    <dgm:cxn modelId="{30B1AEB8-2F43-40DB-908B-C80EAFA6DFC6}" srcId="{DE541715-C648-404D-8124-F14F463E9202}" destId="{7088B3AC-9EBC-4ABD-B45F-EC2EC96E416C}" srcOrd="3" destOrd="0" parTransId="{BB888D51-F36E-4A1A-AD65-530BDC7DD332}" sibTransId="{94ABB19A-0DAA-4029-A8CB-922DC7035BE3}"/>
    <dgm:cxn modelId="{B3DDAEC2-A722-4EC9-B78D-37690A6440E1}" type="presOf" srcId="{47774346-E18D-4F76-8BAA-0550FDAF03CE}" destId="{16FD236C-1C35-46D3-A6E9-C486F23997B9}" srcOrd="0" destOrd="0" presId="urn:microsoft.com/office/officeart/2005/8/layout/radial1"/>
    <dgm:cxn modelId="{78D18DF5-B181-4274-BCF6-690A1ED87FBC}" type="presOf" srcId="{D748ED0F-9025-4150-81AF-C1AEFFEE2246}" destId="{6674A0B6-35AA-4763-B890-1E2177289BCF}" srcOrd="0" destOrd="0" presId="urn:microsoft.com/office/officeart/2005/8/layout/radial1"/>
    <dgm:cxn modelId="{1CDC68B5-EB25-4F4F-9CBB-8563203CE59F}" srcId="{DE541715-C648-404D-8124-F14F463E9202}" destId="{1ED1F83B-CD97-4E51-9FD1-4E2191C87DD9}" srcOrd="4" destOrd="0" parTransId="{AE014B54-4FFC-4271-A6FD-00D3C5F85913}" sibTransId="{CB5AF736-2B95-46CE-82BA-DD5FB8A9AAE3}"/>
    <dgm:cxn modelId="{6C865254-BB0C-46C7-BB45-F9AA32C0CDC7}" srcId="{DE541715-C648-404D-8124-F14F463E9202}" destId="{6CB633D8-E17A-4DE4-A2CF-9D4454C0DFA7}" srcOrd="5" destOrd="0" parTransId="{59C50F4B-2CBA-4FCE-9BB6-CCE0C01C661E}" sibTransId="{235D8BBE-2377-4E15-9110-72BF718B05E7}"/>
    <dgm:cxn modelId="{8FB7CD4A-A550-415D-80F1-756727945508}" type="presOf" srcId="{7AF774ED-547E-4C04-8670-B0C1D08C5EE9}" destId="{5337AE63-3722-42CC-AF72-36670EB7C5E1}" srcOrd="0" destOrd="0" presId="urn:microsoft.com/office/officeart/2005/8/layout/radial1"/>
    <dgm:cxn modelId="{08418F87-8E20-4627-8DB6-F05DE2FDF133}" type="presOf" srcId="{BB888D51-F36E-4A1A-AD65-530BDC7DD332}" destId="{447FEE0B-EFE1-4BAD-80EF-66C3DD36014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9C806BE8-1519-4049-8C81-28AA853436AD}" type="presOf" srcId="{D748ED0F-9025-4150-81AF-C1AEFFEE2246}" destId="{A608A501-C2D4-466C-80D2-8354150DE79D}" srcOrd="1" destOrd="0" presId="urn:microsoft.com/office/officeart/2005/8/layout/radial1"/>
    <dgm:cxn modelId="{CD249389-29B5-4818-B30F-B2ABD7B9D2DE}" type="presOf" srcId="{DE541715-C648-404D-8124-F14F463E9202}" destId="{062AF917-2F47-4639-8A23-58AD52EC0F32}"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812D543B-7E6F-497E-BE5C-98CBF7B83D48}" type="presOf" srcId="{0FABC453-0A5C-4CAE-813B-F0494A34E025}" destId="{ADF94B70-0D7F-4A27-8DF9-17BCD27F4A7A}" srcOrd="0" destOrd="0" presId="urn:microsoft.com/office/officeart/2005/8/layout/radial1"/>
    <dgm:cxn modelId="{F509D88A-8033-4BA2-A65F-245F62D282F5}" type="presParOf" srcId="{08F189A1-AB47-41D1-8058-7A6DA66B3F52}" destId="{062AF917-2F47-4639-8A23-58AD52EC0F32}" srcOrd="0" destOrd="0" presId="urn:microsoft.com/office/officeart/2005/8/layout/radial1"/>
    <dgm:cxn modelId="{FE6E0EE3-8C1D-42A5-B3D6-041E68ADAC56}" type="presParOf" srcId="{08F189A1-AB47-41D1-8058-7A6DA66B3F52}" destId="{5337AE63-3722-42CC-AF72-36670EB7C5E1}" srcOrd="1" destOrd="0" presId="urn:microsoft.com/office/officeart/2005/8/layout/radial1"/>
    <dgm:cxn modelId="{51637541-5DCE-4148-B61B-205DCC2906DA}" type="presParOf" srcId="{5337AE63-3722-42CC-AF72-36670EB7C5E1}" destId="{326412CE-9911-4799-A459-B56F02EB4473}" srcOrd="0" destOrd="0" presId="urn:microsoft.com/office/officeart/2005/8/layout/radial1"/>
    <dgm:cxn modelId="{F7DDBB02-FBE4-47A4-8D8D-DCFE518036C3}" type="presParOf" srcId="{08F189A1-AB47-41D1-8058-7A6DA66B3F52}" destId="{CED9197C-8322-406B-917C-172FA36E7B76}" srcOrd="2" destOrd="0" presId="urn:microsoft.com/office/officeart/2005/8/layout/radial1"/>
    <dgm:cxn modelId="{6B3520FB-20E8-4978-96D5-70D0F2567A82}" type="presParOf" srcId="{08F189A1-AB47-41D1-8058-7A6DA66B3F52}" destId="{4AC11394-3179-4EC5-A97F-D1A1B521CE2F}" srcOrd="3" destOrd="0" presId="urn:microsoft.com/office/officeart/2005/8/layout/radial1"/>
    <dgm:cxn modelId="{1149D8A1-44AC-41B0-B98A-E640D5408A9B}" type="presParOf" srcId="{4AC11394-3179-4EC5-A97F-D1A1B521CE2F}" destId="{62A1F741-432F-46BE-AE07-15F0B6D5EA89}" srcOrd="0" destOrd="0" presId="urn:microsoft.com/office/officeart/2005/8/layout/radial1"/>
    <dgm:cxn modelId="{7EC1CE12-588A-489A-B490-DD7F854CDF60}" type="presParOf" srcId="{08F189A1-AB47-41D1-8058-7A6DA66B3F52}" destId="{035B4C9A-0916-4FCC-A1CF-85DB358A289A}" srcOrd="4" destOrd="0" presId="urn:microsoft.com/office/officeart/2005/8/layout/radial1"/>
    <dgm:cxn modelId="{6414CAF3-2FCA-4DF2-9183-B13B5CA42754}" type="presParOf" srcId="{08F189A1-AB47-41D1-8058-7A6DA66B3F52}" destId="{ADF94B70-0D7F-4A27-8DF9-17BCD27F4A7A}" srcOrd="5" destOrd="0" presId="urn:microsoft.com/office/officeart/2005/8/layout/radial1"/>
    <dgm:cxn modelId="{7EFDAD1F-17A3-4849-B873-D553416C347B}" type="presParOf" srcId="{ADF94B70-0D7F-4A27-8DF9-17BCD27F4A7A}" destId="{EA4144E0-C5B2-4FC0-BDB2-550B61DB7DFD}" srcOrd="0" destOrd="0" presId="urn:microsoft.com/office/officeart/2005/8/layout/radial1"/>
    <dgm:cxn modelId="{3599BFB3-C243-4BDE-AAAD-EF78009253FE}" type="presParOf" srcId="{08F189A1-AB47-41D1-8058-7A6DA66B3F52}" destId="{0FAF3FA1-8E6C-455E-B189-A468B3F4D8BC}" srcOrd="6" destOrd="0" presId="urn:microsoft.com/office/officeart/2005/8/layout/radial1"/>
    <dgm:cxn modelId="{5D4BD084-9371-48BD-A347-30CFAFF277A1}" type="presParOf" srcId="{08F189A1-AB47-41D1-8058-7A6DA66B3F52}" destId="{447FEE0B-EFE1-4BAD-80EF-66C3DD36014A}" srcOrd="7" destOrd="0" presId="urn:microsoft.com/office/officeart/2005/8/layout/radial1"/>
    <dgm:cxn modelId="{2405FD33-8A39-49A8-9FE1-0B15540BC83F}" type="presParOf" srcId="{447FEE0B-EFE1-4BAD-80EF-66C3DD36014A}" destId="{0AC78349-4F42-425B-8A1A-4393D65C2051}" srcOrd="0" destOrd="0" presId="urn:microsoft.com/office/officeart/2005/8/layout/radial1"/>
    <dgm:cxn modelId="{30BB24CE-04AE-4AF8-A836-4DBC45C9BEFD}" type="presParOf" srcId="{08F189A1-AB47-41D1-8058-7A6DA66B3F52}" destId="{3F1A2A14-E080-4448-96C3-A8E6002E7EE2}" srcOrd="8" destOrd="0" presId="urn:microsoft.com/office/officeart/2005/8/layout/radial1"/>
    <dgm:cxn modelId="{1EBC6ABA-BEF9-44F5-8533-2175C7D0F37F}" type="presParOf" srcId="{08F189A1-AB47-41D1-8058-7A6DA66B3F52}" destId="{E64AB50F-BCCF-45E7-A4E4-85ABC4F0C76B}" srcOrd="9" destOrd="0" presId="urn:microsoft.com/office/officeart/2005/8/layout/radial1"/>
    <dgm:cxn modelId="{4D76C467-E9FF-499C-B9B9-F5B1AC503FA4}" type="presParOf" srcId="{E64AB50F-BCCF-45E7-A4E4-85ABC4F0C76B}" destId="{073D7962-B31D-49BD-AB47-082CE21EAD80}" srcOrd="0" destOrd="0" presId="urn:microsoft.com/office/officeart/2005/8/layout/radial1"/>
    <dgm:cxn modelId="{6D0AE9FB-4AC0-4A28-ADD2-19565772C67B}" type="presParOf" srcId="{08F189A1-AB47-41D1-8058-7A6DA66B3F52}" destId="{97004BB0-64D3-4A92-A1C1-813788F5650F}" srcOrd="10" destOrd="0" presId="urn:microsoft.com/office/officeart/2005/8/layout/radial1"/>
    <dgm:cxn modelId="{0076D334-5285-4E13-B77A-0AB261A7ED09}" type="presParOf" srcId="{08F189A1-AB47-41D1-8058-7A6DA66B3F52}" destId="{B6AECE84-7D2E-4CE5-85C8-4C69518D07D3}" srcOrd="11" destOrd="0" presId="urn:microsoft.com/office/officeart/2005/8/layout/radial1"/>
    <dgm:cxn modelId="{167FD8E1-F926-4390-9BC6-B66EB41230EF}" type="presParOf" srcId="{B6AECE84-7D2E-4CE5-85C8-4C69518D07D3}" destId="{50CE434F-BB05-46ED-AE97-2E3FB93A7239}" srcOrd="0" destOrd="0" presId="urn:microsoft.com/office/officeart/2005/8/layout/radial1"/>
    <dgm:cxn modelId="{78405CE4-934C-494F-BE69-F455B08EE1BF}" type="presParOf" srcId="{08F189A1-AB47-41D1-8058-7A6DA66B3F52}" destId="{1E378005-6F69-4397-8C2A-FC05D53E797D}" srcOrd="12" destOrd="0" presId="urn:microsoft.com/office/officeart/2005/8/layout/radial1"/>
    <dgm:cxn modelId="{26AD349E-BF0D-4113-8FA9-1EF35D7666E7}" type="presParOf" srcId="{08F189A1-AB47-41D1-8058-7A6DA66B3F52}" destId="{D74286FF-AAFA-441A-87F1-98384D680093}" srcOrd="13" destOrd="0" presId="urn:microsoft.com/office/officeart/2005/8/layout/radial1"/>
    <dgm:cxn modelId="{CDAC6E8B-965B-4F88-AB55-6E698A86726C}" type="presParOf" srcId="{D74286FF-AAFA-441A-87F1-98384D680093}" destId="{4733965B-CB9A-4F14-BD3E-CB16D7A3032B}" srcOrd="0" destOrd="0" presId="urn:microsoft.com/office/officeart/2005/8/layout/radial1"/>
    <dgm:cxn modelId="{21FBF5CB-9F82-4047-9168-B264081351E0}" type="presParOf" srcId="{08F189A1-AB47-41D1-8058-7A6DA66B3F52}" destId="{755CFD49-3313-42A9-A1A9-D99CF689F3D7}" srcOrd="14" destOrd="0" presId="urn:microsoft.com/office/officeart/2005/8/layout/radial1"/>
    <dgm:cxn modelId="{2313575C-4B2C-4A0F-B7A1-50ABC2CFE29F}" type="presParOf" srcId="{08F189A1-AB47-41D1-8058-7A6DA66B3F52}" destId="{6674A0B6-35AA-4763-B890-1E2177289BCF}" srcOrd="15" destOrd="0" presId="urn:microsoft.com/office/officeart/2005/8/layout/radial1"/>
    <dgm:cxn modelId="{1A698AE1-DB01-4A9E-9788-33C876970990}" type="presParOf" srcId="{6674A0B6-35AA-4763-B890-1E2177289BCF}" destId="{A608A501-C2D4-466C-80D2-8354150DE79D}" srcOrd="0" destOrd="0" presId="urn:microsoft.com/office/officeart/2005/8/layout/radial1"/>
    <dgm:cxn modelId="{3CDA79AF-784A-4BB2-A730-C31147ED0F53}" type="presParOf" srcId="{08F189A1-AB47-41D1-8058-7A6DA66B3F52}" destId="{16FD236C-1C35-46D3-A6E9-C486F23997B9}" srcOrd="16" destOrd="0" presId="urn:microsoft.com/office/officeart/2005/8/layout/radial1"/>
  </dgm:cxnLst>
  <dgm:bg/>
  <dgm:whole/>
  <dgm:extLst>
    <a:ext uri="http://schemas.microsoft.com/office/drawing/2008/diagram">
      <dsp:dataModelExt xmlns:dsp="http://schemas.microsoft.com/office/drawing/2008/diagram" relId="rId58"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pPr algn="ctr" rtl="1"/>
          <a:endParaRPr lang="en-US" sz="800">
            <a:latin typeface="Arial" panose="020B0604020202020204" pitchFamily="34" charset="0"/>
            <a:cs typeface="Arial" panose="020B0604020202020204" pitchFamily="34" charset="0"/>
          </a:endParaRPr>
        </a:p>
      </dgm:t>
    </dgm:pt>
    <dgm:pt modelId="{DE541715-C648-404D-8124-F14F463E9202}">
      <dgm:prSet phldrT="[Text]" custT="1"/>
      <dgm:spPr>
        <a:xfrm>
          <a:off x="2437613" y="1408990"/>
          <a:ext cx="1068372" cy="93007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45870664-60BD-4390-952C-AB2EEF07F4DD}">
      <dgm:prSet phldrT="[Text]" custT="1"/>
      <dgm:spPr>
        <a:xfrm>
          <a:off x="2506764" y="14129"/>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B6E0A53-B07E-4B2B-89E7-D1FB86B27272}" type="parTrans" cxnId="{C80DF295-9AAD-4C0B-B8AF-3EDA956AFFF7}">
      <dgm:prSet/>
      <dgm:spPr>
        <a:xfrm rot="16200000">
          <a:off x="2739404" y="1162511"/>
          <a:ext cx="464790"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74149DA-41AA-4BE0-B8E7-7965A33DC1B0}" type="sibTrans" cxnId="{C80DF295-9AAD-4C0B-B8AF-3EDA956AFFF7}">
      <dgm:prSet/>
      <dgm:spPr/>
      <dgm:t>
        <a:bodyPr/>
        <a:lstStyle/>
        <a:p>
          <a:pPr algn="ctr"/>
          <a:endParaRPr lang="en-US"/>
        </a:p>
      </dgm:t>
    </dgm:pt>
    <dgm:pt modelId="{3BD68AEB-F6E8-461F-8590-A67172B04D7C}">
      <dgm:prSet phldrT="[Text]" custT="1"/>
      <dgm:spPr>
        <a:xfrm>
          <a:off x="3597311"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1D2845E-7763-4EAF-A91C-F687BE68CFA9}" type="parTrans" cxnId="{8219E8C0-11D9-4ECE-9E9E-751EEF5551F9}">
      <dgm:prSet/>
      <dgm:spPr>
        <a:xfrm rot="19285714">
          <a:off x="3319225" y="1413012"/>
          <a:ext cx="426012" cy="28166"/>
        </a:xfrm>
      </dgm:spPr>
      <dgm:t>
        <a:bodyPr/>
        <a:lstStyle/>
        <a:p>
          <a:pPr algn="ctr"/>
          <a:endParaRPr lang="en-US"/>
        </a:p>
      </dgm:t>
    </dgm:pt>
    <dgm:pt modelId="{93E661BA-0293-4FF1-B933-6256D0B2E24D}" type="sibTrans" cxnId="{8219E8C0-11D9-4ECE-9E9E-751EEF5551F9}">
      <dgm:prSet/>
      <dgm:spPr/>
      <dgm:t>
        <a:bodyPr/>
        <a:lstStyle/>
        <a:p>
          <a:pPr algn="ctr"/>
          <a:endParaRPr lang="en-US"/>
        </a:p>
      </dgm:t>
    </dgm:pt>
    <dgm:pt modelId="{CDE3C2D2-2338-40D3-9864-33A39CCB5CF4}">
      <dgm:prSet phldrT="[Text]" custT="1"/>
      <dgm:spPr>
        <a:xfrm>
          <a:off x="3866653"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7</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التحكيم</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0297025-FE49-44ED-8151-9AC4B35C0885}" type="parTrans" cxnId="{60C424C7-CC54-4027-B080-4425E7B5050C}">
      <dgm:prSet/>
      <dgm:spPr>
        <a:xfrm rot="771429">
          <a:off x="3483509" y="2022364"/>
          <a:ext cx="399815" cy="28166"/>
        </a:xfrm>
      </dgm:spPr>
      <dgm:t>
        <a:bodyPr/>
        <a:lstStyle/>
        <a:p>
          <a:pPr algn="ctr"/>
          <a:endParaRPr lang="en-US"/>
        </a:p>
      </dgm:t>
    </dgm:pt>
    <dgm:pt modelId="{59703DE8-812C-459A-A996-B99B877A6FDC}" type="sibTrans" cxnId="{60C424C7-CC54-4027-B080-4425E7B5050C}">
      <dgm:prSet/>
      <dgm:spPr/>
      <dgm:t>
        <a:bodyPr/>
        <a:lstStyle/>
        <a:p>
          <a:pPr algn="ctr"/>
          <a:endParaRPr lang="en-US"/>
        </a:p>
      </dgm:t>
    </dgm:pt>
    <dgm:pt modelId="{115F3686-56C2-4580-9E8B-FA213D3DA5F6}">
      <dgm:prSet phldrT="[Text]" custT="1"/>
      <dgm:spPr>
        <a:xfrm>
          <a:off x="3111972"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0740ED97-4265-4052-8B1C-8A14B3879E4E}" type="parTrans" cxnId="{FF862692-6FE1-4C1B-8C29-4A220C00E54C}">
      <dgm:prSet/>
      <dgm:spPr>
        <a:xfrm rot="3857143">
          <a:off x="3049877" y="2493250"/>
          <a:ext cx="453814"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9E35A43-605C-4C5A-B200-2A3B564FFAF5}" type="sibTrans" cxnId="{FF862692-6FE1-4C1B-8C29-4A220C00E54C}">
      <dgm:prSet/>
      <dgm:spPr/>
      <dgm:t>
        <a:bodyPr/>
        <a:lstStyle/>
        <a:p>
          <a:pPr algn="ctr"/>
          <a:endParaRPr lang="en-US"/>
        </a:p>
      </dgm:t>
    </dgm:pt>
    <dgm:pt modelId="{4E654411-73AD-4DF6-AD3B-E400E531439B}">
      <dgm:prSet phldrT="[Text]" custT="1"/>
      <dgm:spPr>
        <a:xfrm>
          <a:off x="1901557"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DB15392-F5F7-49E2-8294-51A0B1B620AB}" type="parTrans" cxnId="{A12C036A-14E7-451C-80B8-9B5BE762C5B4}">
      <dgm:prSet/>
      <dgm:spPr>
        <a:xfrm rot="6942857">
          <a:off x="2439907" y="2493250"/>
          <a:ext cx="453814" cy="28166"/>
        </a:xfrm>
      </dgm:spPr>
      <dgm:t>
        <a:bodyPr/>
        <a:lstStyle/>
        <a:p>
          <a:pPr algn="ctr"/>
          <a:endParaRPr lang="en-US"/>
        </a:p>
      </dgm:t>
    </dgm:pt>
    <dgm:pt modelId="{2B759E48-7284-455B-851A-DFF88118946F}" type="sibTrans" cxnId="{A12C036A-14E7-451C-80B8-9B5BE762C5B4}">
      <dgm:prSet/>
      <dgm:spPr/>
      <dgm:t>
        <a:bodyPr/>
        <a:lstStyle/>
        <a:p>
          <a:pPr algn="ctr"/>
          <a:endParaRPr lang="en-US"/>
        </a:p>
      </dgm:t>
    </dgm:pt>
    <dgm:pt modelId="{C45608E5-C683-4F82-AC41-6429A24EED40}">
      <dgm:prSet phldrT="[Text]" custT="1"/>
      <dgm:spPr>
        <a:xfrm>
          <a:off x="1146875"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9BD11F2-6636-4646-B3CF-323669445FAB}" type="parTrans" cxnId="{E0594360-5C4F-4C47-B047-3E60D22AD80D}">
      <dgm:prSet/>
      <dgm:spPr>
        <a:xfrm rot="10028571">
          <a:off x="2060274" y="2022364"/>
          <a:ext cx="399815" cy="28166"/>
        </a:xfrm>
      </dgm:spPr>
      <dgm:t>
        <a:bodyPr/>
        <a:lstStyle/>
        <a:p>
          <a:pPr algn="ctr"/>
          <a:endParaRPr lang="en-US"/>
        </a:p>
      </dgm:t>
    </dgm:pt>
    <dgm:pt modelId="{2C17D791-E651-44AA-801E-D486EB358D8A}" type="sibTrans" cxnId="{E0594360-5C4F-4C47-B047-3E60D22AD80D}">
      <dgm:prSet/>
      <dgm:spPr/>
      <dgm:t>
        <a:bodyPr/>
        <a:lstStyle/>
        <a:p>
          <a:pPr algn="ctr"/>
          <a:endParaRPr lang="en-US"/>
        </a:p>
      </dgm:t>
    </dgm:pt>
    <dgm:pt modelId="{B343370C-8FB3-481F-B4DA-6C9C41B047BC}">
      <dgm:prSet phldrT="[Text]" custT="1"/>
      <dgm:spPr>
        <a:xfrm>
          <a:off x="1416218"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A68E894-33D2-492F-8570-E4DDFD311B12}" type="parTrans" cxnId="{CDEFB2A3-4EA9-489B-9721-56871D483AB2}">
      <dgm:prSet/>
      <dgm:spPr>
        <a:xfrm rot="13114286">
          <a:off x="2198361" y="1413012"/>
          <a:ext cx="426012" cy="28166"/>
        </a:xfrm>
      </dgm:spPr>
      <dgm:t>
        <a:bodyPr/>
        <a:lstStyle/>
        <a:p>
          <a:pPr algn="ctr"/>
          <a:endParaRPr lang="en-US"/>
        </a:p>
      </dgm:t>
    </dgm:pt>
    <dgm:pt modelId="{7DC850A5-77C3-4602-A065-D0A45018AC8D}" type="sibTrans" cxnId="{CDEFB2A3-4EA9-489B-9721-56871D483AB2}">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09871"/>
      <dgm:spPr>
        <a:prstGeom prst="ellipse">
          <a:avLst/>
        </a:prstGeom>
      </dgm:spPr>
      <dgm:t>
        <a:bodyPr/>
        <a:lstStyle/>
        <a:p>
          <a:endParaRPr lang="en-US"/>
        </a:p>
      </dgm:t>
    </dgm:pt>
    <dgm:pt modelId="{27C08CD6-CB73-4E0E-BA37-473C15E9C926}" type="pres">
      <dgm:prSet presAssocID="{CB6E0A53-B07E-4B2B-89E7-D1FB86B27272}" presName="Name9" presStyleLbl="parChTrans1D2" presStyleIdx="0" presStyleCnt="7"/>
      <dgm:spPr>
        <a:custGeom>
          <a:avLst/>
          <a:gdLst/>
          <a:ahLst/>
          <a:cxnLst/>
          <a:rect l="0" t="0" r="0" b="0"/>
          <a:pathLst>
            <a:path>
              <a:moveTo>
                <a:pt x="0" y="14194"/>
              </a:moveTo>
              <a:lnTo>
                <a:pt x="487996" y="14194"/>
              </a:lnTo>
            </a:path>
          </a:pathLst>
        </a:custGeom>
      </dgm:spPr>
      <dgm:t>
        <a:bodyPr/>
        <a:lstStyle/>
        <a:p>
          <a:endParaRPr lang="en-US"/>
        </a:p>
      </dgm:t>
    </dgm:pt>
    <dgm:pt modelId="{04068EB3-8728-47DB-8B53-1F3F6EA0E656}" type="pres">
      <dgm:prSet presAssocID="{CB6E0A53-B07E-4B2B-89E7-D1FB86B27272}" presName="connTx" presStyleLbl="parChTrans1D2" presStyleIdx="0" presStyleCnt="7"/>
      <dgm:spPr/>
      <dgm:t>
        <a:bodyPr/>
        <a:lstStyle/>
        <a:p>
          <a:endParaRPr lang="en-US"/>
        </a:p>
      </dgm:t>
    </dgm:pt>
    <dgm:pt modelId="{8441BECF-C9FE-4C31-BFA4-B45EB6B3D1F0}" type="pres">
      <dgm:prSet presAssocID="{45870664-60BD-4390-952C-AB2EEF07F4DD}" presName="node" presStyleLbl="node1" presStyleIdx="0" presStyleCnt="7" custScaleX="151338">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1" presStyleCnt="7"/>
      <dgm:spPr/>
      <dgm:t>
        <a:bodyPr/>
        <a:lstStyle/>
        <a:p>
          <a:endParaRPr lang="en-US"/>
        </a:p>
      </dgm:t>
    </dgm:pt>
    <dgm:pt modelId="{0D67A745-92A7-4C43-8F28-25B89678FC62}" type="pres">
      <dgm:prSet presAssocID="{31D2845E-7763-4EAF-A91C-F687BE68CFA9}" presName="connTx" presStyleLbl="parChTrans1D2" presStyleIdx="1" presStyleCnt="7"/>
      <dgm:spPr/>
      <dgm:t>
        <a:bodyPr/>
        <a:lstStyle/>
        <a:p>
          <a:endParaRPr lang="en-US"/>
        </a:p>
      </dgm:t>
    </dgm:pt>
    <dgm:pt modelId="{77E0AE60-7058-4D43-911F-C57FA8C6CA9F}" type="pres">
      <dgm:prSet presAssocID="{3BD68AEB-F6E8-461F-8590-A67172B04D7C}" presName="node" presStyleLbl="node1" presStyleIdx="1" presStyleCnt="7" custScaleX="175434" custRadScaleRad="137993" custRadScaleInc="38866">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2" presStyleCnt="7"/>
      <dgm:spPr/>
      <dgm:t>
        <a:bodyPr/>
        <a:lstStyle/>
        <a:p>
          <a:endParaRPr lang="en-US"/>
        </a:p>
      </dgm:t>
    </dgm:pt>
    <dgm:pt modelId="{BEAB3A6A-1AD1-41B3-BDFE-B268898D2300}" type="pres">
      <dgm:prSet presAssocID="{00297025-FE49-44ED-8151-9AC4B35C0885}" presName="connTx" presStyleLbl="parChTrans1D2" presStyleIdx="2" presStyleCnt="7"/>
      <dgm:spPr/>
      <dgm:t>
        <a:bodyPr/>
        <a:lstStyle/>
        <a:p>
          <a:endParaRPr lang="en-US"/>
        </a:p>
      </dgm:t>
    </dgm:pt>
    <dgm:pt modelId="{05994623-F04A-4AAC-82E3-2D63726DAA8A}" type="pres">
      <dgm:prSet presAssocID="{CDE3C2D2-2338-40D3-9864-33A39CCB5CF4}" presName="node" presStyleLbl="node1" presStyleIdx="2" presStyleCnt="7" custScaleX="153665" custRadScaleRad="256606" custRadScaleInc="-50805">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3" presStyleCnt="7"/>
      <dgm:spPr>
        <a:custGeom>
          <a:avLst/>
          <a:gdLst/>
          <a:ahLst/>
          <a:cxnLst/>
          <a:rect l="0" t="0" r="0" b="0"/>
          <a:pathLst>
            <a:path>
              <a:moveTo>
                <a:pt x="0" y="14194"/>
              </a:moveTo>
              <a:lnTo>
                <a:pt x="476437" y="14194"/>
              </a:lnTo>
            </a:path>
          </a:pathLst>
        </a:custGeom>
      </dgm:spPr>
      <dgm:t>
        <a:bodyPr/>
        <a:lstStyle/>
        <a:p>
          <a:endParaRPr lang="en-US"/>
        </a:p>
      </dgm:t>
    </dgm:pt>
    <dgm:pt modelId="{BA4F9CC8-82E2-4BE5-8120-3D5D089F9CF4}" type="pres">
      <dgm:prSet presAssocID="{0740ED97-4265-4052-8B1C-8A14B3879E4E}" presName="connTx" presStyleLbl="parChTrans1D2" presStyleIdx="3" presStyleCnt="7"/>
      <dgm:spPr/>
      <dgm:t>
        <a:bodyPr/>
        <a:lstStyle/>
        <a:p>
          <a:endParaRPr lang="en-US"/>
        </a:p>
      </dgm:t>
    </dgm:pt>
    <dgm:pt modelId="{3DB28723-07CF-4EFC-8E24-18E41E76D4AF}" type="pres">
      <dgm:prSet presAssocID="{115F3686-56C2-4580-9E8B-FA213D3DA5F6}" presName="node" presStyleLbl="node1" presStyleIdx="3" presStyleCnt="7" custScaleX="195642" custRadScaleRad="139799" custRadScaleInc="-130907">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4" presStyleCnt="7"/>
      <dgm:spPr/>
      <dgm:t>
        <a:bodyPr/>
        <a:lstStyle/>
        <a:p>
          <a:endParaRPr lang="en-US"/>
        </a:p>
      </dgm:t>
    </dgm:pt>
    <dgm:pt modelId="{E48FCD09-4C54-4A10-9BB3-1920483E872B}" type="pres">
      <dgm:prSet presAssocID="{7DB15392-F5F7-49E2-8294-51A0B1B620AB}" presName="connTx" presStyleLbl="parChTrans1D2" presStyleIdx="4" presStyleCnt="7"/>
      <dgm:spPr/>
      <dgm:t>
        <a:bodyPr/>
        <a:lstStyle/>
        <a:p>
          <a:endParaRPr lang="en-US"/>
        </a:p>
      </dgm:t>
    </dgm:pt>
    <dgm:pt modelId="{2BEED572-A282-4C32-95EB-3B1996D142B1}" type="pres">
      <dgm:prSet presAssocID="{4E654411-73AD-4DF6-AD3B-E400E531439B}" presName="node" presStyleLbl="node1" presStyleIdx="4" presStyleCnt="7" custScaleX="191612" custRadScaleRad="137614" custRadScaleInc="135517">
        <dgm:presLayoutVars>
          <dgm:bulletEnabled val="1"/>
        </dgm:presLayoutVars>
      </dgm:prSet>
      <dgm:spPr>
        <a:prstGeom prst="ellipse">
          <a:avLst/>
        </a:prstGeom>
      </dgm:spPr>
      <dgm:t>
        <a:bodyPr/>
        <a:lstStyle/>
        <a:p>
          <a:endParaRPr lang="en-US"/>
        </a:p>
      </dgm:t>
    </dgm:pt>
    <dgm:pt modelId="{C58C2EC9-2FE7-4521-9408-887873CF9CD6}" type="pres">
      <dgm:prSet presAssocID="{D9BD11F2-6636-4646-B3CF-323669445FAB}" presName="Name9" presStyleLbl="parChTrans1D2" presStyleIdx="5" presStyleCnt="7"/>
      <dgm:spPr/>
      <dgm:t>
        <a:bodyPr/>
        <a:lstStyle/>
        <a:p>
          <a:endParaRPr lang="en-US"/>
        </a:p>
      </dgm:t>
    </dgm:pt>
    <dgm:pt modelId="{5F2F4C57-6D86-42F3-B46C-09D84EF99051}" type="pres">
      <dgm:prSet presAssocID="{D9BD11F2-6636-4646-B3CF-323669445FAB}" presName="connTx" presStyleLbl="parChTrans1D2" presStyleIdx="5" presStyleCnt="7"/>
      <dgm:spPr/>
      <dgm:t>
        <a:bodyPr/>
        <a:lstStyle/>
        <a:p>
          <a:endParaRPr lang="en-US"/>
        </a:p>
      </dgm:t>
    </dgm:pt>
    <dgm:pt modelId="{53F278CD-DAFE-4670-A5E7-7708D74F671E}" type="pres">
      <dgm:prSet presAssocID="{C45608E5-C683-4F82-AC41-6429A24EED40}" presName="node" presStyleLbl="node1" presStyleIdx="5" presStyleCnt="7" custScaleX="183894" custRadScaleRad="258168" custRadScaleInc="50093">
        <dgm:presLayoutVars>
          <dgm:bulletEnabled val="1"/>
        </dgm:presLayoutVars>
      </dgm:prSet>
      <dgm:spPr>
        <a:prstGeom prst="ellipse">
          <a:avLst/>
        </a:prstGeom>
      </dgm:spPr>
      <dgm:t>
        <a:bodyPr/>
        <a:lstStyle/>
        <a:p>
          <a:endParaRPr lang="en-US"/>
        </a:p>
      </dgm:t>
    </dgm:pt>
    <dgm:pt modelId="{9D7A60DE-15BF-4701-8167-A6BE55521FB0}" type="pres">
      <dgm:prSet presAssocID="{7A68E894-33D2-492F-8570-E4DDFD311B12}" presName="Name9" presStyleLbl="parChTrans1D2" presStyleIdx="6" presStyleCnt="7"/>
      <dgm:spPr/>
      <dgm:t>
        <a:bodyPr/>
        <a:lstStyle/>
        <a:p>
          <a:endParaRPr lang="en-US"/>
        </a:p>
      </dgm:t>
    </dgm:pt>
    <dgm:pt modelId="{DA6728FC-5C85-4235-8ABB-D0CDA49DEB12}" type="pres">
      <dgm:prSet presAssocID="{7A68E894-33D2-492F-8570-E4DDFD311B12}" presName="connTx" presStyleLbl="parChTrans1D2" presStyleIdx="6" presStyleCnt="7"/>
      <dgm:spPr/>
      <dgm:t>
        <a:bodyPr/>
        <a:lstStyle/>
        <a:p>
          <a:endParaRPr lang="en-US"/>
        </a:p>
      </dgm:t>
    </dgm:pt>
    <dgm:pt modelId="{0FDECDAE-6064-4D03-98A4-386BBAAFB761}" type="pres">
      <dgm:prSet presAssocID="{B343370C-8FB3-481F-B4DA-6C9C41B047BC}" presName="node" presStyleLbl="node1" presStyleIdx="6" presStyleCnt="7" custScaleX="180533" custRadScaleRad="137469" custRadScaleInc="-39889">
        <dgm:presLayoutVars>
          <dgm:bulletEnabled val="1"/>
        </dgm:presLayoutVars>
      </dgm:prSet>
      <dgm:spPr>
        <a:prstGeom prst="ellipse">
          <a:avLst/>
        </a:prstGeom>
      </dgm:spPr>
      <dgm:t>
        <a:bodyPr/>
        <a:lstStyle/>
        <a:p>
          <a:endParaRPr lang="en-US"/>
        </a:p>
      </dgm:t>
    </dgm:pt>
  </dgm:ptLst>
  <dgm:cxnLst>
    <dgm:cxn modelId="{AA4953C5-7C7D-492A-B652-856CEEB33380}" type="presOf" srcId="{7DB15392-F5F7-49E2-8294-51A0B1B620AB}" destId="{E48FCD09-4C54-4A10-9BB3-1920483E872B}" srcOrd="1" destOrd="0" presId="urn:microsoft.com/office/officeart/2005/8/layout/radial1"/>
    <dgm:cxn modelId="{FF862692-6FE1-4C1B-8C29-4A220C00E54C}" srcId="{DE541715-C648-404D-8124-F14F463E9202}" destId="{115F3686-56C2-4580-9E8B-FA213D3DA5F6}" srcOrd="3" destOrd="0" parTransId="{0740ED97-4265-4052-8B1C-8A14B3879E4E}" sibTransId="{E9E35A43-605C-4C5A-B200-2A3B564FFAF5}"/>
    <dgm:cxn modelId="{003C4D48-8032-45CC-961A-3E48FCD155AE}" type="presOf" srcId="{7DB15392-F5F7-49E2-8294-51A0B1B620AB}" destId="{AD2F0D4B-AECA-4B10-81AC-261AA8BE8E98}" srcOrd="0" destOrd="0" presId="urn:microsoft.com/office/officeart/2005/8/layout/radial1"/>
    <dgm:cxn modelId="{D7D87220-4FAE-4DE6-87B5-84D6B3120254}" type="presOf" srcId="{CDE3C2D2-2338-40D3-9864-33A39CCB5CF4}" destId="{05994623-F04A-4AAC-82E3-2D63726DAA8A}" srcOrd="0" destOrd="0" presId="urn:microsoft.com/office/officeart/2005/8/layout/radial1"/>
    <dgm:cxn modelId="{7FE9340C-527E-4F07-AC9E-23AFAAC998E6}" type="presOf" srcId="{0740ED97-4265-4052-8B1C-8A14B3879E4E}" destId="{B654B038-4242-46EF-A10B-FF9B1A085532}" srcOrd="0" destOrd="0" presId="urn:microsoft.com/office/officeart/2005/8/layout/radial1"/>
    <dgm:cxn modelId="{134B4CB5-000B-47A9-9510-0640636ED1C7}" type="presOf" srcId="{CB6E0A53-B07E-4B2B-89E7-D1FB86B27272}" destId="{27C08CD6-CB73-4E0E-BA37-473C15E9C926}"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60C424C7-CC54-4027-B080-4425E7B5050C}" srcId="{DE541715-C648-404D-8124-F14F463E9202}" destId="{CDE3C2D2-2338-40D3-9864-33A39CCB5CF4}" srcOrd="2" destOrd="0" parTransId="{00297025-FE49-44ED-8151-9AC4B35C0885}" sibTransId="{59703DE8-812C-459A-A996-B99B877A6FDC}"/>
    <dgm:cxn modelId="{60DB01D9-D6F5-4BC2-93D4-3ED586EA9FC5}" type="presOf" srcId="{C45608E5-C683-4F82-AC41-6429A24EED40}" destId="{53F278CD-DAFE-4670-A5E7-7708D74F671E}" srcOrd="0" destOrd="0" presId="urn:microsoft.com/office/officeart/2005/8/layout/radial1"/>
    <dgm:cxn modelId="{EAC6D4AD-FA6B-4D2A-985C-0A1270C46698}" type="presOf" srcId="{31D2845E-7763-4EAF-A91C-F687BE68CFA9}" destId="{0D67A745-92A7-4C43-8F28-25B89678FC62}" srcOrd="1" destOrd="0" presId="urn:microsoft.com/office/officeart/2005/8/layout/radial1"/>
    <dgm:cxn modelId="{1FB917A4-1FF7-44F0-881E-5717CF546F10}" type="presOf" srcId="{4E654411-73AD-4DF6-AD3B-E400E531439B}" destId="{2BEED572-A282-4C32-95EB-3B1996D142B1}" srcOrd="0" destOrd="0" presId="urn:microsoft.com/office/officeart/2005/8/layout/radial1"/>
    <dgm:cxn modelId="{FC1D503C-080D-4D4C-B5F7-098C824C23C4}" type="presOf" srcId="{45870664-60BD-4390-952C-AB2EEF07F4DD}" destId="{8441BECF-C9FE-4C31-BFA4-B45EB6B3D1F0}" srcOrd="0" destOrd="0" presId="urn:microsoft.com/office/officeart/2005/8/layout/radial1"/>
    <dgm:cxn modelId="{1FC7D4E9-DA7F-4B94-BFAD-4818C0184B8D}" type="presOf" srcId="{CB6E0A53-B07E-4B2B-89E7-D1FB86B27272}" destId="{04068EB3-8728-47DB-8B53-1F3F6EA0E656}" srcOrd="1" destOrd="0" presId="urn:microsoft.com/office/officeart/2005/8/layout/radial1"/>
    <dgm:cxn modelId="{B4A839C5-8944-49CE-ADA7-31B477622CC8}" type="presOf" srcId="{0740ED97-4265-4052-8B1C-8A14B3879E4E}" destId="{BA4F9CC8-82E2-4BE5-8120-3D5D089F9CF4}" srcOrd="1" destOrd="0" presId="urn:microsoft.com/office/officeart/2005/8/layout/radial1"/>
    <dgm:cxn modelId="{0F6691DB-0277-4265-8015-105E55D04863}" type="presOf" srcId="{00297025-FE49-44ED-8151-9AC4B35C0885}" destId="{BEAB3A6A-1AD1-41B3-BDFE-B268898D2300}" srcOrd="1" destOrd="0" presId="urn:microsoft.com/office/officeart/2005/8/layout/radial1"/>
    <dgm:cxn modelId="{8219E8C0-11D9-4ECE-9E9E-751EEF5551F9}" srcId="{DE541715-C648-404D-8124-F14F463E9202}" destId="{3BD68AEB-F6E8-461F-8590-A67172B04D7C}" srcOrd="1" destOrd="0" parTransId="{31D2845E-7763-4EAF-A91C-F687BE68CFA9}" sibTransId="{93E661BA-0293-4FF1-B933-6256D0B2E24D}"/>
    <dgm:cxn modelId="{9551FBED-51E6-4346-801F-3D8ED067FD62}" type="presOf" srcId="{115F3686-56C2-4580-9E8B-FA213D3DA5F6}" destId="{3DB28723-07CF-4EFC-8E24-18E41E76D4AF}" srcOrd="0" destOrd="0" presId="urn:microsoft.com/office/officeart/2005/8/layout/radial1"/>
    <dgm:cxn modelId="{AB3B3F52-C0F9-46FB-BD52-E7F8BCC98861}" type="presOf" srcId="{00297025-FE49-44ED-8151-9AC4B35C0885}" destId="{EED79A7F-2696-484A-8083-D28DF0387AD5}" srcOrd="0" destOrd="0" presId="urn:microsoft.com/office/officeart/2005/8/layout/radial1"/>
    <dgm:cxn modelId="{C80DF295-9AAD-4C0B-B8AF-3EDA956AFFF7}" srcId="{DE541715-C648-404D-8124-F14F463E9202}" destId="{45870664-60BD-4390-952C-AB2EEF07F4DD}" srcOrd="0" destOrd="0" parTransId="{CB6E0A53-B07E-4B2B-89E7-D1FB86B27272}" sibTransId="{E74149DA-41AA-4BE0-B8E7-7965A33DC1B0}"/>
    <dgm:cxn modelId="{7E49AEE5-32BC-4C72-9537-2CCB0E77FDFC}" type="presOf" srcId="{7A68E894-33D2-492F-8570-E4DDFD311B12}" destId="{9D7A60DE-15BF-4701-8167-A6BE55521FB0}" srcOrd="0" destOrd="0" presId="urn:microsoft.com/office/officeart/2005/8/layout/radial1"/>
    <dgm:cxn modelId="{2BE85F0C-E3F8-4B34-BD6B-FB53764AF42E}" type="presOf" srcId="{DE541715-C648-404D-8124-F14F463E9202}" destId="{062AF917-2F47-4639-8A23-58AD52EC0F32}" srcOrd="0" destOrd="0" presId="urn:microsoft.com/office/officeart/2005/8/layout/radial1"/>
    <dgm:cxn modelId="{C388BC7D-573A-48E2-86F0-1BC878A09831}" type="presOf" srcId="{7A68E894-33D2-492F-8570-E4DDFD311B12}" destId="{DA6728FC-5C85-4235-8ABB-D0CDA49DEB12}" srcOrd="1" destOrd="0" presId="urn:microsoft.com/office/officeart/2005/8/layout/radial1"/>
    <dgm:cxn modelId="{CDEFB2A3-4EA9-489B-9721-56871D483AB2}" srcId="{DE541715-C648-404D-8124-F14F463E9202}" destId="{B343370C-8FB3-481F-B4DA-6C9C41B047BC}" srcOrd="6" destOrd="0" parTransId="{7A68E894-33D2-492F-8570-E4DDFD311B12}" sibTransId="{7DC850A5-77C3-4602-A065-D0A45018AC8D}"/>
    <dgm:cxn modelId="{EA649D56-24F8-477D-A09E-968277DBC9A6}" type="presOf" srcId="{B343370C-8FB3-481F-B4DA-6C9C41B047BC}" destId="{0FDECDAE-6064-4D03-98A4-386BBAAFB761}" srcOrd="0" destOrd="0" presId="urn:microsoft.com/office/officeart/2005/8/layout/radial1"/>
    <dgm:cxn modelId="{E0594360-5C4F-4C47-B047-3E60D22AD80D}" srcId="{DE541715-C648-404D-8124-F14F463E9202}" destId="{C45608E5-C683-4F82-AC41-6429A24EED40}" srcOrd="5" destOrd="0" parTransId="{D9BD11F2-6636-4646-B3CF-323669445FAB}" sibTransId="{2C17D791-E651-44AA-801E-D486EB358D8A}"/>
    <dgm:cxn modelId="{A12C036A-14E7-451C-80B8-9B5BE762C5B4}" srcId="{DE541715-C648-404D-8124-F14F463E9202}" destId="{4E654411-73AD-4DF6-AD3B-E400E531439B}" srcOrd="4" destOrd="0" parTransId="{7DB15392-F5F7-49E2-8294-51A0B1B620AB}" sibTransId="{2B759E48-7284-455B-851A-DFF88118946F}"/>
    <dgm:cxn modelId="{AE011A38-8778-45A3-B4D0-3426E6CBB37A}" type="presOf" srcId="{34E6C8D5-8D4F-4714-8A12-8F4599A8E760}" destId="{08F189A1-AB47-41D1-8058-7A6DA66B3F52}" srcOrd="0" destOrd="0" presId="urn:microsoft.com/office/officeart/2005/8/layout/radial1"/>
    <dgm:cxn modelId="{95C38206-330B-4902-8869-AE0182E57855}" type="presOf" srcId="{31D2845E-7763-4EAF-A91C-F687BE68CFA9}" destId="{27678B34-738D-4B59-81F4-6EB54DA6F256}" srcOrd="0" destOrd="0" presId="urn:microsoft.com/office/officeart/2005/8/layout/radial1"/>
    <dgm:cxn modelId="{A64166BE-8472-49E1-9E38-70644AC5C0BC}" type="presOf" srcId="{D9BD11F2-6636-4646-B3CF-323669445FAB}" destId="{5F2F4C57-6D86-42F3-B46C-09D84EF99051}"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6C357073-D757-429D-AA9B-E2877BF20ABE}" type="presOf" srcId="{D9BD11F2-6636-4646-B3CF-323669445FAB}" destId="{C58C2EC9-2FE7-4521-9408-887873CF9CD6}" srcOrd="0" destOrd="0" presId="urn:microsoft.com/office/officeart/2005/8/layout/radial1"/>
    <dgm:cxn modelId="{1FAF5C23-8C4F-437E-9DB7-7B630304B35E}" type="presOf" srcId="{3BD68AEB-F6E8-461F-8590-A67172B04D7C}" destId="{77E0AE60-7058-4D43-911F-C57FA8C6CA9F}" srcOrd="0" destOrd="0" presId="urn:microsoft.com/office/officeart/2005/8/layout/radial1"/>
    <dgm:cxn modelId="{DCB1C358-1089-4FD6-A522-A3534598D365}" type="presParOf" srcId="{08F189A1-AB47-41D1-8058-7A6DA66B3F52}" destId="{062AF917-2F47-4639-8A23-58AD52EC0F32}" srcOrd="0" destOrd="0" presId="urn:microsoft.com/office/officeart/2005/8/layout/radial1"/>
    <dgm:cxn modelId="{8EA95601-DB4A-46A0-A27C-542EC24C00CF}" type="presParOf" srcId="{08F189A1-AB47-41D1-8058-7A6DA66B3F52}" destId="{27C08CD6-CB73-4E0E-BA37-473C15E9C926}" srcOrd="1" destOrd="0" presId="urn:microsoft.com/office/officeart/2005/8/layout/radial1"/>
    <dgm:cxn modelId="{119E7BBC-38A6-4FCA-8F7F-A7EF81F643A3}" type="presParOf" srcId="{27C08CD6-CB73-4E0E-BA37-473C15E9C926}" destId="{04068EB3-8728-47DB-8B53-1F3F6EA0E656}" srcOrd="0" destOrd="0" presId="urn:microsoft.com/office/officeart/2005/8/layout/radial1"/>
    <dgm:cxn modelId="{A50B4BA4-752E-4A71-9971-22B64D94D33E}" type="presParOf" srcId="{08F189A1-AB47-41D1-8058-7A6DA66B3F52}" destId="{8441BECF-C9FE-4C31-BFA4-B45EB6B3D1F0}" srcOrd="2" destOrd="0" presId="urn:microsoft.com/office/officeart/2005/8/layout/radial1"/>
    <dgm:cxn modelId="{1244E662-B95A-47BC-93F4-B4833A75DD5A}" type="presParOf" srcId="{08F189A1-AB47-41D1-8058-7A6DA66B3F52}" destId="{27678B34-738D-4B59-81F4-6EB54DA6F256}" srcOrd="3" destOrd="0" presId="urn:microsoft.com/office/officeart/2005/8/layout/radial1"/>
    <dgm:cxn modelId="{93FBB549-CA48-4AE2-A14A-DB0ACC75A3DE}" type="presParOf" srcId="{27678B34-738D-4B59-81F4-6EB54DA6F256}" destId="{0D67A745-92A7-4C43-8F28-25B89678FC62}" srcOrd="0" destOrd="0" presId="urn:microsoft.com/office/officeart/2005/8/layout/radial1"/>
    <dgm:cxn modelId="{655225A6-770B-4BB7-802F-A7B04FDAFD28}" type="presParOf" srcId="{08F189A1-AB47-41D1-8058-7A6DA66B3F52}" destId="{77E0AE60-7058-4D43-911F-C57FA8C6CA9F}" srcOrd="4" destOrd="0" presId="urn:microsoft.com/office/officeart/2005/8/layout/radial1"/>
    <dgm:cxn modelId="{E4A59A23-0236-48A0-BA29-0C8329C63DE6}" type="presParOf" srcId="{08F189A1-AB47-41D1-8058-7A6DA66B3F52}" destId="{EED79A7F-2696-484A-8083-D28DF0387AD5}" srcOrd="5" destOrd="0" presId="urn:microsoft.com/office/officeart/2005/8/layout/radial1"/>
    <dgm:cxn modelId="{5E4862EA-BCEE-41F7-B68B-25A90ECA2D88}" type="presParOf" srcId="{EED79A7F-2696-484A-8083-D28DF0387AD5}" destId="{BEAB3A6A-1AD1-41B3-BDFE-B268898D2300}" srcOrd="0" destOrd="0" presId="urn:microsoft.com/office/officeart/2005/8/layout/radial1"/>
    <dgm:cxn modelId="{66CADC74-1BE1-4595-9455-E7A8AEEED0E0}" type="presParOf" srcId="{08F189A1-AB47-41D1-8058-7A6DA66B3F52}" destId="{05994623-F04A-4AAC-82E3-2D63726DAA8A}" srcOrd="6" destOrd="0" presId="urn:microsoft.com/office/officeart/2005/8/layout/radial1"/>
    <dgm:cxn modelId="{9E0934DB-DBF6-4BA4-9E66-03A651990B59}" type="presParOf" srcId="{08F189A1-AB47-41D1-8058-7A6DA66B3F52}" destId="{B654B038-4242-46EF-A10B-FF9B1A085532}" srcOrd="7" destOrd="0" presId="urn:microsoft.com/office/officeart/2005/8/layout/radial1"/>
    <dgm:cxn modelId="{8CCC2E20-EDE7-4EFC-B682-C7073CC2B43A}" type="presParOf" srcId="{B654B038-4242-46EF-A10B-FF9B1A085532}" destId="{BA4F9CC8-82E2-4BE5-8120-3D5D089F9CF4}" srcOrd="0" destOrd="0" presId="urn:microsoft.com/office/officeart/2005/8/layout/radial1"/>
    <dgm:cxn modelId="{3C87A7F5-BFA5-4569-9F5F-C18EE7999A3C}" type="presParOf" srcId="{08F189A1-AB47-41D1-8058-7A6DA66B3F52}" destId="{3DB28723-07CF-4EFC-8E24-18E41E76D4AF}" srcOrd="8" destOrd="0" presId="urn:microsoft.com/office/officeart/2005/8/layout/radial1"/>
    <dgm:cxn modelId="{60B4B432-DF83-49F7-A2FA-5F2C2A8E49B7}" type="presParOf" srcId="{08F189A1-AB47-41D1-8058-7A6DA66B3F52}" destId="{AD2F0D4B-AECA-4B10-81AC-261AA8BE8E98}" srcOrd="9" destOrd="0" presId="urn:microsoft.com/office/officeart/2005/8/layout/radial1"/>
    <dgm:cxn modelId="{691798E1-4D67-4856-ABAD-BE2594EE243E}" type="presParOf" srcId="{AD2F0D4B-AECA-4B10-81AC-261AA8BE8E98}" destId="{E48FCD09-4C54-4A10-9BB3-1920483E872B}" srcOrd="0" destOrd="0" presId="urn:microsoft.com/office/officeart/2005/8/layout/radial1"/>
    <dgm:cxn modelId="{1290BD52-8098-4378-B94D-5E8C2A0C57A5}" type="presParOf" srcId="{08F189A1-AB47-41D1-8058-7A6DA66B3F52}" destId="{2BEED572-A282-4C32-95EB-3B1996D142B1}" srcOrd="10" destOrd="0" presId="urn:microsoft.com/office/officeart/2005/8/layout/radial1"/>
    <dgm:cxn modelId="{7112E128-33D5-403E-A225-89BA4EAA04C7}" type="presParOf" srcId="{08F189A1-AB47-41D1-8058-7A6DA66B3F52}" destId="{C58C2EC9-2FE7-4521-9408-887873CF9CD6}" srcOrd="11" destOrd="0" presId="urn:microsoft.com/office/officeart/2005/8/layout/radial1"/>
    <dgm:cxn modelId="{1D555E7E-8934-4077-BC5D-53AE04BAF0E4}" type="presParOf" srcId="{C58C2EC9-2FE7-4521-9408-887873CF9CD6}" destId="{5F2F4C57-6D86-42F3-B46C-09D84EF99051}" srcOrd="0" destOrd="0" presId="urn:microsoft.com/office/officeart/2005/8/layout/radial1"/>
    <dgm:cxn modelId="{F75FDBE4-E17F-4A11-AC30-3770C54261D2}" type="presParOf" srcId="{08F189A1-AB47-41D1-8058-7A6DA66B3F52}" destId="{53F278CD-DAFE-4670-A5E7-7708D74F671E}" srcOrd="12" destOrd="0" presId="urn:microsoft.com/office/officeart/2005/8/layout/radial1"/>
    <dgm:cxn modelId="{E1F94561-26F3-4727-92FD-D629FE02BB86}" type="presParOf" srcId="{08F189A1-AB47-41D1-8058-7A6DA66B3F52}" destId="{9D7A60DE-15BF-4701-8167-A6BE55521FB0}" srcOrd="13" destOrd="0" presId="urn:microsoft.com/office/officeart/2005/8/layout/radial1"/>
    <dgm:cxn modelId="{88AC883C-757A-4085-843E-7691AA439DD1}" type="presParOf" srcId="{9D7A60DE-15BF-4701-8167-A6BE55521FB0}" destId="{DA6728FC-5C85-4235-8ABB-D0CDA49DEB12}" srcOrd="0" destOrd="0" presId="urn:microsoft.com/office/officeart/2005/8/layout/radial1"/>
    <dgm:cxn modelId="{1BDB6B25-E746-4AB4-A95D-4DC71EC54920}" type="presParOf" srcId="{08F189A1-AB47-41D1-8058-7A6DA66B3F52}" destId="{0FDECDAE-6064-4D03-98A4-386BBAAFB761}" srcOrd="14" destOrd="0" presId="urn:microsoft.com/office/officeart/2005/8/layout/radial1"/>
  </dgm:cxnLst>
  <dgm:bg/>
  <dgm:whole/>
  <dgm:extLst>
    <a:ext uri="http://schemas.microsoft.com/office/drawing/2008/diagram">
      <dsp:dataModelExt xmlns:dsp="http://schemas.microsoft.com/office/drawing/2008/diagram" relId="rId66"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DE541715-C648-404D-8124-F14F463E9202}">
      <dgm:prSet phldrT="[Text]" custT="1"/>
      <dgm:spPr>
        <a:xfrm>
          <a:off x="2437719" y="794790"/>
          <a:ext cx="1074090" cy="413078"/>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45870664-60BD-4390-952C-AB2EEF07F4DD}">
      <dgm:prSet phldrT="[Text]" custT="1"/>
      <dgm:spPr>
        <a:xfrm>
          <a:off x="4396180" y="784530"/>
          <a:ext cx="1335644" cy="42682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B6E0A53-B07E-4B2B-89E7-D1FB86B27272}" type="parTrans" cxnId="{C80DF295-9AAD-4C0B-B8AF-3EDA956AFFF7}">
      <dgm:prSet/>
      <dgm:spPr>
        <a:xfrm rot="21594430">
          <a:off x="3511804" y="992102"/>
          <a:ext cx="884384" cy="1528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74149DA-41AA-4BE0-B8E7-7965A33DC1B0}" type="sibTrans" cxnId="{C80DF295-9AAD-4C0B-B8AF-3EDA956AFFF7}">
      <dgm:prSet/>
      <dgm:spPr/>
      <dgm:t>
        <a:bodyPr/>
        <a:lstStyle/>
        <a:p>
          <a:endParaRPr lang="en-US"/>
        </a:p>
      </dgm:t>
    </dgm:pt>
    <dgm:pt modelId="{3BD68AEB-F6E8-461F-8590-A67172B04D7C}">
      <dgm:prSet phldrT="[Text]" custT="1"/>
      <dgm:spPr>
        <a:xfrm>
          <a:off x="3619357" y="1175836"/>
          <a:ext cx="1041088" cy="50462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1D2845E-7763-4EAF-A91C-F687BE68CFA9}" type="parTrans" cxnId="{8219E8C0-11D9-4ECE-9E9E-751EEF5551F9}">
      <dgm:prSet/>
      <dgm:spPr>
        <a:xfrm rot="1207147">
          <a:off x="3351902" y="1202260"/>
          <a:ext cx="384444" cy="1528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3E661BA-0293-4FF1-B933-6256D0B2E24D}" type="sibTrans" cxnId="{8219E8C0-11D9-4ECE-9E9E-751EEF5551F9}">
      <dgm:prSet/>
      <dgm:spPr/>
      <dgm:t>
        <a:bodyPr/>
        <a:lstStyle/>
        <a:p>
          <a:endParaRPr lang="en-US"/>
        </a:p>
      </dgm:t>
    </dgm:pt>
    <dgm:pt modelId="{CDE3C2D2-2338-40D3-9864-33A39CCB5CF4}">
      <dgm:prSet phldrT="[Text]" custT="1"/>
      <dgm:spPr>
        <a:xfrm>
          <a:off x="1210798" y="1186517"/>
          <a:ext cx="1203361" cy="511263"/>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12</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التصنيف والمعايير</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0297025-FE49-44ED-8151-9AC4B35C0885}" type="parTrans" cxnId="{60C424C7-CC54-4027-B080-4425E7B5050C}">
      <dgm:prSet/>
      <dgm:spPr>
        <a:xfrm rot="9553788">
          <a:off x="2249828" y="1201492"/>
          <a:ext cx="354059" cy="1528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9703DE8-812C-459A-A996-B99B877A6FDC}" type="sibTrans" cxnId="{60C424C7-CC54-4027-B080-4425E7B5050C}">
      <dgm:prSet/>
      <dgm:spPr/>
      <dgm:t>
        <a:bodyPr/>
        <a:lstStyle/>
        <a:p>
          <a:endParaRPr lang="en-US"/>
        </a:p>
      </dgm:t>
    </dgm:pt>
    <dgm:pt modelId="{115F3686-56C2-4580-9E8B-FA213D3DA5F6}">
      <dgm:prSet phldrT="[Text]" custT="1"/>
      <dgm:spPr>
        <a:xfrm>
          <a:off x="101422" y="752488"/>
          <a:ext cx="1347503" cy="48475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البيانات العالمية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740ED97-4265-4052-8B1C-8A14B3879E4E}" type="parTrans" cxnId="{FF862692-6FE1-4C1B-8C29-4A220C00E54C}">
      <dgm:prSet/>
      <dgm:spPr>
        <a:xfrm rot="10810106">
          <a:off x="1448901" y="990656"/>
          <a:ext cx="988835" cy="1528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E35A43-605C-4C5A-B200-2A3B564FFAF5}" type="sibTrans" cxnId="{FF862692-6FE1-4C1B-8C29-4A220C00E54C}">
      <dgm:prSet/>
      <dgm:spPr/>
      <dgm:t>
        <a:bodyPr/>
        <a:lstStyle/>
        <a:p>
          <a:endParaRPr lang="en-US"/>
        </a:p>
      </dgm:t>
    </dgm:pt>
    <dgm:pt modelId="{4E654411-73AD-4DF6-AD3B-E400E531439B}">
      <dgm:prSet phldrT="[Text]" custT="1"/>
      <dgm:spPr>
        <a:xfrm>
          <a:off x="1240971" y="208196"/>
          <a:ext cx="1066248" cy="55716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DB15392-F5F7-49E2-8294-51A0B1B620AB}" type="parTrans" cxnId="{A12C036A-14E7-451C-80B8-9B5BE762C5B4}">
      <dgm:prSet/>
      <dgm:spPr>
        <a:xfrm rot="12191858">
          <a:off x="2167420" y="747885"/>
          <a:ext cx="467554" cy="1528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B759E48-7284-455B-851A-DFF88118946F}" type="sibTrans" cxnId="{A12C036A-14E7-451C-80B8-9B5BE762C5B4}">
      <dgm:prSet/>
      <dgm:spPr/>
      <dgm:t>
        <a:bodyPr/>
        <a:lstStyle/>
        <a:p>
          <a:endParaRPr lang="en-US"/>
        </a:p>
      </dgm:t>
    </dgm:pt>
    <dgm:pt modelId="{0312DC60-63F3-4695-A4B2-2143D87CBA69}">
      <dgm:prSet phldrT="[Text]" custT="1"/>
      <dgm:spPr>
        <a:xfrm>
          <a:off x="3723752" y="214090"/>
          <a:ext cx="959161" cy="504628"/>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7</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التحكيم</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2995B63-ADD2-4A50-AE0E-6CB45D8C6E35}" type="parTrans" cxnId="{97CE5D63-B5EC-4910-A585-3916F3D90753}">
      <dgm:prSet/>
      <dgm:spPr>
        <a:xfrm rot="20188286">
          <a:off x="3307463" y="729259"/>
          <a:ext cx="549235" cy="1528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7B22FCA-D743-4668-A987-13511BDD8FC7}" type="sibTrans" cxnId="{97CE5D63-B5EC-4910-A585-3916F3D90753}">
      <dgm:prSet/>
      <dgm:spPr/>
      <dgm:t>
        <a:bodyPr/>
        <a:lstStyle/>
        <a:p>
          <a:endParaRPr lang="en-US"/>
        </a:p>
      </dgm:t>
    </dgm:pt>
    <dgm:pt modelId="{3617534A-E595-427C-AC8F-9064DFBAF0A6}">
      <dgm:prSet phldrT="[Text]" custT="1"/>
      <dgm:spPr>
        <a:xfrm>
          <a:off x="2500194" y="19223"/>
          <a:ext cx="949139" cy="45026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048942C-F61A-4F2B-B900-E08A5C266B6D}" type="parTrans" cxnId="{7A8622CA-DAE5-441B-AF51-EADD298D7EC2}">
      <dgm:prSet/>
      <dgm:spPr>
        <a:xfrm rot="16200000">
          <a:off x="2812113" y="624498"/>
          <a:ext cx="325302" cy="1528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D43D76-EF3E-4E3A-A784-4FA35B591162}" type="sibTrans" cxnId="{7A8622CA-DAE5-441B-AF51-EADD298D7EC2}">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12848" custScaleY="81858"/>
      <dgm:spPr>
        <a:prstGeom prst="ellipse">
          <a:avLst/>
        </a:prstGeom>
      </dgm:spPr>
      <dgm:t>
        <a:bodyPr/>
        <a:lstStyle/>
        <a:p>
          <a:endParaRPr lang="en-US"/>
        </a:p>
      </dgm:t>
    </dgm:pt>
    <dgm:pt modelId="{DDE83488-D0AF-4A61-9C32-0D1EF5D54320}" type="pres">
      <dgm:prSet presAssocID="{D048942C-F61A-4F2B-B900-E08A5C266B6D}" presName="Name9" presStyleLbl="parChTrans1D2" presStyleIdx="0" presStyleCnt="7"/>
      <dgm:spPr>
        <a:custGeom>
          <a:avLst/>
          <a:gdLst/>
          <a:ahLst/>
          <a:cxnLst/>
          <a:rect l="0" t="0" r="0" b="0"/>
          <a:pathLst>
            <a:path>
              <a:moveTo>
                <a:pt x="0" y="7641"/>
              </a:moveTo>
              <a:lnTo>
                <a:pt x="325302" y="7641"/>
              </a:lnTo>
            </a:path>
          </a:pathLst>
        </a:custGeom>
      </dgm:spPr>
      <dgm:t>
        <a:bodyPr/>
        <a:lstStyle/>
        <a:p>
          <a:endParaRPr lang="en-US"/>
        </a:p>
      </dgm:t>
    </dgm:pt>
    <dgm:pt modelId="{7452C467-723D-40C3-B847-788D2E8C3669}" type="pres">
      <dgm:prSet presAssocID="{D048942C-F61A-4F2B-B900-E08A5C266B6D}" presName="connTx" presStyleLbl="parChTrans1D2" presStyleIdx="0" presStyleCnt="7"/>
      <dgm:spPr/>
      <dgm:t>
        <a:bodyPr/>
        <a:lstStyle/>
        <a:p>
          <a:endParaRPr lang="en-US"/>
        </a:p>
      </dgm:t>
    </dgm:pt>
    <dgm:pt modelId="{5A264607-8295-4AD5-8D4E-5E0F0A25C928}" type="pres">
      <dgm:prSet presAssocID="{3617534A-E595-427C-AC8F-9064DFBAF0A6}" presName="node" presStyleLbl="node1" presStyleIdx="0" presStyleCnt="7" custScaleX="188087" custScaleY="89227">
        <dgm:presLayoutVars>
          <dgm:bulletEnabled val="1"/>
        </dgm:presLayoutVars>
      </dgm:prSet>
      <dgm:spPr>
        <a:prstGeom prst="ellipse">
          <a:avLst/>
        </a:prstGeom>
      </dgm:spPr>
      <dgm:t>
        <a:bodyPr/>
        <a:lstStyle/>
        <a:p>
          <a:endParaRPr lang="en-US"/>
        </a:p>
      </dgm:t>
    </dgm:pt>
    <dgm:pt modelId="{64B847BA-C336-4F4D-BCB1-E9F8B02329EB}" type="pres">
      <dgm:prSet presAssocID="{92995B63-ADD2-4A50-AE0E-6CB45D8C6E35}" presName="Name9" presStyleLbl="parChTrans1D2" presStyleIdx="1" presStyleCnt="7"/>
      <dgm:spPr>
        <a:custGeom>
          <a:avLst/>
          <a:gdLst/>
          <a:ahLst/>
          <a:cxnLst/>
          <a:rect l="0" t="0" r="0" b="0"/>
          <a:pathLst>
            <a:path>
              <a:moveTo>
                <a:pt x="0" y="7641"/>
              </a:moveTo>
              <a:lnTo>
                <a:pt x="549235" y="7641"/>
              </a:lnTo>
            </a:path>
          </a:pathLst>
        </a:custGeom>
      </dgm:spPr>
      <dgm:t>
        <a:bodyPr/>
        <a:lstStyle/>
        <a:p>
          <a:endParaRPr lang="en-US"/>
        </a:p>
      </dgm:t>
    </dgm:pt>
    <dgm:pt modelId="{826F95A3-91FC-4B4C-BC2D-78EBAEA00899}" type="pres">
      <dgm:prSet presAssocID="{92995B63-ADD2-4A50-AE0E-6CB45D8C6E35}" presName="connTx" presStyleLbl="parChTrans1D2" presStyleIdx="1" presStyleCnt="7"/>
      <dgm:spPr/>
      <dgm:t>
        <a:bodyPr/>
        <a:lstStyle/>
        <a:p>
          <a:endParaRPr lang="en-US"/>
        </a:p>
      </dgm:t>
    </dgm:pt>
    <dgm:pt modelId="{1AB73DFF-B172-4EE5-8B1D-E235635E7315}" type="pres">
      <dgm:prSet presAssocID="{0312DC60-63F3-4695-A4B2-2143D87CBA69}" presName="node" presStyleLbl="node1" presStyleIdx="1" presStyleCnt="7" custScaleX="190073" custRadScaleRad="177017" custRadScaleInc="58500">
        <dgm:presLayoutVars>
          <dgm:bulletEnabled val="1"/>
        </dgm:presLayoutVars>
      </dgm:prSet>
      <dgm:spPr>
        <a:prstGeom prst="ellipse">
          <a:avLst/>
        </a:prstGeom>
      </dgm:spPr>
      <dgm:t>
        <a:bodyPr/>
        <a:lstStyle/>
        <a:p>
          <a:endParaRPr lang="en-US"/>
        </a:p>
      </dgm:t>
    </dgm:pt>
    <dgm:pt modelId="{27C08CD6-CB73-4E0E-BA37-473C15E9C926}" type="pres">
      <dgm:prSet presAssocID="{CB6E0A53-B07E-4B2B-89E7-D1FB86B27272}" presName="Name9" presStyleLbl="parChTrans1D2" presStyleIdx="2" presStyleCnt="7"/>
      <dgm:spPr>
        <a:custGeom>
          <a:avLst/>
          <a:gdLst/>
          <a:ahLst/>
          <a:cxnLst/>
          <a:rect l="0" t="0" r="0" b="0"/>
          <a:pathLst>
            <a:path>
              <a:moveTo>
                <a:pt x="0" y="7641"/>
              </a:moveTo>
              <a:lnTo>
                <a:pt x="884384" y="7641"/>
              </a:lnTo>
            </a:path>
          </a:pathLst>
        </a:custGeom>
      </dgm:spPr>
      <dgm:t>
        <a:bodyPr/>
        <a:lstStyle/>
        <a:p>
          <a:endParaRPr lang="en-US"/>
        </a:p>
      </dgm:t>
    </dgm:pt>
    <dgm:pt modelId="{04068EB3-8728-47DB-8B53-1F3F6EA0E656}" type="pres">
      <dgm:prSet presAssocID="{CB6E0A53-B07E-4B2B-89E7-D1FB86B27272}" presName="connTx" presStyleLbl="parChTrans1D2" presStyleIdx="2" presStyleCnt="7"/>
      <dgm:spPr/>
      <dgm:t>
        <a:bodyPr/>
        <a:lstStyle/>
        <a:p>
          <a:endParaRPr lang="en-US"/>
        </a:p>
      </dgm:t>
    </dgm:pt>
    <dgm:pt modelId="{8441BECF-C9FE-4C31-BFA4-B45EB6B3D1F0}" type="pres">
      <dgm:prSet presAssocID="{45870664-60BD-4390-952C-AB2EEF07F4DD}" presName="node" presStyleLbl="node1" presStyleIdx="2" presStyleCnt="7" custScaleX="264679" custScaleY="84583" custRadScaleRad="275999" custRadScaleInc="-50361">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3" presStyleCnt="7"/>
      <dgm:spPr>
        <a:custGeom>
          <a:avLst/>
          <a:gdLst/>
          <a:ahLst/>
          <a:cxnLst/>
          <a:rect l="0" t="0" r="0" b="0"/>
          <a:pathLst>
            <a:path>
              <a:moveTo>
                <a:pt x="0" y="7641"/>
              </a:moveTo>
              <a:lnTo>
                <a:pt x="384444" y="7641"/>
              </a:lnTo>
            </a:path>
          </a:pathLst>
        </a:custGeom>
      </dgm:spPr>
      <dgm:t>
        <a:bodyPr/>
        <a:lstStyle/>
        <a:p>
          <a:endParaRPr lang="en-US"/>
        </a:p>
      </dgm:t>
    </dgm:pt>
    <dgm:pt modelId="{0D67A745-92A7-4C43-8F28-25B89678FC62}" type="pres">
      <dgm:prSet presAssocID="{31D2845E-7763-4EAF-A91C-F687BE68CFA9}" presName="connTx" presStyleLbl="parChTrans1D2" presStyleIdx="3" presStyleCnt="7"/>
      <dgm:spPr/>
      <dgm:t>
        <a:bodyPr/>
        <a:lstStyle/>
        <a:p>
          <a:endParaRPr lang="en-US"/>
        </a:p>
      </dgm:t>
    </dgm:pt>
    <dgm:pt modelId="{77E0AE60-7058-4D43-911F-C57FA8C6CA9F}" type="pres">
      <dgm:prSet presAssocID="{3BD68AEB-F6E8-461F-8590-A67172B04D7C}" presName="node" presStyleLbl="node1" presStyleIdx="3" presStyleCnt="7" custScaleX="206308" custRadScaleRad="163923" custRadScaleInc="-171759">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4" presStyleCnt="7"/>
      <dgm:spPr>
        <a:custGeom>
          <a:avLst/>
          <a:gdLst/>
          <a:ahLst/>
          <a:cxnLst/>
          <a:rect l="0" t="0" r="0" b="0"/>
          <a:pathLst>
            <a:path>
              <a:moveTo>
                <a:pt x="0" y="7641"/>
              </a:moveTo>
              <a:lnTo>
                <a:pt x="354059" y="7641"/>
              </a:lnTo>
            </a:path>
          </a:pathLst>
        </a:custGeom>
      </dgm:spPr>
      <dgm:t>
        <a:bodyPr/>
        <a:lstStyle/>
        <a:p>
          <a:endParaRPr lang="en-US"/>
        </a:p>
      </dgm:t>
    </dgm:pt>
    <dgm:pt modelId="{BEAB3A6A-1AD1-41B3-BDFE-B268898D2300}" type="pres">
      <dgm:prSet presAssocID="{00297025-FE49-44ED-8151-9AC4B35C0885}" presName="connTx" presStyleLbl="parChTrans1D2" presStyleIdx="4" presStyleCnt="7"/>
      <dgm:spPr/>
      <dgm:t>
        <a:bodyPr/>
        <a:lstStyle/>
        <a:p>
          <a:endParaRPr lang="en-US"/>
        </a:p>
      </dgm:t>
    </dgm:pt>
    <dgm:pt modelId="{05994623-F04A-4AAC-82E3-2D63726DAA8A}" type="pres">
      <dgm:prSet presAssocID="{CDE3C2D2-2338-40D3-9864-33A39CCB5CF4}" presName="node" presStyleLbl="node1" presStyleIdx="4" presStyleCnt="7" custScaleX="238465" custScaleY="101315" custRadScaleRad="164216" custRadScaleInc="169227">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5" presStyleCnt="7"/>
      <dgm:spPr>
        <a:custGeom>
          <a:avLst/>
          <a:gdLst/>
          <a:ahLst/>
          <a:cxnLst/>
          <a:rect l="0" t="0" r="0" b="0"/>
          <a:pathLst>
            <a:path>
              <a:moveTo>
                <a:pt x="0" y="7641"/>
              </a:moveTo>
              <a:lnTo>
                <a:pt x="988835" y="7641"/>
              </a:lnTo>
            </a:path>
          </a:pathLst>
        </a:custGeom>
      </dgm:spPr>
      <dgm:t>
        <a:bodyPr/>
        <a:lstStyle/>
        <a:p>
          <a:endParaRPr lang="en-US"/>
        </a:p>
      </dgm:t>
    </dgm:pt>
    <dgm:pt modelId="{BA4F9CC8-82E2-4BE5-8120-3D5D089F9CF4}" type="pres">
      <dgm:prSet presAssocID="{0740ED97-4265-4052-8B1C-8A14B3879E4E}" presName="connTx" presStyleLbl="parChTrans1D2" presStyleIdx="5" presStyleCnt="7"/>
      <dgm:spPr/>
      <dgm:t>
        <a:bodyPr/>
        <a:lstStyle/>
        <a:p>
          <a:endParaRPr lang="en-US"/>
        </a:p>
      </dgm:t>
    </dgm:pt>
    <dgm:pt modelId="{3DB28723-07CF-4EFC-8E24-18E41E76D4AF}" type="pres">
      <dgm:prSet presAssocID="{115F3686-56C2-4580-9E8B-FA213D3DA5F6}" presName="node" presStyleLbl="node1" presStyleIdx="5" presStyleCnt="7" custScaleX="267029" custScaleY="96061" custRadScaleRad="290578" custRadScaleInc="50655">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6" presStyleCnt="7"/>
      <dgm:spPr>
        <a:custGeom>
          <a:avLst/>
          <a:gdLst/>
          <a:ahLst/>
          <a:cxnLst/>
          <a:rect l="0" t="0" r="0" b="0"/>
          <a:pathLst>
            <a:path>
              <a:moveTo>
                <a:pt x="0" y="7641"/>
              </a:moveTo>
              <a:lnTo>
                <a:pt x="467554" y="7641"/>
              </a:lnTo>
            </a:path>
          </a:pathLst>
        </a:custGeom>
      </dgm:spPr>
      <dgm:t>
        <a:bodyPr/>
        <a:lstStyle/>
        <a:p>
          <a:endParaRPr lang="en-US"/>
        </a:p>
      </dgm:t>
    </dgm:pt>
    <dgm:pt modelId="{E48FCD09-4C54-4A10-9BB3-1920483E872B}" type="pres">
      <dgm:prSet presAssocID="{7DB15392-F5F7-49E2-8294-51A0B1B620AB}" presName="connTx" presStyleLbl="parChTrans1D2" presStyleIdx="6" presStyleCnt="7"/>
      <dgm:spPr/>
      <dgm:t>
        <a:bodyPr/>
        <a:lstStyle/>
        <a:p>
          <a:endParaRPr lang="en-US"/>
        </a:p>
      </dgm:t>
    </dgm:pt>
    <dgm:pt modelId="{2BEED572-A282-4C32-95EB-3B1996D142B1}" type="pres">
      <dgm:prSet presAssocID="{4E654411-73AD-4DF6-AD3B-E400E531439B}" presName="node" presStyleLbl="node1" presStyleIdx="6" presStyleCnt="7" custScaleX="211294" custScaleY="110412" custRadScaleRad="172566" custRadScaleInc="-59787">
        <dgm:presLayoutVars>
          <dgm:bulletEnabled val="1"/>
        </dgm:presLayoutVars>
      </dgm:prSet>
      <dgm:spPr>
        <a:prstGeom prst="ellipse">
          <a:avLst/>
        </a:prstGeom>
      </dgm:spPr>
      <dgm:t>
        <a:bodyPr/>
        <a:lstStyle/>
        <a:p>
          <a:endParaRPr lang="en-US"/>
        </a:p>
      </dgm:t>
    </dgm:pt>
  </dgm:ptLst>
  <dgm:cxnLst>
    <dgm:cxn modelId="{4EF67A00-2E74-40FE-BAEC-E7A64CD17E05}" type="presOf" srcId="{0312DC60-63F3-4695-A4B2-2143D87CBA69}" destId="{1AB73DFF-B172-4EE5-8B1D-E235635E7315}" srcOrd="0" destOrd="0" presId="urn:microsoft.com/office/officeart/2005/8/layout/radial1"/>
    <dgm:cxn modelId="{7590C005-E6DD-4AEF-A62E-BA96994B9122}" type="presOf" srcId="{7DB15392-F5F7-49E2-8294-51A0B1B620AB}" destId="{AD2F0D4B-AECA-4B10-81AC-261AA8BE8E98}" srcOrd="0" destOrd="0" presId="urn:microsoft.com/office/officeart/2005/8/layout/radial1"/>
    <dgm:cxn modelId="{E0FCAB3C-1D1A-45CF-B064-3AB955728B71}" type="presOf" srcId="{92995B63-ADD2-4A50-AE0E-6CB45D8C6E35}" destId="{64B847BA-C336-4F4D-BCB1-E9F8B02329EB}" srcOrd="0" destOrd="0" presId="urn:microsoft.com/office/officeart/2005/8/layout/radial1"/>
    <dgm:cxn modelId="{FF862692-6FE1-4C1B-8C29-4A220C00E54C}" srcId="{DE541715-C648-404D-8124-F14F463E9202}" destId="{115F3686-56C2-4580-9E8B-FA213D3DA5F6}" srcOrd="5" destOrd="0" parTransId="{0740ED97-4265-4052-8B1C-8A14B3879E4E}" sibTransId="{E9E35A43-605C-4C5A-B200-2A3B564FFAF5}"/>
    <dgm:cxn modelId="{BCE6C405-CC76-4247-A21E-7D9C57C41A7B}" type="presOf" srcId="{CB6E0A53-B07E-4B2B-89E7-D1FB86B27272}" destId="{27C08CD6-CB73-4E0E-BA37-473C15E9C926}" srcOrd="0" destOrd="0" presId="urn:microsoft.com/office/officeart/2005/8/layout/radial1"/>
    <dgm:cxn modelId="{9F40134A-2EE7-4796-8635-9E79D36B4C39}" type="presOf" srcId="{00297025-FE49-44ED-8151-9AC4B35C0885}" destId="{EED79A7F-2696-484A-8083-D28DF0387AD5}" srcOrd="0" destOrd="0" presId="urn:microsoft.com/office/officeart/2005/8/layout/radial1"/>
    <dgm:cxn modelId="{FB984ACD-008C-4AE6-A136-D5FE9BB0C0E7}" type="presOf" srcId="{45870664-60BD-4390-952C-AB2EEF07F4DD}" destId="{8441BECF-C9FE-4C31-BFA4-B45EB6B3D1F0}"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60C424C7-CC54-4027-B080-4425E7B5050C}" srcId="{DE541715-C648-404D-8124-F14F463E9202}" destId="{CDE3C2D2-2338-40D3-9864-33A39CCB5CF4}" srcOrd="4" destOrd="0" parTransId="{00297025-FE49-44ED-8151-9AC4B35C0885}" sibTransId="{59703DE8-812C-459A-A996-B99B877A6FDC}"/>
    <dgm:cxn modelId="{59B0DD18-55AC-453B-8479-26B58B929C50}" type="presOf" srcId="{CB6E0A53-B07E-4B2B-89E7-D1FB86B27272}" destId="{04068EB3-8728-47DB-8B53-1F3F6EA0E656}" srcOrd="1" destOrd="0" presId="urn:microsoft.com/office/officeart/2005/8/layout/radial1"/>
    <dgm:cxn modelId="{665A977E-BFC5-4B79-B0E2-23FF8C229057}" type="presOf" srcId="{CDE3C2D2-2338-40D3-9864-33A39CCB5CF4}" destId="{05994623-F04A-4AAC-82E3-2D63726DAA8A}" srcOrd="0" destOrd="0" presId="urn:microsoft.com/office/officeart/2005/8/layout/radial1"/>
    <dgm:cxn modelId="{6951E75A-5B5D-4BFC-BDF8-FBD117864BB6}" type="presOf" srcId="{D048942C-F61A-4F2B-B900-E08A5C266B6D}" destId="{DDE83488-D0AF-4A61-9C32-0D1EF5D54320}" srcOrd="0" destOrd="0" presId="urn:microsoft.com/office/officeart/2005/8/layout/radial1"/>
    <dgm:cxn modelId="{3EC70985-53FE-4C4F-BCCC-15CE5BEE73C9}" type="presOf" srcId="{0740ED97-4265-4052-8B1C-8A14B3879E4E}" destId="{BA4F9CC8-82E2-4BE5-8120-3D5D089F9CF4}" srcOrd="1" destOrd="0" presId="urn:microsoft.com/office/officeart/2005/8/layout/radial1"/>
    <dgm:cxn modelId="{AABE8F3E-994D-497F-B5DF-B52F88504ED9}" type="presOf" srcId="{00297025-FE49-44ED-8151-9AC4B35C0885}" destId="{BEAB3A6A-1AD1-41B3-BDFE-B268898D2300}" srcOrd="1" destOrd="0" presId="urn:microsoft.com/office/officeart/2005/8/layout/radial1"/>
    <dgm:cxn modelId="{6C56B732-17A7-432B-BDC8-EEE8F509F02E}" type="presOf" srcId="{34E6C8D5-8D4F-4714-8A12-8F4599A8E760}" destId="{08F189A1-AB47-41D1-8058-7A6DA66B3F52}" srcOrd="0" destOrd="0" presId="urn:microsoft.com/office/officeart/2005/8/layout/radial1"/>
    <dgm:cxn modelId="{8219E8C0-11D9-4ECE-9E9E-751EEF5551F9}" srcId="{DE541715-C648-404D-8124-F14F463E9202}" destId="{3BD68AEB-F6E8-461F-8590-A67172B04D7C}" srcOrd="3" destOrd="0" parTransId="{31D2845E-7763-4EAF-A91C-F687BE68CFA9}" sibTransId="{93E661BA-0293-4FF1-B933-6256D0B2E24D}"/>
    <dgm:cxn modelId="{04F311BF-B2AD-4B3C-9181-2D6A3701A473}" type="presOf" srcId="{DE541715-C648-404D-8124-F14F463E9202}" destId="{062AF917-2F47-4639-8A23-58AD52EC0F32}" srcOrd="0" destOrd="0" presId="urn:microsoft.com/office/officeart/2005/8/layout/radial1"/>
    <dgm:cxn modelId="{C80DF295-9AAD-4C0B-B8AF-3EDA956AFFF7}" srcId="{DE541715-C648-404D-8124-F14F463E9202}" destId="{45870664-60BD-4390-952C-AB2EEF07F4DD}" srcOrd="2" destOrd="0" parTransId="{CB6E0A53-B07E-4B2B-89E7-D1FB86B27272}" sibTransId="{E74149DA-41AA-4BE0-B8E7-7965A33DC1B0}"/>
    <dgm:cxn modelId="{9767EB70-13B9-464E-8458-49CAB3832645}" type="presOf" srcId="{92995B63-ADD2-4A50-AE0E-6CB45D8C6E35}" destId="{826F95A3-91FC-4B4C-BC2D-78EBAEA00899}" srcOrd="1" destOrd="0" presId="urn:microsoft.com/office/officeart/2005/8/layout/radial1"/>
    <dgm:cxn modelId="{57504C50-7FBC-46B9-9DA8-CEC2CEBB31B7}" type="presOf" srcId="{31D2845E-7763-4EAF-A91C-F687BE68CFA9}" destId="{27678B34-738D-4B59-81F4-6EB54DA6F256}" srcOrd="0" destOrd="0" presId="urn:microsoft.com/office/officeart/2005/8/layout/radial1"/>
    <dgm:cxn modelId="{A12C036A-14E7-451C-80B8-9B5BE762C5B4}" srcId="{DE541715-C648-404D-8124-F14F463E9202}" destId="{4E654411-73AD-4DF6-AD3B-E400E531439B}" srcOrd="6" destOrd="0" parTransId="{7DB15392-F5F7-49E2-8294-51A0B1B620AB}" sibTransId="{2B759E48-7284-455B-851A-DFF88118946F}"/>
    <dgm:cxn modelId="{7526D3C2-F33F-44B9-9F8C-9D550ABBF4C5}" type="presOf" srcId="{4E654411-73AD-4DF6-AD3B-E400E531439B}" destId="{2BEED572-A282-4C32-95EB-3B1996D142B1}" srcOrd="0" destOrd="0" presId="urn:microsoft.com/office/officeart/2005/8/layout/radial1"/>
    <dgm:cxn modelId="{C0712887-C259-475E-8C9B-3C1FDE3A2811}" type="presOf" srcId="{7DB15392-F5F7-49E2-8294-51A0B1B620AB}" destId="{E48FCD09-4C54-4A10-9BB3-1920483E872B}" srcOrd="1" destOrd="0" presId="urn:microsoft.com/office/officeart/2005/8/layout/radial1"/>
    <dgm:cxn modelId="{7A8622CA-DAE5-441B-AF51-EADD298D7EC2}" srcId="{DE541715-C648-404D-8124-F14F463E9202}" destId="{3617534A-E595-427C-AC8F-9064DFBAF0A6}" srcOrd="0" destOrd="0" parTransId="{D048942C-F61A-4F2B-B900-E08A5C266B6D}" sibTransId="{14D43D76-EF3E-4E3A-A784-4FA35B591162}"/>
    <dgm:cxn modelId="{97CE5D63-B5EC-4910-A585-3916F3D90753}" srcId="{DE541715-C648-404D-8124-F14F463E9202}" destId="{0312DC60-63F3-4695-A4B2-2143D87CBA69}" srcOrd="1" destOrd="0" parTransId="{92995B63-ADD2-4A50-AE0E-6CB45D8C6E35}" sibTransId="{27B22FCA-D743-4668-A987-13511BDD8FC7}"/>
    <dgm:cxn modelId="{AAE1912A-BE5B-4A2A-948D-21E7B703EE49}" type="presOf" srcId="{3617534A-E595-427C-AC8F-9064DFBAF0A6}" destId="{5A264607-8295-4AD5-8D4E-5E0F0A25C928}" srcOrd="0" destOrd="0" presId="urn:microsoft.com/office/officeart/2005/8/layout/radial1"/>
    <dgm:cxn modelId="{6804CDB2-2977-4817-A6FB-C44E75184FDE}" type="presOf" srcId="{D048942C-F61A-4F2B-B900-E08A5C266B6D}" destId="{7452C467-723D-40C3-B847-788D2E8C3669}" srcOrd="1" destOrd="0" presId="urn:microsoft.com/office/officeart/2005/8/layout/radial1"/>
    <dgm:cxn modelId="{5CB0156B-4647-4E7D-83A1-EC848BDCC191}" type="presOf" srcId="{115F3686-56C2-4580-9E8B-FA213D3DA5F6}" destId="{3DB28723-07CF-4EFC-8E24-18E41E76D4AF}"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D88B6B38-6690-4BDF-A72B-2AE520D33FED}" type="presOf" srcId="{31D2845E-7763-4EAF-A91C-F687BE68CFA9}" destId="{0D67A745-92A7-4C43-8F28-25B89678FC62}" srcOrd="1" destOrd="0" presId="urn:microsoft.com/office/officeart/2005/8/layout/radial1"/>
    <dgm:cxn modelId="{6285E0B7-21BD-40F1-8670-0DE063DD1A71}" type="presOf" srcId="{3BD68AEB-F6E8-461F-8590-A67172B04D7C}" destId="{77E0AE60-7058-4D43-911F-C57FA8C6CA9F}" srcOrd="0" destOrd="0" presId="urn:microsoft.com/office/officeart/2005/8/layout/radial1"/>
    <dgm:cxn modelId="{C495C249-FFF1-4C83-92E0-FA4DF639053F}" type="presOf" srcId="{0740ED97-4265-4052-8B1C-8A14B3879E4E}" destId="{B654B038-4242-46EF-A10B-FF9B1A085532}" srcOrd="0" destOrd="0" presId="urn:microsoft.com/office/officeart/2005/8/layout/radial1"/>
    <dgm:cxn modelId="{895E9854-9B64-4FB8-B238-88CB59E17ED4}" type="presParOf" srcId="{08F189A1-AB47-41D1-8058-7A6DA66B3F52}" destId="{062AF917-2F47-4639-8A23-58AD52EC0F32}" srcOrd="0" destOrd="0" presId="urn:microsoft.com/office/officeart/2005/8/layout/radial1"/>
    <dgm:cxn modelId="{EFE4D88C-F794-49CE-8265-2061E1D3B97F}" type="presParOf" srcId="{08F189A1-AB47-41D1-8058-7A6DA66B3F52}" destId="{DDE83488-D0AF-4A61-9C32-0D1EF5D54320}" srcOrd="1" destOrd="0" presId="urn:microsoft.com/office/officeart/2005/8/layout/radial1"/>
    <dgm:cxn modelId="{D4F234A5-6501-4983-A492-F10CC102DF09}" type="presParOf" srcId="{DDE83488-D0AF-4A61-9C32-0D1EF5D54320}" destId="{7452C467-723D-40C3-B847-788D2E8C3669}" srcOrd="0" destOrd="0" presId="urn:microsoft.com/office/officeart/2005/8/layout/radial1"/>
    <dgm:cxn modelId="{2ED3E83E-16F6-4D97-BC8E-C0B7D6A3BF76}" type="presParOf" srcId="{08F189A1-AB47-41D1-8058-7A6DA66B3F52}" destId="{5A264607-8295-4AD5-8D4E-5E0F0A25C928}" srcOrd="2" destOrd="0" presId="urn:microsoft.com/office/officeart/2005/8/layout/radial1"/>
    <dgm:cxn modelId="{820C4710-1B20-457A-ACFC-44F501211FB2}" type="presParOf" srcId="{08F189A1-AB47-41D1-8058-7A6DA66B3F52}" destId="{64B847BA-C336-4F4D-BCB1-E9F8B02329EB}" srcOrd="3" destOrd="0" presId="urn:microsoft.com/office/officeart/2005/8/layout/radial1"/>
    <dgm:cxn modelId="{9255B6AA-3E7F-4759-9C1E-76A73B830004}" type="presParOf" srcId="{64B847BA-C336-4F4D-BCB1-E9F8B02329EB}" destId="{826F95A3-91FC-4B4C-BC2D-78EBAEA00899}" srcOrd="0" destOrd="0" presId="urn:microsoft.com/office/officeart/2005/8/layout/radial1"/>
    <dgm:cxn modelId="{B45E996D-DAB5-4F76-9CFB-5631E3C77201}" type="presParOf" srcId="{08F189A1-AB47-41D1-8058-7A6DA66B3F52}" destId="{1AB73DFF-B172-4EE5-8B1D-E235635E7315}" srcOrd="4" destOrd="0" presId="urn:microsoft.com/office/officeart/2005/8/layout/radial1"/>
    <dgm:cxn modelId="{54A01643-A1E6-4B13-A97D-E2D3944BAF9E}" type="presParOf" srcId="{08F189A1-AB47-41D1-8058-7A6DA66B3F52}" destId="{27C08CD6-CB73-4E0E-BA37-473C15E9C926}" srcOrd="5" destOrd="0" presId="urn:microsoft.com/office/officeart/2005/8/layout/radial1"/>
    <dgm:cxn modelId="{6E788ABC-A683-4F90-85FE-259E21944A1B}" type="presParOf" srcId="{27C08CD6-CB73-4E0E-BA37-473C15E9C926}" destId="{04068EB3-8728-47DB-8B53-1F3F6EA0E656}" srcOrd="0" destOrd="0" presId="urn:microsoft.com/office/officeart/2005/8/layout/radial1"/>
    <dgm:cxn modelId="{A8F3C69E-D308-4FB0-8328-848723E50A45}" type="presParOf" srcId="{08F189A1-AB47-41D1-8058-7A6DA66B3F52}" destId="{8441BECF-C9FE-4C31-BFA4-B45EB6B3D1F0}" srcOrd="6" destOrd="0" presId="urn:microsoft.com/office/officeart/2005/8/layout/radial1"/>
    <dgm:cxn modelId="{84CDCD45-BB3B-414D-A39F-13BF7B599CFD}" type="presParOf" srcId="{08F189A1-AB47-41D1-8058-7A6DA66B3F52}" destId="{27678B34-738D-4B59-81F4-6EB54DA6F256}" srcOrd="7" destOrd="0" presId="urn:microsoft.com/office/officeart/2005/8/layout/radial1"/>
    <dgm:cxn modelId="{41F0F8AD-CFA9-40F4-8FC9-40D5B7AB4041}" type="presParOf" srcId="{27678B34-738D-4B59-81F4-6EB54DA6F256}" destId="{0D67A745-92A7-4C43-8F28-25B89678FC62}" srcOrd="0" destOrd="0" presId="urn:microsoft.com/office/officeart/2005/8/layout/radial1"/>
    <dgm:cxn modelId="{81E83E2C-F2A4-431B-A10C-02BF31F89E5A}" type="presParOf" srcId="{08F189A1-AB47-41D1-8058-7A6DA66B3F52}" destId="{77E0AE60-7058-4D43-911F-C57FA8C6CA9F}" srcOrd="8" destOrd="0" presId="urn:microsoft.com/office/officeart/2005/8/layout/radial1"/>
    <dgm:cxn modelId="{B3D259F6-EBB8-4800-89EB-0C14CADE9788}" type="presParOf" srcId="{08F189A1-AB47-41D1-8058-7A6DA66B3F52}" destId="{EED79A7F-2696-484A-8083-D28DF0387AD5}" srcOrd="9" destOrd="0" presId="urn:microsoft.com/office/officeart/2005/8/layout/radial1"/>
    <dgm:cxn modelId="{D3B2D5BD-0BEF-4BD9-8DA7-673499A75E4B}" type="presParOf" srcId="{EED79A7F-2696-484A-8083-D28DF0387AD5}" destId="{BEAB3A6A-1AD1-41B3-BDFE-B268898D2300}" srcOrd="0" destOrd="0" presId="urn:microsoft.com/office/officeart/2005/8/layout/radial1"/>
    <dgm:cxn modelId="{9699B4F5-ED1F-49ED-A907-3FBA57574B4D}" type="presParOf" srcId="{08F189A1-AB47-41D1-8058-7A6DA66B3F52}" destId="{05994623-F04A-4AAC-82E3-2D63726DAA8A}" srcOrd="10" destOrd="0" presId="urn:microsoft.com/office/officeart/2005/8/layout/radial1"/>
    <dgm:cxn modelId="{627D1846-2639-41A1-BDED-08FCB39EE8A5}" type="presParOf" srcId="{08F189A1-AB47-41D1-8058-7A6DA66B3F52}" destId="{B654B038-4242-46EF-A10B-FF9B1A085532}" srcOrd="11" destOrd="0" presId="urn:microsoft.com/office/officeart/2005/8/layout/radial1"/>
    <dgm:cxn modelId="{BEE0EFA4-7ED1-4E52-B7DE-2E31CB7614BE}" type="presParOf" srcId="{B654B038-4242-46EF-A10B-FF9B1A085532}" destId="{BA4F9CC8-82E2-4BE5-8120-3D5D089F9CF4}" srcOrd="0" destOrd="0" presId="urn:microsoft.com/office/officeart/2005/8/layout/radial1"/>
    <dgm:cxn modelId="{FBD425AC-8737-478D-BE62-63274CAA6EDE}" type="presParOf" srcId="{08F189A1-AB47-41D1-8058-7A6DA66B3F52}" destId="{3DB28723-07CF-4EFC-8E24-18E41E76D4AF}" srcOrd="12" destOrd="0" presId="urn:microsoft.com/office/officeart/2005/8/layout/radial1"/>
    <dgm:cxn modelId="{1F4DC1C4-9CF9-4729-8A88-65DEF5F0910D}" type="presParOf" srcId="{08F189A1-AB47-41D1-8058-7A6DA66B3F52}" destId="{AD2F0D4B-AECA-4B10-81AC-261AA8BE8E98}" srcOrd="13" destOrd="0" presId="urn:microsoft.com/office/officeart/2005/8/layout/radial1"/>
    <dgm:cxn modelId="{F6173561-189B-4542-87AA-260B2190EABE}" type="presParOf" srcId="{AD2F0D4B-AECA-4B10-81AC-261AA8BE8E98}" destId="{E48FCD09-4C54-4A10-9BB3-1920483E872B}" srcOrd="0" destOrd="0" presId="urn:microsoft.com/office/officeart/2005/8/layout/radial1"/>
    <dgm:cxn modelId="{4697B3C3-1002-4297-8796-80CFA9F7A904}" type="presParOf" srcId="{08F189A1-AB47-41D1-8058-7A6DA66B3F52}" destId="{2BEED572-A282-4C32-95EB-3B1996D142B1}" srcOrd="14" destOrd="0" presId="urn:microsoft.com/office/officeart/2005/8/layout/radial1"/>
  </dgm:cxnLst>
  <dgm:bg/>
  <dgm:whole/>
  <dgm:extLst>
    <a:ext uri="http://schemas.microsoft.com/office/drawing/2008/diagram">
      <dsp:dataModelExt xmlns:dsp="http://schemas.microsoft.com/office/drawing/2008/diagram" relId="rId75"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94796" y="566732"/>
          <a:ext cx="1253541" cy="38042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SA"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2316325" y="1065644"/>
          <a:ext cx="1395769" cy="4126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لاهاي</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5449100">
          <a:off x="2958751" y="1000241"/>
          <a:ext cx="118504"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4498453" y="541371"/>
          <a:ext cx="1001062" cy="40954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81225">
          <a:off x="3648229" y="745040"/>
          <a:ext cx="850274"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349638" y="35443"/>
          <a:ext cx="1348292" cy="41531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14841">
          <a:off x="2964648" y="502584"/>
          <a:ext cx="115978"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C9E753-F212-4257-9A94-5537ADFE5943}">
      <dgm:prSet phldrT="[Text]" custT="1"/>
      <dgm:spPr>
        <a:xfrm>
          <a:off x="410526" y="550618"/>
          <a:ext cx="1143408" cy="40672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F9B6D57-E004-4603-A3A8-3A2B6A815956}" type="parTrans" cxnId="{46C2FB3A-BC61-4C22-A3CC-12E30BF0C032}">
      <dgm:prSet/>
      <dgm:spPr>
        <a:xfrm rot="10804994">
          <a:off x="1553929" y="749263"/>
          <a:ext cx="840874"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399FCC-9C49-4F86-8EA2-A1E913A65726}" type="sibTrans" cxnId="{46C2FB3A-BC61-4C22-A3CC-12E30BF0C032}">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08203" custScaleY="93533" custLinFactNeighborX="1339" custLinFactNeighborY="161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4"/>
      <dgm:spPr>
        <a:custGeom>
          <a:avLst/>
          <a:gdLst/>
          <a:ahLst/>
          <a:cxnLst/>
          <a:rect l="0" t="0" r="0" b="0"/>
          <a:pathLst>
            <a:path>
              <a:moveTo>
                <a:pt x="0" y="6158"/>
              </a:moveTo>
              <a:lnTo>
                <a:pt x="115978" y="6158"/>
              </a:lnTo>
            </a:path>
          </a:pathLst>
        </a:custGeom>
      </dgm:spPr>
      <dgm:t>
        <a:bodyPr/>
        <a:lstStyle/>
        <a:p>
          <a:endParaRPr lang="en-US"/>
        </a:p>
      </dgm:t>
    </dgm:pt>
    <dgm:pt modelId="{326412CE-9911-4799-A459-B56F02EB4473}" type="pres">
      <dgm:prSet presAssocID="{7AF774ED-547E-4C04-8670-B0C1D08C5EE9}" presName="connTx" presStyleLbl="parChTrans1D2" presStyleIdx="0" presStyleCnt="4"/>
      <dgm:spPr/>
      <dgm:t>
        <a:bodyPr/>
        <a:lstStyle/>
        <a:p>
          <a:endParaRPr lang="en-US"/>
        </a:p>
      </dgm:t>
    </dgm:pt>
    <dgm:pt modelId="{CED9197C-8322-406B-917C-172FA36E7B76}" type="pres">
      <dgm:prSet presAssocID="{960C5593-E0FF-4AA5-AA0B-E8BDFFBC5E53}" presName="node" presStyleLbl="node1" presStyleIdx="0" presStyleCnt="4" custScaleX="331499" custScaleY="102111" custRadScaleRad="93857" custRadScaleInc="4202">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4"/>
      <dgm:spPr>
        <a:custGeom>
          <a:avLst/>
          <a:gdLst/>
          <a:ahLst/>
          <a:cxnLst/>
          <a:rect l="0" t="0" r="0" b="0"/>
          <a:pathLst>
            <a:path>
              <a:moveTo>
                <a:pt x="0" y="6158"/>
              </a:moveTo>
              <a:lnTo>
                <a:pt x="850274" y="6158"/>
              </a:lnTo>
            </a:path>
          </a:pathLst>
        </a:custGeom>
      </dgm:spPr>
      <dgm:t>
        <a:bodyPr/>
        <a:lstStyle/>
        <a:p>
          <a:endParaRPr lang="en-US"/>
        </a:p>
      </dgm:t>
    </dgm:pt>
    <dgm:pt modelId="{62A1F741-432F-46BE-AE07-15F0B6D5EA89}" type="pres">
      <dgm:prSet presAssocID="{4693CA52-075F-4BD8-ABEA-5368BE377DDA}" presName="connTx" presStyleLbl="parChTrans1D2" presStyleIdx="1" presStyleCnt="4"/>
      <dgm:spPr/>
      <dgm:t>
        <a:bodyPr/>
        <a:lstStyle/>
        <a:p>
          <a:endParaRPr lang="en-US"/>
        </a:p>
      </dgm:t>
    </dgm:pt>
    <dgm:pt modelId="{035B4C9A-0916-4FCC-A1CF-85DB358A289A}" type="pres">
      <dgm:prSet presAssocID="{4631C2C5-1554-4289-90B0-F2D55D1595B6}" presName="node" presStyleLbl="node1" presStyleIdx="1" presStyleCnt="4" custScaleX="277118" custScaleY="112680" custRadScaleRad="376138" custRadScaleInc="1159">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4"/>
      <dgm:spPr>
        <a:custGeom>
          <a:avLst/>
          <a:gdLst/>
          <a:ahLst/>
          <a:cxnLst/>
          <a:rect l="0" t="0" r="0" b="0"/>
          <a:pathLst>
            <a:path>
              <a:moveTo>
                <a:pt x="0" y="6158"/>
              </a:moveTo>
              <a:lnTo>
                <a:pt x="118504" y="6158"/>
              </a:lnTo>
            </a:path>
          </a:pathLst>
        </a:custGeom>
      </dgm:spPr>
      <dgm:t>
        <a:bodyPr/>
        <a:lstStyle/>
        <a:p>
          <a:endParaRPr lang="en-US"/>
        </a:p>
      </dgm:t>
    </dgm:pt>
    <dgm:pt modelId="{EA4144E0-C5B2-4FC0-BDB2-550B61DB7DFD}" type="pres">
      <dgm:prSet presAssocID="{0FABC453-0A5C-4CAE-813B-F0494A34E025}" presName="connTx" presStyleLbl="parChTrans1D2" presStyleIdx="2" presStyleCnt="4"/>
      <dgm:spPr/>
      <dgm:t>
        <a:bodyPr/>
        <a:lstStyle/>
        <a:p>
          <a:endParaRPr lang="en-US"/>
        </a:p>
      </dgm:t>
    </dgm:pt>
    <dgm:pt modelId="{0FAF3FA1-8E6C-455E-B189-A468B3F4D8BC}" type="pres">
      <dgm:prSet presAssocID="{C06C39C9-71B8-489C-9C45-3DD37A424E39}" presName="node" presStyleLbl="node1" presStyleIdx="2" presStyleCnt="4" custScaleX="343172" custScaleY="101453" custRadScaleRad="105187" custRadScaleInc="-1560">
        <dgm:presLayoutVars>
          <dgm:bulletEnabled val="1"/>
        </dgm:presLayoutVars>
      </dgm:prSet>
      <dgm:spPr>
        <a:prstGeom prst="ellipse">
          <a:avLst/>
        </a:prstGeom>
      </dgm:spPr>
      <dgm:t>
        <a:bodyPr/>
        <a:lstStyle/>
        <a:p>
          <a:endParaRPr lang="en-US"/>
        </a:p>
      </dgm:t>
    </dgm:pt>
    <dgm:pt modelId="{9A56F0B1-9466-40E9-8BFA-10DF1330E460}" type="pres">
      <dgm:prSet presAssocID="{0F9B6D57-E004-4603-A3A8-3A2B6A815956}" presName="Name9" presStyleLbl="parChTrans1D2" presStyleIdx="3" presStyleCnt="4"/>
      <dgm:spPr>
        <a:custGeom>
          <a:avLst/>
          <a:gdLst/>
          <a:ahLst/>
          <a:cxnLst/>
          <a:rect l="0" t="0" r="0" b="0"/>
          <a:pathLst>
            <a:path>
              <a:moveTo>
                <a:pt x="0" y="6158"/>
              </a:moveTo>
              <a:lnTo>
                <a:pt x="840874" y="6158"/>
              </a:lnTo>
            </a:path>
          </a:pathLst>
        </a:custGeom>
      </dgm:spPr>
      <dgm:t>
        <a:bodyPr/>
        <a:lstStyle/>
        <a:p>
          <a:endParaRPr lang="en-US"/>
        </a:p>
      </dgm:t>
    </dgm:pt>
    <dgm:pt modelId="{5B61520A-D966-494F-A7BF-91A6C71C68DF}" type="pres">
      <dgm:prSet presAssocID="{0F9B6D57-E004-4603-A3A8-3A2B6A815956}" presName="connTx" presStyleLbl="parChTrans1D2" presStyleIdx="3" presStyleCnt="4"/>
      <dgm:spPr/>
      <dgm:t>
        <a:bodyPr/>
        <a:lstStyle/>
        <a:p>
          <a:endParaRPr lang="en-US"/>
        </a:p>
      </dgm:t>
    </dgm:pt>
    <dgm:pt modelId="{1826B69E-77B8-4580-ABF8-4926B99AA206}" type="pres">
      <dgm:prSet presAssocID="{11C9E753-F212-4257-9A94-5537ADFE5943}" presName="node" presStyleLbl="node1" presStyleIdx="3" presStyleCnt="4" custScaleX="294545" custScaleY="112561" custRadScaleRad="381365" custRadScaleInc="-1265">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055DA178-F740-473E-BD13-E2ADEDF7A11C}" type="presOf" srcId="{4631C2C5-1554-4289-90B0-F2D55D1595B6}" destId="{035B4C9A-0916-4FCC-A1CF-85DB358A289A}" srcOrd="0" destOrd="0" presId="urn:microsoft.com/office/officeart/2005/8/layout/radial1"/>
    <dgm:cxn modelId="{7A7732DA-08CE-4EDA-95FB-82C237213CDE}" type="presOf" srcId="{DE541715-C648-404D-8124-F14F463E9202}" destId="{062AF917-2F47-4639-8A23-58AD52EC0F32}"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1" destOrd="0" parTransId="{4693CA52-075F-4BD8-ABEA-5368BE377DDA}" sibTransId="{9B3CB24D-A47A-4081-B256-B868D89D5387}"/>
    <dgm:cxn modelId="{D0FCE7DE-B86F-4487-A13D-59C4B8DE9CE1}" type="presOf" srcId="{7AF774ED-547E-4C04-8670-B0C1D08C5EE9}" destId="{5337AE63-3722-42CC-AF72-36670EB7C5E1}" srcOrd="0" destOrd="0" presId="urn:microsoft.com/office/officeart/2005/8/layout/radial1"/>
    <dgm:cxn modelId="{C8AF55B1-34F9-43EA-B061-FFB26B23977E}" type="presOf" srcId="{0FABC453-0A5C-4CAE-813B-F0494A34E025}" destId="{ADF94B70-0D7F-4A27-8DF9-17BCD27F4A7A}" srcOrd="0" destOrd="0" presId="urn:microsoft.com/office/officeart/2005/8/layout/radial1"/>
    <dgm:cxn modelId="{E6FCBF19-3E57-448C-B69E-CF982625024E}" type="presOf" srcId="{0FABC453-0A5C-4CAE-813B-F0494A34E025}" destId="{EA4144E0-C5B2-4FC0-BDB2-550B61DB7DFD}" srcOrd="1" destOrd="0" presId="urn:microsoft.com/office/officeart/2005/8/layout/radial1"/>
    <dgm:cxn modelId="{606A0BFE-F42F-4FE7-8255-B1027B24D946}" type="presOf" srcId="{11C9E753-F212-4257-9A94-5537ADFE5943}" destId="{1826B69E-77B8-4580-ABF8-4926B99AA206}" srcOrd="0" destOrd="0" presId="urn:microsoft.com/office/officeart/2005/8/layout/radial1"/>
    <dgm:cxn modelId="{0C415165-D217-4B48-8D73-65D5C5E74829}" type="presOf" srcId="{4693CA52-075F-4BD8-ABEA-5368BE377DDA}" destId="{62A1F741-432F-46BE-AE07-15F0B6D5EA89}" srcOrd="1" destOrd="0" presId="urn:microsoft.com/office/officeart/2005/8/layout/radial1"/>
    <dgm:cxn modelId="{4095F930-05DB-4AC8-90FD-C9695091649C}" type="presOf" srcId="{960C5593-E0FF-4AA5-AA0B-E8BDFFBC5E53}" destId="{CED9197C-8322-406B-917C-172FA36E7B76}" srcOrd="0"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F8C9893D-58DD-4A79-AB2E-801B91649754}" type="presOf" srcId="{0F9B6D57-E004-4603-A3A8-3A2B6A815956}" destId="{9A56F0B1-9466-40E9-8BFA-10DF1330E460}"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46C2FB3A-BC61-4C22-A3CC-12E30BF0C032}" srcId="{DE541715-C648-404D-8124-F14F463E9202}" destId="{11C9E753-F212-4257-9A94-5537ADFE5943}" srcOrd="3" destOrd="0" parTransId="{0F9B6D57-E004-4603-A3A8-3A2B6A815956}" sibTransId="{C0399FCC-9C49-4F86-8EA2-A1E913A65726}"/>
    <dgm:cxn modelId="{474428BF-FBC6-4977-B056-CD4912573473}" type="presOf" srcId="{C06C39C9-71B8-489C-9C45-3DD37A424E39}" destId="{0FAF3FA1-8E6C-455E-B189-A468B3F4D8BC}" srcOrd="0" destOrd="0" presId="urn:microsoft.com/office/officeart/2005/8/layout/radial1"/>
    <dgm:cxn modelId="{ADDBAA94-9B07-4026-BFAF-B21F00C9C824}" type="presOf" srcId="{34E6C8D5-8D4F-4714-8A12-8F4599A8E760}" destId="{08F189A1-AB47-41D1-8058-7A6DA66B3F52}" srcOrd="0" destOrd="0" presId="urn:microsoft.com/office/officeart/2005/8/layout/radial1"/>
    <dgm:cxn modelId="{4A2EE4D2-272B-474A-9D74-223CA3D8E916}" type="presOf" srcId="{4693CA52-075F-4BD8-ABEA-5368BE377DDA}" destId="{4AC11394-3179-4EC5-A97F-D1A1B521CE2F}" srcOrd="0" destOrd="0" presId="urn:microsoft.com/office/officeart/2005/8/layout/radial1"/>
    <dgm:cxn modelId="{61EB92A4-2D4A-4698-9E3D-336C9F067D98}" type="presOf" srcId="{0F9B6D57-E004-4603-A3A8-3A2B6A815956}" destId="{5B61520A-D966-494F-A7BF-91A6C71C68DF}" srcOrd="1" destOrd="0" presId="urn:microsoft.com/office/officeart/2005/8/layout/radial1"/>
    <dgm:cxn modelId="{70175E80-C78D-419C-87CC-7D1026B252A5}" type="presOf" srcId="{7AF774ED-547E-4C04-8670-B0C1D08C5EE9}" destId="{326412CE-9911-4799-A459-B56F02EB4473}" srcOrd="1" destOrd="0" presId="urn:microsoft.com/office/officeart/2005/8/layout/radial1"/>
    <dgm:cxn modelId="{57BB21C6-83AB-46E9-81FD-921F48480252}" type="presParOf" srcId="{08F189A1-AB47-41D1-8058-7A6DA66B3F52}" destId="{062AF917-2F47-4639-8A23-58AD52EC0F32}" srcOrd="0" destOrd="0" presId="urn:microsoft.com/office/officeart/2005/8/layout/radial1"/>
    <dgm:cxn modelId="{33B49F40-8828-4E7F-8231-FDF81AF114B7}" type="presParOf" srcId="{08F189A1-AB47-41D1-8058-7A6DA66B3F52}" destId="{5337AE63-3722-42CC-AF72-36670EB7C5E1}" srcOrd="1" destOrd="0" presId="urn:microsoft.com/office/officeart/2005/8/layout/radial1"/>
    <dgm:cxn modelId="{F3D7F693-62AC-49F0-8896-9C7896CD48FB}" type="presParOf" srcId="{5337AE63-3722-42CC-AF72-36670EB7C5E1}" destId="{326412CE-9911-4799-A459-B56F02EB4473}" srcOrd="0" destOrd="0" presId="urn:microsoft.com/office/officeart/2005/8/layout/radial1"/>
    <dgm:cxn modelId="{5D426FCF-4A36-4632-812E-04DEC74682E2}" type="presParOf" srcId="{08F189A1-AB47-41D1-8058-7A6DA66B3F52}" destId="{CED9197C-8322-406B-917C-172FA36E7B76}" srcOrd="2" destOrd="0" presId="urn:microsoft.com/office/officeart/2005/8/layout/radial1"/>
    <dgm:cxn modelId="{84A8D970-CE8C-48A2-BF77-36E9572BAB64}" type="presParOf" srcId="{08F189A1-AB47-41D1-8058-7A6DA66B3F52}" destId="{4AC11394-3179-4EC5-A97F-D1A1B521CE2F}" srcOrd="3" destOrd="0" presId="urn:microsoft.com/office/officeart/2005/8/layout/radial1"/>
    <dgm:cxn modelId="{720BDF37-DB83-444B-961A-D285DF3F84AE}" type="presParOf" srcId="{4AC11394-3179-4EC5-A97F-D1A1B521CE2F}" destId="{62A1F741-432F-46BE-AE07-15F0B6D5EA89}" srcOrd="0" destOrd="0" presId="urn:microsoft.com/office/officeart/2005/8/layout/radial1"/>
    <dgm:cxn modelId="{8BDDF4B4-B93A-42D1-A78E-3343EC046FD8}" type="presParOf" srcId="{08F189A1-AB47-41D1-8058-7A6DA66B3F52}" destId="{035B4C9A-0916-4FCC-A1CF-85DB358A289A}" srcOrd="4" destOrd="0" presId="urn:microsoft.com/office/officeart/2005/8/layout/radial1"/>
    <dgm:cxn modelId="{454026F3-729D-4CB8-912A-4DE0FBA9E315}" type="presParOf" srcId="{08F189A1-AB47-41D1-8058-7A6DA66B3F52}" destId="{ADF94B70-0D7F-4A27-8DF9-17BCD27F4A7A}" srcOrd="5" destOrd="0" presId="urn:microsoft.com/office/officeart/2005/8/layout/radial1"/>
    <dgm:cxn modelId="{B2371C3F-5845-4212-9373-8A9B20B2D514}" type="presParOf" srcId="{ADF94B70-0D7F-4A27-8DF9-17BCD27F4A7A}" destId="{EA4144E0-C5B2-4FC0-BDB2-550B61DB7DFD}" srcOrd="0" destOrd="0" presId="urn:microsoft.com/office/officeart/2005/8/layout/radial1"/>
    <dgm:cxn modelId="{2E16E179-4412-497F-AF59-07F0ABC2D678}" type="presParOf" srcId="{08F189A1-AB47-41D1-8058-7A6DA66B3F52}" destId="{0FAF3FA1-8E6C-455E-B189-A468B3F4D8BC}" srcOrd="6" destOrd="0" presId="urn:microsoft.com/office/officeart/2005/8/layout/radial1"/>
    <dgm:cxn modelId="{4AB8F88B-309C-4522-AB12-D43BC69848FA}" type="presParOf" srcId="{08F189A1-AB47-41D1-8058-7A6DA66B3F52}" destId="{9A56F0B1-9466-40E9-8BFA-10DF1330E460}" srcOrd="7" destOrd="0" presId="urn:microsoft.com/office/officeart/2005/8/layout/radial1"/>
    <dgm:cxn modelId="{6CFFF7BE-F9F9-4520-8C20-E9B3B12B1EA6}" type="presParOf" srcId="{9A56F0B1-9466-40E9-8BFA-10DF1330E460}" destId="{5B61520A-D966-494F-A7BF-91A6C71C68DF}" srcOrd="0" destOrd="0" presId="urn:microsoft.com/office/officeart/2005/8/layout/radial1"/>
    <dgm:cxn modelId="{DB24EF29-38F2-49D5-B287-B35A24AE413E}" type="presParOf" srcId="{08F189A1-AB47-41D1-8058-7A6DA66B3F52}" destId="{1826B69E-77B8-4580-ABF8-4926B99AA206}" srcOrd="8" destOrd="0" presId="urn:microsoft.com/office/officeart/2005/8/layout/radial1"/>
  </dgm:cxnLst>
  <dgm:bg/>
  <dgm:whole/>
  <dgm:extLst>
    <a:ext uri="http://schemas.microsoft.com/office/drawing/2008/diagram">
      <dsp:dataModelExt xmlns:dsp="http://schemas.microsoft.com/office/drawing/2008/diagram" relId="rId82"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047009" y="751101"/>
          <a:ext cx="1356160" cy="55684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rtl="1"/>
          <a:r>
            <a:rPr lang="ar-EG"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154299" y="782942"/>
          <a:ext cx="1434875" cy="5021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791658">
          <a:off x="1589157" y="1022591"/>
          <a:ext cx="457865"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1967339" y="7949"/>
          <a:ext cx="1512650" cy="57683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a:t>
          </a:r>
          <a:r>
            <a:rPr lang="ar-SA"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د</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6193319">
          <a:off x="2641226" y="658806"/>
          <a:ext cx="166321"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3824740" y="770785"/>
          <a:ext cx="1507315" cy="52057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5A6C23B-D452-4078-BA3A-466D0894B9EB}" type="parTrans" cxnId="{0266A1D0-CEC9-45F3-8B31-A21772E8AA19}">
      <dgm:prSet/>
      <dgm:spPr>
        <a:xfrm rot="2869">
          <a:off x="3403168" y="1021132"/>
          <a:ext cx="421574"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a:custGeom>
          <a:avLst/>
          <a:gdLst/>
          <a:ahLst/>
          <a:cxnLst/>
          <a:rect l="0" t="0" r="0" b="0"/>
          <a:pathLst>
            <a:path>
              <a:moveTo>
                <a:pt x="0" y="9134"/>
              </a:moveTo>
              <a:lnTo>
                <a:pt x="163517" y="9134"/>
              </a:lnTo>
            </a:path>
          </a:pathLst>
        </a:custGeom>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100387" custRadScaleInc="-187">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a:custGeom>
          <a:avLst/>
          <a:gdLst/>
          <a:ahLst/>
          <a:cxnLst/>
          <a:rect l="0" t="0" r="0" b="0"/>
          <a:pathLst>
            <a:path>
              <a:moveTo>
                <a:pt x="0" y="9134"/>
              </a:moveTo>
              <a:lnTo>
                <a:pt x="463565" y="9134"/>
              </a:lnTo>
            </a:path>
          </a:pathLst>
        </a:custGeom>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70688" custScaleY="93486"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a:custGeom>
          <a:avLst/>
          <a:gdLst/>
          <a:ahLst/>
          <a:cxnLst/>
          <a:rect l="0" t="0" r="0" b="0"/>
          <a:pathLst>
            <a:path>
              <a:moveTo>
                <a:pt x="0" y="9134"/>
              </a:moveTo>
              <a:lnTo>
                <a:pt x="457860" y="9134"/>
              </a:lnTo>
            </a:path>
          </a:pathLst>
        </a:custGeom>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57679" custScaleY="90179"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BDAEFDF8-D098-4939-97F5-86D7DDAD79F0}" type="presOf" srcId="{0FABC453-0A5C-4CAE-813B-F0494A34E025}" destId="{ADF94B70-0D7F-4A27-8DF9-17BCD27F4A7A}" srcOrd="0" destOrd="0" presId="urn:microsoft.com/office/officeart/2005/8/layout/radial1"/>
    <dgm:cxn modelId="{E5ACC1C6-6B43-4E04-9DAF-3F4433E3CEB8}" type="presOf" srcId="{4631C2C5-1554-4289-90B0-F2D55D1595B6}" destId="{035B4C9A-0916-4FCC-A1CF-85DB358A289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521D6FAE-34F8-46ED-B25E-A1DB5DCDB99A}" type="presOf" srcId="{45A6C23B-D452-4078-BA3A-466D0894B9EB}" destId="{64248C57-3CE0-4657-BC67-6279BA0257B1}" srcOrd="0" destOrd="0" presId="urn:microsoft.com/office/officeart/2005/8/layout/radial1"/>
    <dgm:cxn modelId="{6EB45027-9E86-4905-94AD-7ABEF672C3EC}" type="presOf" srcId="{4693CA52-075F-4BD8-ABEA-5368BE377DDA}" destId="{4AC11394-3179-4EC5-A97F-D1A1B521CE2F}"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13D340BD-0454-4E86-9388-9F042AD24A93}" type="presOf" srcId="{34E6C8D5-8D4F-4714-8A12-8F4599A8E760}" destId="{08F189A1-AB47-41D1-8058-7A6DA66B3F52}" srcOrd="0" destOrd="0" presId="urn:microsoft.com/office/officeart/2005/8/layout/radial1"/>
    <dgm:cxn modelId="{66AD8A50-A8FC-4E50-B255-9C5B55B17966}" type="presOf" srcId="{0FABC453-0A5C-4CAE-813B-F0494A34E025}" destId="{EA4144E0-C5B2-4FC0-BDB2-550B61DB7DFD}" srcOrd="1"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D42119B1-7234-4B1B-9B38-2B62B83627D6}" type="presOf" srcId="{DE541715-C648-404D-8124-F14F463E9202}" destId="{062AF917-2F47-4639-8A23-58AD52EC0F32}" srcOrd="0" destOrd="0" presId="urn:microsoft.com/office/officeart/2005/8/layout/radial1"/>
    <dgm:cxn modelId="{F528D236-0D45-48B6-A33C-46FD201D3829}" type="presOf" srcId="{45A6C23B-D452-4078-BA3A-466D0894B9EB}" destId="{C7C9B7EB-2DEF-4B99-8D38-AC2E9641BEB5}" srcOrd="1" destOrd="0" presId="urn:microsoft.com/office/officeart/2005/8/layout/radial1"/>
    <dgm:cxn modelId="{3FF2CAB7-9266-4629-A98A-8C4DB117F036}" type="presOf" srcId="{C06C39C9-71B8-489C-9C45-3DD37A424E39}" destId="{0FAF3FA1-8E6C-455E-B189-A468B3F4D8BC}" srcOrd="0" destOrd="0" presId="urn:microsoft.com/office/officeart/2005/8/layout/radial1"/>
    <dgm:cxn modelId="{C402F1E5-1ED0-4377-AB0B-55F6305545D4}" type="presOf" srcId="{4693CA52-075F-4BD8-ABEA-5368BE377DDA}" destId="{62A1F741-432F-46BE-AE07-15F0B6D5EA89}" srcOrd="1" destOrd="0" presId="urn:microsoft.com/office/officeart/2005/8/layout/radial1"/>
    <dgm:cxn modelId="{C389D0DF-EE58-4CE5-808F-18FC1E1E38B2}" type="presOf" srcId="{5C260341-F1C3-4458-A657-957289015FC3}" destId="{976BA53C-17D4-4F7C-9078-1272C469C9E5}" srcOrd="0" destOrd="0" presId="urn:microsoft.com/office/officeart/2005/8/layout/radial1"/>
    <dgm:cxn modelId="{E8EAB16D-2481-41C8-992B-268DAE5C7241}" type="presParOf" srcId="{08F189A1-AB47-41D1-8058-7A6DA66B3F52}" destId="{062AF917-2F47-4639-8A23-58AD52EC0F32}" srcOrd="0" destOrd="0" presId="urn:microsoft.com/office/officeart/2005/8/layout/radial1"/>
    <dgm:cxn modelId="{82ECB24D-29B9-4792-A37F-5C6A756EE5B0}" type="presParOf" srcId="{08F189A1-AB47-41D1-8058-7A6DA66B3F52}" destId="{4AC11394-3179-4EC5-A97F-D1A1B521CE2F}" srcOrd="1" destOrd="0" presId="urn:microsoft.com/office/officeart/2005/8/layout/radial1"/>
    <dgm:cxn modelId="{0AC3783D-B8E1-43D4-85F6-3BAF8A5BFB01}" type="presParOf" srcId="{4AC11394-3179-4EC5-A97F-D1A1B521CE2F}" destId="{62A1F741-432F-46BE-AE07-15F0B6D5EA89}" srcOrd="0" destOrd="0" presId="urn:microsoft.com/office/officeart/2005/8/layout/radial1"/>
    <dgm:cxn modelId="{30C6357F-67B6-4368-A6C9-2011849DF12D}" type="presParOf" srcId="{08F189A1-AB47-41D1-8058-7A6DA66B3F52}" destId="{035B4C9A-0916-4FCC-A1CF-85DB358A289A}" srcOrd="2" destOrd="0" presId="urn:microsoft.com/office/officeart/2005/8/layout/radial1"/>
    <dgm:cxn modelId="{DBC5D2E7-F3D4-46C1-96BA-80C2BD10B5CB}" type="presParOf" srcId="{08F189A1-AB47-41D1-8058-7A6DA66B3F52}" destId="{64248C57-3CE0-4657-BC67-6279BA0257B1}" srcOrd="3" destOrd="0" presId="urn:microsoft.com/office/officeart/2005/8/layout/radial1"/>
    <dgm:cxn modelId="{4C44EAB0-AF78-4290-90E5-57CF6FDCFA5F}" type="presParOf" srcId="{64248C57-3CE0-4657-BC67-6279BA0257B1}" destId="{C7C9B7EB-2DEF-4B99-8D38-AC2E9641BEB5}" srcOrd="0" destOrd="0" presId="urn:microsoft.com/office/officeart/2005/8/layout/radial1"/>
    <dgm:cxn modelId="{80F1A5C0-6AFE-48DB-93D4-9CE1DC9F6AC7}" type="presParOf" srcId="{08F189A1-AB47-41D1-8058-7A6DA66B3F52}" destId="{976BA53C-17D4-4F7C-9078-1272C469C9E5}" srcOrd="4" destOrd="0" presId="urn:microsoft.com/office/officeart/2005/8/layout/radial1"/>
    <dgm:cxn modelId="{4700A874-F65E-411F-B71B-87B45024AF51}" type="presParOf" srcId="{08F189A1-AB47-41D1-8058-7A6DA66B3F52}" destId="{ADF94B70-0D7F-4A27-8DF9-17BCD27F4A7A}" srcOrd="5" destOrd="0" presId="urn:microsoft.com/office/officeart/2005/8/layout/radial1"/>
    <dgm:cxn modelId="{403045E4-9AB5-4B47-81EE-913F810DF4B1}" type="presParOf" srcId="{ADF94B70-0D7F-4A27-8DF9-17BCD27F4A7A}" destId="{EA4144E0-C5B2-4FC0-BDB2-550B61DB7DFD}" srcOrd="0" destOrd="0" presId="urn:microsoft.com/office/officeart/2005/8/layout/radial1"/>
    <dgm:cxn modelId="{04F855CE-9D05-4C00-9362-51BDFCB4F828}"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89"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21365" y="549354"/>
          <a:ext cx="1215104" cy="368758"/>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ar-SA"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4631C2C5-1554-4289-90B0-F2D55D1595B6}">
      <dgm:prSet phldrT="[Text]" custT="1"/>
      <dgm:spPr>
        <a:xfrm>
          <a:off x="4360519" y="524771"/>
          <a:ext cx="970367" cy="3969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81225">
          <a:off x="3536366" y="722006"/>
          <a:ext cx="824202"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277593" y="34356"/>
          <a:ext cx="1306950" cy="40257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مدريد</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14841">
          <a:off x="2873745" y="486985"/>
          <a:ext cx="112422"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C9E753-F212-4257-9A94-5537ADFE5943}">
      <dgm:prSet phldrT="[Text]" custT="1"/>
      <dgm:spPr>
        <a:xfrm>
          <a:off x="397939" y="533734"/>
          <a:ext cx="1108348" cy="3942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ar-S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F9B6D57-E004-4603-A3A8-3A2B6A815956}" type="parTrans" cxnId="{46C2FB3A-BC61-4C22-A3CC-12E30BF0C032}">
      <dgm:prSet/>
      <dgm:spPr>
        <a:xfrm rot="10804994">
          <a:off x="1506282" y="726100"/>
          <a:ext cx="815090" cy="1231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399FCC-9C49-4F86-8EA2-A1E913A65726}" type="sibTrans" cxnId="{46C2FB3A-BC61-4C22-A3CC-12E30BF0C032}">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80435" custScaleY="93533" custLinFactNeighborX="1339" custLinFactNeighborY="161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3"/>
      <dgm:spPr>
        <a:custGeom>
          <a:avLst/>
          <a:gdLst/>
          <a:ahLst/>
          <a:cxnLst/>
          <a:rect l="0" t="0" r="0" b="0"/>
          <a:pathLst>
            <a:path>
              <a:moveTo>
                <a:pt x="0" y="6158"/>
              </a:moveTo>
              <a:lnTo>
                <a:pt x="115978" y="6158"/>
              </a:lnTo>
            </a:path>
          </a:pathLst>
        </a:custGeom>
      </dgm:spPr>
      <dgm:t>
        <a:bodyPr/>
        <a:lstStyle/>
        <a:p>
          <a:endParaRPr lang="en-US"/>
        </a:p>
      </dgm:t>
    </dgm:pt>
    <dgm:pt modelId="{326412CE-9911-4799-A459-B56F02EB4473}" type="pres">
      <dgm:prSet presAssocID="{7AF774ED-547E-4C04-8670-B0C1D08C5EE9}" presName="connTx" presStyleLbl="parChTrans1D2" presStyleIdx="0" presStyleCnt="3"/>
      <dgm:spPr/>
      <dgm:t>
        <a:bodyPr/>
        <a:lstStyle/>
        <a:p>
          <a:endParaRPr lang="en-US"/>
        </a:p>
      </dgm:t>
    </dgm:pt>
    <dgm:pt modelId="{CED9197C-8322-406B-917C-172FA36E7B76}" type="pres">
      <dgm:prSet presAssocID="{960C5593-E0FF-4AA5-AA0B-E8BDFFBC5E53}" presName="node" presStyleLbl="node1" presStyleIdx="0" presStyleCnt="3" custScaleX="331499" custScaleY="102111" custRadScaleRad="93857" custRadScaleInc="4202">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3"/>
      <dgm:spPr>
        <a:custGeom>
          <a:avLst/>
          <a:gdLst/>
          <a:ahLst/>
          <a:cxnLst/>
          <a:rect l="0" t="0" r="0" b="0"/>
          <a:pathLst>
            <a:path>
              <a:moveTo>
                <a:pt x="0" y="6158"/>
              </a:moveTo>
              <a:lnTo>
                <a:pt x="850274" y="6158"/>
              </a:lnTo>
            </a:path>
          </a:pathLst>
        </a:custGeom>
      </dgm:spPr>
      <dgm:t>
        <a:bodyPr/>
        <a:lstStyle/>
        <a:p>
          <a:endParaRPr lang="en-US"/>
        </a:p>
      </dgm:t>
    </dgm:pt>
    <dgm:pt modelId="{62A1F741-432F-46BE-AE07-15F0B6D5EA89}" type="pres">
      <dgm:prSet presAssocID="{4693CA52-075F-4BD8-ABEA-5368BE377DDA}" presName="connTx" presStyleLbl="parChTrans1D2" presStyleIdx="1" presStyleCnt="3"/>
      <dgm:spPr/>
      <dgm:t>
        <a:bodyPr/>
        <a:lstStyle/>
        <a:p>
          <a:endParaRPr lang="en-US"/>
        </a:p>
      </dgm:t>
    </dgm:pt>
    <dgm:pt modelId="{035B4C9A-0916-4FCC-A1CF-85DB358A289A}" type="pres">
      <dgm:prSet presAssocID="{4631C2C5-1554-4289-90B0-F2D55D1595B6}" presName="node" presStyleLbl="node1" presStyleIdx="1" presStyleCnt="3" custScaleX="347715" custScaleY="109735" custRadScaleRad="335645" custRadScaleInc="-49160">
        <dgm:presLayoutVars>
          <dgm:bulletEnabled val="1"/>
        </dgm:presLayoutVars>
      </dgm:prSet>
      <dgm:spPr>
        <a:prstGeom prst="ellipse">
          <a:avLst/>
        </a:prstGeom>
      </dgm:spPr>
      <dgm:t>
        <a:bodyPr/>
        <a:lstStyle/>
        <a:p>
          <a:endParaRPr lang="en-US"/>
        </a:p>
      </dgm:t>
    </dgm:pt>
    <dgm:pt modelId="{9A56F0B1-9466-40E9-8BFA-10DF1330E460}" type="pres">
      <dgm:prSet presAssocID="{0F9B6D57-E004-4603-A3A8-3A2B6A815956}" presName="Name9" presStyleLbl="parChTrans1D2" presStyleIdx="2" presStyleCnt="3"/>
      <dgm:spPr>
        <a:custGeom>
          <a:avLst/>
          <a:gdLst/>
          <a:ahLst/>
          <a:cxnLst/>
          <a:rect l="0" t="0" r="0" b="0"/>
          <a:pathLst>
            <a:path>
              <a:moveTo>
                <a:pt x="0" y="6158"/>
              </a:moveTo>
              <a:lnTo>
                <a:pt x="840874" y="6158"/>
              </a:lnTo>
            </a:path>
          </a:pathLst>
        </a:custGeom>
      </dgm:spPr>
      <dgm:t>
        <a:bodyPr/>
        <a:lstStyle/>
        <a:p>
          <a:endParaRPr lang="en-US"/>
        </a:p>
      </dgm:t>
    </dgm:pt>
    <dgm:pt modelId="{5B61520A-D966-494F-A7BF-91A6C71C68DF}" type="pres">
      <dgm:prSet presAssocID="{0F9B6D57-E004-4603-A3A8-3A2B6A815956}" presName="connTx" presStyleLbl="parChTrans1D2" presStyleIdx="2" presStyleCnt="3"/>
      <dgm:spPr/>
      <dgm:t>
        <a:bodyPr/>
        <a:lstStyle/>
        <a:p>
          <a:endParaRPr lang="en-US"/>
        </a:p>
      </dgm:t>
    </dgm:pt>
    <dgm:pt modelId="{1826B69E-77B8-4580-ABF8-4926B99AA206}" type="pres">
      <dgm:prSet presAssocID="{11C9E753-F212-4257-9A94-5537ADFE5943}" presName="node" presStyleLbl="node1" presStyleIdx="2" presStyleCnt="3" custScaleX="309367" custScaleY="101911" custRadScaleRad="325106" custRadScaleInc="47780">
        <dgm:presLayoutVars>
          <dgm:bulletEnabled val="1"/>
        </dgm:presLayoutVars>
      </dgm:prSet>
      <dgm:spPr>
        <a:prstGeom prst="ellipse">
          <a:avLst/>
        </a:prstGeom>
      </dgm:spPr>
      <dgm:t>
        <a:bodyPr/>
        <a:lstStyle/>
        <a:p>
          <a:endParaRPr lang="en-US"/>
        </a:p>
      </dgm:t>
    </dgm:pt>
  </dgm:ptLst>
  <dgm:cxnLst>
    <dgm:cxn modelId="{B774EF02-AF0B-4E0D-9F75-C55010B4D418}" type="presOf" srcId="{7AF774ED-547E-4C04-8670-B0C1D08C5EE9}" destId="{5337AE63-3722-42CC-AF72-36670EB7C5E1}" srcOrd="0" destOrd="0" presId="urn:microsoft.com/office/officeart/2005/8/layout/radial1"/>
    <dgm:cxn modelId="{61A68F6D-2A88-47A6-9164-EA26FDDA5FCD}" type="presOf" srcId="{0F9B6D57-E004-4603-A3A8-3A2B6A815956}" destId="{9A56F0B1-9466-40E9-8BFA-10DF1330E460}" srcOrd="0" destOrd="0" presId="urn:microsoft.com/office/officeart/2005/8/layout/radial1"/>
    <dgm:cxn modelId="{B8C1D308-3E30-4E88-ADBF-F6DC6E398728}" type="presOf" srcId="{11C9E753-F212-4257-9A94-5537ADFE5943}" destId="{1826B69E-77B8-4580-ABF8-4926B99AA206}" srcOrd="0" destOrd="0" presId="urn:microsoft.com/office/officeart/2005/8/layout/radial1"/>
    <dgm:cxn modelId="{14BA06EA-4852-48F7-B984-B64FE93CA38C}" type="presOf" srcId="{7AF774ED-547E-4C04-8670-B0C1D08C5EE9}" destId="{326412CE-9911-4799-A459-B56F02EB4473}"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529D05ED-97D5-4116-BE13-DE3D93351F7F}" srcId="{DE541715-C648-404D-8124-F14F463E9202}" destId="{960C5593-E0FF-4AA5-AA0B-E8BDFFBC5E53}" srcOrd="0" destOrd="0" parTransId="{7AF774ED-547E-4C04-8670-B0C1D08C5EE9}" sibTransId="{88F12DF7-015F-4F26-950A-DAE493699644}"/>
    <dgm:cxn modelId="{46C2FB3A-BC61-4C22-A3CC-12E30BF0C032}" srcId="{DE541715-C648-404D-8124-F14F463E9202}" destId="{11C9E753-F212-4257-9A94-5537ADFE5943}" srcOrd="2" destOrd="0" parTransId="{0F9B6D57-E004-4603-A3A8-3A2B6A815956}" sibTransId="{C0399FCC-9C49-4F86-8EA2-A1E913A65726}"/>
    <dgm:cxn modelId="{BF65F824-D4F4-4A84-83B4-6B1944B62AAD}" srcId="{DE541715-C648-404D-8124-F14F463E9202}" destId="{4631C2C5-1554-4289-90B0-F2D55D1595B6}" srcOrd="1" destOrd="0" parTransId="{4693CA52-075F-4BD8-ABEA-5368BE377DDA}" sibTransId="{9B3CB24D-A47A-4081-B256-B868D89D5387}"/>
    <dgm:cxn modelId="{DA740704-6E02-4402-8325-D0302449434E}" srcId="{34E6C8D5-8D4F-4714-8A12-8F4599A8E760}" destId="{4F895710-9C0A-4357-A62A-B00C2B1BB2A2}" srcOrd="1" destOrd="0" parTransId="{4492527F-B2BC-4423-9ACC-2816666249A0}" sibTransId="{A0A859C5-79E5-4C97-AF72-54A6D166EEA1}"/>
    <dgm:cxn modelId="{B9D8014D-C3A1-4272-9CB8-BFC819DC6D83}" type="presOf" srcId="{4693CA52-075F-4BD8-ABEA-5368BE377DDA}" destId="{4AC11394-3179-4EC5-A97F-D1A1B521CE2F}" srcOrd="0" destOrd="0" presId="urn:microsoft.com/office/officeart/2005/8/layout/radial1"/>
    <dgm:cxn modelId="{E972E6B0-092C-46C7-AD4A-B210D335EE12}" type="presOf" srcId="{34E6C8D5-8D4F-4714-8A12-8F4599A8E760}" destId="{08F189A1-AB47-41D1-8058-7A6DA66B3F52}" srcOrd="0" destOrd="0" presId="urn:microsoft.com/office/officeart/2005/8/layout/radial1"/>
    <dgm:cxn modelId="{3ED3E354-A1D2-456C-BE67-48E06DCA6805}" type="presOf" srcId="{4693CA52-075F-4BD8-ABEA-5368BE377DDA}" destId="{62A1F741-432F-46BE-AE07-15F0B6D5EA89}" srcOrd="1" destOrd="0" presId="urn:microsoft.com/office/officeart/2005/8/layout/radial1"/>
    <dgm:cxn modelId="{834A9EFC-7D49-4E9E-A035-A80BA42BCC78}" type="presOf" srcId="{0F9B6D57-E004-4603-A3A8-3A2B6A815956}" destId="{5B61520A-D966-494F-A7BF-91A6C71C68DF}" srcOrd="1" destOrd="0" presId="urn:microsoft.com/office/officeart/2005/8/layout/radial1"/>
    <dgm:cxn modelId="{CE876C8B-98C0-492A-A56D-02005891EBB4}" type="presOf" srcId="{DE541715-C648-404D-8124-F14F463E9202}" destId="{062AF917-2F47-4639-8A23-58AD52EC0F32}" srcOrd="0" destOrd="0" presId="urn:microsoft.com/office/officeart/2005/8/layout/radial1"/>
    <dgm:cxn modelId="{BCE557A3-01E6-41C8-AD03-9A782E574B93}" type="presOf" srcId="{960C5593-E0FF-4AA5-AA0B-E8BDFFBC5E53}" destId="{CED9197C-8322-406B-917C-172FA36E7B76}" srcOrd="0" destOrd="0" presId="urn:microsoft.com/office/officeart/2005/8/layout/radial1"/>
    <dgm:cxn modelId="{5C35F36A-290C-4CB3-A5F2-EC10FCF9E88A}" type="presOf" srcId="{4631C2C5-1554-4289-90B0-F2D55D1595B6}" destId="{035B4C9A-0916-4FCC-A1CF-85DB358A289A}" srcOrd="0" destOrd="0" presId="urn:microsoft.com/office/officeart/2005/8/layout/radial1"/>
    <dgm:cxn modelId="{53ED4F77-090D-4B75-8FE8-ED58ACA2C263}" type="presParOf" srcId="{08F189A1-AB47-41D1-8058-7A6DA66B3F52}" destId="{062AF917-2F47-4639-8A23-58AD52EC0F32}" srcOrd="0" destOrd="0" presId="urn:microsoft.com/office/officeart/2005/8/layout/radial1"/>
    <dgm:cxn modelId="{10677C06-7CA9-4075-9B68-C8F222DAC357}" type="presParOf" srcId="{08F189A1-AB47-41D1-8058-7A6DA66B3F52}" destId="{5337AE63-3722-42CC-AF72-36670EB7C5E1}" srcOrd="1" destOrd="0" presId="urn:microsoft.com/office/officeart/2005/8/layout/radial1"/>
    <dgm:cxn modelId="{DB390638-D487-466C-B437-449B9BC41165}" type="presParOf" srcId="{5337AE63-3722-42CC-AF72-36670EB7C5E1}" destId="{326412CE-9911-4799-A459-B56F02EB4473}" srcOrd="0" destOrd="0" presId="urn:microsoft.com/office/officeart/2005/8/layout/radial1"/>
    <dgm:cxn modelId="{AA1C4162-D6DE-4770-830A-2B6495670024}" type="presParOf" srcId="{08F189A1-AB47-41D1-8058-7A6DA66B3F52}" destId="{CED9197C-8322-406B-917C-172FA36E7B76}" srcOrd="2" destOrd="0" presId="urn:microsoft.com/office/officeart/2005/8/layout/radial1"/>
    <dgm:cxn modelId="{F9343271-6168-4B10-B69F-AD37DFA1F28E}" type="presParOf" srcId="{08F189A1-AB47-41D1-8058-7A6DA66B3F52}" destId="{4AC11394-3179-4EC5-A97F-D1A1B521CE2F}" srcOrd="3" destOrd="0" presId="urn:microsoft.com/office/officeart/2005/8/layout/radial1"/>
    <dgm:cxn modelId="{35D40BD8-7DDE-418F-9A25-BADCBA141584}" type="presParOf" srcId="{4AC11394-3179-4EC5-A97F-D1A1B521CE2F}" destId="{62A1F741-432F-46BE-AE07-15F0B6D5EA89}" srcOrd="0" destOrd="0" presId="urn:microsoft.com/office/officeart/2005/8/layout/radial1"/>
    <dgm:cxn modelId="{301AF6B9-1825-46D9-B7DB-ECDE217F1D4C}" type="presParOf" srcId="{08F189A1-AB47-41D1-8058-7A6DA66B3F52}" destId="{035B4C9A-0916-4FCC-A1CF-85DB358A289A}" srcOrd="4" destOrd="0" presId="urn:microsoft.com/office/officeart/2005/8/layout/radial1"/>
    <dgm:cxn modelId="{A041344A-64B6-485C-95CE-BAF62F1D09BB}" type="presParOf" srcId="{08F189A1-AB47-41D1-8058-7A6DA66B3F52}" destId="{9A56F0B1-9466-40E9-8BFA-10DF1330E460}" srcOrd="5" destOrd="0" presId="urn:microsoft.com/office/officeart/2005/8/layout/radial1"/>
    <dgm:cxn modelId="{C4D8EE50-AD11-452C-A516-4113459F07C1}" type="presParOf" srcId="{9A56F0B1-9466-40E9-8BFA-10DF1330E460}" destId="{5B61520A-D966-494F-A7BF-91A6C71C68DF}" srcOrd="0" destOrd="0" presId="urn:microsoft.com/office/officeart/2005/8/layout/radial1"/>
    <dgm:cxn modelId="{0F83E7FA-65DE-4096-ACF5-E22EBC2F307F}" type="presParOf" srcId="{08F189A1-AB47-41D1-8058-7A6DA66B3F52}" destId="{1826B69E-77B8-4580-ABF8-4926B99AA206}" srcOrd="6" destOrd="0" presId="urn:microsoft.com/office/officeart/2005/8/layout/radial1"/>
  </dgm:cxnLst>
  <dgm:bg/>
  <dgm:whole/>
  <dgm:extLst>
    <a:ext uri="http://schemas.microsoft.com/office/drawing/2008/diagram">
      <dsp:dataModelExt xmlns:dsp="http://schemas.microsoft.com/office/drawing/2008/diagram" relId="rId96" minVer="http://schemas.openxmlformats.org/drawingml/2006/diagram"/>
    </a:ext>
    <a:ext uri="{C62137D5-CB1D-491B-B009-E17868A290BF}">
      <dgm14:recolorImg xmlns:dgm14="http://schemas.microsoft.com/office/drawing/2010/diagram" val="1"/>
    </a:ext>
  </dgm:extLst>
</dgm:dataModel>
</file>

<file path=word/diagrams/data9.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39136" y="926402"/>
          <a:ext cx="1159126" cy="51914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7</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498352" y="592927"/>
          <a:ext cx="1163040" cy="60971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1307274">
          <a:off x="1634784" y="1034733"/>
          <a:ext cx="838410"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FBC2E2-D754-42C1-BEE4-690296442511}">
      <dgm:prSet phldrT="[Text]" custT="1"/>
      <dgm:spPr>
        <a:xfrm>
          <a:off x="397333" y="1258481"/>
          <a:ext cx="1123632" cy="5482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التحديات العالمية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10226795">
          <a:off x="1483324" y="1352401"/>
          <a:ext cx="999786"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1242032" y="1655369"/>
          <a:ext cx="1228987" cy="56705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8823751">
          <a:off x="2167404" y="1545876"/>
          <a:ext cx="567317"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1FA040-4399-40F0-866F-845B7914F68D}">
      <dgm:prSet phldrT="[Text]" custT="1"/>
      <dgm:spPr>
        <a:xfrm>
          <a:off x="2513141" y="1829084"/>
          <a:ext cx="1188011" cy="51914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5064234">
          <a:off x="2869988" y="1629463"/>
          <a:ext cx="385867"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602118-D739-48CC-85E0-791974AFA995}">
      <dgm:prSet phldrT="[Text]" custT="1"/>
      <dgm:spPr>
        <a:xfrm>
          <a:off x="3728133" y="1634356"/>
          <a:ext cx="1168652" cy="51914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1721265">
          <a:off x="3346711" y="1531776"/>
          <a:ext cx="636536"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B0D84B1-C440-4746-9EEF-F1ED71D64DD2}">
      <dgm:prSet phldrT="[Text]" custT="1"/>
      <dgm:spPr>
        <a:xfrm>
          <a:off x="4298295" y="1079033"/>
          <a:ext cx="1366772" cy="581603"/>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321060">
          <a:off x="3584396" y="1265370"/>
          <a:ext cx="731469"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AE892F-3F2D-42A5-BB1C-58D0E6BD9A47}">
      <dgm:prSet phldrT="[Text]" custT="1"/>
      <dgm:spPr>
        <a:xfrm>
          <a:off x="4364480" y="440012"/>
          <a:ext cx="1131170" cy="51914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0743370">
          <a:off x="3508059" y="933754"/>
          <a:ext cx="941915"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8446A3-EA8C-4C13-8A65-DF8A110D0838}">
      <dgm:prSet phldrT="[Text]" custT="1"/>
      <dgm:spPr>
        <a:xfrm>
          <a:off x="3553604" y="131913"/>
          <a:ext cx="933829" cy="51914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9295039">
          <a:off x="3241698" y="774149"/>
          <a:ext cx="572806"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8A5766F-115C-487E-B7CB-4ADE150678D1}">
      <dgm:prSet phldrT="[Text]" custT="1"/>
      <dgm:spPr>
        <a:xfrm>
          <a:off x="2504252" y="0"/>
          <a:ext cx="1010932" cy="501723"/>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66983">
          <a:off x="2801815" y="706218"/>
          <a:ext cx="424704"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869496C-0E19-4CE4-AC4D-8E2619BF9D68}">
      <dgm:prSet phldrT="[Text]" custT="1"/>
      <dgm:spPr>
        <a:xfrm>
          <a:off x="1360342" y="120426"/>
          <a:ext cx="1120523" cy="622532"/>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rtl="1"/>
          <a:r>
            <a:rPr lang="ar-EG"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لاهاي</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D80D2A2-2CDC-439E-8A80-49FDDE50F566}" type="parTrans" cxnId="{A5794848-FA88-45E4-9420-D1C7392B5B45}">
      <dgm:prSet/>
      <dgm:spPr>
        <a:xfrm rot="12869105">
          <a:off x="2227180" y="813278"/>
          <a:ext cx="520727" cy="15688"/>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C80BB14-F31D-405F-A95F-B4434486AD2E}" type="sibTrans" cxnId="{A5794848-FA88-45E4-9420-D1C7392B5B45}">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23278" custLinFactNeighborX="4188" custLinFactNeighborY="-7538"/>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0"/>
      <dgm:spPr>
        <a:custGeom>
          <a:avLst/>
          <a:gdLst/>
          <a:ahLst/>
          <a:cxnLst/>
          <a:rect l="0" t="0" r="0" b="0"/>
          <a:pathLst>
            <a:path>
              <a:moveTo>
                <a:pt x="0" y="7844"/>
              </a:moveTo>
              <a:lnTo>
                <a:pt x="424704" y="7844"/>
              </a:lnTo>
            </a:path>
          </a:pathLst>
        </a:custGeom>
      </dgm:spPr>
      <dgm:t>
        <a:bodyPr/>
        <a:lstStyle/>
        <a:p>
          <a:endParaRPr lang="en-US"/>
        </a:p>
      </dgm:t>
    </dgm:pt>
    <dgm:pt modelId="{B06AADB2-5D51-41DC-8677-C0CC2357518B}" type="pres">
      <dgm:prSet presAssocID="{BA28F4A6-AD16-499D-88C1-DBE004B28175}" presName="connTx" presStyleLbl="parChTrans1D2" presStyleIdx="0" presStyleCnt="10"/>
      <dgm:spPr/>
      <dgm:t>
        <a:bodyPr/>
        <a:lstStyle/>
        <a:p>
          <a:endParaRPr lang="en-US"/>
        </a:p>
      </dgm:t>
    </dgm:pt>
    <dgm:pt modelId="{AFD0CC05-9AD4-4A51-8739-4FB4CA1E4ACE}" type="pres">
      <dgm:prSet presAssocID="{68A5766F-115C-487E-B7CB-4ADE150678D1}" presName="node" presStyleLbl="node1" presStyleIdx="0" presStyleCnt="10" custScaleX="194732" custScaleY="96645" custRadScaleRad="100976" custRadScaleInc="23834">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0"/>
      <dgm:spPr>
        <a:custGeom>
          <a:avLst/>
          <a:gdLst/>
          <a:ahLst/>
          <a:cxnLst/>
          <a:rect l="0" t="0" r="0" b="0"/>
          <a:pathLst>
            <a:path>
              <a:moveTo>
                <a:pt x="0" y="7844"/>
              </a:moveTo>
              <a:lnTo>
                <a:pt x="572806" y="7844"/>
              </a:lnTo>
            </a:path>
          </a:pathLst>
        </a:custGeom>
      </dgm:spPr>
      <dgm:t>
        <a:bodyPr/>
        <a:lstStyle/>
        <a:p>
          <a:endParaRPr lang="en-US"/>
        </a:p>
      </dgm:t>
    </dgm:pt>
    <dgm:pt modelId="{A8CF68B1-7D91-429E-8C8D-53007288E1DC}" type="pres">
      <dgm:prSet presAssocID="{DB9FEC62-86A7-454A-89B3-F32F1907C71A}" presName="connTx" presStyleLbl="parChTrans1D2" presStyleIdx="1" presStyleCnt="10"/>
      <dgm:spPr/>
      <dgm:t>
        <a:bodyPr/>
        <a:lstStyle/>
        <a:p>
          <a:endParaRPr lang="en-US"/>
        </a:p>
      </dgm:t>
    </dgm:pt>
    <dgm:pt modelId="{D9366F31-B7D7-4B43-830C-AD5E2193A794}" type="pres">
      <dgm:prSet presAssocID="{898446A3-EA8C-4C13-8A65-DF8A110D0838}" presName="node" presStyleLbl="node1" presStyleIdx="1" presStyleCnt="10" custScaleX="179880" custRadScaleRad="133162" custRadScaleInc="70776">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2" presStyleCnt="10"/>
      <dgm:spPr>
        <a:custGeom>
          <a:avLst/>
          <a:gdLst/>
          <a:ahLst/>
          <a:cxnLst/>
          <a:rect l="0" t="0" r="0" b="0"/>
          <a:pathLst>
            <a:path>
              <a:moveTo>
                <a:pt x="0" y="7844"/>
              </a:moveTo>
              <a:lnTo>
                <a:pt x="941915" y="7844"/>
              </a:lnTo>
            </a:path>
          </a:pathLst>
        </a:custGeom>
      </dgm:spPr>
      <dgm:t>
        <a:bodyPr/>
        <a:lstStyle/>
        <a:p>
          <a:endParaRPr lang="en-US"/>
        </a:p>
      </dgm:t>
    </dgm:pt>
    <dgm:pt modelId="{48797E66-4F8B-4B79-BCA7-6F88E85CF835}" type="pres">
      <dgm:prSet presAssocID="{D22DE764-173E-47DF-9480-722F8D8EA62C}" presName="connTx" presStyleLbl="parChTrans1D2" presStyleIdx="2" presStyleCnt="10"/>
      <dgm:spPr/>
      <dgm:t>
        <a:bodyPr/>
        <a:lstStyle/>
        <a:p>
          <a:endParaRPr lang="en-US"/>
        </a:p>
      </dgm:t>
    </dgm:pt>
    <dgm:pt modelId="{7E7DDE23-6C04-407D-AAB6-669511EA704E}" type="pres">
      <dgm:prSet presAssocID="{6DAE892F-3F2D-42A5-BB1C-58D0E6BD9A47}" presName="node" presStyleLbl="node1" presStyleIdx="2" presStyleCnt="10" custScaleX="217893" custRadScaleRad="192822" custRadScaleInc="-41">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3" presStyleCnt="10"/>
      <dgm:spPr>
        <a:custGeom>
          <a:avLst/>
          <a:gdLst/>
          <a:ahLst/>
          <a:cxnLst/>
          <a:rect l="0" t="0" r="0" b="0"/>
          <a:pathLst>
            <a:path>
              <a:moveTo>
                <a:pt x="0" y="7844"/>
              </a:moveTo>
              <a:lnTo>
                <a:pt x="731469" y="7844"/>
              </a:lnTo>
            </a:path>
          </a:pathLst>
        </a:custGeom>
      </dgm:spPr>
      <dgm:t>
        <a:bodyPr/>
        <a:lstStyle/>
        <a:p>
          <a:endParaRPr lang="en-US"/>
        </a:p>
      </dgm:t>
    </dgm:pt>
    <dgm:pt modelId="{0D3BFC0A-5ED4-4CCF-A336-A529B3363890}" type="pres">
      <dgm:prSet presAssocID="{9E510621-404D-46D6-8EB3-39712C8626D4}" presName="connTx" presStyleLbl="parChTrans1D2" presStyleIdx="3" presStyleCnt="10"/>
      <dgm:spPr/>
      <dgm:t>
        <a:bodyPr/>
        <a:lstStyle/>
        <a:p>
          <a:endParaRPr lang="en-US"/>
        </a:p>
      </dgm:t>
    </dgm:pt>
    <dgm:pt modelId="{66DADE40-99AE-41BE-B997-129EED231064}" type="pres">
      <dgm:prSet presAssocID="{DB0D84B1-C440-4746-9EEF-F1ED71D64DD2}" presName="node" presStyleLbl="node1" presStyleIdx="3" presStyleCnt="10" custScaleX="263276" custScaleY="112032" custRadScaleRad="188111" custRadScaleInc="-97025">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4" presStyleCnt="10"/>
      <dgm:spPr>
        <a:custGeom>
          <a:avLst/>
          <a:gdLst/>
          <a:ahLst/>
          <a:cxnLst/>
          <a:rect l="0" t="0" r="0" b="0"/>
          <a:pathLst>
            <a:path>
              <a:moveTo>
                <a:pt x="0" y="7844"/>
              </a:moveTo>
              <a:lnTo>
                <a:pt x="636536" y="7844"/>
              </a:lnTo>
            </a:path>
          </a:pathLst>
        </a:custGeom>
      </dgm:spPr>
      <dgm:t>
        <a:bodyPr/>
        <a:lstStyle/>
        <a:p>
          <a:endParaRPr lang="en-US"/>
        </a:p>
      </dgm:t>
    </dgm:pt>
    <dgm:pt modelId="{32B4D7AF-BD29-4AC4-BA11-37F2AE9561F4}" type="pres">
      <dgm:prSet presAssocID="{3F89048A-3F9F-4897-8631-4599F4976029}" presName="connTx" presStyleLbl="parChTrans1D2" presStyleIdx="4" presStyleCnt="10"/>
      <dgm:spPr/>
      <dgm:t>
        <a:bodyPr/>
        <a:lstStyle/>
        <a:p>
          <a:endParaRPr lang="en-US"/>
        </a:p>
      </dgm:t>
    </dgm:pt>
    <dgm:pt modelId="{DB594876-4070-4577-942D-67F5CD4D6A19}" type="pres">
      <dgm:prSet presAssocID="{14602118-D739-48CC-85E0-791974AFA995}" presName="node" presStyleLbl="node1" presStyleIdx="4" presStyleCnt="10" custScaleX="225113" custRadScaleRad="136236" custRadScaleInc="-181027">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5" presStyleCnt="10"/>
      <dgm:spPr>
        <a:custGeom>
          <a:avLst/>
          <a:gdLst/>
          <a:ahLst/>
          <a:cxnLst/>
          <a:rect l="0" t="0" r="0" b="0"/>
          <a:pathLst>
            <a:path>
              <a:moveTo>
                <a:pt x="0" y="7844"/>
              </a:moveTo>
              <a:lnTo>
                <a:pt x="385867" y="7844"/>
              </a:lnTo>
            </a:path>
          </a:pathLst>
        </a:custGeom>
      </dgm:spPr>
      <dgm:t>
        <a:bodyPr/>
        <a:lstStyle/>
        <a:p>
          <a:endParaRPr lang="en-US"/>
        </a:p>
      </dgm:t>
    </dgm:pt>
    <dgm:pt modelId="{B930024E-8665-4782-9C41-36517A71FCD4}" type="pres">
      <dgm:prSet presAssocID="{98585C11-761C-43C4-979D-FB1B8BABF102}" presName="connTx" presStyleLbl="parChTrans1D2" presStyleIdx="5" presStyleCnt="10"/>
      <dgm:spPr/>
      <dgm:t>
        <a:bodyPr/>
        <a:lstStyle/>
        <a:p>
          <a:endParaRPr lang="en-US"/>
        </a:p>
      </dgm:t>
    </dgm:pt>
    <dgm:pt modelId="{69F18085-0AC3-4BAE-9B16-F8478FFBD61E}" type="pres">
      <dgm:prSet presAssocID="{7C1FA040-4399-40F0-866F-845B7914F68D}" presName="node" presStyleLbl="node1" presStyleIdx="5" presStyleCnt="10" custScaleX="228842" custRadScaleRad="69551" custRadScaleInc="-76119">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6" presStyleCnt="10"/>
      <dgm:spPr>
        <a:custGeom>
          <a:avLst/>
          <a:gdLst/>
          <a:ahLst/>
          <a:cxnLst/>
          <a:rect l="0" t="0" r="0" b="0"/>
          <a:pathLst>
            <a:path>
              <a:moveTo>
                <a:pt x="0" y="7844"/>
              </a:moveTo>
              <a:lnTo>
                <a:pt x="567317" y="7844"/>
              </a:lnTo>
            </a:path>
          </a:pathLst>
        </a:custGeom>
      </dgm:spPr>
      <dgm:t>
        <a:bodyPr/>
        <a:lstStyle/>
        <a:p>
          <a:endParaRPr lang="en-US"/>
        </a:p>
      </dgm:t>
    </dgm:pt>
    <dgm:pt modelId="{3EA6B60F-F2E8-4D48-9EC1-CAAE09243949}" type="pres">
      <dgm:prSet presAssocID="{DEF73824-C893-4963-9504-7E97D2FF5253}" presName="connTx" presStyleLbl="parChTrans1D2" presStyleIdx="6" presStyleCnt="10"/>
      <dgm:spPr/>
      <dgm:t>
        <a:bodyPr/>
        <a:lstStyle/>
        <a:p>
          <a:endParaRPr lang="en-US"/>
        </a:p>
      </dgm:t>
    </dgm:pt>
    <dgm:pt modelId="{49C45DFA-0A15-4DAA-80DC-CAE4ABCC6B43}" type="pres">
      <dgm:prSet presAssocID="{2628F477-2289-4CEE-9618-96DDAFCD4291}" presName="node" presStyleLbl="node1" presStyleIdx="6" presStyleCnt="10" custScaleX="236735" custScaleY="109229" custRadScaleRad="111852" custRadScaleInc="140081">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7" presStyleCnt="10"/>
      <dgm:spPr>
        <a:custGeom>
          <a:avLst/>
          <a:gdLst/>
          <a:ahLst/>
          <a:cxnLst/>
          <a:rect l="0" t="0" r="0" b="0"/>
          <a:pathLst>
            <a:path>
              <a:moveTo>
                <a:pt x="0" y="7844"/>
              </a:moveTo>
              <a:lnTo>
                <a:pt x="999786" y="7844"/>
              </a:lnTo>
            </a:path>
          </a:pathLst>
        </a:custGeom>
      </dgm:spPr>
      <dgm:t>
        <a:bodyPr/>
        <a:lstStyle/>
        <a:p>
          <a:endParaRPr lang="en-US"/>
        </a:p>
      </dgm:t>
    </dgm:pt>
    <dgm:pt modelId="{280B3AB5-4999-4B99-8BE9-E09C9DF5D482}" type="pres">
      <dgm:prSet presAssocID="{2F72DDEE-62D3-48A5-836A-4C87596541F0}" presName="connTx" presStyleLbl="parChTrans1D2" presStyleIdx="7" presStyleCnt="10"/>
      <dgm:spPr/>
      <dgm:t>
        <a:bodyPr/>
        <a:lstStyle/>
        <a:p>
          <a:endParaRPr lang="en-US"/>
        </a:p>
      </dgm:t>
    </dgm:pt>
    <dgm:pt modelId="{402B25BB-F397-46B5-AAB7-C38C2276BF82}" type="pres">
      <dgm:prSet presAssocID="{44FBC2E2-D754-42C1-BEE4-690296442511}" presName="node" presStyleLbl="node1" presStyleIdx="7" presStyleCnt="10" custScaleX="216441" custScaleY="105604" custRadScaleRad="180961" custRadScaleInc="70653">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8" presStyleCnt="10"/>
      <dgm:spPr>
        <a:custGeom>
          <a:avLst/>
          <a:gdLst/>
          <a:ahLst/>
          <a:cxnLst/>
          <a:rect l="0" t="0" r="0" b="0"/>
          <a:pathLst>
            <a:path>
              <a:moveTo>
                <a:pt x="0" y="7844"/>
              </a:moveTo>
              <a:lnTo>
                <a:pt x="838410" y="7844"/>
              </a:lnTo>
            </a:path>
          </a:pathLst>
        </a:custGeom>
      </dgm:spPr>
      <dgm:t>
        <a:bodyPr/>
        <a:lstStyle/>
        <a:p>
          <a:endParaRPr lang="en-US"/>
        </a:p>
      </dgm:t>
    </dgm:pt>
    <dgm:pt modelId="{A140118B-14B1-45A7-9CF9-17E4D006F84D}" type="pres">
      <dgm:prSet presAssocID="{B4A5C031-92B2-438E-80BC-EAA05F5C7CF7}" presName="connTx" presStyleLbl="parChTrans1D2" presStyleIdx="8" presStyleCnt="10"/>
      <dgm:spPr/>
      <dgm:t>
        <a:bodyPr/>
        <a:lstStyle/>
        <a:p>
          <a:endParaRPr lang="en-US"/>
        </a:p>
      </dgm:t>
    </dgm:pt>
    <dgm:pt modelId="{5AF8D9AC-0C15-4D1B-BCD3-7FFCFF0A581D}" type="pres">
      <dgm:prSet presAssocID="{D460D018-736B-4CE5-A14B-061F8EFE829B}" presName="node" presStyleLbl="node1" presStyleIdx="8" presStyleCnt="10" custScaleX="224032" custScaleY="117447" custRadScaleRad="174147" custRadScaleInc="-23480">
        <dgm:presLayoutVars>
          <dgm:bulletEnabled val="1"/>
        </dgm:presLayoutVars>
      </dgm:prSet>
      <dgm:spPr>
        <a:prstGeom prst="ellipse">
          <a:avLst/>
        </a:prstGeom>
      </dgm:spPr>
      <dgm:t>
        <a:bodyPr/>
        <a:lstStyle/>
        <a:p>
          <a:endParaRPr lang="en-US"/>
        </a:p>
      </dgm:t>
    </dgm:pt>
    <dgm:pt modelId="{5DC5D51E-945B-4CCC-B580-737CA66D42E3}" type="pres">
      <dgm:prSet presAssocID="{AD80D2A2-2CDC-439E-8A80-49FDDE50F566}" presName="Name9" presStyleLbl="parChTrans1D2" presStyleIdx="9" presStyleCnt="10"/>
      <dgm:spPr>
        <a:custGeom>
          <a:avLst/>
          <a:gdLst/>
          <a:ahLst/>
          <a:cxnLst/>
          <a:rect l="0" t="0" r="0" b="0"/>
          <a:pathLst>
            <a:path>
              <a:moveTo>
                <a:pt x="0" y="7844"/>
              </a:moveTo>
              <a:lnTo>
                <a:pt x="520727" y="7844"/>
              </a:lnTo>
            </a:path>
          </a:pathLst>
        </a:custGeom>
      </dgm:spPr>
      <dgm:t>
        <a:bodyPr/>
        <a:lstStyle/>
        <a:p>
          <a:endParaRPr lang="en-US"/>
        </a:p>
      </dgm:t>
    </dgm:pt>
    <dgm:pt modelId="{653D05C2-436A-4268-A4B1-DA090CACDDFB}" type="pres">
      <dgm:prSet presAssocID="{AD80D2A2-2CDC-439E-8A80-49FDDE50F566}" presName="connTx" presStyleLbl="parChTrans1D2" presStyleIdx="9" presStyleCnt="10"/>
      <dgm:spPr/>
      <dgm:t>
        <a:bodyPr/>
        <a:lstStyle/>
        <a:p>
          <a:endParaRPr lang="en-US"/>
        </a:p>
      </dgm:t>
    </dgm:pt>
    <dgm:pt modelId="{26661F75-1D9F-48E2-8FB0-82462D91AB89}" type="pres">
      <dgm:prSet presAssocID="{3869496C-0E19-4CE4-AC4D-8E2619BF9D68}" presName="node" presStyleLbl="node1" presStyleIdx="9" presStyleCnt="10" custScaleX="215842" custScaleY="119916" custRadScaleRad="124792" custRadScaleInc="-64483">
        <dgm:presLayoutVars>
          <dgm:bulletEnabled val="1"/>
        </dgm:presLayoutVars>
      </dgm:prSet>
      <dgm:spPr>
        <a:prstGeom prst="ellipse">
          <a:avLst/>
        </a:prstGeom>
      </dgm:spPr>
      <dgm:t>
        <a:bodyPr/>
        <a:lstStyle/>
        <a:p>
          <a:endParaRPr lang="en-US"/>
        </a:p>
      </dgm:t>
    </dgm:pt>
  </dgm:ptLst>
  <dgm:cxnLst>
    <dgm:cxn modelId="{FE1169E0-24DF-4FBB-A1C9-8F332C85663A}" srcId="{A7516A72-1FC0-46ED-AAC4-AF0F7063F737}" destId="{6DAE892F-3F2D-42A5-BB1C-58D0E6BD9A47}" srcOrd="2" destOrd="0" parTransId="{D22DE764-173E-47DF-9480-722F8D8EA62C}" sibTransId="{28BD2EB6-8814-456D-B684-C7C0E2C0705F}"/>
    <dgm:cxn modelId="{B67D2277-4DBC-44A2-A45B-6CBC59070D26}" type="presOf" srcId="{D22DE764-173E-47DF-9480-722F8D8EA62C}" destId="{48797E66-4F8B-4B79-BCA7-6F88E85CF835}" srcOrd="1" destOrd="0" presId="urn:microsoft.com/office/officeart/2005/8/layout/radial1"/>
    <dgm:cxn modelId="{8A0E0C55-4B2C-43FC-B680-C9D150B1FE74}" type="presOf" srcId="{D981426F-5B7B-4AA5-957A-6E8C9E1A2487}" destId="{9D8B49BD-1DF7-4888-9A7E-2CFD4320CC2B}" srcOrd="0" destOrd="0" presId="urn:microsoft.com/office/officeart/2005/8/layout/radial1"/>
    <dgm:cxn modelId="{54CADD40-6AE1-4685-9A63-82D9AB13EA61}" type="presOf" srcId="{98585C11-761C-43C4-979D-FB1B8BABF102}" destId="{E49C447F-3477-4311-B10B-FFFA7DE7209F}" srcOrd="0" destOrd="0" presId="urn:microsoft.com/office/officeart/2005/8/layout/radial1"/>
    <dgm:cxn modelId="{6DE9224A-FA56-42F9-8BAB-11C45191A630}" type="presOf" srcId="{DB0D84B1-C440-4746-9EEF-F1ED71D64DD2}" destId="{66DADE40-99AE-41BE-B997-129EED231064}" srcOrd="0" destOrd="0" presId="urn:microsoft.com/office/officeart/2005/8/layout/radial1"/>
    <dgm:cxn modelId="{1BA09704-DFD3-4261-BACF-D1BA3E3AFF5F}" type="presOf" srcId="{9E510621-404D-46D6-8EB3-39712C8626D4}" destId="{0D3BFC0A-5ED4-4CCF-A336-A529B3363890}" srcOrd="1" destOrd="0" presId="urn:microsoft.com/office/officeart/2005/8/layout/radial1"/>
    <dgm:cxn modelId="{F081E2E0-D3B4-46E9-BADA-45F194A5818F}" type="presOf" srcId="{98585C11-761C-43C4-979D-FB1B8BABF102}" destId="{B930024E-8665-4782-9C41-36517A71FCD4}" srcOrd="1" destOrd="0" presId="urn:microsoft.com/office/officeart/2005/8/layout/radial1"/>
    <dgm:cxn modelId="{574B7A73-BD67-42C2-ACC9-273584E3A23A}" type="presOf" srcId="{6DAE892F-3F2D-42A5-BB1C-58D0E6BD9A47}" destId="{7E7DDE23-6C04-407D-AAB6-669511EA704E}" srcOrd="0" destOrd="0" presId="urn:microsoft.com/office/officeart/2005/8/layout/radial1"/>
    <dgm:cxn modelId="{25BB7447-272D-460E-96C2-D4EAE9200A69}" type="presOf" srcId="{DB9FEC62-86A7-454A-89B3-F32F1907C71A}" destId="{34515D96-C834-4D67-AF5C-3B293601CBC3}" srcOrd="0" destOrd="0" presId="urn:microsoft.com/office/officeart/2005/8/layout/radial1"/>
    <dgm:cxn modelId="{7760B834-FB23-47E1-9065-71644DEC8270}" type="presOf" srcId="{D22DE764-173E-47DF-9480-722F8D8EA62C}" destId="{5CF8296B-0142-429D-A71A-20799D2EB74B}" srcOrd="0" destOrd="0" presId="urn:microsoft.com/office/officeart/2005/8/layout/radial1"/>
    <dgm:cxn modelId="{5736C63F-E11E-4C81-8AF8-F8F9BF25CABA}" type="presOf" srcId="{68A5766F-115C-487E-B7CB-4ADE150678D1}" destId="{AFD0CC05-9AD4-4A51-8739-4FB4CA1E4ACE}" srcOrd="0" destOrd="0" presId="urn:microsoft.com/office/officeart/2005/8/layout/radial1"/>
    <dgm:cxn modelId="{9BE25DF1-A7FB-4AD4-9C2A-A7AEA338BCFD}" type="presOf" srcId="{DB9FEC62-86A7-454A-89B3-F32F1907C71A}" destId="{A8CF68B1-7D91-429E-8C8D-53007288E1DC}" srcOrd="1" destOrd="0" presId="urn:microsoft.com/office/officeart/2005/8/layout/radial1"/>
    <dgm:cxn modelId="{A1357B0A-C240-4A91-89D8-A39634308683}" srcId="{A7516A72-1FC0-46ED-AAC4-AF0F7063F737}" destId="{44FBC2E2-D754-42C1-BEE4-690296442511}" srcOrd="7" destOrd="0" parTransId="{2F72DDEE-62D3-48A5-836A-4C87596541F0}" sibTransId="{A8D506B7-E9B0-4378-B011-FCC599FE960D}"/>
    <dgm:cxn modelId="{30A7B4C0-286A-4A55-89E3-5886734DA7E0}" type="presOf" srcId="{B4A5C031-92B2-438E-80BC-EAA05F5C7CF7}" destId="{EFB9CB5A-411C-454B-96B1-9ED988829CBE}" srcOrd="0" destOrd="0" presId="urn:microsoft.com/office/officeart/2005/8/layout/radial1"/>
    <dgm:cxn modelId="{5681FEAC-A7DC-49FE-857D-5F71AC324E6C}" type="presOf" srcId="{9E510621-404D-46D6-8EB3-39712C8626D4}" destId="{DC281168-2DBC-4CFB-B21D-C54E9628B383}" srcOrd="0" destOrd="0" presId="urn:microsoft.com/office/officeart/2005/8/layout/radial1"/>
    <dgm:cxn modelId="{413585B7-D8F7-4150-9246-D1B151FB590F}" type="presOf" srcId="{2628F477-2289-4CEE-9618-96DDAFCD4291}" destId="{49C45DFA-0A15-4DAA-80DC-CAE4ABCC6B43}" srcOrd="0" destOrd="0" presId="urn:microsoft.com/office/officeart/2005/8/layout/radial1"/>
    <dgm:cxn modelId="{026EDFAB-7957-49DB-A745-EE87DA0C1312}" type="presOf" srcId="{7C1FA040-4399-40F0-866F-845B7914F68D}" destId="{69F18085-0AC3-4BAE-9B16-F8478FFBD61E}" srcOrd="0" destOrd="0" presId="urn:microsoft.com/office/officeart/2005/8/layout/radial1"/>
    <dgm:cxn modelId="{F89CCD16-A9DE-4AC3-81F9-5EA0CACF1981}" type="presOf" srcId="{AD80D2A2-2CDC-439E-8A80-49FDDE50F566}" destId="{653D05C2-436A-4268-A4B1-DA090CACDDFB}" srcOrd="1" destOrd="0" presId="urn:microsoft.com/office/officeart/2005/8/layout/radial1"/>
    <dgm:cxn modelId="{333E8F20-31E9-4D6F-9F31-24FBF63076E9}" srcId="{A7516A72-1FC0-46ED-AAC4-AF0F7063F737}" destId="{D460D018-736B-4CE5-A14B-061F8EFE829B}" srcOrd="8" destOrd="0" parTransId="{B4A5C031-92B2-438E-80BC-EAA05F5C7CF7}" sibTransId="{13E4242D-C1FF-4F31-B2EF-0F857644C218}"/>
    <dgm:cxn modelId="{A1D49EF5-AFDC-44A9-949F-527D7FE62EDE}" type="presOf" srcId="{A7516A72-1FC0-46ED-AAC4-AF0F7063F737}" destId="{493DA7EC-5D69-41B7-92E4-ED7ED9F48883}" srcOrd="0" destOrd="0" presId="urn:microsoft.com/office/officeart/2005/8/layout/radial1"/>
    <dgm:cxn modelId="{6190C527-98E5-4575-856C-A69D280F10E4}" type="presOf" srcId="{BA28F4A6-AD16-499D-88C1-DBE004B28175}" destId="{E6ACA703-0949-41B3-BE6B-C702E5C7275F}"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AEEA8CFC-F26D-48BF-8E48-E671E4192954}" type="presOf" srcId="{14602118-D739-48CC-85E0-791974AFA995}" destId="{DB594876-4070-4577-942D-67F5CD4D6A19}" srcOrd="0" destOrd="0" presId="urn:microsoft.com/office/officeart/2005/8/layout/radial1"/>
    <dgm:cxn modelId="{A5794848-FA88-45E4-9420-D1C7392B5B45}" srcId="{A7516A72-1FC0-46ED-AAC4-AF0F7063F737}" destId="{3869496C-0E19-4CE4-AC4D-8E2619BF9D68}" srcOrd="9" destOrd="0" parTransId="{AD80D2A2-2CDC-439E-8A80-49FDDE50F566}" sibTransId="{3C80BB14-F31D-405F-A95F-B4434486AD2E}"/>
    <dgm:cxn modelId="{84826536-FF9D-47C5-902D-DB146A527C2A}" srcId="{A7516A72-1FC0-46ED-AAC4-AF0F7063F737}" destId="{68A5766F-115C-487E-B7CB-4ADE150678D1}" srcOrd="0" destOrd="0" parTransId="{BA28F4A6-AD16-499D-88C1-DBE004B28175}" sibTransId="{BA9B1909-6561-415A-8EF0-B53DE88FCEBA}"/>
    <dgm:cxn modelId="{345C13DF-1D3F-4982-AF23-DC2641540559}" srcId="{A7516A72-1FC0-46ED-AAC4-AF0F7063F737}" destId="{7C1FA040-4399-40F0-866F-845B7914F68D}" srcOrd="5" destOrd="0" parTransId="{98585C11-761C-43C4-979D-FB1B8BABF102}" sibTransId="{82A7CC90-6A4C-422A-B221-BA4CF5B4D442}"/>
    <dgm:cxn modelId="{14E6BE74-D07F-4DF0-B483-6515E31501D8}" type="presOf" srcId="{D460D018-736B-4CE5-A14B-061F8EFE829B}" destId="{5AF8D9AC-0C15-4D1B-BCD3-7FFCFF0A581D}" srcOrd="0" destOrd="0" presId="urn:microsoft.com/office/officeart/2005/8/layout/radial1"/>
    <dgm:cxn modelId="{C7DD68AE-99B2-4937-A127-D654A2E99784}" srcId="{A7516A72-1FC0-46ED-AAC4-AF0F7063F737}" destId="{DB0D84B1-C440-4746-9EEF-F1ED71D64DD2}" srcOrd="3" destOrd="0" parTransId="{9E510621-404D-46D6-8EB3-39712C8626D4}" sibTransId="{99C4878C-8523-40E3-93C5-8DC55D31DB77}"/>
    <dgm:cxn modelId="{D65EA22E-A959-414E-9DBA-186E68BAB489}" type="presOf" srcId="{DEF73824-C893-4963-9504-7E97D2FF5253}" destId="{FCC14444-D5E7-4E9C-B980-A27CD799E442}" srcOrd="0" destOrd="0" presId="urn:microsoft.com/office/officeart/2005/8/layout/radial1"/>
    <dgm:cxn modelId="{E5DD3C3F-F401-46C8-9D1F-CEE8478EFA81}" srcId="{A7516A72-1FC0-46ED-AAC4-AF0F7063F737}" destId="{2628F477-2289-4CEE-9618-96DDAFCD4291}" srcOrd="6" destOrd="0" parTransId="{DEF73824-C893-4963-9504-7E97D2FF5253}" sibTransId="{6D6ABE48-6FEB-4EAA-849C-585AC08FCF5B}"/>
    <dgm:cxn modelId="{162391BA-7B63-4372-A9D7-491AE4237903}" type="presOf" srcId="{BA28F4A6-AD16-499D-88C1-DBE004B28175}" destId="{B06AADB2-5D51-41DC-8677-C0CC2357518B}" srcOrd="1" destOrd="0" presId="urn:microsoft.com/office/officeart/2005/8/layout/radial1"/>
    <dgm:cxn modelId="{ED64D71E-77CE-43B9-8506-DD0BF8DDD66F}" type="presOf" srcId="{AD80D2A2-2CDC-439E-8A80-49FDDE50F566}" destId="{5DC5D51E-945B-4CCC-B580-737CA66D42E3}" srcOrd="0" destOrd="0" presId="urn:microsoft.com/office/officeart/2005/8/layout/radial1"/>
    <dgm:cxn modelId="{3CF524CA-F866-42C0-AF12-6E041851011A}" type="presOf" srcId="{DEF73824-C893-4963-9504-7E97D2FF5253}" destId="{3EA6B60F-F2E8-4D48-9EC1-CAAE09243949}" srcOrd="1" destOrd="0" presId="urn:microsoft.com/office/officeart/2005/8/layout/radial1"/>
    <dgm:cxn modelId="{2CEEA303-9EEE-4807-9239-76D0C598DD4E}" type="presOf" srcId="{3869496C-0E19-4CE4-AC4D-8E2619BF9D68}" destId="{26661F75-1D9F-48E2-8FB0-82462D91AB89}" srcOrd="0" destOrd="0" presId="urn:microsoft.com/office/officeart/2005/8/layout/radial1"/>
    <dgm:cxn modelId="{FF6FC044-AFC5-4213-ADE3-39BF59B23172}" type="presOf" srcId="{898446A3-EA8C-4C13-8A65-DF8A110D0838}" destId="{D9366F31-B7D7-4B43-830C-AD5E2193A794}" srcOrd="0" destOrd="0" presId="urn:microsoft.com/office/officeart/2005/8/layout/radial1"/>
    <dgm:cxn modelId="{0DE15192-F331-42F6-87AC-BCAFE6541E89}" type="presOf" srcId="{44FBC2E2-D754-42C1-BEE4-690296442511}" destId="{402B25BB-F397-46B5-AAB7-C38C2276BF82}" srcOrd="0" destOrd="0" presId="urn:microsoft.com/office/officeart/2005/8/layout/radial1"/>
    <dgm:cxn modelId="{485FF0CA-A480-488F-A1C3-96506BFCF01E}" type="presOf" srcId="{3F89048A-3F9F-4897-8631-4599F4976029}" destId="{4DF1B0BE-A63A-4BEA-9EE5-4168481CC99E}" srcOrd="0" destOrd="0" presId="urn:microsoft.com/office/officeart/2005/8/layout/radial1"/>
    <dgm:cxn modelId="{E980E63D-1C16-4CA9-A313-F3BD7B751646}" type="presOf" srcId="{2F72DDEE-62D3-48A5-836A-4C87596541F0}" destId="{280B3AB5-4999-4B99-8BE9-E09C9DF5D482}" srcOrd="1" destOrd="0" presId="urn:microsoft.com/office/officeart/2005/8/layout/radial1"/>
    <dgm:cxn modelId="{3138FD81-FCE3-4020-9313-BAD8BCAF820B}" srcId="{A7516A72-1FC0-46ED-AAC4-AF0F7063F737}" destId="{14602118-D739-48CC-85E0-791974AFA995}" srcOrd="4" destOrd="0" parTransId="{3F89048A-3F9F-4897-8631-4599F4976029}" sibTransId="{85730AA2-ED16-41DB-9898-B2A63ECD874D}"/>
    <dgm:cxn modelId="{59C1A3A3-6BF3-441A-914D-2B73A1CA5055}" type="presOf" srcId="{2F72DDEE-62D3-48A5-836A-4C87596541F0}" destId="{7B59CB2C-C82F-41EE-B3CF-ADD4878ADBA6}" srcOrd="0" destOrd="0" presId="urn:microsoft.com/office/officeart/2005/8/layout/radial1"/>
    <dgm:cxn modelId="{1897181C-3284-46CA-B9B6-2000C31E04F9}" type="presOf" srcId="{B4A5C031-92B2-438E-80BC-EAA05F5C7CF7}" destId="{A140118B-14B1-45A7-9CF9-17E4D006F84D}" srcOrd="1"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36ADC165-6A4E-4510-BDEE-414E7D9F68A0}" type="presOf" srcId="{3F89048A-3F9F-4897-8631-4599F4976029}" destId="{32B4D7AF-BD29-4AC4-BA11-37F2AE9561F4}" srcOrd="1" destOrd="0" presId="urn:microsoft.com/office/officeart/2005/8/layout/radial1"/>
    <dgm:cxn modelId="{D8CDA1EB-FA00-4BB6-B51A-9105673857A1}" type="presParOf" srcId="{9D8B49BD-1DF7-4888-9A7E-2CFD4320CC2B}" destId="{493DA7EC-5D69-41B7-92E4-ED7ED9F48883}" srcOrd="0" destOrd="0" presId="urn:microsoft.com/office/officeart/2005/8/layout/radial1"/>
    <dgm:cxn modelId="{7449D18B-DE10-49FE-A265-76AC6F2B8046}" type="presParOf" srcId="{9D8B49BD-1DF7-4888-9A7E-2CFD4320CC2B}" destId="{E6ACA703-0949-41B3-BE6B-C702E5C7275F}" srcOrd="1" destOrd="0" presId="urn:microsoft.com/office/officeart/2005/8/layout/radial1"/>
    <dgm:cxn modelId="{2A6A7B58-76D6-43ED-8E7E-642511A48EBC}" type="presParOf" srcId="{E6ACA703-0949-41B3-BE6B-C702E5C7275F}" destId="{B06AADB2-5D51-41DC-8677-C0CC2357518B}" srcOrd="0" destOrd="0" presId="urn:microsoft.com/office/officeart/2005/8/layout/radial1"/>
    <dgm:cxn modelId="{3805FE43-81FC-49AB-A273-43A85AA23BDE}" type="presParOf" srcId="{9D8B49BD-1DF7-4888-9A7E-2CFD4320CC2B}" destId="{AFD0CC05-9AD4-4A51-8739-4FB4CA1E4ACE}" srcOrd="2" destOrd="0" presId="urn:microsoft.com/office/officeart/2005/8/layout/radial1"/>
    <dgm:cxn modelId="{58D28670-9C48-47CB-9EED-4E39B2E88ACF}" type="presParOf" srcId="{9D8B49BD-1DF7-4888-9A7E-2CFD4320CC2B}" destId="{34515D96-C834-4D67-AF5C-3B293601CBC3}" srcOrd="3" destOrd="0" presId="urn:microsoft.com/office/officeart/2005/8/layout/radial1"/>
    <dgm:cxn modelId="{FB1A0D48-89E3-4082-B15D-5CAA1AF0E9B1}" type="presParOf" srcId="{34515D96-C834-4D67-AF5C-3B293601CBC3}" destId="{A8CF68B1-7D91-429E-8C8D-53007288E1DC}" srcOrd="0" destOrd="0" presId="urn:microsoft.com/office/officeart/2005/8/layout/radial1"/>
    <dgm:cxn modelId="{9A7C37E3-70CA-4412-A949-519DA4F669B6}" type="presParOf" srcId="{9D8B49BD-1DF7-4888-9A7E-2CFD4320CC2B}" destId="{D9366F31-B7D7-4B43-830C-AD5E2193A794}" srcOrd="4" destOrd="0" presId="urn:microsoft.com/office/officeart/2005/8/layout/radial1"/>
    <dgm:cxn modelId="{1E9526F4-6F13-4C41-921F-8F55B400C4B9}" type="presParOf" srcId="{9D8B49BD-1DF7-4888-9A7E-2CFD4320CC2B}" destId="{5CF8296B-0142-429D-A71A-20799D2EB74B}" srcOrd="5" destOrd="0" presId="urn:microsoft.com/office/officeart/2005/8/layout/radial1"/>
    <dgm:cxn modelId="{6A46B4CF-C6D0-410B-8C1E-599F7EB2BD6F}" type="presParOf" srcId="{5CF8296B-0142-429D-A71A-20799D2EB74B}" destId="{48797E66-4F8B-4B79-BCA7-6F88E85CF835}" srcOrd="0" destOrd="0" presId="urn:microsoft.com/office/officeart/2005/8/layout/radial1"/>
    <dgm:cxn modelId="{9F9955DD-EB0E-4367-8A7E-80832C1F6FBA}" type="presParOf" srcId="{9D8B49BD-1DF7-4888-9A7E-2CFD4320CC2B}" destId="{7E7DDE23-6C04-407D-AAB6-669511EA704E}" srcOrd="6" destOrd="0" presId="urn:microsoft.com/office/officeart/2005/8/layout/radial1"/>
    <dgm:cxn modelId="{99607EAC-F451-4BA1-ABDF-185074E5FE4F}" type="presParOf" srcId="{9D8B49BD-1DF7-4888-9A7E-2CFD4320CC2B}" destId="{DC281168-2DBC-4CFB-B21D-C54E9628B383}" srcOrd="7" destOrd="0" presId="urn:microsoft.com/office/officeart/2005/8/layout/radial1"/>
    <dgm:cxn modelId="{8E88D427-2E19-4023-BD91-20954F3DFB1E}" type="presParOf" srcId="{DC281168-2DBC-4CFB-B21D-C54E9628B383}" destId="{0D3BFC0A-5ED4-4CCF-A336-A529B3363890}" srcOrd="0" destOrd="0" presId="urn:microsoft.com/office/officeart/2005/8/layout/radial1"/>
    <dgm:cxn modelId="{74FE2C99-4113-4BFE-A507-0621EE0CA911}" type="presParOf" srcId="{9D8B49BD-1DF7-4888-9A7E-2CFD4320CC2B}" destId="{66DADE40-99AE-41BE-B997-129EED231064}" srcOrd="8" destOrd="0" presId="urn:microsoft.com/office/officeart/2005/8/layout/radial1"/>
    <dgm:cxn modelId="{DADEE3F6-A80C-422D-A29A-4EBE955C3417}" type="presParOf" srcId="{9D8B49BD-1DF7-4888-9A7E-2CFD4320CC2B}" destId="{4DF1B0BE-A63A-4BEA-9EE5-4168481CC99E}" srcOrd="9" destOrd="0" presId="urn:microsoft.com/office/officeart/2005/8/layout/radial1"/>
    <dgm:cxn modelId="{C00A0BF7-8876-4AE8-8F6A-78FBBA7A8EEA}" type="presParOf" srcId="{4DF1B0BE-A63A-4BEA-9EE5-4168481CC99E}" destId="{32B4D7AF-BD29-4AC4-BA11-37F2AE9561F4}" srcOrd="0" destOrd="0" presId="urn:microsoft.com/office/officeart/2005/8/layout/radial1"/>
    <dgm:cxn modelId="{FA69B5B0-8B10-489D-9FB2-A58D9BA42D15}" type="presParOf" srcId="{9D8B49BD-1DF7-4888-9A7E-2CFD4320CC2B}" destId="{DB594876-4070-4577-942D-67F5CD4D6A19}" srcOrd="10" destOrd="0" presId="urn:microsoft.com/office/officeart/2005/8/layout/radial1"/>
    <dgm:cxn modelId="{9859E8DA-B33B-4E36-969E-9CF94D1D13B7}" type="presParOf" srcId="{9D8B49BD-1DF7-4888-9A7E-2CFD4320CC2B}" destId="{E49C447F-3477-4311-B10B-FFFA7DE7209F}" srcOrd="11" destOrd="0" presId="urn:microsoft.com/office/officeart/2005/8/layout/radial1"/>
    <dgm:cxn modelId="{8FEBCC0F-65B5-4ADE-A250-15E00C1B027D}" type="presParOf" srcId="{E49C447F-3477-4311-B10B-FFFA7DE7209F}" destId="{B930024E-8665-4782-9C41-36517A71FCD4}" srcOrd="0" destOrd="0" presId="urn:microsoft.com/office/officeart/2005/8/layout/radial1"/>
    <dgm:cxn modelId="{3BD4E307-F830-43FD-87E4-AF6F81B4B6CE}" type="presParOf" srcId="{9D8B49BD-1DF7-4888-9A7E-2CFD4320CC2B}" destId="{69F18085-0AC3-4BAE-9B16-F8478FFBD61E}" srcOrd="12" destOrd="0" presId="urn:microsoft.com/office/officeart/2005/8/layout/radial1"/>
    <dgm:cxn modelId="{8E56D580-1C52-4232-B43B-A3A0C7535CA1}" type="presParOf" srcId="{9D8B49BD-1DF7-4888-9A7E-2CFD4320CC2B}" destId="{FCC14444-D5E7-4E9C-B980-A27CD799E442}" srcOrd="13" destOrd="0" presId="urn:microsoft.com/office/officeart/2005/8/layout/radial1"/>
    <dgm:cxn modelId="{BF12BD84-DA7D-40E2-9C62-0EE0DE7F9DF8}" type="presParOf" srcId="{FCC14444-D5E7-4E9C-B980-A27CD799E442}" destId="{3EA6B60F-F2E8-4D48-9EC1-CAAE09243949}" srcOrd="0" destOrd="0" presId="urn:microsoft.com/office/officeart/2005/8/layout/radial1"/>
    <dgm:cxn modelId="{5349E2A6-4DAA-4D3E-AA93-2E8F17A03831}" type="presParOf" srcId="{9D8B49BD-1DF7-4888-9A7E-2CFD4320CC2B}" destId="{49C45DFA-0A15-4DAA-80DC-CAE4ABCC6B43}" srcOrd="14" destOrd="0" presId="urn:microsoft.com/office/officeart/2005/8/layout/radial1"/>
    <dgm:cxn modelId="{52A7A0B6-442B-40A0-9B0A-84B2F9E78DE5}" type="presParOf" srcId="{9D8B49BD-1DF7-4888-9A7E-2CFD4320CC2B}" destId="{7B59CB2C-C82F-41EE-B3CF-ADD4878ADBA6}" srcOrd="15" destOrd="0" presId="urn:microsoft.com/office/officeart/2005/8/layout/radial1"/>
    <dgm:cxn modelId="{942F79AB-8014-4520-B989-AAAC778B95F4}" type="presParOf" srcId="{7B59CB2C-C82F-41EE-B3CF-ADD4878ADBA6}" destId="{280B3AB5-4999-4B99-8BE9-E09C9DF5D482}" srcOrd="0" destOrd="0" presId="urn:microsoft.com/office/officeart/2005/8/layout/radial1"/>
    <dgm:cxn modelId="{F15425AC-BD84-490B-81B9-D77F2E977348}" type="presParOf" srcId="{9D8B49BD-1DF7-4888-9A7E-2CFD4320CC2B}" destId="{402B25BB-F397-46B5-AAB7-C38C2276BF82}" srcOrd="16" destOrd="0" presId="urn:microsoft.com/office/officeart/2005/8/layout/radial1"/>
    <dgm:cxn modelId="{CBC48DA8-02A8-4460-801F-6C61622E7BB4}" type="presParOf" srcId="{9D8B49BD-1DF7-4888-9A7E-2CFD4320CC2B}" destId="{EFB9CB5A-411C-454B-96B1-9ED988829CBE}" srcOrd="17" destOrd="0" presId="urn:microsoft.com/office/officeart/2005/8/layout/radial1"/>
    <dgm:cxn modelId="{6BB50E53-48D1-4DFB-9E4E-1F2BD9C54B4C}" type="presParOf" srcId="{EFB9CB5A-411C-454B-96B1-9ED988829CBE}" destId="{A140118B-14B1-45A7-9CF9-17E4D006F84D}" srcOrd="0" destOrd="0" presId="urn:microsoft.com/office/officeart/2005/8/layout/radial1"/>
    <dgm:cxn modelId="{79ECE2A4-172C-4D01-B1DF-B414778802E8}" type="presParOf" srcId="{9D8B49BD-1DF7-4888-9A7E-2CFD4320CC2B}" destId="{5AF8D9AC-0C15-4D1B-BCD3-7FFCFF0A581D}" srcOrd="18" destOrd="0" presId="urn:microsoft.com/office/officeart/2005/8/layout/radial1"/>
    <dgm:cxn modelId="{8AF67AF6-3BC7-44D5-A5D9-F3E706992AE6}" type="presParOf" srcId="{9D8B49BD-1DF7-4888-9A7E-2CFD4320CC2B}" destId="{5DC5D51E-945B-4CCC-B580-737CA66D42E3}" srcOrd="19" destOrd="0" presId="urn:microsoft.com/office/officeart/2005/8/layout/radial1"/>
    <dgm:cxn modelId="{3B6D198F-2D82-40D2-B0C9-11B29C729461}" type="presParOf" srcId="{5DC5D51E-945B-4CCC-B580-737CA66D42E3}" destId="{653D05C2-436A-4268-A4B1-DA090CACDDFB}" srcOrd="0" destOrd="0" presId="urn:microsoft.com/office/officeart/2005/8/layout/radial1"/>
    <dgm:cxn modelId="{0B03EEE5-1D4B-40A3-A79F-CC70690F9810}" type="presParOf" srcId="{9D8B49BD-1DF7-4888-9A7E-2CFD4320CC2B}" destId="{26661F75-1D9F-48E2-8FB0-82462D91AB89}" srcOrd="20" destOrd="0" presId="urn:microsoft.com/office/officeart/2005/8/layout/radial1"/>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D173F-A40A-406A-BA41-067F590F5B00}">
      <dsp:nvSpPr>
        <dsp:cNvPr id="0" name=""/>
        <dsp:cNvSpPr/>
      </dsp:nvSpPr>
      <dsp:spPr>
        <a:xfrm>
          <a:off x="2436106" y="805810"/>
          <a:ext cx="1028490" cy="47871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86725" y="875916"/>
        <a:ext cx="727252" cy="338500"/>
      </dsp:txXfrm>
    </dsp:sp>
    <dsp:sp modelId="{2E00D982-49D5-455F-888E-68E4C81A2365}">
      <dsp:nvSpPr>
        <dsp:cNvPr id="0" name=""/>
        <dsp:cNvSpPr/>
      </dsp:nvSpPr>
      <dsp:spPr>
        <a:xfrm rot="16200000">
          <a:off x="2782625" y="630836"/>
          <a:ext cx="335451" cy="14497"/>
        </a:xfrm>
        <a:custGeom>
          <a:avLst/>
          <a:gdLst/>
          <a:ahLst/>
          <a:cxnLst/>
          <a:rect l="0" t="0" r="0" b="0"/>
          <a:pathLst>
            <a:path>
              <a:moveTo>
                <a:pt x="0" y="7259"/>
              </a:moveTo>
              <a:lnTo>
                <a:pt x="355250"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2941964" y="629698"/>
        <a:ext cx="16772" cy="16772"/>
      </dsp:txXfrm>
    </dsp:sp>
    <dsp:sp modelId="{44473C27-A9A3-4167-AEAF-A01C156E33F0}">
      <dsp:nvSpPr>
        <dsp:cNvPr id="0" name=""/>
        <dsp:cNvSpPr/>
      </dsp:nvSpPr>
      <dsp:spPr>
        <a:xfrm>
          <a:off x="2493170" y="-8353"/>
          <a:ext cx="914360" cy="47871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27075" y="61753"/>
        <a:ext cx="646550" cy="338500"/>
      </dsp:txXfrm>
    </dsp:sp>
    <dsp:sp modelId="{3FE6E2C5-0D84-4EA6-8A7C-D44D396A169E}">
      <dsp:nvSpPr>
        <dsp:cNvPr id="0" name=""/>
        <dsp:cNvSpPr/>
      </dsp:nvSpPr>
      <dsp:spPr>
        <a:xfrm rot="19792485">
          <a:off x="3255813" y="790617"/>
          <a:ext cx="241442" cy="14497"/>
        </a:xfrm>
        <a:custGeom>
          <a:avLst/>
          <a:gdLst/>
          <a:ahLst/>
          <a:cxnLst/>
          <a:rect l="0" t="0" r="0" b="0"/>
          <a:pathLst>
            <a:path>
              <a:moveTo>
                <a:pt x="0" y="7259"/>
              </a:moveTo>
              <a:lnTo>
                <a:pt x="255651"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3370498" y="791830"/>
        <a:ext cx="12072" cy="12072"/>
      </dsp:txXfrm>
    </dsp:sp>
    <dsp:sp modelId="{5F1C34CD-B8DF-45F7-A431-2126D61FFACC}">
      <dsp:nvSpPr>
        <dsp:cNvPr id="0" name=""/>
        <dsp:cNvSpPr/>
      </dsp:nvSpPr>
      <dsp:spPr>
        <a:xfrm>
          <a:off x="3343092" y="308810"/>
          <a:ext cx="894896" cy="4976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474146" y="381688"/>
        <a:ext cx="632788" cy="351885"/>
      </dsp:txXfrm>
    </dsp:sp>
    <dsp:sp modelId="{93B3BE9E-D237-4DD9-937C-973455BC3658}">
      <dsp:nvSpPr>
        <dsp:cNvPr id="0" name=""/>
        <dsp:cNvSpPr/>
      </dsp:nvSpPr>
      <dsp:spPr>
        <a:xfrm rot="13">
          <a:off x="3464596" y="1037921"/>
          <a:ext cx="998832" cy="14497"/>
        </a:xfrm>
        <a:custGeom>
          <a:avLst/>
          <a:gdLst/>
          <a:ahLst/>
          <a:cxnLst/>
          <a:rect l="0" t="0" r="0" b="0"/>
          <a:pathLst>
            <a:path>
              <a:moveTo>
                <a:pt x="0" y="7259"/>
              </a:moveTo>
              <a:lnTo>
                <a:pt x="1061555"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3939042" y="1020199"/>
        <a:ext cx="49941" cy="49941"/>
      </dsp:txXfrm>
    </dsp:sp>
    <dsp:sp modelId="{3A26272E-8DBD-422F-ABA2-A3DA0C9B3C69}">
      <dsp:nvSpPr>
        <dsp:cNvPr id="0" name=""/>
        <dsp:cNvSpPr/>
      </dsp:nvSpPr>
      <dsp:spPr>
        <a:xfrm>
          <a:off x="4463429" y="777105"/>
          <a:ext cx="1134530" cy="53613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629577" y="855621"/>
        <a:ext cx="802234" cy="379107"/>
      </dsp:txXfrm>
    </dsp:sp>
    <dsp:sp modelId="{7F30A5E4-3531-49F3-AC3C-8F1D2236451A}">
      <dsp:nvSpPr>
        <dsp:cNvPr id="0" name=""/>
        <dsp:cNvSpPr/>
      </dsp:nvSpPr>
      <dsp:spPr>
        <a:xfrm rot="1548004">
          <a:off x="3291069" y="1280019"/>
          <a:ext cx="320180" cy="14497"/>
        </a:xfrm>
        <a:custGeom>
          <a:avLst/>
          <a:gdLst/>
          <a:ahLst/>
          <a:cxnLst/>
          <a:rect l="0" t="0" r="0" b="0"/>
          <a:pathLst>
            <a:path>
              <a:moveTo>
                <a:pt x="0" y="7259"/>
              </a:moveTo>
              <a:lnTo>
                <a:pt x="339042"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3443155" y="1279263"/>
        <a:ext cx="16009" cy="16009"/>
      </dsp:txXfrm>
    </dsp:sp>
    <dsp:sp modelId="{E01DCF12-19AC-4734-9210-5F881573D3F5}">
      <dsp:nvSpPr>
        <dsp:cNvPr id="0" name=""/>
        <dsp:cNvSpPr/>
      </dsp:nvSpPr>
      <dsp:spPr>
        <a:xfrm>
          <a:off x="3436946" y="1287726"/>
          <a:ext cx="1043838" cy="4899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589813" y="1359478"/>
        <a:ext cx="738104" cy="346448"/>
      </dsp:txXfrm>
    </dsp:sp>
    <dsp:sp modelId="{9350C245-A165-4791-BD7A-BFCED0BB0361}">
      <dsp:nvSpPr>
        <dsp:cNvPr id="0" name=""/>
        <dsp:cNvSpPr/>
      </dsp:nvSpPr>
      <dsp:spPr>
        <a:xfrm rot="5400000">
          <a:off x="2799813" y="1427811"/>
          <a:ext cx="301074" cy="14497"/>
        </a:xfrm>
        <a:custGeom>
          <a:avLst/>
          <a:gdLst/>
          <a:ahLst/>
          <a:cxnLst/>
          <a:rect l="0" t="0" r="0" b="0"/>
          <a:pathLst>
            <a:path>
              <a:moveTo>
                <a:pt x="0" y="7259"/>
              </a:moveTo>
              <a:lnTo>
                <a:pt x="327479"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2942824" y="1427533"/>
        <a:ext cx="15053" cy="15053"/>
      </dsp:txXfrm>
    </dsp:sp>
    <dsp:sp modelId="{C7416AF2-49A6-451C-80C3-A5143C86D045}">
      <dsp:nvSpPr>
        <dsp:cNvPr id="0" name=""/>
        <dsp:cNvSpPr/>
      </dsp:nvSpPr>
      <dsp:spPr>
        <a:xfrm>
          <a:off x="2424834" y="1585597"/>
          <a:ext cx="1051033" cy="5474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78754" y="1665771"/>
        <a:ext cx="743193" cy="387117"/>
      </dsp:txXfrm>
    </dsp:sp>
    <dsp:sp modelId="{2A6DC4FF-B426-4171-A201-27B83DA94370}">
      <dsp:nvSpPr>
        <dsp:cNvPr id="0" name=""/>
        <dsp:cNvSpPr/>
      </dsp:nvSpPr>
      <dsp:spPr>
        <a:xfrm rot="9410013">
          <a:off x="2311704" y="1253218"/>
          <a:ext cx="270999" cy="14497"/>
        </a:xfrm>
        <a:custGeom>
          <a:avLst/>
          <a:gdLst/>
          <a:ahLst/>
          <a:cxnLst/>
          <a:rect l="0" t="0" r="0" b="0"/>
          <a:pathLst>
            <a:path>
              <a:moveTo>
                <a:pt x="0" y="7259"/>
              </a:moveTo>
              <a:lnTo>
                <a:pt x="328427"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rot="10800000">
        <a:off x="2440428" y="1253692"/>
        <a:ext cx="13549" cy="13549"/>
      </dsp:txXfrm>
    </dsp:sp>
    <dsp:sp modelId="{353BAFE4-0977-4589-9534-7471241857D7}">
      <dsp:nvSpPr>
        <dsp:cNvPr id="0" name=""/>
        <dsp:cNvSpPr/>
      </dsp:nvSpPr>
      <dsp:spPr>
        <a:xfrm>
          <a:off x="1316830" y="1209211"/>
          <a:ext cx="1138192" cy="58286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483514" y="1294569"/>
        <a:ext cx="804824" cy="412145"/>
      </dsp:txXfrm>
    </dsp:sp>
    <dsp:sp modelId="{D3C62D02-BD66-40AA-8598-E6F03FA4330E}">
      <dsp:nvSpPr>
        <dsp:cNvPr id="0" name=""/>
        <dsp:cNvSpPr/>
      </dsp:nvSpPr>
      <dsp:spPr>
        <a:xfrm rot="10800000">
          <a:off x="1353520" y="1037917"/>
          <a:ext cx="1082585" cy="14497"/>
        </a:xfrm>
        <a:custGeom>
          <a:avLst/>
          <a:gdLst/>
          <a:ahLst/>
          <a:cxnLst/>
          <a:rect l="0" t="0" r="0" b="0"/>
          <a:pathLst>
            <a:path>
              <a:moveTo>
                <a:pt x="0" y="7259"/>
              </a:moveTo>
              <a:lnTo>
                <a:pt x="1146536"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rot="10800000">
        <a:off x="1867748" y="1018102"/>
        <a:ext cx="54129" cy="54129"/>
      </dsp:txXfrm>
    </dsp:sp>
    <dsp:sp modelId="{694C81C6-3E54-45BC-9ED9-5944CBD672A7}">
      <dsp:nvSpPr>
        <dsp:cNvPr id="0" name=""/>
        <dsp:cNvSpPr/>
      </dsp:nvSpPr>
      <dsp:spPr>
        <a:xfrm>
          <a:off x="304785" y="760059"/>
          <a:ext cx="1048735" cy="57021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التحديات العالمية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8369" y="843565"/>
        <a:ext cx="741567" cy="403201"/>
      </dsp:txXfrm>
    </dsp:sp>
    <dsp:sp modelId="{98E66AFE-BCED-48F2-B78A-230BF42B9FFC}">
      <dsp:nvSpPr>
        <dsp:cNvPr id="0" name=""/>
        <dsp:cNvSpPr/>
      </dsp:nvSpPr>
      <dsp:spPr>
        <a:xfrm rot="12476106">
          <a:off x="2415621" y="809409"/>
          <a:ext cx="207581" cy="14497"/>
        </a:xfrm>
        <a:custGeom>
          <a:avLst/>
          <a:gdLst/>
          <a:ahLst/>
          <a:cxnLst/>
          <a:rect l="0" t="0" r="0" b="0"/>
          <a:pathLst>
            <a:path>
              <a:moveTo>
                <a:pt x="0" y="7259"/>
              </a:moveTo>
              <a:lnTo>
                <a:pt x="219777"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rot="10800000">
        <a:off x="2514222" y="811468"/>
        <a:ext cx="10379" cy="10379"/>
      </dsp:txXfrm>
    </dsp:sp>
    <dsp:sp modelId="{A8CAB3F2-A4A1-434C-9CB4-641DE8526482}">
      <dsp:nvSpPr>
        <dsp:cNvPr id="0" name=""/>
        <dsp:cNvSpPr/>
      </dsp:nvSpPr>
      <dsp:spPr>
        <a:xfrm>
          <a:off x="1495271" y="284920"/>
          <a:ext cx="1101532" cy="56145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656587" y="367143"/>
        <a:ext cx="778900" cy="39700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440272" y="1149976"/>
          <a:ext cx="1132791" cy="35995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06165" y="1202690"/>
        <a:ext cx="801005" cy="254523"/>
      </dsp:txXfrm>
    </dsp:sp>
    <dsp:sp modelId="{E6ACA703-0949-41B3-BE6B-C702E5C7275F}">
      <dsp:nvSpPr>
        <dsp:cNvPr id="0" name=""/>
        <dsp:cNvSpPr/>
      </dsp:nvSpPr>
      <dsp:spPr>
        <a:xfrm rot="16175284">
          <a:off x="2618684" y="759670"/>
          <a:ext cx="767857" cy="12775"/>
        </a:xfrm>
        <a:custGeom>
          <a:avLst/>
          <a:gdLst/>
          <a:ahLst/>
          <a:cxnLst/>
          <a:rect l="0" t="0" r="0" b="0"/>
          <a:pathLst>
            <a:path>
              <a:moveTo>
                <a:pt x="0" y="6387"/>
              </a:moveTo>
              <a:lnTo>
                <a:pt x="76837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3417" y="746861"/>
        <a:ext cx="38392" cy="38392"/>
      </dsp:txXfrm>
    </dsp:sp>
    <dsp:sp modelId="{AFD0CC05-9AD4-4A51-8739-4FB4CA1E4ACE}">
      <dsp:nvSpPr>
        <dsp:cNvPr id="0" name=""/>
        <dsp:cNvSpPr/>
      </dsp:nvSpPr>
      <dsp:spPr>
        <a:xfrm>
          <a:off x="2548468" y="-15517"/>
          <a:ext cx="899910" cy="3976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ابراءات</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80257" y="42718"/>
        <a:ext cx="636332" cy="281186"/>
      </dsp:txXfrm>
    </dsp:sp>
    <dsp:sp modelId="{34515D96-C834-4D67-AF5C-3B293601CBC3}">
      <dsp:nvSpPr>
        <dsp:cNvPr id="0" name=""/>
        <dsp:cNvSpPr/>
      </dsp:nvSpPr>
      <dsp:spPr>
        <a:xfrm rot="18719785">
          <a:off x="3021423" y="833806"/>
          <a:ext cx="852339" cy="12775"/>
        </a:xfrm>
        <a:custGeom>
          <a:avLst/>
          <a:gdLst/>
          <a:ahLst/>
          <a:cxnLst/>
          <a:rect l="0" t="0" r="0" b="0"/>
          <a:pathLst>
            <a:path>
              <a:moveTo>
                <a:pt x="0" y="6387"/>
              </a:moveTo>
              <a:lnTo>
                <a:pt x="92195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26284" y="818885"/>
        <a:ext cx="42616" cy="42616"/>
      </dsp:txXfrm>
    </dsp:sp>
    <dsp:sp modelId="{D9366F31-B7D7-4B43-830C-AD5E2193A794}">
      <dsp:nvSpPr>
        <dsp:cNvPr id="0" name=""/>
        <dsp:cNvSpPr/>
      </dsp:nvSpPr>
      <dsp:spPr>
        <a:xfrm>
          <a:off x="3452385" y="0"/>
          <a:ext cx="1006289" cy="55200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599753" y="80839"/>
        <a:ext cx="711553" cy="390325"/>
      </dsp:txXfrm>
    </dsp:sp>
    <dsp:sp modelId="{3F0F15B6-4D5A-493B-B03E-AE8141DC3DCE}">
      <dsp:nvSpPr>
        <dsp:cNvPr id="0" name=""/>
        <dsp:cNvSpPr/>
      </dsp:nvSpPr>
      <dsp:spPr>
        <a:xfrm rot="19962579">
          <a:off x="3224773" y="845227"/>
          <a:ext cx="1418077" cy="12775"/>
        </a:xfrm>
        <a:custGeom>
          <a:avLst/>
          <a:gdLst/>
          <a:ahLst/>
          <a:cxnLst/>
          <a:rect l="0" t="0" r="0" b="0"/>
          <a:pathLst>
            <a:path>
              <a:moveTo>
                <a:pt x="0" y="6387"/>
              </a:moveTo>
              <a:lnTo>
                <a:pt x="141903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98359" y="816163"/>
        <a:ext cx="70903" cy="70903"/>
      </dsp:txXfrm>
    </dsp:sp>
    <dsp:sp modelId="{ECD2D13D-466C-468B-BD6C-1B646D8E5B8E}">
      <dsp:nvSpPr>
        <dsp:cNvPr id="0" name=""/>
        <dsp:cNvSpPr/>
      </dsp:nvSpPr>
      <dsp:spPr>
        <a:xfrm>
          <a:off x="4413701" y="153997"/>
          <a:ext cx="915032" cy="42797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47704" y="216672"/>
        <a:ext cx="647026" cy="302622"/>
      </dsp:txXfrm>
    </dsp:sp>
    <dsp:sp modelId="{5CF8296B-0142-429D-A71A-20799D2EB74B}">
      <dsp:nvSpPr>
        <dsp:cNvPr id="0" name=""/>
        <dsp:cNvSpPr/>
      </dsp:nvSpPr>
      <dsp:spPr>
        <a:xfrm rot="20836922">
          <a:off x="3452515" y="1076448"/>
          <a:ext cx="1298179" cy="12775"/>
        </a:xfrm>
        <a:custGeom>
          <a:avLst/>
          <a:gdLst/>
          <a:ahLst/>
          <a:cxnLst/>
          <a:rect l="0" t="0" r="0" b="0"/>
          <a:pathLst>
            <a:path>
              <a:moveTo>
                <a:pt x="0" y="6387"/>
              </a:moveTo>
              <a:lnTo>
                <a:pt x="1299059"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69150" y="1050382"/>
        <a:ext cx="64908" cy="64908"/>
      </dsp:txXfrm>
    </dsp:sp>
    <dsp:sp modelId="{7E7DDE23-6C04-407D-AAB6-669511EA704E}">
      <dsp:nvSpPr>
        <dsp:cNvPr id="0" name=""/>
        <dsp:cNvSpPr/>
      </dsp:nvSpPr>
      <dsp:spPr>
        <a:xfrm>
          <a:off x="4646098" y="597571"/>
          <a:ext cx="1215440" cy="4504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المعارف التقليدية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824095" y="663537"/>
        <a:ext cx="859446" cy="318514"/>
      </dsp:txXfrm>
    </dsp:sp>
    <dsp:sp modelId="{DC281168-2DBC-4CFB-B21D-C54E9628B383}">
      <dsp:nvSpPr>
        <dsp:cNvPr id="0" name=""/>
        <dsp:cNvSpPr/>
      </dsp:nvSpPr>
      <dsp:spPr>
        <a:xfrm rot="78616">
          <a:off x="3571433" y="1351212"/>
          <a:ext cx="1288039" cy="12775"/>
        </a:xfrm>
        <a:custGeom>
          <a:avLst/>
          <a:gdLst/>
          <a:ahLst/>
          <a:cxnLst/>
          <a:rect l="0" t="0" r="0" b="0"/>
          <a:pathLst>
            <a:path>
              <a:moveTo>
                <a:pt x="0" y="6387"/>
              </a:moveTo>
              <a:lnTo>
                <a:pt x="131201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83252" y="1325398"/>
        <a:ext cx="64401" cy="64401"/>
      </dsp:txXfrm>
    </dsp:sp>
    <dsp:sp modelId="{66DADE40-99AE-41BE-B997-129EED231064}">
      <dsp:nvSpPr>
        <dsp:cNvPr id="0" name=""/>
        <dsp:cNvSpPr/>
      </dsp:nvSpPr>
      <dsp:spPr>
        <a:xfrm>
          <a:off x="4858636" y="1185346"/>
          <a:ext cx="927898" cy="3951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994524" y="1243215"/>
        <a:ext cx="656122" cy="279414"/>
      </dsp:txXfrm>
    </dsp:sp>
    <dsp:sp modelId="{4DF1B0BE-A63A-4BEA-9EE5-4168481CC99E}">
      <dsp:nvSpPr>
        <dsp:cNvPr id="0" name=""/>
        <dsp:cNvSpPr/>
      </dsp:nvSpPr>
      <dsp:spPr>
        <a:xfrm rot="960427">
          <a:off x="3403972" y="1608473"/>
          <a:ext cx="1191651" cy="12775"/>
        </a:xfrm>
        <a:custGeom>
          <a:avLst/>
          <a:gdLst/>
          <a:ahLst/>
          <a:cxnLst/>
          <a:rect l="0" t="0" r="0" b="0"/>
          <a:pathLst>
            <a:path>
              <a:moveTo>
                <a:pt x="0" y="6387"/>
              </a:moveTo>
              <a:lnTo>
                <a:pt x="1192460"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70007" y="1585070"/>
        <a:ext cx="59582" cy="59582"/>
      </dsp:txXfrm>
    </dsp:sp>
    <dsp:sp modelId="{DB594876-4070-4577-942D-67F5CD4D6A19}">
      <dsp:nvSpPr>
        <dsp:cNvPr id="0" name=""/>
        <dsp:cNvSpPr/>
      </dsp:nvSpPr>
      <dsp:spPr>
        <a:xfrm>
          <a:off x="4445127" y="1685595"/>
          <a:ext cx="1252231" cy="4732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مدريد</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628512" y="1754906"/>
        <a:ext cx="885461" cy="334660"/>
      </dsp:txXfrm>
    </dsp:sp>
    <dsp:sp modelId="{E49C447F-3477-4311-B10B-FFFA7DE7209F}">
      <dsp:nvSpPr>
        <dsp:cNvPr id="0" name=""/>
        <dsp:cNvSpPr/>
      </dsp:nvSpPr>
      <dsp:spPr>
        <a:xfrm rot="2375020">
          <a:off x="3111171" y="1765796"/>
          <a:ext cx="860747" cy="12775"/>
        </a:xfrm>
        <a:custGeom>
          <a:avLst/>
          <a:gdLst/>
          <a:ahLst/>
          <a:cxnLst/>
          <a:rect l="0" t="0" r="0" b="0"/>
          <a:pathLst>
            <a:path>
              <a:moveTo>
                <a:pt x="0" y="6387"/>
              </a:moveTo>
              <a:lnTo>
                <a:pt x="873734"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20026" y="1750665"/>
        <a:ext cx="43037" cy="43037"/>
      </dsp:txXfrm>
    </dsp:sp>
    <dsp:sp modelId="{69F18085-0AC3-4BAE-9B16-F8478FFBD61E}">
      <dsp:nvSpPr>
        <dsp:cNvPr id="0" name=""/>
        <dsp:cNvSpPr/>
      </dsp:nvSpPr>
      <dsp:spPr>
        <a:xfrm>
          <a:off x="3529899" y="2022430"/>
          <a:ext cx="1213661" cy="48369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707636" y="2093265"/>
        <a:ext cx="858187" cy="342025"/>
      </dsp:txXfrm>
    </dsp:sp>
    <dsp:sp modelId="{FCC14444-D5E7-4E9C-B980-A27CD799E442}">
      <dsp:nvSpPr>
        <dsp:cNvPr id="0" name=""/>
        <dsp:cNvSpPr/>
      </dsp:nvSpPr>
      <dsp:spPr>
        <a:xfrm rot="5477262">
          <a:off x="2715592" y="1784185"/>
          <a:ext cx="561442" cy="12775"/>
        </a:xfrm>
        <a:custGeom>
          <a:avLst/>
          <a:gdLst/>
          <a:ahLst/>
          <a:cxnLst/>
          <a:rect l="0" t="0" r="0" b="0"/>
          <a:pathLst>
            <a:path>
              <a:moveTo>
                <a:pt x="0" y="6387"/>
              </a:moveTo>
              <a:lnTo>
                <a:pt x="56182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2277" y="1776537"/>
        <a:ext cx="28072" cy="28072"/>
      </dsp:txXfrm>
    </dsp:sp>
    <dsp:sp modelId="{49C45DFA-0A15-4DAA-80DC-CAE4ABCC6B43}">
      <dsp:nvSpPr>
        <dsp:cNvPr id="0" name=""/>
        <dsp:cNvSpPr/>
      </dsp:nvSpPr>
      <dsp:spPr>
        <a:xfrm>
          <a:off x="2445570" y="2071205"/>
          <a:ext cx="1076422" cy="5537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03208" y="2152301"/>
        <a:ext cx="761146" cy="391564"/>
      </dsp:txXfrm>
    </dsp:sp>
    <dsp:sp modelId="{7B59CB2C-C82F-41EE-B3CF-ADD4878ADBA6}">
      <dsp:nvSpPr>
        <dsp:cNvPr id="0" name=""/>
        <dsp:cNvSpPr/>
      </dsp:nvSpPr>
      <dsp:spPr>
        <a:xfrm rot="8447303">
          <a:off x="1996165" y="1777995"/>
          <a:ext cx="907089" cy="12775"/>
        </a:xfrm>
        <a:custGeom>
          <a:avLst/>
          <a:gdLst/>
          <a:ahLst/>
          <a:cxnLst/>
          <a:rect l="0" t="0" r="0" b="0"/>
          <a:pathLst>
            <a:path>
              <a:moveTo>
                <a:pt x="0" y="6387"/>
              </a:moveTo>
              <a:lnTo>
                <a:pt x="907703"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27033" y="1761706"/>
        <a:ext cx="45354" cy="45354"/>
      </dsp:txXfrm>
    </dsp:sp>
    <dsp:sp modelId="{402B25BB-F397-46B5-AAB7-C38C2276BF82}">
      <dsp:nvSpPr>
        <dsp:cNvPr id="0" name=""/>
        <dsp:cNvSpPr/>
      </dsp:nvSpPr>
      <dsp:spPr>
        <a:xfrm>
          <a:off x="1222063" y="2031337"/>
          <a:ext cx="1158954" cy="56379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91788" y="2113903"/>
        <a:ext cx="819504" cy="398666"/>
      </dsp:txXfrm>
    </dsp:sp>
    <dsp:sp modelId="{EFB9CB5A-411C-454B-96B1-9ED988829CBE}">
      <dsp:nvSpPr>
        <dsp:cNvPr id="0" name=""/>
        <dsp:cNvSpPr/>
      </dsp:nvSpPr>
      <dsp:spPr>
        <a:xfrm rot="9979233">
          <a:off x="1636005" y="1543477"/>
          <a:ext cx="934267" cy="12775"/>
        </a:xfrm>
        <a:custGeom>
          <a:avLst/>
          <a:gdLst/>
          <a:ahLst/>
          <a:cxnLst/>
          <a:rect l="0" t="0" r="0" b="0"/>
          <a:pathLst>
            <a:path>
              <a:moveTo>
                <a:pt x="0" y="6387"/>
              </a:moveTo>
              <a:lnTo>
                <a:pt x="93490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79783" y="1526508"/>
        <a:ext cx="46713" cy="46713"/>
      </dsp:txXfrm>
    </dsp:sp>
    <dsp:sp modelId="{5AF8D9AC-0C15-4D1B-BCD3-7FFCFF0A581D}">
      <dsp:nvSpPr>
        <dsp:cNvPr id="0" name=""/>
        <dsp:cNvSpPr/>
      </dsp:nvSpPr>
      <dsp:spPr>
        <a:xfrm>
          <a:off x="289382" y="1549335"/>
          <a:ext cx="1494837" cy="52014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08296" y="1625508"/>
        <a:ext cx="1057009" cy="367794"/>
      </dsp:txXfrm>
    </dsp:sp>
    <dsp:sp modelId="{701CC827-3AE5-4421-983B-6398C783C82F}">
      <dsp:nvSpPr>
        <dsp:cNvPr id="0" name=""/>
        <dsp:cNvSpPr/>
      </dsp:nvSpPr>
      <dsp:spPr>
        <a:xfrm rot="10895414">
          <a:off x="1524120" y="1295155"/>
          <a:ext cx="918477" cy="12775"/>
        </a:xfrm>
        <a:custGeom>
          <a:avLst/>
          <a:gdLst/>
          <a:ahLst/>
          <a:cxnLst/>
          <a:rect l="0" t="0" r="0" b="0"/>
          <a:pathLst>
            <a:path>
              <a:moveTo>
                <a:pt x="0" y="6736"/>
              </a:moveTo>
              <a:lnTo>
                <a:pt x="1187912"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60397" y="1278581"/>
        <a:ext cx="45923" cy="45923"/>
      </dsp:txXfrm>
    </dsp:sp>
    <dsp:sp modelId="{A86195D8-E78B-4F8B-B1C4-EFBBA8999B88}">
      <dsp:nvSpPr>
        <dsp:cNvPr id="0" name=""/>
        <dsp:cNvSpPr/>
      </dsp:nvSpPr>
      <dsp:spPr>
        <a:xfrm>
          <a:off x="179380" y="1024633"/>
          <a:ext cx="1346861" cy="49104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76623" y="1096545"/>
        <a:ext cx="952375" cy="347223"/>
      </dsp:txXfrm>
    </dsp:sp>
    <dsp:sp modelId="{48D8EFE9-A375-4136-B36E-91EB3A5F0349}">
      <dsp:nvSpPr>
        <dsp:cNvPr id="0" name=""/>
        <dsp:cNvSpPr/>
      </dsp:nvSpPr>
      <dsp:spPr>
        <a:xfrm rot="11889421">
          <a:off x="1507975" y="1017811"/>
          <a:ext cx="1132766" cy="12775"/>
        </a:xfrm>
        <a:custGeom>
          <a:avLst/>
          <a:gdLst/>
          <a:ahLst/>
          <a:cxnLst/>
          <a:rect l="0" t="0" r="0" b="0"/>
          <a:pathLst>
            <a:path>
              <a:moveTo>
                <a:pt x="0" y="6387"/>
              </a:moveTo>
              <a:lnTo>
                <a:pt x="1133536"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46039" y="995880"/>
        <a:ext cx="56638" cy="56638"/>
      </dsp:txXfrm>
    </dsp:sp>
    <dsp:sp modelId="{2CC81EFE-1B09-4239-A772-C0141AEBEE08}">
      <dsp:nvSpPr>
        <dsp:cNvPr id="0" name=""/>
        <dsp:cNvSpPr/>
      </dsp:nvSpPr>
      <dsp:spPr>
        <a:xfrm>
          <a:off x="281307" y="401407"/>
          <a:ext cx="1430800" cy="5387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30</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الشركات الصغيرة والمتوسطة ودعم المقاولة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90843" y="480305"/>
        <a:ext cx="1011728" cy="380952"/>
      </dsp:txXfrm>
    </dsp:sp>
    <dsp:sp modelId="{78727A99-0CB1-4013-8BE2-594D8BE4FB83}">
      <dsp:nvSpPr>
        <dsp:cNvPr id="0" name=""/>
        <dsp:cNvSpPr/>
      </dsp:nvSpPr>
      <dsp:spPr>
        <a:xfrm rot="13513101">
          <a:off x="2033079" y="817409"/>
          <a:ext cx="942554" cy="12775"/>
        </a:xfrm>
        <a:custGeom>
          <a:avLst/>
          <a:gdLst/>
          <a:ahLst/>
          <a:cxnLst/>
          <a:rect l="0" t="0" r="0" b="0"/>
          <a:pathLst>
            <a:path>
              <a:moveTo>
                <a:pt x="0" y="6387"/>
              </a:moveTo>
              <a:lnTo>
                <a:pt x="943188" y="638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80792" y="800233"/>
        <a:ext cx="47127" cy="47127"/>
      </dsp:txXfrm>
    </dsp:sp>
    <dsp:sp modelId="{098A803A-AAEA-485A-AF14-F5A0A7B3607E}">
      <dsp:nvSpPr>
        <dsp:cNvPr id="0" name=""/>
        <dsp:cNvSpPr/>
      </dsp:nvSpPr>
      <dsp:spPr>
        <a:xfrm>
          <a:off x="1422478" y="86193"/>
          <a:ext cx="1112682" cy="41609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585427" y="147128"/>
        <a:ext cx="786784" cy="29422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340950" y="1100690"/>
          <a:ext cx="1100262" cy="40890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02080" y="1160573"/>
        <a:ext cx="778002" cy="289142"/>
      </dsp:txXfrm>
    </dsp:sp>
    <dsp:sp modelId="{E6ACA703-0949-41B3-BE6B-C702E5C7275F}">
      <dsp:nvSpPr>
        <dsp:cNvPr id="0" name=""/>
        <dsp:cNvSpPr/>
      </dsp:nvSpPr>
      <dsp:spPr>
        <a:xfrm rot="16175284">
          <a:off x="2540154" y="747349"/>
          <a:ext cx="693924" cy="12775"/>
        </a:xfrm>
        <a:custGeom>
          <a:avLst/>
          <a:gdLst/>
          <a:ahLst/>
          <a:cxnLst/>
          <a:rect l="0" t="0" r="0" b="0"/>
          <a:pathLst>
            <a:path>
              <a:moveTo>
                <a:pt x="0" y="6736"/>
              </a:moveTo>
              <a:lnTo>
                <a:pt x="667066"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869768" y="736389"/>
        <a:ext cx="34696" cy="34696"/>
      </dsp:txXfrm>
    </dsp:sp>
    <dsp:sp modelId="{AFD0CC05-9AD4-4A51-8739-4FB4CA1E4ACE}">
      <dsp:nvSpPr>
        <dsp:cNvPr id="0" name=""/>
        <dsp:cNvSpPr/>
      </dsp:nvSpPr>
      <dsp:spPr>
        <a:xfrm>
          <a:off x="2451926" y="-20695"/>
          <a:ext cx="862318" cy="42748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78210" y="41908"/>
        <a:ext cx="609750" cy="302275"/>
      </dsp:txXfrm>
    </dsp:sp>
    <dsp:sp modelId="{34515D96-C834-4D67-AF5C-3B293601CBC3}">
      <dsp:nvSpPr>
        <dsp:cNvPr id="0" name=""/>
        <dsp:cNvSpPr/>
      </dsp:nvSpPr>
      <dsp:spPr>
        <a:xfrm rot="18865714">
          <a:off x="2951610" y="802464"/>
          <a:ext cx="851922" cy="12775"/>
        </a:xfrm>
        <a:custGeom>
          <a:avLst/>
          <a:gdLst/>
          <a:ahLst/>
          <a:cxnLst/>
          <a:rect l="0" t="0" r="0" b="0"/>
          <a:pathLst>
            <a:path>
              <a:moveTo>
                <a:pt x="0" y="6736"/>
              </a:moveTo>
              <a:lnTo>
                <a:pt x="853408"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356273" y="787554"/>
        <a:ext cx="42596" cy="42596"/>
      </dsp:txXfrm>
    </dsp:sp>
    <dsp:sp modelId="{D9366F31-B7D7-4B43-830C-AD5E2193A794}">
      <dsp:nvSpPr>
        <dsp:cNvPr id="0" name=""/>
        <dsp:cNvSpPr/>
      </dsp:nvSpPr>
      <dsp:spPr>
        <a:xfrm>
          <a:off x="3329675" y="63611"/>
          <a:ext cx="1108088" cy="45778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491951" y="130653"/>
        <a:ext cx="783536" cy="323705"/>
      </dsp:txXfrm>
    </dsp:sp>
    <dsp:sp modelId="{3F0F15B6-4D5A-493B-B03E-AE8141DC3DCE}">
      <dsp:nvSpPr>
        <dsp:cNvPr id="0" name=""/>
        <dsp:cNvSpPr/>
      </dsp:nvSpPr>
      <dsp:spPr>
        <a:xfrm rot="20269224">
          <a:off x="3211822" y="893188"/>
          <a:ext cx="1348171" cy="12775"/>
        </a:xfrm>
        <a:custGeom>
          <a:avLst/>
          <a:gdLst/>
          <a:ahLst/>
          <a:cxnLst/>
          <a:rect l="0" t="0" r="0" b="0"/>
          <a:pathLst>
            <a:path>
              <a:moveTo>
                <a:pt x="0" y="6736"/>
              </a:moveTo>
              <a:lnTo>
                <a:pt x="1101050"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52204" y="865871"/>
        <a:ext cx="67408" cy="67408"/>
      </dsp:txXfrm>
    </dsp:sp>
    <dsp:sp modelId="{ECD2D13D-466C-468B-BD6C-1B646D8E5B8E}">
      <dsp:nvSpPr>
        <dsp:cNvPr id="0" name=""/>
        <dsp:cNvSpPr/>
      </dsp:nvSpPr>
      <dsp:spPr>
        <a:xfrm>
          <a:off x="4416634" y="278788"/>
          <a:ext cx="873538" cy="45272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44561" y="345088"/>
        <a:ext cx="617684" cy="320122"/>
      </dsp:txXfrm>
    </dsp:sp>
    <dsp:sp modelId="{5CF8296B-0142-429D-A71A-20799D2EB74B}">
      <dsp:nvSpPr>
        <dsp:cNvPr id="0" name=""/>
        <dsp:cNvSpPr/>
      </dsp:nvSpPr>
      <dsp:spPr>
        <a:xfrm rot="21108434">
          <a:off x="3397640" y="1135206"/>
          <a:ext cx="1258836" cy="12775"/>
        </a:xfrm>
        <a:custGeom>
          <a:avLst/>
          <a:gdLst/>
          <a:ahLst/>
          <a:cxnLst/>
          <a:rect l="0" t="0" r="0" b="0"/>
          <a:pathLst>
            <a:path>
              <a:moveTo>
                <a:pt x="0" y="6736"/>
              </a:moveTo>
              <a:lnTo>
                <a:pt x="1241186"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95588" y="1110122"/>
        <a:ext cx="62941" cy="62941"/>
      </dsp:txXfrm>
    </dsp:sp>
    <dsp:sp modelId="{7E7DDE23-6C04-407D-AAB6-669511EA704E}">
      <dsp:nvSpPr>
        <dsp:cNvPr id="0" name=""/>
        <dsp:cNvSpPr/>
      </dsp:nvSpPr>
      <dsp:spPr>
        <a:xfrm>
          <a:off x="4618891" y="760265"/>
          <a:ext cx="1078851" cy="43691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المعارف التقليدية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776885" y="824250"/>
        <a:ext cx="762863" cy="308944"/>
      </dsp:txXfrm>
    </dsp:sp>
    <dsp:sp modelId="{DC281168-2DBC-4CFB-B21D-C54E9628B383}">
      <dsp:nvSpPr>
        <dsp:cNvPr id="0" name=""/>
        <dsp:cNvSpPr/>
      </dsp:nvSpPr>
      <dsp:spPr>
        <a:xfrm rot="287405">
          <a:off x="3425541" y="1396286"/>
          <a:ext cx="1258809" cy="12775"/>
        </a:xfrm>
        <a:custGeom>
          <a:avLst/>
          <a:gdLst/>
          <a:ahLst/>
          <a:cxnLst/>
          <a:rect l="0" t="0" r="0" b="0"/>
          <a:pathLst>
            <a:path>
              <a:moveTo>
                <a:pt x="0" y="6736"/>
              </a:moveTo>
              <a:lnTo>
                <a:pt x="1158420"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23475" y="1371203"/>
        <a:ext cx="62940" cy="62940"/>
      </dsp:txXfrm>
    </dsp:sp>
    <dsp:sp modelId="{66DADE40-99AE-41BE-B997-129EED231064}">
      <dsp:nvSpPr>
        <dsp:cNvPr id="0" name=""/>
        <dsp:cNvSpPr/>
      </dsp:nvSpPr>
      <dsp:spPr>
        <a:xfrm>
          <a:off x="4676629" y="1258726"/>
          <a:ext cx="886787" cy="46639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806496" y="1327028"/>
        <a:ext cx="627053" cy="329792"/>
      </dsp:txXfrm>
    </dsp:sp>
    <dsp:sp modelId="{4DF1B0BE-A63A-4BEA-9EE5-4168481CC99E}">
      <dsp:nvSpPr>
        <dsp:cNvPr id="0" name=""/>
        <dsp:cNvSpPr/>
      </dsp:nvSpPr>
      <dsp:spPr>
        <a:xfrm rot="1206343">
          <a:off x="3247317" y="1643602"/>
          <a:ext cx="1171615" cy="12775"/>
        </a:xfrm>
        <a:custGeom>
          <a:avLst/>
          <a:gdLst/>
          <a:ahLst/>
          <a:cxnLst/>
          <a:rect l="0" t="0" r="0" b="0"/>
          <a:pathLst>
            <a:path>
              <a:moveTo>
                <a:pt x="0" y="6736"/>
              </a:moveTo>
              <a:lnTo>
                <a:pt x="790334"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03834" y="1620699"/>
        <a:ext cx="58580" cy="58580"/>
      </dsp:txXfrm>
    </dsp:sp>
    <dsp:sp modelId="{DB594876-4070-4577-942D-67F5CD4D6A19}">
      <dsp:nvSpPr>
        <dsp:cNvPr id="0" name=""/>
        <dsp:cNvSpPr/>
      </dsp:nvSpPr>
      <dsp:spPr>
        <a:xfrm>
          <a:off x="4301362" y="1744444"/>
          <a:ext cx="928761" cy="49388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437376" y="1816771"/>
        <a:ext cx="656733" cy="349229"/>
      </dsp:txXfrm>
    </dsp:sp>
    <dsp:sp modelId="{E49C447F-3477-4311-B10B-FFFA7DE7209F}">
      <dsp:nvSpPr>
        <dsp:cNvPr id="0" name=""/>
        <dsp:cNvSpPr/>
      </dsp:nvSpPr>
      <dsp:spPr>
        <a:xfrm rot="2669768">
          <a:off x="2993426" y="1715571"/>
          <a:ext cx="643730" cy="12775"/>
        </a:xfrm>
        <a:custGeom>
          <a:avLst/>
          <a:gdLst/>
          <a:ahLst/>
          <a:cxnLst/>
          <a:rect l="0" t="0" r="0" b="0"/>
          <a:pathLst>
            <a:path>
              <a:moveTo>
                <a:pt x="0" y="6736"/>
              </a:moveTo>
              <a:lnTo>
                <a:pt x="625739"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99198" y="1705866"/>
        <a:ext cx="32186" cy="32186"/>
      </dsp:txXfrm>
    </dsp:sp>
    <dsp:sp modelId="{69F18085-0AC3-4BAE-9B16-F8478FFBD61E}">
      <dsp:nvSpPr>
        <dsp:cNvPr id="0" name=""/>
        <dsp:cNvSpPr/>
      </dsp:nvSpPr>
      <dsp:spPr>
        <a:xfrm>
          <a:off x="3206030" y="1924730"/>
          <a:ext cx="1153187" cy="5128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3374910" y="1999831"/>
        <a:ext cx="815427" cy="362622"/>
      </dsp:txXfrm>
    </dsp:sp>
    <dsp:sp modelId="{FCC14444-D5E7-4E9C-B980-A27CD799E442}">
      <dsp:nvSpPr>
        <dsp:cNvPr id="0" name=""/>
        <dsp:cNvSpPr/>
      </dsp:nvSpPr>
      <dsp:spPr>
        <a:xfrm rot="6635487">
          <a:off x="2441360" y="1760011"/>
          <a:ext cx="552850" cy="12775"/>
        </a:xfrm>
        <a:custGeom>
          <a:avLst/>
          <a:gdLst/>
          <a:ahLst/>
          <a:cxnLst/>
          <a:rect l="0" t="0" r="0" b="0"/>
          <a:pathLst>
            <a:path>
              <a:moveTo>
                <a:pt x="0" y="6736"/>
              </a:moveTo>
              <a:lnTo>
                <a:pt x="964315"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03964" y="1752578"/>
        <a:ext cx="27642" cy="27642"/>
      </dsp:txXfrm>
    </dsp:sp>
    <dsp:sp modelId="{49C45DFA-0A15-4DAA-80DC-CAE4ABCC6B43}">
      <dsp:nvSpPr>
        <dsp:cNvPr id="0" name=""/>
        <dsp:cNvSpPr/>
      </dsp:nvSpPr>
      <dsp:spPr>
        <a:xfrm>
          <a:off x="1950241" y="2022919"/>
          <a:ext cx="1174528" cy="4466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122247" y="2088329"/>
        <a:ext cx="830516" cy="315826"/>
      </dsp:txXfrm>
    </dsp:sp>
    <dsp:sp modelId="{7B59CB2C-C82F-41EE-B3CF-ADD4878ADBA6}">
      <dsp:nvSpPr>
        <dsp:cNvPr id="0" name=""/>
        <dsp:cNvSpPr/>
      </dsp:nvSpPr>
      <dsp:spPr>
        <a:xfrm rot="9080283">
          <a:off x="1560688" y="1728691"/>
          <a:ext cx="1087722" cy="12775"/>
        </a:xfrm>
        <a:custGeom>
          <a:avLst/>
          <a:gdLst/>
          <a:ahLst/>
          <a:cxnLst/>
          <a:rect l="0" t="0" r="0" b="0"/>
          <a:pathLst>
            <a:path>
              <a:moveTo>
                <a:pt x="0" y="6736"/>
              </a:moveTo>
              <a:lnTo>
                <a:pt x="1328759"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77356" y="1707886"/>
        <a:ext cx="54386" cy="54386"/>
      </dsp:txXfrm>
    </dsp:sp>
    <dsp:sp modelId="{402B25BB-F397-46B5-AAB7-C38C2276BF82}">
      <dsp:nvSpPr>
        <dsp:cNvPr id="0" name=""/>
        <dsp:cNvSpPr/>
      </dsp:nvSpPr>
      <dsp:spPr>
        <a:xfrm>
          <a:off x="693177" y="1953264"/>
          <a:ext cx="1182424" cy="46026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866339" y="2020668"/>
        <a:ext cx="836100" cy="325455"/>
      </dsp:txXfrm>
    </dsp:sp>
    <dsp:sp modelId="{EFB9CB5A-411C-454B-96B1-9ED988829CBE}">
      <dsp:nvSpPr>
        <dsp:cNvPr id="0" name=""/>
        <dsp:cNvSpPr/>
      </dsp:nvSpPr>
      <dsp:spPr>
        <a:xfrm rot="10141690">
          <a:off x="1277283" y="1501464"/>
          <a:ext cx="1136428" cy="12775"/>
        </a:xfrm>
        <a:custGeom>
          <a:avLst/>
          <a:gdLst/>
          <a:ahLst/>
          <a:cxnLst/>
          <a:rect l="0" t="0" r="0" b="0"/>
          <a:pathLst>
            <a:path>
              <a:moveTo>
                <a:pt x="0" y="6736"/>
              </a:moveTo>
              <a:lnTo>
                <a:pt x="1201111"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17087" y="1479441"/>
        <a:ext cx="56821" cy="56821"/>
      </dsp:txXfrm>
    </dsp:sp>
    <dsp:sp modelId="{5AF8D9AC-0C15-4D1B-BCD3-7FFCFF0A581D}">
      <dsp:nvSpPr>
        <dsp:cNvPr id="0" name=""/>
        <dsp:cNvSpPr/>
      </dsp:nvSpPr>
      <dsp:spPr>
        <a:xfrm>
          <a:off x="314610" y="1456720"/>
          <a:ext cx="1007529" cy="50052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62159" y="1530019"/>
        <a:ext cx="712431" cy="353922"/>
      </dsp:txXfrm>
    </dsp:sp>
    <dsp:sp modelId="{701CC827-3AE5-4421-983B-6398C783C82F}">
      <dsp:nvSpPr>
        <dsp:cNvPr id="0" name=""/>
        <dsp:cNvSpPr/>
      </dsp:nvSpPr>
      <dsp:spPr>
        <a:xfrm rot="11099700">
          <a:off x="1300192" y="1205919"/>
          <a:ext cx="1057374" cy="12775"/>
        </a:xfrm>
        <a:custGeom>
          <a:avLst/>
          <a:gdLst/>
          <a:ahLst/>
          <a:cxnLst/>
          <a:rect l="0" t="0" r="0" b="0"/>
          <a:pathLst>
            <a:path>
              <a:moveTo>
                <a:pt x="0" y="6736"/>
              </a:moveTo>
              <a:lnTo>
                <a:pt x="1208775"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02445" y="1185872"/>
        <a:ext cx="52868" cy="52868"/>
      </dsp:txXfrm>
    </dsp:sp>
    <dsp:sp modelId="{A86195D8-E78B-4F8B-B1C4-EFBBA8999B88}">
      <dsp:nvSpPr>
        <dsp:cNvPr id="0" name=""/>
        <dsp:cNvSpPr/>
      </dsp:nvSpPr>
      <dsp:spPr>
        <a:xfrm>
          <a:off x="192736" y="874858"/>
          <a:ext cx="1120466" cy="4868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356824" y="946152"/>
        <a:ext cx="792290" cy="344237"/>
      </dsp:txXfrm>
    </dsp:sp>
    <dsp:sp modelId="{155F429B-0A10-4501-ADF1-CAD1F85BB50E}">
      <dsp:nvSpPr>
        <dsp:cNvPr id="0" name=""/>
        <dsp:cNvSpPr/>
      </dsp:nvSpPr>
      <dsp:spPr>
        <a:xfrm rot="12056148">
          <a:off x="1488620" y="963809"/>
          <a:ext cx="1053928" cy="12775"/>
        </a:xfrm>
        <a:custGeom>
          <a:avLst/>
          <a:gdLst/>
          <a:ahLst/>
          <a:cxnLst/>
          <a:rect l="0" t="0" r="0" b="0"/>
          <a:pathLst>
            <a:path>
              <a:moveTo>
                <a:pt x="0" y="6736"/>
              </a:moveTo>
              <a:lnTo>
                <a:pt x="814517"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89235" y="943849"/>
        <a:ext cx="52696" cy="52696"/>
      </dsp:txXfrm>
    </dsp:sp>
    <dsp:sp modelId="{04A81C5D-1DF3-47DF-8447-322057132F11}">
      <dsp:nvSpPr>
        <dsp:cNvPr id="0" name=""/>
        <dsp:cNvSpPr/>
      </dsp:nvSpPr>
      <dsp:spPr>
        <a:xfrm>
          <a:off x="351274" y="342141"/>
          <a:ext cx="1382866" cy="51170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a:t>
          </a: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لبرنامج 30</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445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الشركات الصغيرة والمتوسطة ودعم المقاولة</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44500">
            <a:lnSpc>
              <a:spcPct val="90000"/>
            </a:lnSpc>
            <a:spcBef>
              <a:spcPct val="0"/>
            </a:spcBef>
            <a:spcAft>
              <a:spcPct val="35000"/>
            </a:spcAft>
          </a:pP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53790" y="417079"/>
        <a:ext cx="977834" cy="361832"/>
      </dsp:txXfrm>
    </dsp:sp>
    <dsp:sp modelId="{07626F90-5E5B-4542-8477-FA8EC79C1C08}">
      <dsp:nvSpPr>
        <dsp:cNvPr id="0" name=""/>
        <dsp:cNvSpPr/>
      </dsp:nvSpPr>
      <dsp:spPr>
        <a:xfrm rot="13589466">
          <a:off x="1908191" y="762373"/>
          <a:ext cx="947445" cy="12775"/>
        </a:xfrm>
        <a:custGeom>
          <a:avLst/>
          <a:gdLst/>
          <a:ahLst/>
          <a:cxnLst/>
          <a:rect l="0" t="0" r="0" b="0"/>
          <a:pathLst>
            <a:path>
              <a:moveTo>
                <a:pt x="0" y="6736"/>
              </a:moveTo>
              <a:lnTo>
                <a:pt x="814517"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58227" y="745075"/>
        <a:ext cx="47372" cy="47372"/>
      </dsp:txXfrm>
    </dsp:sp>
    <dsp:sp modelId="{452642F4-B2C3-42F3-B0AD-F1619C09E03C}">
      <dsp:nvSpPr>
        <dsp:cNvPr id="0" name=""/>
        <dsp:cNvSpPr/>
      </dsp:nvSpPr>
      <dsp:spPr>
        <a:xfrm>
          <a:off x="1345893" y="51125"/>
          <a:ext cx="1074357" cy="3842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22225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222250">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503229" y="107398"/>
        <a:ext cx="759685" cy="27171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48326" y="552960"/>
          <a:ext cx="1163803" cy="395040"/>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18761" y="610812"/>
        <a:ext cx="822933" cy="279336"/>
      </dsp:txXfrm>
    </dsp:sp>
    <dsp:sp modelId="{4344ACFB-6B44-4AAF-B1DB-49AB3ED02AF7}">
      <dsp:nvSpPr>
        <dsp:cNvPr id="0" name=""/>
        <dsp:cNvSpPr/>
      </dsp:nvSpPr>
      <dsp:spPr>
        <a:xfrm rot="16267201">
          <a:off x="2951492" y="462365"/>
          <a:ext cx="168488" cy="12744"/>
        </a:xfrm>
        <a:custGeom>
          <a:avLst/>
          <a:gdLst/>
          <a:ahLst/>
          <a:cxnLst/>
          <a:rect l="0" t="0" r="0" b="0"/>
          <a:pathLst>
            <a:path>
              <a:moveTo>
                <a:pt x="0" y="6372"/>
              </a:moveTo>
              <a:lnTo>
                <a:pt x="168835" y="637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31524" y="464524"/>
        <a:ext cx="8424" cy="8424"/>
      </dsp:txXfrm>
    </dsp:sp>
    <dsp:sp modelId="{19ACA16F-4F02-4741-A973-0858AA9E727D}">
      <dsp:nvSpPr>
        <dsp:cNvPr id="0" name=""/>
        <dsp:cNvSpPr/>
      </dsp:nvSpPr>
      <dsp:spPr>
        <a:xfrm>
          <a:off x="2502431" y="11934"/>
          <a:ext cx="1077188" cy="37257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60182" y="66497"/>
        <a:ext cx="761686" cy="263452"/>
      </dsp:txXfrm>
    </dsp:sp>
    <dsp:sp modelId="{5337AE63-3722-42CC-AF72-36670EB7C5E1}">
      <dsp:nvSpPr>
        <dsp:cNvPr id="0" name=""/>
        <dsp:cNvSpPr/>
      </dsp:nvSpPr>
      <dsp:spPr>
        <a:xfrm rot="21596424">
          <a:off x="3612127" y="743003"/>
          <a:ext cx="960469" cy="12744"/>
        </a:xfrm>
        <a:custGeom>
          <a:avLst/>
          <a:gdLst/>
          <a:ahLst/>
          <a:cxnLst/>
          <a:rect l="0" t="0" r="0" b="0"/>
          <a:pathLst>
            <a:path>
              <a:moveTo>
                <a:pt x="0" y="6372"/>
              </a:moveTo>
              <a:lnTo>
                <a:pt x="962047" y="637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68350" y="725364"/>
        <a:ext cx="48023" cy="48023"/>
      </dsp:txXfrm>
    </dsp:sp>
    <dsp:sp modelId="{CED9197C-8322-406B-917C-172FA36E7B76}">
      <dsp:nvSpPr>
        <dsp:cNvPr id="0" name=""/>
        <dsp:cNvSpPr/>
      </dsp:nvSpPr>
      <dsp:spPr>
        <a:xfrm>
          <a:off x="4572593" y="526678"/>
          <a:ext cx="1366214" cy="44297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772670" y="591550"/>
        <a:ext cx="966060" cy="313229"/>
      </dsp:txXfrm>
    </dsp:sp>
    <dsp:sp modelId="{4AC11394-3179-4EC5-A97F-D1A1B521CE2F}">
      <dsp:nvSpPr>
        <dsp:cNvPr id="0" name=""/>
        <dsp:cNvSpPr/>
      </dsp:nvSpPr>
      <dsp:spPr>
        <a:xfrm rot="5406477">
          <a:off x="2960327" y="1011027"/>
          <a:ext cx="138796" cy="12744"/>
        </a:xfrm>
        <a:custGeom>
          <a:avLst/>
          <a:gdLst/>
          <a:ahLst/>
          <a:cxnLst/>
          <a:rect l="0" t="0" r="0" b="0"/>
          <a:pathLst>
            <a:path>
              <a:moveTo>
                <a:pt x="0" y="6372"/>
              </a:moveTo>
              <a:lnTo>
                <a:pt x="139115" y="637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3026255" y="1013929"/>
        <a:ext cx="6939" cy="6939"/>
      </dsp:txXfrm>
    </dsp:sp>
    <dsp:sp modelId="{035B4C9A-0916-4FCC-A1CF-85DB358A289A}">
      <dsp:nvSpPr>
        <dsp:cNvPr id="0" name=""/>
        <dsp:cNvSpPr/>
      </dsp:nvSpPr>
      <dsp:spPr>
        <a:xfrm>
          <a:off x="2411849" y="1086797"/>
          <a:ext cx="1234765" cy="3851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92676" y="1143195"/>
        <a:ext cx="873111" cy="272315"/>
      </dsp:txXfrm>
    </dsp:sp>
    <dsp:sp modelId="{ADF94B70-0D7F-4A27-8DF9-17BCD27F4A7A}">
      <dsp:nvSpPr>
        <dsp:cNvPr id="0" name=""/>
        <dsp:cNvSpPr/>
      </dsp:nvSpPr>
      <dsp:spPr>
        <a:xfrm rot="10793938">
          <a:off x="1410438" y="746050"/>
          <a:ext cx="1037896" cy="12744"/>
        </a:xfrm>
        <a:custGeom>
          <a:avLst/>
          <a:gdLst/>
          <a:ahLst/>
          <a:cxnLst/>
          <a:rect l="0" t="0" r="0" b="0"/>
          <a:pathLst>
            <a:path>
              <a:moveTo>
                <a:pt x="0" y="6372"/>
              </a:moveTo>
              <a:lnTo>
                <a:pt x="1039571" y="637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03439" y="726474"/>
        <a:ext cx="51894" cy="51894"/>
      </dsp:txXfrm>
    </dsp:sp>
    <dsp:sp modelId="{0FAF3FA1-8E6C-455E-B189-A468B3F4D8BC}">
      <dsp:nvSpPr>
        <dsp:cNvPr id="0" name=""/>
        <dsp:cNvSpPr/>
      </dsp:nvSpPr>
      <dsp:spPr>
        <a:xfrm>
          <a:off x="988" y="535284"/>
          <a:ext cx="1409462" cy="43859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rtl="1">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07399" y="599514"/>
        <a:ext cx="996640" cy="31013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68005" y="732827"/>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30</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66610" y="814375"/>
        <a:ext cx="958950" cy="393750"/>
      </dsp:txXfrm>
    </dsp:sp>
    <dsp:sp modelId="{4AC11394-3179-4EC5-A97F-D1A1B521CE2F}">
      <dsp:nvSpPr>
        <dsp:cNvPr id="0" name=""/>
        <dsp:cNvSpPr/>
      </dsp:nvSpPr>
      <dsp:spPr>
        <a:xfrm rot="16193288">
          <a:off x="2663623" y="641934"/>
          <a:ext cx="163517" cy="18269"/>
        </a:xfrm>
        <a:custGeom>
          <a:avLst/>
          <a:gdLst/>
          <a:ahLst/>
          <a:cxnLst/>
          <a:rect l="0" t="0" r="0" b="0"/>
          <a:pathLst>
            <a:path>
              <a:moveTo>
                <a:pt x="0" y="9134"/>
              </a:moveTo>
              <a:lnTo>
                <a:pt x="163517"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41294" y="646980"/>
        <a:ext cx="8175" cy="8175"/>
      </dsp:txXfrm>
    </dsp:sp>
    <dsp:sp modelId="{035B4C9A-0916-4FCC-A1CF-85DB358A289A}">
      <dsp:nvSpPr>
        <dsp:cNvPr id="0" name=""/>
        <dsp:cNvSpPr/>
      </dsp:nvSpPr>
      <dsp:spPr>
        <a:xfrm>
          <a:off x="1988334" y="-7521"/>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09856" y="76954"/>
        <a:ext cx="1069606" cy="407881"/>
      </dsp:txXfrm>
    </dsp:sp>
    <dsp:sp modelId="{64248C57-3CE0-4657-BC67-6279BA0257B1}">
      <dsp:nvSpPr>
        <dsp:cNvPr id="0" name=""/>
        <dsp:cNvSpPr/>
      </dsp:nvSpPr>
      <dsp:spPr>
        <a:xfrm rot="2869">
          <a:off x="3424164" y="1002875"/>
          <a:ext cx="463565" cy="18269"/>
        </a:xfrm>
        <a:custGeom>
          <a:avLst/>
          <a:gdLst/>
          <a:ahLst/>
          <a:cxnLst/>
          <a:rect l="0" t="0" r="0" b="0"/>
          <a:pathLst>
            <a:path>
              <a:moveTo>
                <a:pt x="0" y="9134"/>
              </a:moveTo>
              <a:lnTo>
                <a:pt x="463565"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44357" y="1000420"/>
        <a:ext cx="23178" cy="23178"/>
      </dsp:txXfrm>
    </dsp:sp>
    <dsp:sp modelId="{976BA53C-17D4-4F7C-9078-1272C469C9E5}">
      <dsp:nvSpPr>
        <dsp:cNvPr id="0" name=""/>
        <dsp:cNvSpPr/>
      </dsp:nvSpPr>
      <dsp:spPr>
        <a:xfrm>
          <a:off x="3887727" y="722494"/>
          <a:ext cx="1423332" cy="5806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96169" y="807522"/>
        <a:ext cx="1006448" cy="410550"/>
      </dsp:txXfrm>
    </dsp:sp>
    <dsp:sp modelId="{ADF94B70-0D7F-4A27-8DF9-17BCD27F4A7A}">
      <dsp:nvSpPr>
        <dsp:cNvPr id="0" name=""/>
        <dsp:cNvSpPr/>
      </dsp:nvSpPr>
      <dsp:spPr>
        <a:xfrm rot="10791658">
          <a:off x="1610158" y="1004316"/>
          <a:ext cx="457860" cy="18269"/>
        </a:xfrm>
        <a:custGeom>
          <a:avLst/>
          <a:gdLst/>
          <a:ahLst/>
          <a:cxnLst/>
          <a:rect l="0" t="0" r="0" b="0"/>
          <a:pathLst>
            <a:path>
              <a:moveTo>
                <a:pt x="0" y="9134"/>
              </a:moveTo>
              <a:lnTo>
                <a:pt x="457860"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27641" y="1002004"/>
        <a:ext cx="22893" cy="22893"/>
      </dsp:txXfrm>
    </dsp:sp>
    <dsp:sp modelId="{0FAF3FA1-8E6C-455E-B189-A468B3F4D8BC}">
      <dsp:nvSpPr>
        <dsp:cNvPr id="0" name=""/>
        <dsp:cNvSpPr/>
      </dsp:nvSpPr>
      <dsp:spPr>
        <a:xfrm>
          <a:off x="175295" y="718912"/>
          <a:ext cx="1434875" cy="59367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rtl="1">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5428" y="805853"/>
        <a:ext cx="1014609" cy="41978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56494" y="625106"/>
          <a:ext cx="1358942" cy="39952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12</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55506" y="683615"/>
        <a:ext cx="960918" cy="282506"/>
      </dsp:txXfrm>
    </dsp:sp>
    <dsp:sp modelId="{5337AE63-3722-42CC-AF72-36670EB7C5E1}">
      <dsp:nvSpPr>
        <dsp:cNvPr id="0" name=""/>
        <dsp:cNvSpPr/>
      </dsp:nvSpPr>
      <dsp:spPr>
        <a:xfrm rot="16216882">
          <a:off x="2654356" y="535111"/>
          <a:ext cx="165995" cy="13996"/>
        </a:xfrm>
        <a:custGeom>
          <a:avLst/>
          <a:gdLst/>
          <a:ahLst/>
          <a:cxnLst/>
          <a:rect l="0" t="0" r="0" b="0"/>
          <a:pathLst>
            <a:path>
              <a:moveTo>
                <a:pt x="0" y="6998"/>
              </a:moveTo>
              <a:lnTo>
                <a:pt x="158573"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33204" y="537960"/>
        <a:ext cx="8299" cy="8299"/>
      </dsp:txXfrm>
    </dsp:sp>
    <dsp:sp modelId="{CED9197C-8322-406B-917C-172FA36E7B76}">
      <dsp:nvSpPr>
        <dsp:cNvPr id="0" name=""/>
        <dsp:cNvSpPr/>
      </dsp:nvSpPr>
      <dsp:spPr>
        <a:xfrm>
          <a:off x="2142157" y="1"/>
          <a:ext cx="1193462" cy="45911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316935" y="67236"/>
        <a:ext cx="843906" cy="324642"/>
      </dsp:txXfrm>
    </dsp:sp>
    <dsp:sp modelId="{4AC11394-3179-4EC5-A97F-D1A1B521CE2F}">
      <dsp:nvSpPr>
        <dsp:cNvPr id="0" name=""/>
        <dsp:cNvSpPr/>
      </dsp:nvSpPr>
      <dsp:spPr>
        <a:xfrm rot="21563328">
          <a:off x="3414962" y="805397"/>
          <a:ext cx="980589" cy="13996"/>
        </a:xfrm>
        <a:custGeom>
          <a:avLst/>
          <a:gdLst/>
          <a:ahLst/>
          <a:cxnLst/>
          <a:rect l="0" t="0" r="0" b="0"/>
          <a:pathLst>
            <a:path>
              <a:moveTo>
                <a:pt x="0" y="6998"/>
              </a:moveTo>
              <a:lnTo>
                <a:pt x="1011830"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80741" y="787880"/>
        <a:ext cx="49029" cy="49029"/>
      </dsp:txXfrm>
    </dsp:sp>
    <dsp:sp modelId="{035B4C9A-0916-4FCC-A1CF-85DB358A289A}">
      <dsp:nvSpPr>
        <dsp:cNvPr id="0" name=""/>
        <dsp:cNvSpPr/>
      </dsp:nvSpPr>
      <dsp:spPr>
        <a:xfrm>
          <a:off x="4395315" y="505301"/>
          <a:ext cx="1364769" cy="58917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95181" y="591583"/>
        <a:ext cx="965037" cy="416608"/>
      </dsp:txXfrm>
    </dsp:sp>
    <dsp:sp modelId="{1281FAF2-438A-4E06-A630-42C5CD6DB1D1}">
      <dsp:nvSpPr>
        <dsp:cNvPr id="0" name=""/>
        <dsp:cNvSpPr/>
      </dsp:nvSpPr>
      <dsp:spPr>
        <a:xfrm rot="5377226">
          <a:off x="2665390" y="1090008"/>
          <a:ext cx="144754" cy="13996"/>
        </a:xfrm>
        <a:custGeom>
          <a:avLst/>
          <a:gdLst/>
          <a:ahLst/>
          <a:cxnLst/>
          <a:rect l="0" t="0" r="0" b="0"/>
          <a:pathLst>
            <a:path>
              <a:moveTo>
                <a:pt x="0" y="6998"/>
              </a:moveTo>
              <a:lnTo>
                <a:pt x="149401"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34149" y="1093387"/>
        <a:ext cx="7237" cy="7237"/>
      </dsp:txXfrm>
    </dsp:sp>
    <dsp:sp modelId="{9D8804DD-C1C3-4668-9E8F-40BB54189D15}">
      <dsp:nvSpPr>
        <dsp:cNvPr id="0" name=""/>
        <dsp:cNvSpPr/>
      </dsp:nvSpPr>
      <dsp:spPr>
        <a:xfrm>
          <a:off x="2035198" y="1169382"/>
          <a:ext cx="1409053" cy="4460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41549" y="1234701"/>
        <a:ext cx="996351" cy="315387"/>
      </dsp:txXfrm>
    </dsp:sp>
    <dsp:sp modelId="{D0E3F8D6-DE9C-4394-8B02-9C131280903E}">
      <dsp:nvSpPr>
        <dsp:cNvPr id="0" name=""/>
        <dsp:cNvSpPr/>
      </dsp:nvSpPr>
      <dsp:spPr>
        <a:xfrm rot="10771247">
          <a:off x="1196456" y="827149"/>
          <a:ext cx="860327" cy="13996"/>
        </a:xfrm>
        <a:custGeom>
          <a:avLst/>
          <a:gdLst/>
          <a:ahLst/>
          <a:cxnLst/>
          <a:rect l="0" t="0" r="0" b="0"/>
          <a:pathLst>
            <a:path>
              <a:moveTo>
                <a:pt x="0" y="6998"/>
              </a:moveTo>
              <a:lnTo>
                <a:pt x="887737"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605111" y="812639"/>
        <a:ext cx="43016" cy="43016"/>
      </dsp:txXfrm>
    </dsp:sp>
    <dsp:sp modelId="{F1CADBCB-761B-4EBD-8811-73EECDD73DC5}">
      <dsp:nvSpPr>
        <dsp:cNvPr id="0" name=""/>
        <dsp:cNvSpPr/>
      </dsp:nvSpPr>
      <dsp:spPr>
        <a:xfrm>
          <a:off x="0" y="568557"/>
          <a:ext cx="1196570" cy="5483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75234" y="648866"/>
        <a:ext cx="846102" cy="38776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79251" y="664706"/>
          <a:ext cx="1213183" cy="34909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13</a:t>
          </a:r>
          <a:endPar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56918" y="715830"/>
        <a:ext cx="857849" cy="246846"/>
      </dsp:txXfrm>
    </dsp:sp>
    <dsp:sp modelId="{743B4520-8441-42A0-AFCB-45C212516FFF}">
      <dsp:nvSpPr>
        <dsp:cNvPr id="0" name=""/>
        <dsp:cNvSpPr/>
      </dsp:nvSpPr>
      <dsp:spPr>
        <a:xfrm rot="16200000">
          <a:off x="2862168" y="534437"/>
          <a:ext cx="247349" cy="13189"/>
        </a:xfrm>
        <a:custGeom>
          <a:avLst/>
          <a:gdLst/>
          <a:ahLst/>
          <a:cxnLst/>
          <a:rect l="0" t="0" r="0" b="0"/>
          <a:pathLst>
            <a:path>
              <a:moveTo>
                <a:pt x="0" y="6594"/>
              </a:moveTo>
              <a:lnTo>
                <a:pt x="247560"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79659" y="534848"/>
        <a:ext cx="12367" cy="12367"/>
      </dsp:txXfrm>
    </dsp:sp>
    <dsp:sp modelId="{825B4589-2D50-4097-AF2B-6D3BD9DDE0B2}">
      <dsp:nvSpPr>
        <dsp:cNvPr id="0" name=""/>
        <dsp:cNvSpPr/>
      </dsp:nvSpPr>
      <dsp:spPr>
        <a:xfrm>
          <a:off x="2486573" y="-26201"/>
          <a:ext cx="998539" cy="4435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32806" y="38757"/>
        <a:ext cx="706073" cy="313642"/>
      </dsp:txXfrm>
    </dsp:sp>
    <dsp:sp modelId="{7A96B68C-E15D-4E1B-A46C-7E5DE405A90C}">
      <dsp:nvSpPr>
        <dsp:cNvPr id="0" name=""/>
        <dsp:cNvSpPr/>
      </dsp:nvSpPr>
      <dsp:spPr>
        <a:xfrm rot="20283379">
          <a:off x="3312623" y="557668"/>
          <a:ext cx="711551" cy="13189"/>
        </a:xfrm>
        <a:custGeom>
          <a:avLst/>
          <a:gdLst/>
          <a:ahLst/>
          <a:cxnLst/>
          <a:rect l="0" t="0" r="0" b="0"/>
          <a:pathLst>
            <a:path>
              <a:moveTo>
                <a:pt x="0" y="6594"/>
              </a:moveTo>
              <a:lnTo>
                <a:pt x="712131"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50610" y="546474"/>
        <a:ext cx="35577" cy="35577"/>
      </dsp:txXfrm>
    </dsp:sp>
    <dsp:sp modelId="{9DCD972B-1513-465A-AD2B-AD5E9EEB7291}">
      <dsp:nvSpPr>
        <dsp:cNvPr id="0" name=""/>
        <dsp:cNvSpPr/>
      </dsp:nvSpPr>
      <dsp:spPr>
        <a:xfrm>
          <a:off x="3826740" y="47568"/>
          <a:ext cx="1138030" cy="4473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مدريد</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993401" y="113075"/>
        <a:ext cx="804708" cy="316296"/>
      </dsp:txXfrm>
    </dsp:sp>
    <dsp:sp modelId="{5337AE63-3722-42CC-AF72-36670EB7C5E1}">
      <dsp:nvSpPr>
        <dsp:cNvPr id="0" name=""/>
        <dsp:cNvSpPr/>
      </dsp:nvSpPr>
      <dsp:spPr>
        <a:xfrm rot="21589143">
          <a:off x="3592396" y="829531"/>
          <a:ext cx="767504" cy="13189"/>
        </a:xfrm>
        <a:custGeom>
          <a:avLst/>
          <a:gdLst/>
          <a:ahLst/>
          <a:cxnLst/>
          <a:rect l="0" t="0" r="0" b="0"/>
          <a:pathLst>
            <a:path>
              <a:moveTo>
                <a:pt x="0" y="6594"/>
              </a:moveTo>
              <a:lnTo>
                <a:pt x="768157"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56961" y="816938"/>
        <a:ext cx="38375" cy="38375"/>
      </dsp:txXfrm>
    </dsp:sp>
    <dsp:sp modelId="{CED9197C-8322-406B-917C-172FA36E7B76}">
      <dsp:nvSpPr>
        <dsp:cNvPr id="0" name=""/>
        <dsp:cNvSpPr/>
      </dsp:nvSpPr>
      <dsp:spPr>
        <a:xfrm>
          <a:off x="4359882" y="580975"/>
          <a:ext cx="1193284" cy="50410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12</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التصنيفات والمعايير</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34634" y="654800"/>
        <a:ext cx="843780" cy="356459"/>
      </dsp:txXfrm>
    </dsp:sp>
    <dsp:sp modelId="{4AC11394-3179-4EC5-A97F-D1A1B521CE2F}">
      <dsp:nvSpPr>
        <dsp:cNvPr id="0" name=""/>
        <dsp:cNvSpPr/>
      </dsp:nvSpPr>
      <dsp:spPr>
        <a:xfrm rot="1500735">
          <a:off x="3285528" y="1065690"/>
          <a:ext cx="399546" cy="13189"/>
        </a:xfrm>
        <a:custGeom>
          <a:avLst/>
          <a:gdLst/>
          <a:ahLst/>
          <a:cxnLst/>
          <a:rect l="0" t="0" r="0" b="0"/>
          <a:pathLst>
            <a:path>
              <a:moveTo>
                <a:pt x="0" y="6594"/>
              </a:moveTo>
              <a:lnTo>
                <a:pt x="399900"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75312" y="1062296"/>
        <a:ext cx="19977" cy="19977"/>
      </dsp:txXfrm>
    </dsp:sp>
    <dsp:sp modelId="{035B4C9A-0916-4FCC-A1CF-85DB358A289A}">
      <dsp:nvSpPr>
        <dsp:cNvPr id="0" name=""/>
        <dsp:cNvSpPr/>
      </dsp:nvSpPr>
      <dsp:spPr>
        <a:xfrm>
          <a:off x="3432421" y="1097874"/>
          <a:ext cx="1302194" cy="50703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البرنانج 14</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23123" y="1172128"/>
        <a:ext cx="920790" cy="358530"/>
      </dsp:txXfrm>
    </dsp:sp>
    <dsp:sp modelId="{ADF94B70-0D7F-4A27-8DF9-17BCD27F4A7A}">
      <dsp:nvSpPr>
        <dsp:cNvPr id="0" name=""/>
        <dsp:cNvSpPr/>
      </dsp:nvSpPr>
      <dsp:spPr>
        <a:xfrm rot="9393212">
          <a:off x="2305322" y="1049730"/>
          <a:ext cx="360025" cy="13189"/>
        </a:xfrm>
        <a:custGeom>
          <a:avLst/>
          <a:gdLst/>
          <a:ahLst/>
          <a:cxnLst/>
          <a:rect l="0" t="0" r="0" b="0"/>
          <a:pathLst>
            <a:path>
              <a:moveTo>
                <a:pt x="0" y="6594"/>
              </a:moveTo>
              <a:lnTo>
                <a:pt x="360356"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76334" y="1047324"/>
        <a:ext cx="18001" cy="18001"/>
      </dsp:txXfrm>
    </dsp:sp>
    <dsp:sp modelId="{0FAF3FA1-8E6C-455E-B189-A468B3F4D8BC}">
      <dsp:nvSpPr>
        <dsp:cNvPr id="0" name=""/>
        <dsp:cNvSpPr/>
      </dsp:nvSpPr>
      <dsp:spPr>
        <a:xfrm>
          <a:off x="1163871" y="1051766"/>
          <a:ext cx="1372059" cy="56029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64804" y="1133819"/>
        <a:ext cx="970193" cy="396189"/>
      </dsp:txXfrm>
    </dsp:sp>
    <dsp:sp modelId="{4C755D63-E57A-4826-AD35-228CF0B8702F}">
      <dsp:nvSpPr>
        <dsp:cNvPr id="0" name=""/>
        <dsp:cNvSpPr/>
      </dsp:nvSpPr>
      <dsp:spPr>
        <a:xfrm rot="10808569">
          <a:off x="1395989" y="829921"/>
          <a:ext cx="983286" cy="13189"/>
        </a:xfrm>
        <a:custGeom>
          <a:avLst/>
          <a:gdLst/>
          <a:ahLst/>
          <a:cxnLst/>
          <a:rect l="0" t="0" r="0" b="0"/>
          <a:pathLst>
            <a:path>
              <a:moveTo>
                <a:pt x="0" y="6594"/>
              </a:moveTo>
              <a:lnTo>
                <a:pt x="984098"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63050" y="811934"/>
        <a:ext cx="49164" cy="49164"/>
      </dsp:txXfrm>
    </dsp:sp>
    <dsp:sp modelId="{24E3E7DC-0BA5-48AF-955A-AA52F4F430B1}">
      <dsp:nvSpPr>
        <dsp:cNvPr id="0" name=""/>
        <dsp:cNvSpPr/>
      </dsp:nvSpPr>
      <dsp:spPr>
        <a:xfrm>
          <a:off x="138923" y="561546"/>
          <a:ext cx="1257077" cy="5443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لاهاي</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23018" y="641265"/>
        <a:ext cx="888887" cy="384918"/>
      </dsp:txXfrm>
    </dsp:sp>
    <dsp:sp modelId="{E3CB5DB8-2282-45FB-9E5F-A0F7C1267DC9}">
      <dsp:nvSpPr>
        <dsp:cNvPr id="0" name=""/>
        <dsp:cNvSpPr/>
      </dsp:nvSpPr>
      <dsp:spPr>
        <a:xfrm rot="12193039">
          <a:off x="2069675" y="568917"/>
          <a:ext cx="602649" cy="13189"/>
        </a:xfrm>
        <a:custGeom>
          <a:avLst/>
          <a:gdLst/>
          <a:ahLst/>
          <a:cxnLst/>
          <a:rect l="0" t="0" r="0" b="0"/>
          <a:pathLst>
            <a:path>
              <a:moveTo>
                <a:pt x="0" y="6594"/>
              </a:moveTo>
              <a:lnTo>
                <a:pt x="603152" y="65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55933" y="560445"/>
        <a:ext cx="30132" cy="30132"/>
      </dsp:txXfrm>
    </dsp:sp>
    <dsp:sp modelId="{2EA04359-081B-43A3-861D-095126BB9402}">
      <dsp:nvSpPr>
        <dsp:cNvPr id="0" name=""/>
        <dsp:cNvSpPr/>
      </dsp:nvSpPr>
      <dsp:spPr>
        <a:xfrm>
          <a:off x="1034802" y="40696"/>
          <a:ext cx="1282208" cy="47329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222577" y="110009"/>
        <a:ext cx="906658" cy="334672"/>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435395" y="927196"/>
          <a:ext cx="1162750" cy="485833"/>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05676" y="998345"/>
        <a:ext cx="822188" cy="343535"/>
      </dsp:txXfrm>
    </dsp:sp>
    <dsp:sp modelId="{650854B0-9FE7-4FFD-96B2-18F6452E0859}">
      <dsp:nvSpPr>
        <dsp:cNvPr id="0" name=""/>
        <dsp:cNvSpPr/>
      </dsp:nvSpPr>
      <dsp:spPr>
        <a:xfrm rot="16222721">
          <a:off x="2827361" y="726413"/>
          <a:ext cx="384571" cy="17004"/>
        </a:xfrm>
        <a:custGeom>
          <a:avLst/>
          <a:gdLst/>
          <a:ahLst/>
          <a:cxnLst/>
          <a:rect l="0" t="0" r="0" b="0"/>
          <a:pathLst>
            <a:path>
              <a:moveTo>
                <a:pt x="0" y="8502"/>
              </a:moveTo>
              <a:lnTo>
                <a:pt x="401655"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10032" y="725301"/>
        <a:ext cx="19228" cy="19228"/>
      </dsp:txXfrm>
    </dsp:sp>
    <dsp:sp modelId="{6394B413-6D12-4C4F-9A8D-E0508CAE8617}">
      <dsp:nvSpPr>
        <dsp:cNvPr id="0" name=""/>
        <dsp:cNvSpPr/>
      </dsp:nvSpPr>
      <dsp:spPr>
        <a:xfrm>
          <a:off x="2459584" y="9953"/>
          <a:ext cx="1126186" cy="5326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24510" y="87962"/>
        <a:ext cx="796334" cy="376664"/>
      </dsp:txXfrm>
    </dsp:sp>
    <dsp:sp modelId="{DEF09AAB-E09E-4486-8914-E37D47E60824}">
      <dsp:nvSpPr>
        <dsp:cNvPr id="0" name=""/>
        <dsp:cNvSpPr/>
      </dsp:nvSpPr>
      <dsp:spPr>
        <a:xfrm rot="20327628">
          <a:off x="3423422" y="892846"/>
          <a:ext cx="572080" cy="17004"/>
        </a:xfrm>
        <a:custGeom>
          <a:avLst/>
          <a:gdLst/>
          <a:ahLst/>
          <a:cxnLst/>
          <a:rect l="0" t="0" r="0" b="0"/>
          <a:pathLst>
            <a:path>
              <a:moveTo>
                <a:pt x="0" y="8502"/>
              </a:moveTo>
              <a:lnTo>
                <a:pt x="611519"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95160" y="887047"/>
        <a:ext cx="28604" cy="28604"/>
      </dsp:txXfrm>
    </dsp:sp>
    <dsp:sp modelId="{2ED32773-10C9-4671-A0BF-4C0DAB40AE25}">
      <dsp:nvSpPr>
        <dsp:cNvPr id="0" name=""/>
        <dsp:cNvSpPr/>
      </dsp:nvSpPr>
      <dsp:spPr>
        <a:xfrm>
          <a:off x="3840066" y="396580"/>
          <a:ext cx="1094493" cy="48352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00351" y="467391"/>
        <a:ext cx="773923" cy="341904"/>
      </dsp:txXfrm>
    </dsp:sp>
    <dsp:sp modelId="{6A5F15CA-77E2-4C48-8498-A7C7D3C4428C}">
      <dsp:nvSpPr>
        <dsp:cNvPr id="0" name=""/>
        <dsp:cNvSpPr/>
      </dsp:nvSpPr>
      <dsp:spPr>
        <a:xfrm rot="21592425">
          <a:off x="3598136" y="1159120"/>
          <a:ext cx="1097508" cy="17004"/>
        </a:xfrm>
        <a:custGeom>
          <a:avLst/>
          <a:gdLst/>
          <a:ahLst/>
          <a:cxnLst/>
          <a:rect l="0" t="0" r="0" b="0"/>
          <a:pathLst>
            <a:path>
              <a:moveTo>
                <a:pt x="0" y="8502"/>
              </a:moveTo>
              <a:lnTo>
                <a:pt x="1178174"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19452" y="1140185"/>
        <a:ext cx="54875" cy="54875"/>
      </dsp:txXfrm>
    </dsp:sp>
    <dsp:sp modelId="{638FE4E5-2063-40D0-A44F-91C88716CF8C}">
      <dsp:nvSpPr>
        <dsp:cNvPr id="0" name=""/>
        <dsp:cNvSpPr/>
      </dsp:nvSpPr>
      <dsp:spPr>
        <a:xfrm>
          <a:off x="4695633" y="910244"/>
          <a:ext cx="1243694" cy="50959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877768" y="984873"/>
        <a:ext cx="879424" cy="360339"/>
      </dsp:txXfrm>
    </dsp:sp>
    <dsp:sp modelId="{EAF47FDD-7D57-4FF6-9F6B-6E604D2CC0DE}">
      <dsp:nvSpPr>
        <dsp:cNvPr id="0" name=""/>
        <dsp:cNvSpPr/>
      </dsp:nvSpPr>
      <dsp:spPr>
        <a:xfrm rot="10786818">
          <a:off x="1244073" y="1166124"/>
          <a:ext cx="1191350" cy="17004"/>
        </a:xfrm>
        <a:custGeom>
          <a:avLst/>
          <a:gdLst/>
          <a:ahLst/>
          <a:cxnLst/>
          <a:rect l="0" t="0" r="0" b="0"/>
          <a:pathLst>
            <a:path>
              <a:moveTo>
                <a:pt x="0" y="8502"/>
              </a:moveTo>
              <a:lnTo>
                <a:pt x="1276148"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09965" y="1144842"/>
        <a:ext cx="59567" cy="59567"/>
      </dsp:txXfrm>
    </dsp:sp>
    <dsp:sp modelId="{F74F2681-A109-4B75-8C08-B2B26769CF03}">
      <dsp:nvSpPr>
        <dsp:cNvPr id="0" name=""/>
        <dsp:cNvSpPr/>
      </dsp:nvSpPr>
      <dsp:spPr>
        <a:xfrm>
          <a:off x="87202" y="886035"/>
          <a:ext cx="1156892" cy="58618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البيانات العالمية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6625" y="971880"/>
        <a:ext cx="818046" cy="414496"/>
      </dsp:txXfrm>
    </dsp:sp>
    <dsp:sp modelId="{AC7E3352-64BC-4978-9AB6-2DD833483239}">
      <dsp:nvSpPr>
        <dsp:cNvPr id="0" name=""/>
        <dsp:cNvSpPr/>
      </dsp:nvSpPr>
      <dsp:spPr>
        <a:xfrm rot="12167746">
          <a:off x="2041404" y="875345"/>
          <a:ext cx="588452" cy="17004"/>
        </a:xfrm>
        <a:custGeom>
          <a:avLst/>
          <a:gdLst/>
          <a:ahLst/>
          <a:cxnLst/>
          <a:rect l="0" t="0" r="0" b="0"/>
          <a:pathLst>
            <a:path>
              <a:moveTo>
                <a:pt x="0" y="8502"/>
              </a:moveTo>
              <a:lnTo>
                <a:pt x="766822"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20920" y="869136"/>
        <a:ext cx="29422" cy="29422"/>
      </dsp:txXfrm>
    </dsp:sp>
    <dsp:sp modelId="{05C48364-E63B-4056-87CF-0BE50D74190B}">
      <dsp:nvSpPr>
        <dsp:cNvPr id="0" name=""/>
        <dsp:cNvSpPr/>
      </dsp:nvSpPr>
      <dsp:spPr>
        <a:xfrm>
          <a:off x="970868" y="327546"/>
          <a:ext cx="1298994" cy="51138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161101" y="402437"/>
        <a:ext cx="918528" cy="36160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284524" y="676823"/>
          <a:ext cx="1185946" cy="444887"/>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EG"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58202" y="741975"/>
        <a:ext cx="838590" cy="314583"/>
      </dsp:txXfrm>
    </dsp:sp>
    <dsp:sp modelId="{72463A3F-A956-4917-8722-9FD79FB3E09A}">
      <dsp:nvSpPr>
        <dsp:cNvPr id="0" name=""/>
        <dsp:cNvSpPr/>
      </dsp:nvSpPr>
      <dsp:spPr>
        <a:xfrm rot="16214742">
          <a:off x="2822519" y="612944"/>
          <a:ext cx="112346" cy="15413"/>
        </a:xfrm>
        <a:custGeom>
          <a:avLst/>
          <a:gdLst/>
          <a:ahLst/>
          <a:cxnLst/>
          <a:rect l="0" t="0" r="0" b="0"/>
          <a:pathLst>
            <a:path>
              <a:moveTo>
                <a:pt x="0" y="7778"/>
              </a:moveTo>
              <a:lnTo>
                <a:pt x="126270"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75883" y="617842"/>
        <a:ext cx="5617" cy="5617"/>
      </dsp:txXfrm>
    </dsp:sp>
    <dsp:sp modelId="{A030EF9D-9337-4706-B87A-64BDE162520A}">
      <dsp:nvSpPr>
        <dsp:cNvPr id="0" name=""/>
        <dsp:cNvSpPr/>
      </dsp:nvSpPr>
      <dsp:spPr>
        <a:xfrm>
          <a:off x="2380903" y="64596"/>
          <a:ext cx="998201" cy="4998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27086" y="137802"/>
        <a:ext cx="705835" cy="353470"/>
      </dsp:txXfrm>
    </dsp:sp>
    <dsp:sp modelId="{00112A8F-12E8-45AC-B551-DFB66BE45059}">
      <dsp:nvSpPr>
        <dsp:cNvPr id="0" name=""/>
        <dsp:cNvSpPr/>
      </dsp:nvSpPr>
      <dsp:spPr>
        <a:xfrm rot="20469744">
          <a:off x="3307401" y="688940"/>
          <a:ext cx="328019" cy="15413"/>
        </a:xfrm>
        <a:custGeom>
          <a:avLst/>
          <a:gdLst/>
          <a:ahLst/>
          <a:cxnLst/>
          <a:rect l="0" t="0" r="0" b="0"/>
          <a:pathLst>
            <a:path>
              <a:moveTo>
                <a:pt x="0" y="7778"/>
              </a:moveTo>
              <a:lnTo>
                <a:pt x="403209"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63210" y="688446"/>
        <a:ext cx="16400" cy="16400"/>
      </dsp:txXfrm>
    </dsp:sp>
    <dsp:sp modelId="{423B6D89-2000-40C7-8429-BD38C7402395}">
      <dsp:nvSpPr>
        <dsp:cNvPr id="0" name=""/>
        <dsp:cNvSpPr/>
      </dsp:nvSpPr>
      <dsp:spPr>
        <a:xfrm>
          <a:off x="3493961" y="282286"/>
          <a:ext cx="1100861" cy="43776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EG"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55178" y="346395"/>
        <a:ext cx="778427" cy="309546"/>
      </dsp:txXfrm>
    </dsp:sp>
    <dsp:sp modelId="{650854B0-9FE7-4FFD-96B2-18F6452E0859}">
      <dsp:nvSpPr>
        <dsp:cNvPr id="0" name=""/>
        <dsp:cNvSpPr/>
      </dsp:nvSpPr>
      <dsp:spPr>
        <a:xfrm rot="592092">
          <a:off x="3411552" y="1030243"/>
          <a:ext cx="526349" cy="15413"/>
        </a:xfrm>
        <a:custGeom>
          <a:avLst/>
          <a:gdLst/>
          <a:ahLst/>
          <a:cxnLst/>
          <a:rect l="0" t="0" r="0" b="0"/>
          <a:pathLst>
            <a:path>
              <a:moveTo>
                <a:pt x="0" y="7778"/>
              </a:moveTo>
              <a:lnTo>
                <a:pt x="106008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61568" y="1024791"/>
        <a:ext cx="26317" cy="26317"/>
      </dsp:txXfrm>
    </dsp:sp>
    <dsp:sp modelId="{6394B413-6D12-4C4F-9A8D-E0508CAE8617}">
      <dsp:nvSpPr>
        <dsp:cNvPr id="0" name=""/>
        <dsp:cNvSpPr/>
      </dsp:nvSpPr>
      <dsp:spPr>
        <a:xfrm>
          <a:off x="3883191" y="935362"/>
          <a:ext cx="1226748" cy="49110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EG"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62844" y="1007282"/>
        <a:ext cx="867442" cy="347262"/>
      </dsp:txXfrm>
    </dsp:sp>
    <dsp:sp modelId="{6A5F15CA-77E2-4C48-8498-A7C7D3C4428C}">
      <dsp:nvSpPr>
        <dsp:cNvPr id="0" name=""/>
        <dsp:cNvSpPr/>
      </dsp:nvSpPr>
      <dsp:spPr>
        <a:xfrm rot="5325552">
          <a:off x="2819410" y="1178278"/>
          <a:ext cx="128593" cy="15413"/>
        </a:xfrm>
        <a:custGeom>
          <a:avLst/>
          <a:gdLst/>
          <a:ahLst/>
          <a:cxnLst/>
          <a:rect l="0" t="0" r="0" b="0"/>
          <a:pathLst>
            <a:path>
              <a:moveTo>
                <a:pt x="0" y="7778"/>
              </a:moveTo>
              <a:lnTo>
                <a:pt x="141173"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80492" y="1182770"/>
        <a:ext cx="6429" cy="6429"/>
      </dsp:txXfrm>
    </dsp:sp>
    <dsp:sp modelId="{638FE4E5-2063-40D0-A44F-91C88716CF8C}">
      <dsp:nvSpPr>
        <dsp:cNvPr id="0" name=""/>
        <dsp:cNvSpPr/>
      </dsp:nvSpPr>
      <dsp:spPr>
        <a:xfrm>
          <a:off x="2218861" y="1250258"/>
          <a:ext cx="1343018" cy="48675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EG"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15541" y="1321541"/>
        <a:ext cx="949658" cy="344188"/>
      </dsp:txXfrm>
    </dsp:sp>
    <dsp:sp modelId="{EAF47FDD-7D57-4FF6-9F6B-6E604D2CC0DE}">
      <dsp:nvSpPr>
        <dsp:cNvPr id="0" name=""/>
        <dsp:cNvSpPr/>
      </dsp:nvSpPr>
      <dsp:spPr>
        <a:xfrm rot="10117332">
          <a:off x="1803989" y="1051598"/>
          <a:ext cx="556437" cy="15413"/>
        </a:xfrm>
        <a:custGeom>
          <a:avLst/>
          <a:gdLst/>
          <a:ahLst/>
          <a:cxnLst/>
          <a:rect l="0" t="0" r="0" b="0"/>
          <a:pathLst>
            <a:path>
              <a:moveTo>
                <a:pt x="0" y="7778"/>
              </a:moveTo>
              <a:lnTo>
                <a:pt x="94225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68296" y="1045393"/>
        <a:ext cx="27821" cy="27821"/>
      </dsp:txXfrm>
    </dsp:sp>
    <dsp:sp modelId="{F74F2681-A109-4B75-8C08-B2B26769CF03}">
      <dsp:nvSpPr>
        <dsp:cNvPr id="0" name=""/>
        <dsp:cNvSpPr/>
      </dsp:nvSpPr>
      <dsp:spPr>
        <a:xfrm>
          <a:off x="713882" y="956038"/>
          <a:ext cx="1143295" cy="52716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EG"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881314" y="1033240"/>
        <a:ext cx="808431" cy="372763"/>
      </dsp:txXfrm>
    </dsp:sp>
    <dsp:sp modelId="{AC7E3352-64BC-4978-9AB6-2DD833483239}">
      <dsp:nvSpPr>
        <dsp:cNvPr id="0" name=""/>
        <dsp:cNvSpPr/>
      </dsp:nvSpPr>
      <dsp:spPr>
        <a:xfrm rot="12033108">
          <a:off x="2129367" y="674719"/>
          <a:ext cx="339516" cy="15413"/>
        </a:xfrm>
        <a:custGeom>
          <a:avLst/>
          <a:gdLst/>
          <a:ahLst/>
          <a:cxnLst/>
          <a:rect l="0" t="0" r="0" b="0"/>
          <a:pathLst>
            <a:path>
              <a:moveTo>
                <a:pt x="0" y="7778"/>
              </a:moveTo>
              <a:lnTo>
                <a:pt x="38676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90638" y="673938"/>
        <a:ext cx="16975" cy="16975"/>
      </dsp:txXfrm>
    </dsp:sp>
    <dsp:sp modelId="{05C48364-E63B-4056-87CF-0BE50D74190B}">
      <dsp:nvSpPr>
        <dsp:cNvPr id="0" name=""/>
        <dsp:cNvSpPr/>
      </dsp:nvSpPr>
      <dsp:spPr>
        <a:xfrm>
          <a:off x="1085945" y="216138"/>
          <a:ext cx="1222918" cy="48138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EG"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265037" y="286635"/>
        <a:ext cx="864734" cy="340392"/>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208041" y="837483"/>
          <a:ext cx="1044930" cy="30270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61067" y="881813"/>
        <a:ext cx="738878" cy="214041"/>
      </dsp:txXfrm>
    </dsp:sp>
    <dsp:sp modelId="{E887F142-3B93-49E1-A09D-1DCD207D21D1}">
      <dsp:nvSpPr>
        <dsp:cNvPr id="0" name=""/>
        <dsp:cNvSpPr/>
      </dsp:nvSpPr>
      <dsp:spPr>
        <a:xfrm rot="16227085">
          <a:off x="2519211" y="617582"/>
          <a:ext cx="428349" cy="11467"/>
        </a:xfrm>
        <a:custGeom>
          <a:avLst/>
          <a:gdLst/>
          <a:ahLst/>
          <a:cxnLst/>
          <a:rect l="0" t="0" r="0" b="0"/>
          <a:pathLst>
            <a:path>
              <a:moveTo>
                <a:pt x="0" y="6333"/>
              </a:moveTo>
              <a:lnTo>
                <a:pt x="534915"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22593" y="633939"/>
        <a:ext cx="0" cy="0"/>
      </dsp:txXfrm>
    </dsp:sp>
    <dsp:sp modelId="{3EA08C86-6A87-4381-A9A9-F10D993E2D53}">
      <dsp:nvSpPr>
        <dsp:cNvPr id="0" name=""/>
        <dsp:cNvSpPr/>
      </dsp:nvSpPr>
      <dsp:spPr>
        <a:xfrm>
          <a:off x="2349210" y="60921"/>
          <a:ext cx="774468" cy="34822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62628" y="111918"/>
        <a:ext cx="547632" cy="246233"/>
      </dsp:txXfrm>
    </dsp:sp>
    <dsp:sp modelId="{3DC5E90A-495A-4818-A1D5-03E6AF30AA1D}">
      <dsp:nvSpPr>
        <dsp:cNvPr id="0" name=""/>
        <dsp:cNvSpPr/>
      </dsp:nvSpPr>
      <dsp:spPr>
        <a:xfrm rot="19176424">
          <a:off x="2828656" y="648888"/>
          <a:ext cx="589291" cy="11467"/>
        </a:xfrm>
        <a:custGeom>
          <a:avLst/>
          <a:gdLst/>
          <a:ahLst/>
          <a:cxnLst/>
          <a:rect l="0" t="0" r="0" b="0"/>
          <a:pathLst>
            <a:path>
              <a:moveTo>
                <a:pt x="0" y="6333"/>
              </a:moveTo>
              <a:lnTo>
                <a:pt x="753376"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102535" y="652948"/>
        <a:ext cx="0" cy="0"/>
      </dsp:txXfrm>
    </dsp:sp>
    <dsp:sp modelId="{43DCCA43-33C0-4CEE-BAB5-C639F5D70563}">
      <dsp:nvSpPr>
        <dsp:cNvPr id="0" name=""/>
        <dsp:cNvSpPr/>
      </dsp:nvSpPr>
      <dsp:spPr>
        <a:xfrm>
          <a:off x="3149198" y="104900"/>
          <a:ext cx="788879" cy="38415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264727" y="161158"/>
        <a:ext cx="557821" cy="271638"/>
      </dsp:txXfrm>
    </dsp:sp>
    <dsp:sp modelId="{72463A3F-A956-4917-8722-9FD79FB3E09A}">
      <dsp:nvSpPr>
        <dsp:cNvPr id="0" name=""/>
        <dsp:cNvSpPr/>
      </dsp:nvSpPr>
      <dsp:spPr>
        <a:xfrm rot="20738388">
          <a:off x="3109422" y="783077"/>
          <a:ext cx="804747" cy="11467"/>
        </a:xfrm>
        <a:custGeom>
          <a:avLst/>
          <a:gdLst/>
          <a:ahLst/>
          <a:cxnLst/>
          <a:rect l="0" t="0" r="0" b="0"/>
          <a:pathLst>
            <a:path>
              <a:moveTo>
                <a:pt x="0" y="6333"/>
              </a:moveTo>
              <a:lnTo>
                <a:pt x="1024358"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87316" y="774310"/>
        <a:ext cx="0" cy="0"/>
      </dsp:txXfrm>
    </dsp:sp>
    <dsp:sp modelId="{A030EF9D-9337-4706-B87A-64BDE162520A}">
      <dsp:nvSpPr>
        <dsp:cNvPr id="0" name=""/>
        <dsp:cNvSpPr/>
      </dsp:nvSpPr>
      <dsp:spPr>
        <a:xfrm>
          <a:off x="3802947" y="351820"/>
          <a:ext cx="1144348" cy="4319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970533" y="415075"/>
        <a:ext cx="809176" cy="305421"/>
      </dsp:txXfrm>
    </dsp:sp>
    <dsp:sp modelId="{00112A8F-12E8-45AC-B551-DFB66BE45059}">
      <dsp:nvSpPr>
        <dsp:cNvPr id="0" name=""/>
        <dsp:cNvSpPr/>
      </dsp:nvSpPr>
      <dsp:spPr>
        <a:xfrm rot="46295">
          <a:off x="3252359" y="997277"/>
          <a:ext cx="1061594" cy="11467"/>
        </a:xfrm>
        <a:custGeom>
          <a:avLst/>
          <a:gdLst/>
          <a:ahLst/>
          <a:cxnLst/>
          <a:rect l="0" t="0" r="0" b="0"/>
          <a:pathLst>
            <a:path>
              <a:moveTo>
                <a:pt x="0" y="6333"/>
              </a:moveTo>
              <a:lnTo>
                <a:pt x="1274989"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56976" y="976116"/>
        <a:ext cx="0" cy="0"/>
      </dsp:txXfrm>
    </dsp:sp>
    <dsp:sp modelId="{423B6D89-2000-40C7-8429-BD38C7402395}">
      <dsp:nvSpPr>
        <dsp:cNvPr id="0" name=""/>
        <dsp:cNvSpPr/>
      </dsp:nvSpPr>
      <dsp:spPr>
        <a:xfrm>
          <a:off x="4313692" y="835220"/>
          <a:ext cx="850741" cy="36132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438280" y="888135"/>
        <a:ext cx="601565" cy="255497"/>
      </dsp:txXfrm>
    </dsp:sp>
    <dsp:sp modelId="{650854B0-9FE7-4FFD-96B2-18F6452E0859}">
      <dsp:nvSpPr>
        <dsp:cNvPr id="0" name=""/>
        <dsp:cNvSpPr/>
      </dsp:nvSpPr>
      <dsp:spPr>
        <a:xfrm rot="863322">
          <a:off x="3107377" y="1196429"/>
          <a:ext cx="909337" cy="11467"/>
        </a:xfrm>
        <a:custGeom>
          <a:avLst/>
          <a:gdLst/>
          <a:ahLst/>
          <a:cxnLst/>
          <a:rect l="0" t="0" r="0" b="0"/>
          <a:pathLst>
            <a:path>
              <a:moveTo>
                <a:pt x="0" y="6333"/>
              </a:moveTo>
              <a:lnTo>
                <a:pt x="1148356"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45674" y="1174493"/>
        <a:ext cx="0" cy="0"/>
      </dsp:txXfrm>
    </dsp:sp>
    <dsp:sp modelId="{6394B413-6D12-4C4F-9A8D-E0508CAE8617}">
      <dsp:nvSpPr>
        <dsp:cNvPr id="0" name=""/>
        <dsp:cNvSpPr/>
      </dsp:nvSpPr>
      <dsp:spPr>
        <a:xfrm>
          <a:off x="3873577" y="1247549"/>
          <a:ext cx="1154425" cy="36523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42639" y="1301036"/>
        <a:ext cx="816301" cy="258261"/>
      </dsp:txXfrm>
    </dsp:sp>
    <dsp:sp modelId="{DEF09AAB-E09E-4486-8914-E37D47E60824}">
      <dsp:nvSpPr>
        <dsp:cNvPr id="0" name=""/>
        <dsp:cNvSpPr/>
      </dsp:nvSpPr>
      <dsp:spPr>
        <a:xfrm rot="2430467">
          <a:off x="2840761" y="1282322"/>
          <a:ext cx="479982" cy="11467"/>
        </a:xfrm>
        <a:custGeom>
          <a:avLst/>
          <a:gdLst/>
          <a:ahLst/>
          <a:cxnLst/>
          <a:rect l="0" t="0" r="0" b="0"/>
          <a:pathLst>
            <a:path>
              <a:moveTo>
                <a:pt x="0" y="6333"/>
              </a:moveTo>
              <a:lnTo>
                <a:pt x="598583"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79423" y="1271138"/>
        <a:ext cx="0" cy="0"/>
      </dsp:txXfrm>
    </dsp:sp>
    <dsp:sp modelId="{2ED32773-10C9-4671-A0BF-4C0DAB40AE25}">
      <dsp:nvSpPr>
        <dsp:cNvPr id="0" name=""/>
        <dsp:cNvSpPr/>
      </dsp:nvSpPr>
      <dsp:spPr>
        <a:xfrm>
          <a:off x="2999162" y="1426386"/>
          <a:ext cx="919346" cy="36934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133797" y="1480475"/>
        <a:ext cx="650076" cy="261164"/>
      </dsp:txXfrm>
    </dsp:sp>
    <dsp:sp modelId="{EAF47FDD-7D57-4FF6-9F6B-6E604D2CC0DE}">
      <dsp:nvSpPr>
        <dsp:cNvPr id="0" name=""/>
        <dsp:cNvSpPr/>
      </dsp:nvSpPr>
      <dsp:spPr>
        <a:xfrm rot="7067139">
          <a:off x="2377446" y="1298187"/>
          <a:ext cx="374067" cy="11467"/>
        </a:xfrm>
        <a:custGeom>
          <a:avLst/>
          <a:gdLst/>
          <a:ahLst/>
          <a:cxnLst/>
          <a:rect l="0" t="0" r="0" b="0"/>
          <a:pathLst>
            <a:path>
              <a:moveTo>
                <a:pt x="0" y="6333"/>
              </a:moveTo>
              <a:lnTo>
                <a:pt x="468721"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577112" y="1300007"/>
        <a:ext cx="0" cy="0"/>
      </dsp:txXfrm>
    </dsp:sp>
    <dsp:sp modelId="{F74F2681-A109-4B75-8C08-B2B26769CF03}">
      <dsp:nvSpPr>
        <dsp:cNvPr id="0" name=""/>
        <dsp:cNvSpPr/>
      </dsp:nvSpPr>
      <dsp:spPr>
        <a:xfrm>
          <a:off x="1817022" y="1467121"/>
          <a:ext cx="1138109" cy="35075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983694" y="1518488"/>
        <a:ext cx="804765" cy="248020"/>
      </dsp:txXfrm>
    </dsp:sp>
    <dsp:sp modelId="{AC7E3352-64BC-4978-9AB6-2DD833483239}">
      <dsp:nvSpPr>
        <dsp:cNvPr id="0" name=""/>
        <dsp:cNvSpPr/>
      </dsp:nvSpPr>
      <dsp:spPr>
        <a:xfrm rot="9616227">
          <a:off x="1598997" y="1240513"/>
          <a:ext cx="827498" cy="11467"/>
        </a:xfrm>
        <a:custGeom>
          <a:avLst/>
          <a:gdLst/>
          <a:ahLst/>
          <a:cxnLst/>
          <a:rect l="0" t="0" r="0" b="0"/>
          <a:pathLst>
            <a:path>
              <a:moveTo>
                <a:pt x="0" y="6333"/>
              </a:moveTo>
              <a:lnTo>
                <a:pt x="1001679"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39202" y="1258735"/>
        <a:ext cx="0" cy="0"/>
      </dsp:txXfrm>
    </dsp:sp>
    <dsp:sp modelId="{05C48364-E63B-4056-87CF-0BE50D74190B}">
      <dsp:nvSpPr>
        <dsp:cNvPr id="0" name=""/>
        <dsp:cNvSpPr/>
      </dsp:nvSpPr>
      <dsp:spPr>
        <a:xfrm>
          <a:off x="652890" y="1344983"/>
          <a:ext cx="1183418" cy="35349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التواصل</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826198" y="1396751"/>
        <a:ext cx="836802" cy="249958"/>
      </dsp:txXfrm>
    </dsp:sp>
    <dsp:sp modelId="{06FD983D-3F71-4BCE-AD7F-6DD1041A2F23}">
      <dsp:nvSpPr>
        <dsp:cNvPr id="0" name=""/>
        <dsp:cNvSpPr/>
      </dsp:nvSpPr>
      <dsp:spPr>
        <a:xfrm rot="10573551">
          <a:off x="1359313" y="1045098"/>
          <a:ext cx="862704" cy="11467"/>
        </a:xfrm>
        <a:custGeom>
          <a:avLst/>
          <a:gdLst/>
          <a:ahLst/>
          <a:cxnLst/>
          <a:rect l="0" t="0" r="0" b="0"/>
          <a:pathLst>
            <a:path>
              <a:moveTo>
                <a:pt x="0" y="6333"/>
              </a:moveTo>
              <a:lnTo>
                <a:pt x="1057724"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13606" y="1070933"/>
        <a:ext cx="0" cy="0"/>
      </dsp:txXfrm>
    </dsp:sp>
    <dsp:sp modelId="{CFBB929F-8BEB-442D-8D00-28EE1C02C39C}">
      <dsp:nvSpPr>
        <dsp:cNvPr id="0" name=""/>
        <dsp:cNvSpPr/>
      </dsp:nvSpPr>
      <dsp:spPr>
        <a:xfrm>
          <a:off x="347816" y="913668"/>
          <a:ext cx="1019579" cy="39742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الإدارة التنفيذية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97130" y="971870"/>
        <a:ext cx="720951" cy="281025"/>
      </dsp:txXfrm>
    </dsp:sp>
    <dsp:sp modelId="{C494819C-C98E-47AA-9AF0-D23BA2FEB24F}">
      <dsp:nvSpPr>
        <dsp:cNvPr id="0" name=""/>
        <dsp:cNvSpPr/>
      </dsp:nvSpPr>
      <dsp:spPr>
        <a:xfrm rot="11471665">
          <a:off x="1461723" y="815659"/>
          <a:ext cx="845421" cy="11467"/>
        </a:xfrm>
        <a:custGeom>
          <a:avLst/>
          <a:gdLst/>
          <a:ahLst/>
          <a:cxnLst/>
          <a:rect l="0" t="0" r="0" b="0"/>
          <a:pathLst>
            <a:path>
              <a:moveTo>
                <a:pt x="0" y="6333"/>
              </a:moveTo>
              <a:lnTo>
                <a:pt x="1060003"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01064" y="846229"/>
        <a:ext cx="0" cy="0"/>
      </dsp:txXfrm>
    </dsp:sp>
    <dsp:sp modelId="{77FEFA40-E907-476F-8675-3DC698720930}">
      <dsp:nvSpPr>
        <dsp:cNvPr id="0" name=""/>
        <dsp:cNvSpPr/>
      </dsp:nvSpPr>
      <dsp:spPr>
        <a:xfrm>
          <a:off x="382536" y="415308"/>
          <a:ext cx="1150252" cy="4453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22</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إدارة البرامج والموارد</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550987" y="480527"/>
        <a:ext cx="813350" cy="314908"/>
      </dsp:txXfrm>
    </dsp:sp>
    <dsp:sp modelId="{EF98737B-1136-4CD3-A0AC-E4FF8E58DD83}">
      <dsp:nvSpPr>
        <dsp:cNvPr id="0" name=""/>
        <dsp:cNvSpPr/>
      </dsp:nvSpPr>
      <dsp:spPr>
        <a:xfrm rot="12993863">
          <a:off x="1985591" y="658817"/>
          <a:ext cx="615397" cy="11467"/>
        </a:xfrm>
        <a:custGeom>
          <a:avLst/>
          <a:gdLst/>
          <a:ahLst/>
          <a:cxnLst/>
          <a:rect l="0" t="0" r="0" b="0"/>
          <a:pathLst>
            <a:path>
              <a:moveTo>
                <a:pt x="0" y="6333"/>
              </a:moveTo>
              <a:lnTo>
                <a:pt x="759383" y="6333"/>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96481" y="686071"/>
        <a:ext cx="0" cy="0"/>
      </dsp:txXfrm>
    </dsp:sp>
    <dsp:sp modelId="{C8187693-0532-46C7-A6F3-C4A32348C87B}">
      <dsp:nvSpPr>
        <dsp:cNvPr id="0" name=""/>
        <dsp:cNvSpPr/>
      </dsp:nvSpPr>
      <dsp:spPr>
        <a:xfrm>
          <a:off x="1336627" y="113570"/>
          <a:ext cx="956329" cy="39215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لاهاي</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476678" y="171000"/>
        <a:ext cx="676227" cy="277295"/>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49885" y="705862"/>
          <a:ext cx="1196229" cy="404350"/>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25069" y="765078"/>
        <a:ext cx="845861" cy="285918"/>
      </dsp:txXfrm>
    </dsp:sp>
    <dsp:sp modelId="{DB73B42A-BE4F-46BC-B512-015EB15734E7}">
      <dsp:nvSpPr>
        <dsp:cNvPr id="0" name=""/>
        <dsp:cNvSpPr/>
      </dsp:nvSpPr>
      <dsp:spPr>
        <a:xfrm rot="16323128">
          <a:off x="2848435" y="589045"/>
          <a:ext cx="221552" cy="12252"/>
        </a:xfrm>
        <a:custGeom>
          <a:avLst/>
          <a:gdLst/>
          <a:ahLst/>
          <a:cxnLst/>
          <a:rect l="0" t="0" r="0" b="0"/>
          <a:pathLst>
            <a:path>
              <a:moveTo>
                <a:pt x="0" y="6126"/>
              </a:moveTo>
              <a:lnTo>
                <a:pt x="257054"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53672" y="589633"/>
        <a:ext cx="11077" cy="11077"/>
      </dsp:txXfrm>
    </dsp:sp>
    <dsp:sp modelId="{8C16842D-5717-4E53-9353-18DF877708CF}">
      <dsp:nvSpPr>
        <dsp:cNvPr id="0" name=""/>
        <dsp:cNvSpPr/>
      </dsp:nvSpPr>
      <dsp:spPr>
        <a:xfrm>
          <a:off x="2303843" y="2287"/>
          <a:ext cx="1335944" cy="4821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499487" y="72903"/>
        <a:ext cx="944656" cy="340967"/>
      </dsp:txXfrm>
    </dsp:sp>
    <dsp:sp modelId="{F32845D8-3F89-45CE-82D0-5F6D6B81E25D}">
      <dsp:nvSpPr>
        <dsp:cNvPr id="0" name=""/>
        <dsp:cNvSpPr/>
      </dsp:nvSpPr>
      <dsp:spPr>
        <a:xfrm rot="20606743">
          <a:off x="3388405" y="708266"/>
          <a:ext cx="422122" cy="12252"/>
        </a:xfrm>
        <a:custGeom>
          <a:avLst/>
          <a:gdLst/>
          <a:ahLst/>
          <a:cxnLst/>
          <a:rect l="0" t="0" r="0" b="0"/>
          <a:pathLst>
            <a:path>
              <a:moveTo>
                <a:pt x="0" y="6126"/>
              </a:moveTo>
              <a:lnTo>
                <a:pt x="422238"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88913" y="703839"/>
        <a:ext cx="21106" cy="21106"/>
      </dsp:txXfrm>
    </dsp:sp>
    <dsp:sp modelId="{56946440-4960-4194-9471-9ABCF62950BA}">
      <dsp:nvSpPr>
        <dsp:cNvPr id="0" name=""/>
        <dsp:cNvSpPr/>
      </dsp:nvSpPr>
      <dsp:spPr>
        <a:xfrm>
          <a:off x="3688766" y="286614"/>
          <a:ext cx="1149312" cy="4608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57079" y="354103"/>
        <a:ext cx="812686" cy="325863"/>
      </dsp:txXfrm>
    </dsp:sp>
    <dsp:sp modelId="{5337AE63-3722-42CC-AF72-36670EB7C5E1}">
      <dsp:nvSpPr>
        <dsp:cNvPr id="0" name=""/>
        <dsp:cNvSpPr/>
      </dsp:nvSpPr>
      <dsp:spPr>
        <a:xfrm rot="1080">
          <a:off x="3546115" y="902266"/>
          <a:ext cx="1068037" cy="12252"/>
        </a:xfrm>
        <a:custGeom>
          <a:avLst/>
          <a:gdLst/>
          <a:ahLst/>
          <a:cxnLst/>
          <a:rect l="0" t="0" r="0" b="0"/>
          <a:pathLst>
            <a:path>
              <a:moveTo>
                <a:pt x="0" y="6126"/>
              </a:moveTo>
              <a:lnTo>
                <a:pt x="106803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53432" y="881691"/>
        <a:ext cx="53401" cy="53401"/>
      </dsp:txXfrm>
    </dsp:sp>
    <dsp:sp modelId="{CED9197C-8322-406B-917C-172FA36E7B76}">
      <dsp:nvSpPr>
        <dsp:cNvPr id="0" name=""/>
        <dsp:cNvSpPr/>
      </dsp:nvSpPr>
      <dsp:spPr>
        <a:xfrm>
          <a:off x="4614152" y="630118"/>
          <a:ext cx="1326272" cy="5572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808380" y="711733"/>
        <a:ext cx="937816" cy="394069"/>
      </dsp:txXfrm>
    </dsp:sp>
    <dsp:sp modelId="{4AC11394-3179-4EC5-A97F-D1A1B521CE2F}">
      <dsp:nvSpPr>
        <dsp:cNvPr id="0" name=""/>
        <dsp:cNvSpPr/>
      </dsp:nvSpPr>
      <dsp:spPr>
        <a:xfrm rot="1039915">
          <a:off x="3378558" y="1097457"/>
          <a:ext cx="392077" cy="12252"/>
        </a:xfrm>
        <a:custGeom>
          <a:avLst/>
          <a:gdLst/>
          <a:ahLst/>
          <a:cxnLst/>
          <a:rect l="0" t="0" r="0" b="0"/>
          <a:pathLst>
            <a:path>
              <a:moveTo>
                <a:pt x="0" y="6126"/>
              </a:moveTo>
              <a:lnTo>
                <a:pt x="392192"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64795" y="1093781"/>
        <a:ext cx="19603" cy="19603"/>
      </dsp:txXfrm>
    </dsp:sp>
    <dsp:sp modelId="{035B4C9A-0916-4FCC-A1CF-85DB358A289A}">
      <dsp:nvSpPr>
        <dsp:cNvPr id="0" name=""/>
        <dsp:cNvSpPr/>
      </dsp:nvSpPr>
      <dsp:spPr>
        <a:xfrm>
          <a:off x="3664957" y="1044670"/>
          <a:ext cx="1140307" cy="53008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31951" y="1122299"/>
        <a:ext cx="806319" cy="374828"/>
      </dsp:txXfrm>
    </dsp:sp>
    <dsp:sp modelId="{64248C57-3CE0-4657-BC67-6279BA0257B1}">
      <dsp:nvSpPr>
        <dsp:cNvPr id="0" name=""/>
        <dsp:cNvSpPr/>
      </dsp:nvSpPr>
      <dsp:spPr>
        <a:xfrm rot="5388050">
          <a:off x="2879361" y="1173669"/>
          <a:ext cx="139167" cy="12252"/>
        </a:xfrm>
        <a:custGeom>
          <a:avLst/>
          <a:gdLst/>
          <a:ahLst/>
          <a:cxnLst/>
          <a:rect l="0" t="0" r="0" b="0"/>
          <a:pathLst>
            <a:path>
              <a:moveTo>
                <a:pt x="0" y="6126"/>
              </a:moveTo>
              <a:lnTo>
                <a:pt x="139216"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45465" y="1176316"/>
        <a:ext cx="6958" cy="6958"/>
      </dsp:txXfrm>
    </dsp:sp>
    <dsp:sp modelId="{976BA53C-17D4-4F7C-9078-1272C469C9E5}">
      <dsp:nvSpPr>
        <dsp:cNvPr id="0" name=""/>
        <dsp:cNvSpPr/>
      </dsp:nvSpPr>
      <dsp:spPr>
        <a:xfrm>
          <a:off x="2354231" y="1249379"/>
          <a:ext cx="1191506" cy="45904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28723" y="1316604"/>
        <a:ext cx="842522" cy="324592"/>
      </dsp:txXfrm>
    </dsp:sp>
    <dsp:sp modelId="{73944B9B-8143-474E-A2B5-719E57EA1FE0}">
      <dsp:nvSpPr>
        <dsp:cNvPr id="0" name=""/>
        <dsp:cNvSpPr/>
      </dsp:nvSpPr>
      <dsp:spPr>
        <a:xfrm rot="9635897">
          <a:off x="2160366" y="1111619"/>
          <a:ext cx="384386" cy="12252"/>
        </a:xfrm>
        <a:custGeom>
          <a:avLst/>
          <a:gdLst/>
          <a:ahLst/>
          <a:cxnLst/>
          <a:rect l="0" t="0" r="0" b="0"/>
          <a:pathLst>
            <a:path>
              <a:moveTo>
                <a:pt x="0" y="6126"/>
              </a:moveTo>
              <a:lnTo>
                <a:pt x="384499"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42949" y="1108135"/>
        <a:ext cx="19219" cy="19219"/>
      </dsp:txXfrm>
    </dsp:sp>
    <dsp:sp modelId="{2BDBEDDB-6DE8-44DC-8FC2-1ED793273BD1}">
      <dsp:nvSpPr>
        <dsp:cNvPr id="0" name=""/>
        <dsp:cNvSpPr/>
      </dsp:nvSpPr>
      <dsp:spPr>
        <a:xfrm>
          <a:off x="1074287" y="1079546"/>
          <a:ext cx="1231674" cy="54300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1254661" y="1159067"/>
        <a:ext cx="870926" cy="383959"/>
      </dsp:txXfrm>
    </dsp:sp>
    <dsp:sp modelId="{ADF94B70-0D7F-4A27-8DF9-17BCD27F4A7A}">
      <dsp:nvSpPr>
        <dsp:cNvPr id="0" name=""/>
        <dsp:cNvSpPr/>
      </dsp:nvSpPr>
      <dsp:spPr>
        <a:xfrm rot="10802850">
          <a:off x="1259515" y="900963"/>
          <a:ext cx="1090371" cy="12252"/>
        </a:xfrm>
        <a:custGeom>
          <a:avLst/>
          <a:gdLst/>
          <a:ahLst/>
          <a:cxnLst/>
          <a:rect l="0" t="0" r="0" b="0"/>
          <a:pathLst>
            <a:path>
              <a:moveTo>
                <a:pt x="0" y="6126"/>
              </a:moveTo>
              <a:lnTo>
                <a:pt x="109056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77442" y="879830"/>
        <a:ext cx="54518" cy="54518"/>
      </dsp:txXfrm>
    </dsp:sp>
    <dsp:sp modelId="{0FAF3FA1-8E6C-455E-B189-A468B3F4D8BC}">
      <dsp:nvSpPr>
        <dsp:cNvPr id="0" name=""/>
        <dsp:cNvSpPr/>
      </dsp:nvSpPr>
      <dsp:spPr>
        <a:xfrm>
          <a:off x="22092" y="628459"/>
          <a:ext cx="1237424" cy="55533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التواصل</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03309" y="709785"/>
        <a:ext cx="874990" cy="392678"/>
      </dsp:txXfrm>
    </dsp:sp>
    <dsp:sp modelId="{7DF391B8-9498-4F55-ACE3-A6D0DB9A80F6}">
      <dsp:nvSpPr>
        <dsp:cNvPr id="0" name=""/>
        <dsp:cNvSpPr/>
      </dsp:nvSpPr>
      <dsp:spPr>
        <a:xfrm rot="12018079">
          <a:off x="2200474" y="691055"/>
          <a:ext cx="355100" cy="12252"/>
        </a:xfrm>
        <a:custGeom>
          <a:avLst/>
          <a:gdLst/>
          <a:ahLst/>
          <a:cxnLst/>
          <a:rect l="0" t="0" r="0" b="0"/>
          <a:pathLst>
            <a:path>
              <a:moveTo>
                <a:pt x="0" y="6126"/>
              </a:moveTo>
              <a:lnTo>
                <a:pt x="355209"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69147" y="688304"/>
        <a:ext cx="17755" cy="17755"/>
      </dsp:txXfrm>
    </dsp:sp>
    <dsp:sp modelId="{E3F75BBA-60EC-4D9A-B0CC-E18ADA53928C}">
      <dsp:nvSpPr>
        <dsp:cNvPr id="0" name=""/>
        <dsp:cNvSpPr/>
      </dsp:nvSpPr>
      <dsp:spPr>
        <a:xfrm>
          <a:off x="1065332" y="229405"/>
          <a:ext cx="1363893" cy="46888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265070" y="298071"/>
        <a:ext cx="964417" cy="3315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33625" y="538314"/>
          <a:ext cx="1085848" cy="40901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92644" y="598213"/>
        <a:ext cx="767810" cy="289221"/>
      </dsp:txXfrm>
    </dsp:sp>
    <dsp:sp modelId="{4AC11394-3179-4EC5-A97F-D1A1B521CE2F}">
      <dsp:nvSpPr>
        <dsp:cNvPr id="0" name=""/>
        <dsp:cNvSpPr/>
      </dsp:nvSpPr>
      <dsp:spPr>
        <a:xfrm rot="1134">
          <a:off x="3419473" y="736731"/>
          <a:ext cx="769072" cy="12797"/>
        </a:xfrm>
        <a:custGeom>
          <a:avLst/>
          <a:gdLst/>
          <a:ahLst/>
          <a:cxnLst/>
          <a:rect l="0" t="0" r="0" b="0"/>
          <a:pathLst>
            <a:path>
              <a:moveTo>
                <a:pt x="0" y="6398"/>
              </a:moveTo>
              <a:lnTo>
                <a:pt x="769072"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84783" y="723903"/>
        <a:ext cx="38453" cy="38453"/>
      </dsp:txXfrm>
    </dsp:sp>
    <dsp:sp modelId="{035B4C9A-0916-4FCC-A1CF-85DB358A289A}">
      <dsp:nvSpPr>
        <dsp:cNvPr id="0" name=""/>
        <dsp:cNvSpPr/>
      </dsp:nvSpPr>
      <dsp:spPr>
        <a:xfrm>
          <a:off x="4188545" y="516645"/>
          <a:ext cx="1459781" cy="45370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402325" y="583088"/>
        <a:ext cx="1032221" cy="320818"/>
      </dsp:txXfrm>
    </dsp:sp>
    <dsp:sp modelId="{ADF94B70-0D7F-4A27-8DF9-17BCD27F4A7A}">
      <dsp:nvSpPr>
        <dsp:cNvPr id="0" name=""/>
        <dsp:cNvSpPr/>
      </dsp:nvSpPr>
      <dsp:spPr>
        <a:xfrm rot="10801296">
          <a:off x="1728239" y="736106"/>
          <a:ext cx="605386" cy="12797"/>
        </a:xfrm>
        <a:custGeom>
          <a:avLst/>
          <a:gdLst/>
          <a:ahLst/>
          <a:cxnLst/>
          <a:rect l="0" t="0" r="0" b="0"/>
          <a:pathLst>
            <a:path>
              <a:moveTo>
                <a:pt x="0" y="6398"/>
              </a:moveTo>
              <a:lnTo>
                <a:pt x="605386"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15798" y="727370"/>
        <a:ext cx="30269" cy="30269"/>
      </dsp:txXfrm>
    </dsp:sp>
    <dsp:sp modelId="{0FAF3FA1-8E6C-455E-B189-A468B3F4D8BC}">
      <dsp:nvSpPr>
        <dsp:cNvPr id="0" name=""/>
        <dsp:cNvSpPr/>
      </dsp:nvSpPr>
      <dsp:spPr>
        <a:xfrm>
          <a:off x="466725" y="515049"/>
          <a:ext cx="1261513" cy="45420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651469" y="581566"/>
        <a:ext cx="892025" cy="321173"/>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393533" y="767051"/>
          <a:ext cx="1192944" cy="40705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68236" y="826663"/>
        <a:ext cx="843538" cy="287834"/>
      </dsp:txXfrm>
    </dsp:sp>
    <dsp:sp modelId="{E887F142-3B93-49E1-A09D-1DCD207D21D1}">
      <dsp:nvSpPr>
        <dsp:cNvPr id="0" name=""/>
        <dsp:cNvSpPr/>
      </dsp:nvSpPr>
      <dsp:spPr>
        <a:xfrm rot="16175855">
          <a:off x="2890506" y="663346"/>
          <a:ext cx="194772" cy="12644"/>
        </a:xfrm>
        <a:custGeom>
          <a:avLst/>
          <a:gdLst/>
          <a:ahLst/>
          <a:cxnLst/>
          <a:rect l="0" t="0" r="0" b="0"/>
          <a:pathLst>
            <a:path>
              <a:moveTo>
                <a:pt x="0" y="6322"/>
              </a:moveTo>
              <a:lnTo>
                <a:pt x="283126"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3023" y="664799"/>
        <a:ext cx="9738" cy="9738"/>
      </dsp:txXfrm>
    </dsp:sp>
    <dsp:sp modelId="{3EA08C86-6A87-4381-A9A9-F10D993E2D53}">
      <dsp:nvSpPr>
        <dsp:cNvPr id="0" name=""/>
        <dsp:cNvSpPr/>
      </dsp:nvSpPr>
      <dsp:spPr>
        <a:xfrm>
          <a:off x="2484877" y="76269"/>
          <a:ext cx="1001177" cy="4960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31496" y="148909"/>
        <a:ext cx="707939" cy="350737"/>
      </dsp:txXfrm>
    </dsp:sp>
    <dsp:sp modelId="{00112A8F-12E8-45AC-B551-DFB66BE45059}">
      <dsp:nvSpPr>
        <dsp:cNvPr id="0" name=""/>
        <dsp:cNvSpPr/>
      </dsp:nvSpPr>
      <dsp:spPr>
        <a:xfrm rot="20325438">
          <a:off x="3363157" y="702868"/>
          <a:ext cx="598531" cy="12644"/>
        </a:xfrm>
        <a:custGeom>
          <a:avLst/>
          <a:gdLst/>
          <a:ahLst/>
          <a:cxnLst/>
          <a:rect l="0" t="0" r="0" b="0"/>
          <a:pathLst>
            <a:path>
              <a:moveTo>
                <a:pt x="0" y="6322"/>
              </a:moveTo>
              <a:lnTo>
                <a:pt x="717773"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47459" y="694227"/>
        <a:ext cx="29926" cy="29926"/>
      </dsp:txXfrm>
    </dsp:sp>
    <dsp:sp modelId="{423B6D89-2000-40C7-8429-BD38C7402395}">
      <dsp:nvSpPr>
        <dsp:cNvPr id="0" name=""/>
        <dsp:cNvSpPr/>
      </dsp:nvSpPr>
      <dsp:spPr>
        <a:xfrm>
          <a:off x="3743521" y="170714"/>
          <a:ext cx="1317666" cy="50168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936489" y="244184"/>
        <a:ext cx="931730" cy="354743"/>
      </dsp:txXfrm>
    </dsp:sp>
    <dsp:sp modelId="{650854B0-9FE7-4FFD-96B2-18F6452E0859}">
      <dsp:nvSpPr>
        <dsp:cNvPr id="0" name=""/>
        <dsp:cNvSpPr/>
      </dsp:nvSpPr>
      <dsp:spPr>
        <a:xfrm rot="1232">
          <a:off x="3586477" y="964687"/>
          <a:ext cx="1196749" cy="12644"/>
        </a:xfrm>
        <a:custGeom>
          <a:avLst/>
          <a:gdLst/>
          <a:ahLst/>
          <a:cxnLst/>
          <a:rect l="0" t="0" r="0" b="0"/>
          <a:pathLst>
            <a:path>
              <a:moveTo>
                <a:pt x="0" y="6322"/>
              </a:moveTo>
              <a:lnTo>
                <a:pt x="134302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54933" y="941090"/>
        <a:ext cx="59837" cy="59837"/>
      </dsp:txXfrm>
    </dsp:sp>
    <dsp:sp modelId="{6394B413-6D12-4C4F-9A8D-E0508CAE8617}">
      <dsp:nvSpPr>
        <dsp:cNvPr id="0" name=""/>
        <dsp:cNvSpPr/>
      </dsp:nvSpPr>
      <dsp:spPr>
        <a:xfrm>
          <a:off x="4783227" y="735582"/>
          <a:ext cx="1048393" cy="4716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936761" y="804655"/>
        <a:ext cx="741325" cy="333512"/>
      </dsp:txXfrm>
    </dsp:sp>
    <dsp:sp modelId="{DEF09AAB-E09E-4486-8914-E37D47E60824}">
      <dsp:nvSpPr>
        <dsp:cNvPr id="0" name=""/>
        <dsp:cNvSpPr/>
      </dsp:nvSpPr>
      <dsp:spPr>
        <a:xfrm rot="10804604">
          <a:off x="1450216" y="962828"/>
          <a:ext cx="943322" cy="12644"/>
        </a:xfrm>
        <a:custGeom>
          <a:avLst/>
          <a:gdLst/>
          <a:ahLst/>
          <a:cxnLst/>
          <a:rect l="0" t="0" r="0" b="0"/>
          <a:pathLst>
            <a:path>
              <a:moveTo>
                <a:pt x="0" y="6322"/>
              </a:moveTo>
              <a:lnTo>
                <a:pt x="1114107"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98294" y="945567"/>
        <a:ext cx="47166" cy="47166"/>
      </dsp:txXfrm>
    </dsp:sp>
    <dsp:sp modelId="{2ED32773-10C9-4671-A0BF-4C0DAB40AE25}">
      <dsp:nvSpPr>
        <dsp:cNvPr id="0" name=""/>
        <dsp:cNvSpPr/>
      </dsp:nvSpPr>
      <dsp:spPr>
        <a:xfrm>
          <a:off x="214657" y="721525"/>
          <a:ext cx="1235562" cy="49233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95601" y="793625"/>
        <a:ext cx="873674" cy="348133"/>
      </dsp:txXfrm>
    </dsp:sp>
    <dsp:sp modelId="{06FD983D-3F71-4BCE-AD7F-6DD1041A2F23}">
      <dsp:nvSpPr>
        <dsp:cNvPr id="0" name=""/>
        <dsp:cNvSpPr/>
      </dsp:nvSpPr>
      <dsp:spPr>
        <a:xfrm rot="12160169">
          <a:off x="2133036" y="710502"/>
          <a:ext cx="498875" cy="12644"/>
        </a:xfrm>
        <a:custGeom>
          <a:avLst/>
          <a:gdLst/>
          <a:ahLst/>
          <a:cxnLst/>
          <a:rect l="0" t="0" r="0" b="0"/>
          <a:pathLst>
            <a:path>
              <a:moveTo>
                <a:pt x="0" y="6322"/>
              </a:moveTo>
              <a:lnTo>
                <a:pt x="58691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70002" y="704353"/>
        <a:ext cx="24943" cy="24943"/>
      </dsp:txXfrm>
    </dsp:sp>
    <dsp:sp modelId="{CFBB929F-8BEB-442D-8D00-28EE1C02C39C}">
      <dsp:nvSpPr>
        <dsp:cNvPr id="0" name=""/>
        <dsp:cNvSpPr/>
      </dsp:nvSpPr>
      <dsp:spPr>
        <a:xfrm>
          <a:off x="1012679" y="170709"/>
          <a:ext cx="1362817" cy="5171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212259" y="246448"/>
        <a:ext cx="963657" cy="365698"/>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317171" y="1115542"/>
          <a:ext cx="1159397" cy="37687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486961" y="1170735"/>
        <a:ext cx="819817" cy="266493"/>
      </dsp:txXfrm>
    </dsp:sp>
    <dsp:sp modelId="{E6ACA703-0949-41B3-BE6B-C702E5C7275F}">
      <dsp:nvSpPr>
        <dsp:cNvPr id="0" name=""/>
        <dsp:cNvSpPr/>
      </dsp:nvSpPr>
      <dsp:spPr>
        <a:xfrm rot="16200000">
          <a:off x="2556707" y="768032"/>
          <a:ext cx="680326" cy="14693"/>
        </a:xfrm>
        <a:custGeom>
          <a:avLst/>
          <a:gdLst/>
          <a:ahLst/>
          <a:cxnLst/>
          <a:rect l="0" t="0" r="0" b="0"/>
          <a:pathLst>
            <a:path>
              <a:moveTo>
                <a:pt x="0" y="7346"/>
              </a:moveTo>
              <a:lnTo>
                <a:pt x="680326"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879862" y="758371"/>
        <a:ext cx="34016" cy="34016"/>
      </dsp:txXfrm>
    </dsp:sp>
    <dsp:sp modelId="{AFD0CC05-9AD4-4A51-8739-4FB4CA1E4ACE}">
      <dsp:nvSpPr>
        <dsp:cNvPr id="0" name=""/>
        <dsp:cNvSpPr/>
      </dsp:nvSpPr>
      <dsp:spPr>
        <a:xfrm>
          <a:off x="2444589" y="544"/>
          <a:ext cx="904562" cy="43467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77059" y="64200"/>
        <a:ext cx="639622" cy="307359"/>
      </dsp:txXfrm>
    </dsp:sp>
    <dsp:sp modelId="{34515D96-C834-4D67-AF5C-3B293601CBC3}">
      <dsp:nvSpPr>
        <dsp:cNvPr id="0" name=""/>
        <dsp:cNvSpPr/>
      </dsp:nvSpPr>
      <dsp:spPr>
        <a:xfrm rot="18912243">
          <a:off x="2956002" y="823381"/>
          <a:ext cx="835010" cy="14693"/>
        </a:xfrm>
        <a:custGeom>
          <a:avLst/>
          <a:gdLst/>
          <a:ahLst/>
          <a:cxnLst/>
          <a:rect l="0" t="0" r="0" b="0"/>
          <a:pathLst>
            <a:path>
              <a:moveTo>
                <a:pt x="0" y="7346"/>
              </a:moveTo>
              <a:lnTo>
                <a:pt x="835010"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352632" y="809852"/>
        <a:ext cx="41750" cy="41750"/>
      </dsp:txXfrm>
    </dsp:sp>
    <dsp:sp modelId="{D9366F31-B7D7-4B43-830C-AD5E2193A794}">
      <dsp:nvSpPr>
        <dsp:cNvPr id="0" name=""/>
        <dsp:cNvSpPr/>
      </dsp:nvSpPr>
      <dsp:spPr>
        <a:xfrm>
          <a:off x="3405252" y="90951"/>
          <a:ext cx="953120" cy="4701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544833" y="159804"/>
        <a:ext cx="673958" cy="332452"/>
      </dsp:txXfrm>
    </dsp:sp>
    <dsp:sp modelId="{3F0F15B6-4D5A-493B-B03E-AE8141DC3DCE}">
      <dsp:nvSpPr>
        <dsp:cNvPr id="0" name=""/>
        <dsp:cNvSpPr/>
      </dsp:nvSpPr>
      <dsp:spPr>
        <a:xfrm rot="20402447">
          <a:off x="3249236" y="961526"/>
          <a:ext cx="1140762" cy="14693"/>
        </a:xfrm>
        <a:custGeom>
          <a:avLst/>
          <a:gdLst/>
          <a:ahLst/>
          <a:cxnLst/>
          <a:rect l="0" t="0" r="0" b="0"/>
          <a:pathLst>
            <a:path>
              <a:moveTo>
                <a:pt x="0" y="7346"/>
              </a:moveTo>
              <a:lnTo>
                <a:pt x="1140762"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791098" y="940354"/>
        <a:ext cx="57038" cy="57038"/>
      </dsp:txXfrm>
    </dsp:sp>
    <dsp:sp modelId="{ECD2D13D-466C-468B-BD6C-1B646D8E5B8E}">
      <dsp:nvSpPr>
        <dsp:cNvPr id="0" name=""/>
        <dsp:cNvSpPr/>
      </dsp:nvSpPr>
      <dsp:spPr>
        <a:xfrm>
          <a:off x="4275643" y="424004"/>
          <a:ext cx="867344" cy="4435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402663" y="488957"/>
        <a:ext cx="613304" cy="313618"/>
      </dsp:txXfrm>
    </dsp:sp>
    <dsp:sp modelId="{5CF8296B-0142-429D-A71A-20799D2EB74B}">
      <dsp:nvSpPr>
        <dsp:cNvPr id="0" name=""/>
        <dsp:cNvSpPr/>
      </dsp:nvSpPr>
      <dsp:spPr>
        <a:xfrm rot="21389596">
          <a:off x="3465555" y="1229721"/>
          <a:ext cx="1046488" cy="14693"/>
        </a:xfrm>
        <a:custGeom>
          <a:avLst/>
          <a:gdLst/>
          <a:ahLst/>
          <a:cxnLst/>
          <a:rect l="0" t="0" r="0" b="0"/>
          <a:pathLst>
            <a:path>
              <a:moveTo>
                <a:pt x="0" y="7346"/>
              </a:moveTo>
              <a:lnTo>
                <a:pt x="1046488"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962637" y="1210905"/>
        <a:ext cx="52324" cy="52324"/>
      </dsp:txXfrm>
    </dsp:sp>
    <dsp:sp modelId="{7E7DDE23-6C04-407D-AAB6-669511EA704E}">
      <dsp:nvSpPr>
        <dsp:cNvPr id="0" name=""/>
        <dsp:cNvSpPr/>
      </dsp:nvSpPr>
      <dsp:spPr>
        <a:xfrm>
          <a:off x="4506082" y="921257"/>
          <a:ext cx="1104535" cy="50053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المعارف التقليدية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667837" y="994559"/>
        <a:ext cx="781025" cy="353931"/>
      </dsp:txXfrm>
    </dsp:sp>
    <dsp:sp modelId="{DC281168-2DBC-4CFB-B21D-C54E9628B383}">
      <dsp:nvSpPr>
        <dsp:cNvPr id="0" name=""/>
        <dsp:cNvSpPr/>
      </dsp:nvSpPr>
      <dsp:spPr>
        <a:xfrm rot="796628">
          <a:off x="3353663" y="1513303"/>
          <a:ext cx="922834" cy="14693"/>
        </a:xfrm>
        <a:custGeom>
          <a:avLst/>
          <a:gdLst/>
          <a:ahLst/>
          <a:cxnLst/>
          <a:rect l="0" t="0" r="0" b="0"/>
          <a:pathLst>
            <a:path>
              <a:moveTo>
                <a:pt x="0" y="7346"/>
              </a:moveTo>
              <a:lnTo>
                <a:pt x="922834"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792010" y="1497580"/>
        <a:ext cx="46141" cy="46141"/>
      </dsp:txXfrm>
    </dsp:sp>
    <dsp:sp modelId="{66DADE40-99AE-41BE-B997-129EED231064}">
      <dsp:nvSpPr>
        <dsp:cNvPr id="0" name=""/>
        <dsp:cNvSpPr/>
      </dsp:nvSpPr>
      <dsp:spPr>
        <a:xfrm>
          <a:off x="4201355" y="1520969"/>
          <a:ext cx="982998" cy="4136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345312" y="1581542"/>
        <a:ext cx="695084" cy="292471"/>
      </dsp:txXfrm>
    </dsp:sp>
    <dsp:sp modelId="{4DF1B0BE-A63A-4BEA-9EE5-4168481CC99E}">
      <dsp:nvSpPr>
        <dsp:cNvPr id="0" name=""/>
        <dsp:cNvSpPr/>
      </dsp:nvSpPr>
      <dsp:spPr>
        <a:xfrm rot="2468713">
          <a:off x="3047787" y="1609704"/>
          <a:ext cx="414779" cy="14693"/>
        </a:xfrm>
        <a:custGeom>
          <a:avLst/>
          <a:gdLst/>
          <a:ahLst/>
          <a:cxnLst/>
          <a:rect l="0" t="0" r="0" b="0"/>
          <a:pathLst>
            <a:path>
              <a:moveTo>
                <a:pt x="0" y="7346"/>
              </a:moveTo>
              <a:lnTo>
                <a:pt x="414779"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44807" y="1606681"/>
        <a:ext cx="20738" cy="20738"/>
      </dsp:txXfrm>
    </dsp:sp>
    <dsp:sp modelId="{DB594876-4070-4577-942D-67F5CD4D6A19}">
      <dsp:nvSpPr>
        <dsp:cNvPr id="0" name=""/>
        <dsp:cNvSpPr/>
      </dsp:nvSpPr>
      <dsp:spPr>
        <a:xfrm>
          <a:off x="3098728" y="1721552"/>
          <a:ext cx="1177856" cy="5467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271221" y="1801622"/>
        <a:ext cx="832870" cy="386612"/>
      </dsp:txXfrm>
    </dsp:sp>
    <dsp:sp modelId="{E49C447F-3477-4311-B10B-FFFA7DE7209F}">
      <dsp:nvSpPr>
        <dsp:cNvPr id="0" name=""/>
        <dsp:cNvSpPr/>
      </dsp:nvSpPr>
      <dsp:spPr>
        <a:xfrm rot="7608600">
          <a:off x="2453753" y="1632980"/>
          <a:ext cx="382813" cy="14693"/>
        </a:xfrm>
        <a:custGeom>
          <a:avLst/>
          <a:gdLst/>
          <a:ahLst/>
          <a:cxnLst/>
          <a:rect l="0" t="0" r="0" b="0"/>
          <a:pathLst>
            <a:path>
              <a:moveTo>
                <a:pt x="0" y="7346"/>
              </a:moveTo>
              <a:lnTo>
                <a:pt x="382813"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635590" y="1630757"/>
        <a:ext cx="19140" cy="19140"/>
      </dsp:txXfrm>
    </dsp:sp>
    <dsp:sp modelId="{69F18085-0AC3-4BAE-9B16-F8478FFBD61E}">
      <dsp:nvSpPr>
        <dsp:cNvPr id="0" name=""/>
        <dsp:cNvSpPr/>
      </dsp:nvSpPr>
      <dsp:spPr>
        <a:xfrm>
          <a:off x="1768101" y="1781893"/>
          <a:ext cx="1170235" cy="49707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939478" y="1854688"/>
        <a:ext cx="827481" cy="351485"/>
      </dsp:txXfrm>
    </dsp:sp>
    <dsp:sp modelId="{FCC14444-D5E7-4E9C-B980-A27CD799E442}">
      <dsp:nvSpPr>
        <dsp:cNvPr id="0" name=""/>
        <dsp:cNvSpPr/>
      </dsp:nvSpPr>
      <dsp:spPr>
        <a:xfrm rot="9767176">
          <a:off x="1647997" y="1552156"/>
          <a:ext cx="848235" cy="14693"/>
        </a:xfrm>
        <a:custGeom>
          <a:avLst/>
          <a:gdLst/>
          <a:ahLst/>
          <a:cxnLst/>
          <a:rect l="0" t="0" r="0" b="0"/>
          <a:pathLst>
            <a:path>
              <a:moveTo>
                <a:pt x="0" y="7346"/>
              </a:moveTo>
              <a:lnTo>
                <a:pt x="848235"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050909" y="1538297"/>
        <a:ext cx="42411" cy="42411"/>
      </dsp:txXfrm>
    </dsp:sp>
    <dsp:sp modelId="{49C45DFA-0A15-4DAA-80DC-CAE4ABCC6B43}">
      <dsp:nvSpPr>
        <dsp:cNvPr id="0" name=""/>
        <dsp:cNvSpPr/>
      </dsp:nvSpPr>
      <dsp:spPr>
        <a:xfrm>
          <a:off x="648457" y="1571381"/>
          <a:ext cx="1113030" cy="51354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811456" y="1646589"/>
        <a:ext cx="787032" cy="363133"/>
      </dsp:txXfrm>
    </dsp:sp>
    <dsp:sp modelId="{7B59CB2C-C82F-41EE-B3CF-ADD4878ADBA6}">
      <dsp:nvSpPr>
        <dsp:cNvPr id="0" name=""/>
        <dsp:cNvSpPr/>
      </dsp:nvSpPr>
      <dsp:spPr>
        <a:xfrm rot="10810348">
          <a:off x="1272977" y="1293318"/>
          <a:ext cx="1044221" cy="14693"/>
        </a:xfrm>
        <a:custGeom>
          <a:avLst/>
          <a:gdLst/>
          <a:ahLst/>
          <a:cxnLst/>
          <a:rect l="0" t="0" r="0" b="0"/>
          <a:pathLst>
            <a:path>
              <a:moveTo>
                <a:pt x="0" y="7346"/>
              </a:moveTo>
              <a:lnTo>
                <a:pt x="1044221"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1768982" y="1274559"/>
        <a:ext cx="52211" cy="52211"/>
      </dsp:txXfrm>
    </dsp:sp>
    <dsp:sp modelId="{402B25BB-F397-46B5-AAB7-C38C2276BF82}">
      <dsp:nvSpPr>
        <dsp:cNvPr id="0" name=""/>
        <dsp:cNvSpPr/>
      </dsp:nvSpPr>
      <dsp:spPr>
        <a:xfrm>
          <a:off x="99877" y="1044112"/>
          <a:ext cx="1173117" cy="5064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71676" y="1118277"/>
        <a:ext cx="829519" cy="358101"/>
      </dsp:txXfrm>
    </dsp:sp>
    <dsp:sp modelId="{EFB9CB5A-411C-454B-96B1-9ED988829CBE}">
      <dsp:nvSpPr>
        <dsp:cNvPr id="0" name=""/>
        <dsp:cNvSpPr/>
      </dsp:nvSpPr>
      <dsp:spPr>
        <a:xfrm rot="11847099">
          <a:off x="1543689" y="1021901"/>
          <a:ext cx="958535" cy="14693"/>
        </a:xfrm>
        <a:custGeom>
          <a:avLst/>
          <a:gdLst/>
          <a:ahLst/>
          <a:cxnLst/>
          <a:rect l="0" t="0" r="0" b="0"/>
          <a:pathLst>
            <a:path>
              <a:moveTo>
                <a:pt x="0" y="7346"/>
              </a:moveTo>
              <a:lnTo>
                <a:pt x="958535"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1998994" y="1005285"/>
        <a:ext cx="47926" cy="47926"/>
      </dsp:txXfrm>
    </dsp:sp>
    <dsp:sp modelId="{5AF8D9AC-0C15-4D1B-BCD3-7FFCFF0A581D}">
      <dsp:nvSpPr>
        <dsp:cNvPr id="0" name=""/>
        <dsp:cNvSpPr/>
      </dsp:nvSpPr>
      <dsp:spPr>
        <a:xfrm>
          <a:off x="561130" y="463946"/>
          <a:ext cx="1085550" cy="5527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720105" y="544895"/>
        <a:ext cx="767600" cy="390858"/>
      </dsp:txXfrm>
    </dsp:sp>
    <dsp:sp modelId="{EA581F84-B016-4CDB-99D6-9E3DD9F505FC}">
      <dsp:nvSpPr>
        <dsp:cNvPr id="0" name=""/>
        <dsp:cNvSpPr/>
      </dsp:nvSpPr>
      <dsp:spPr>
        <a:xfrm rot="13431459">
          <a:off x="1995631" y="830096"/>
          <a:ext cx="831431" cy="14693"/>
        </a:xfrm>
        <a:custGeom>
          <a:avLst/>
          <a:gdLst/>
          <a:ahLst/>
          <a:cxnLst/>
          <a:rect l="0" t="0" r="0" b="0"/>
          <a:pathLst>
            <a:path>
              <a:moveTo>
                <a:pt x="0" y="7346"/>
              </a:moveTo>
              <a:lnTo>
                <a:pt x="831431" y="7346"/>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390561" y="816657"/>
        <a:ext cx="41571" cy="41571"/>
      </dsp:txXfrm>
    </dsp:sp>
    <dsp:sp modelId="{0BAA02DA-E841-4BF5-8708-178825E9BEE2}">
      <dsp:nvSpPr>
        <dsp:cNvPr id="0" name=""/>
        <dsp:cNvSpPr/>
      </dsp:nvSpPr>
      <dsp:spPr>
        <a:xfrm>
          <a:off x="1402727" y="104005"/>
          <a:ext cx="979966" cy="4701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التحديات العالمية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546240" y="172858"/>
        <a:ext cx="692940" cy="3324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61096" y="600989"/>
          <a:ext cx="1103797" cy="34533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22743" y="651562"/>
        <a:ext cx="780503" cy="244186"/>
      </dsp:txXfrm>
    </dsp:sp>
    <dsp:sp modelId="{5337AE63-3722-42CC-AF72-36670EB7C5E1}">
      <dsp:nvSpPr>
        <dsp:cNvPr id="0" name=""/>
        <dsp:cNvSpPr/>
      </dsp:nvSpPr>
      <dsp:spPr>
        <a:xfrm rot="16230375">
          <a:off x="2812178" y="492344"/>
          <a:ext cx="206508" cy="10791"/>
        </a:xfrm>
        <a:custGeom>
          <a:avLst/>
          <a:gdLst/>
          <a:ahLst/>
          <a:cxnLst/>
          <a:rect l="0" t="0" r="0" b="0"/>
          <a:pathLst>
            <a:path>
              <a:moveTo>
                <a:pt x="0" y="5395"/>
              </a:moveTo>
              <a:lnTo>
                <a:pt x="225111"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10225" y="502856"/>
        <a:ext cx="0" cy="0"/>
      </dsp:txXfrm>
    </dsp:sp>
    <dsp:sp modelId="{CED9197C-8322-406B-917C-172FA36E7B76}">
      <dsp:nvSpPr>
        <dsp:cNvPr id="0" name=""/>
        <dsp:cNvSpPr/>
      </dsp:nvSpPr>
      <dsp:spPr>
        <a:xfrm>
          <a:off x="2480061" y="-16033"/>
          <a:ext cx="876195" cy="4105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08377" y="44087"/>
        <a:ext cx="619563" cy="290284"/>
      </dsp:txXfrm>
    </dsp:sp>
    <dsp:sp modelId="{4AC11394-3179-4EC5-A97F-D1A1B521CE2F}">
      <dsp:nvSpPr>
        <dsp:cNvPr id="0" name=""/>
        <dsp:cNvSpPr/>
      </dsp:nvSpPr>
      <dsp:spPr>
        <a:xfrm rot="20484300">
          <a:off x="3272956" y="544884"/>
          <a:ext cx="607960" cy="10791"/>
        </a:xfrm>
        <a:custGeom>
          <a:avLst/>
          <a:gdLst/>
          <a:ahLst/>
          <a:cxnLst/>
          <a:rect l="0" t="0" r="0" b="0"/>
          <a:pathLst>
            <a:path>
              <a:moveTo>
                <a:pt x="0" y="5395"/>
              </a:moveTo>
              <a:lnTo>
                <a:pt x="653366"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57685" y="540720"/>
        <a:ext cx="0" cy="0"/>
      </dsp:txXfrm>
    </dsp:sp>
    <dsp:sp modelId="{035B4C9A-0916-4FCC-A1CF-85DB358A289A}">
      <dsp:nvSpPr>
        <dsp:cNvPr id="0" name=""/>
        <dsp:cNvSpPr/>
      </dsp:nvSpPr>
      <dsp:spPr>
        <a:xfrm>
          <a:off x="3646269" y="98244"/>
          <a:ext cx="1335474" cy="4081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41845" y="158010"/>
        <a:ext cx="944322" cy="288578"/>
      </dsp:txXfrm>
    </dsp:sp>
    <dsp:sp modelId="{ADF94B70-0D7F-4A27-8DF9-17BCD27F4A7A}">
      <dsp:nvSpPr>
        <dsp:cNvPr id="0" name=""/>
        <dsp:cNvSpPr/>
      </dsp:nvSpPr>
      <dsp:spPr>
        <a:xfrm rot="21594334">
          <a:off x="3464885" y="766378"/>
          <a:ext cx="1179808" cy="10791"/>
        </a:xfrm>
        <a:custGeom>
          <a:avLst/>
          <a:gdLst/>
          <a:ahLst/>
          <a:cxnLst/>
          <a:rect l="0" t="0" r="0" b="0"/>
          <a:pathLst>
            <a:path>
              <a:moveTo>
                <a:pt x="0" y="5395"/>
              </a:moveTo>
              <a:lnTo>
                <a:pt x="1258892"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25245" y="742328"/>
        <a:ext cx="0" cy="0"/>
      </dsp:txXfrm>
    </dsp:sp>
    <dsp:sp modelId="{0FAF3FA1-8E6C-455E-B189-A468B3F4D8BC}">
      <dsp:nvSpPr>
        <dsp:cNvPr id="0" name=""/>
        <dsp:cNvSpPr/>
      </dsp:nvSpPr>
      <dsp:spPr>
        <a:xfrm>
          <a:off x="4644688" y="556667"/>
          <a:ext cx="1043844" cy="4265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797555" y="619134"/>
        <a:ext cx="738110" cy="301614"/>
      </dsp:txXfrm>
    </dsp:sp>
    <dsp:sp modelId="{447FEE0B-EFE1-4BAD-80EF-66C3DD36014A}">
      <dsp:nvSpPr>
        <dsp:cNvPr id="0" name=""/>
        <dsp:cNvSpPr/>
      </dsp:nvSpPr>
      <dsp:spPr>
        <a:xfrm rot="1014511">
          <a:off x="3297789" y="962793"/>
          <a:ext cx="510293" cy="10791"/>
        </a:xfrm>
        <a:custGeom>
          <a:avLst/>
          <a:gdLst/>
          <a:ahLst/>
          <a:cxnLst/>
          <a:rect l="0" t="0" r="0" b="0"/>
          <a:pathLst>
            <a:path>
              <a:moveTo>
                <a:pt x="0" y="5395"/>
              </a:moveTo>
              <a:lnTo>
                <a:pt x="667894"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44440" y="952272"/>
        <a:ext cx="0" cy="0"/>
      </dsp:txXfrm>
    </dsp:sp>
    <dsp:sp modelId="{3F1A2A14-E080-4448-96C3-A8E6002E7EE2}">
      <dsp:nvSpPr>
        <dsp:cNvPr id="0" name=""/>
        <dsp:cNvSpPr/>
      </dsp:nvSpPr>
      <dsp:spPr>
        <a:xfrm>
          <a:off x="3688839" y="932078"/>
          <a:ext cx="1194578" cy="5179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أكاديمية الويبو</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63781" y="1007935"/>
        <a:ext cx="844694" cy="366268"/>
      </dsp:txXfrm>
    </dsp:sp>
    <dsp:sp modelId="{E64AB50F-BCCF-45E7-A4E4-85ABC4F0C76B}">
      <dsp:nvSpPr>
        <dsp:cNvPr id="0" name=""/>
        <dsp:cNvSpPr/>
      </dsp:nvSpPr>
      <dsp:spPr>
        <a:xfrm rot="5427536">
          <a:off x="2837719" y="1014229"/>
          <a:ext cx="146609" cy="10791"/>
        </a:xfrm>
        <a:custGeom>
          <a:avLst/>
          <a:gdLst/>
          <a:ahLst/>
          <a:cxnLst/>
          <a:rect l="0" t="0" r="0" b="0"/>
          <a:pathLst>
            <a:path>
              <a:moveTo>
                <a:pt x="0" y="5395"/>
              </a:moveTo>
              <a:lnTo>
                <a:pt x="172578"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14718" y="1015988"/>
        <a:ext cx="0" cy="0"/>
      </dsp:txXfrm>
    </dsp:sp>
    <dsp:sp modelId="{97004BB0-64D3-4A92-A1C1-813788F5650F}">
      <dsp:nvSpPr>
        <dsp:cNvPr id="0" name=""/>
        <dsp:cNvSpPr/>
      </dsp:nvSpPr>
      <dsp:spPr>
        <a:xfrm>
          <a:off x="2240527" y="1092926"/>
          <a:ext cx="1335944" cy="48394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15</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الحلول للملكية الفكرية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36171" y="1163798"/>
        <a:ext cx="944656" cy="342198"/>
      </dsp:txXfrm>
    </dsp:sp>
    <dsp:sp modelId="{B6AECE84-7D2E-4CE5-85C8-4C69518D07D3}">
      <dsp:nvSpPr>
        <dsp:cNvPr id="0" name=""/>
        <dsp:cNvSpPr/>
      </dsp:nvSpPr>
      <dsp:spPr>
        <a:xfrm rot="9775202">
          <a:off x="1968878" y="971890"/>
          <a:ext cx="562766" cy="10791"/>
        </a:xfrm>
        <a:custGeom>
          <a:avLst/>
          <a:gdLst/>
          <a:ahLst/>
          <a:cxnLst/>
          <a:rect l="0" t="0" r="0" b="0"/>
          <a:pathLst>
            <a:path>
              <a:moveTo>
                <a:pt x="0" y="5395"/>
              </a:moveTo>
              <a:lnTo>
                <a:pt x="603884"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67842" y="986601"/>
        <a:ext cx="0" cy="0"/>
      </dsp:txXfrm>
    </dsp:sp>
    <dsp:sp modelId="{1E378005-6F69-4397-8C2A-FC05D53E797D}">
      <dsp:nvSpPr>
        <dsp:cNvPr id="0" name=""/>
        <dsp:cNvSpPr/>
      </dsp:nvSpPr>
      <dsp:spPr>
        <a:xfrm>
          <a:off x="920325" y="954216"/>
          <a:ext cx="1169597" cy="50403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الاقتصاد والإحصاء</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44500">
            <a:lnSpc>
              <a:spcPct val="90000"/>
            </a:lnSpc>
            <a:spcBef>
              <a:spcPct val="0"/>
            </a:spcBef>
            <a:spcAft>
              <a:spcPct val="35000"/>
            </a:spcAft>
          </a:pPr>
          <a:endPar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091609" y="1028031"/>
        <a:ext cx="827029" cy="356407"/>
      </dsp:txXfrm>
    </dsp:sp>
    <dsp:sp modelId="{D74286FF-AAFA-441A-87F1-98384D680093}">
      <dsp:nvSpPr>
        <dsp:cNvPr id="0" name=""/>
        <dsp:cNvSpPr/>
      </dsp:nvSpPr>
      <dsp:spPr>
        <a:xfrm rot="10810718">
          <a:off x="1176267" y="764693"/>
          <a:ext cx="1184858" cy="10791"/>
        </a:xfrm>
        <a:custGeom>
          <a:avLst/>
          <a:gdLst/>
          <a:ahLst/>
          <a:cxnLst/>
          <a:rect l="0" t="0" r="0" b="0"/>
          <a:pathLst>
            <a:path>
              <a:moveTo>
                <a:pt x="0" y="5395"/>
              </a:moveTo>
              <a:lnTo>
                <a:pt x="1264119"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98225" y="799801"/>
        <a:ext cx="0" cy="0"/>
      </dsp:txXfrm>
    </dsp:sp>
    <dsp:sp modelId="{755CFD49-3313-42A9-A1A9-D99CF689F3D7}">
      <dsp:nvSpPr>
        <dsp:cNvPr id="0" name=""/>
        <dsp:cNvSpPr/>
      </dsp:nvSpPr>
      <dsp:spPr>
        <a:xfrm>
          <a:off x="630" y="506901"/>
          <a:ext cx="1175654" cy="51901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72801" y="582909"/>
        <a:ext cx="831312" cy="366998"/>
      </dsp:txXfrm>
    </dsp:sp>
    <dsp:sp modelId="{6674A0B6-35AA-4763-B890-1E2177289BCF}">
      <dsp:nvSpPr>
        <dsp:cNvPr id="0" name=""/>
        <dsp:cNvSpPr/>
      </dsp:nvSpPr>
      <dsp:spPr>
        <a:xfrm rot="11993118">
          <a:off x="2017131" y="543917"/>
          <a:ext cx="551250" cy="10791"/>
        </a:xfrm>
        <a:custGeom>
          <a:avLst/>
          <a:gdLst/>
          <a:ahLst/>
          <a:cxnLst/>
          <a:rect l="0" t="0" r="0" b="0"/>
          <a:pathLst>
            <a:path>
              <a:moveTo>
                <a:pt x="0" y="5395"/>
              </a:moveTo>
              <a:lnTo>
                <a:pt x="597469" y="539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01027" y="566959"/>
        <a:ext cx="0" cy="0"/>
      </dsp:txXfrm>
    </dsp:sp>
    <dsp:sp modelId="{16FD236C-1C35-46D3-A6E9-C486F23997B9}">
      <dsp:nvSpPr>
        <dsp:cNvPr id="0" name=""/>
        <dsp:cNvSpPr/>
      </dsp:nvSpPr>
      <dsp:spPr>
        <a:xfrm>
          <a:off x="1000944" y="64111"/>
          <a:ext cx="1190469" cy="46649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الإدارة التنفيذية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175284" y="132427"/>
        <a:ext cx="841789" cy="3298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78111" y="765764"/>
          <a:ext cx="1059898" cy="505023"/>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4</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33329" y="839723"/>
        <a:ext cx="749462" cy="357105"/>
      </dsp:txXfrm>
    </dsp:sp>
    <dsp:sp modelId="{27C08CD6-CB73-4E0E-BA37-473C15E9C926}">
      <dsp:nvSpPr>
        <dsp:cNvPr id="0" name=""/>
        <dsp:cNvSpPr/>
      </dsp:nvSpPr>
      <dsp:spPr>
        <a:xfrm rot="16200000">
          <a:off x="2881770" y="631822"/>
          <a:ext cx="252579" cy="15304"/>
        </a:xfrm>
        <a:custGeom>
          <a:avLst/>
          <a:gdLst/>
          <a:ahLst/>
          <a:cxnLst/>
          <a:rect l="0" t="0" r="0" b="0"/>
          <a:pathLst>
            <a:path>
              <a:moveTo>
                <a:pt x="0" y="14194"/>
              </a:moveTo>
              <a:lnTo>
                <a:pt x="487996"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01746" y="633160"/>
        <a:ext cx="12628" cy="12628"/>
      </dsp:txXfrm>
    </dsp:sp>
    <dsp:sp modelId="{8441BECF-C9FE-4C31-BFA4-B45EB6B3D1F0}">
      <dsp:nvSpPr>
        <dsp:cNvPr id="0" name=""/>
        <dsp:cNvSpPr/>
      </dsp:nvSpPr>
      <dsp:spPr>
        <a:xfrm>
          <a:off x="2625914" y="8160"/>
          <a:ext cx="764293" cy="5050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737842" y="82119"/>
        <a:ext cx="540437" cy="357105"/>
      </dsp:txXfrm>
    </dsp:sp>
    <dsp:sp modelId="{27678B34-738D-4B59-81F4-6EB54DA6F256}">
      <dsp:nvSpPr>
        <dsp:cNvPr id="0" name=""/>
        <dsp:cNvSpPr/>
      </dsp:nvSpPr>
      <dsp:spPr>
        <a:xfrm rot="19885361">
          <a:off x="3339716" y="752782"/>
          <a:ext cx="283412" cy="15304"/>
        </a:xfrm>
        <a:custGeom>
          <a:avLst/>
          <a:gdLst/>
          <a:ahLst/>
          <a:cxnLst/>
          <a:rect l="0" t="0" r="0" b="0"/>
          <a:pathLst>
            <a:path>
              <a:moveTo>
                <a:pt x="0" y="7652"/>
              </a:moveTo>
              <a:lnTo>
                <a:pt x="283412"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74337" y="753349"/>
        <a:ext cx="14170" cy="14170"/>
      </dsp:txXfrm>
    </dsp:sp>
    <dsp:sp modelId="{77E0AE60-7058-4D43-911F-C57FA8C6CA9F}">
      <dsp:nvSpPr>
        <dsp:cNvPr id="0" name=""/>
        <dsp:cNvSpPr/>
      </dsp:nvSpPr>
      <dsp:spPr>
        <a:xfrm>
          <a:off x="3483146" y="265684"/>
          <a:ext cx="885983" cy="5050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12895" y="339643"/>
        <a:ext cx="626485" cy="357105"/>
      </dsp:txXfrm>
    </dsp:sp>
    <dsp:sp modelId="{EED79A7F-2696-484A-8083-D28DF0387AD5}">
      <dsp:nvSpPr>
        <dsp:cNvPr id="0" name=""/>
        <dsp:cNvSpPr/>
      </dsp:nvSpPr>
      <dsp:spPr>
        <a:xfrm rot="21587580">
          <a:off x="3537991" y="1006856"/>
          <a:ext cx="1026100" cy="15304"/>
        </a:xfrm>
        <a:custGeom>
          <a:avLst/>
          <a:gdLst/>
          <a:ahLst/>
          <a:cxnLst/>
          <a:rect l="0" t="0" r="0" b="0"/>
          <a:pathLst>
            <a:path>
              <a:moveTo>
                <a:pt x="0" y="7652"/>
              </a:moveTo>
              <a:lnTo>
                <a:pt x="1026100"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25389" y="988856"/>
        <a:ext cx="51305" cy="51305"/>
      </dsp:txXfrm>
    </dsp:sp>
    <dsp:sp modelId="{05994623-F04A-4AAC-82E3-2D63726DAA8A}">
      <dsp:nvSpPr>
        <dsp:cNvPr id="0" name=""/>
        <dsp:cNvSpPr/>
      </dsp:nvSpPr>
      <dsp:spPr>
        <a:xfrm>
          <a:off x="4564082" y="758741"/>
          <a:ext cx="776045" cy="5050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7</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التحكيم</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677731" y="832700"/>
        <a:ext cx="548747" cy="357105"/>
      </dsp:txXfrm>
    </dsp:sp>
    <dsp:sp modelId="{B654B038-4242-46EF-A10B-FF9B1A085532}">
      <dsp:nvSpPr>
        <dsp:cNvPr id="0" name=""/>
        <dsp:cNvSpPr/>
      </dsp:nvSpPr>
      <dsp:spPr>
        <a:xfrm rot="1837435">
          <a:off x="3319589" y="1283174"/>
          <a:ext cx="297779" cy="15304"/>
        </a:xfrm>
        <a:custGeom>
          <a:avLst/>
          <a:gdLst/>
          <a:ahLst/>
          <a:cxnLst/>
          <a:rect l="0" t="0" r="0" b="0"/>
          <a:pathLst>
            <a:path>
              <a:moveTo>
                <a:pt x="0" y="14194"/>
              </a:moveTo>
              <a:lnTo>
                <a:pt x="476437"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61034" y="1283382"/>
        <a:ext cx="14888" cy="14888"/>
      </dsp:txXfrm>
    </dsp:sp>
    <dsp:sp modelId="{3DB28723-07CF-4EFC-8E24-18E41E76D4AF}">
      <dsp:nvSpPr>
        <dsp:cNvPr id="0" name=""/>
        <dsp:cNvSpPr/>
      </dsp:nvSpPr>
      <dsp:spPr>
        <a:xfrm>
          <a:off x="3425447" y="1305282"/>
          <a:ext cx="988039" cy="5050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8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التنمية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3570142" y="1379241"/>
        <a:ext cx="698649" cy="357105"/>
      </dsp:txXfrm>
    </dsp:sp>
    <dsp:sp modelId="{AD2F0D4B-AECA-4B10-81AC-261AA8BE8E98}">
      <dsp:nvSpPr>
        <dsp:cNvPr id="0" name=""/>
        <dsp:cNvSpPr/>
      </dsp:nvSpPr>
      <dsp:spPr>
        <a:xfrm rot="9033691">
          <a:off x="2410994" y="1270604"/>
          <a:ext cx="272799" cy="15304"/>
        </a:xfrm>
        <a:custGeom>
          <a:avLst/>
          <a:gdLst/>
          <a:ahLst/>
          <a:cxnLst/>
          <a:rect l="0" t="0" r="0" b="0"/>
          <a:pathLst>
            <a:path>
              <a:moveTo>
                <a:pt x="0" y="7652"/>
              </a:moveTo>
              <a:lnTo>
                <a:pt x="272799"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40574" y="1271436"/>
        <a:ext cx="13639" cy="13639"/>
      </dsp:txXfrm>
    </dsp:sp>
    <dsp:sp modelId="{2BEED572-A282-4C32-95EB-3B1996D142B1}">
      <dsp:nvSpPr>
        <dsp:cNvPr id="0" name=""/>
        <dsp:cNvSpPr/>
      </dsp:nvSpPr>
      <dsp:spPr>
        <a:xfrm>
          <a:off x="1616261" y="1278175"/>
          <a:ext cx="967686" cy="5050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757975" y="1352134"/>
        <a:ext cx="684258" cy="357105"/>
      </dsp:txXfrm>
    </dsp:sp>
    <dsp:sp modelId="{C58C2EC9-2FE7-4521-9408-887873CF9CD6}">
      <dsp:nvSpPr>
        <dsp:cNvPr id="0" name=""/>
        <dsp:cNvSpPr/>
      </dsp:nvSpPr>
      <dsp:spPr>
        <a:xfrm rot="10801435">
          <a:off x="1516524" y="1010202"/>
          <a:ext cx="961587" cy="15304"/>
        </a:xfrm>
        <a:custGeom>
          <a:avLst/>
          <a:gdLst/>
          <a:ahLst/>
          <a:cxnLst/>
          <a:rect l="0" t="0" r="0" b="0"/>
          <a:pathLst>
            <a:path>
              <a:moveTo>
                <a:pt x="0" y="7652"/>
              </a:moveTo>
              <a:lnTo>
                <a:pt x="961587"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73278" y="993815"/>
        <a:ext cx="48079" cy="48079"/>
      </dsp:txXfrm>
    </dsp:sp>
    <dsp:sp modelId="{53F278CD-DAFE-4670-A5E7-7708D74F671E}">
      <dsp:nvSpPr>
        <dsp:cNvPr id="0" name=""/>
        <dsp:cNvSpPr/>
      </dsp:nvSpPr>
      <dsp:spPr>
        <a:xfrm>
          <a:off x="587815" y="764948"/>
          <a:ext cx="928708" cy="5050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723821" y="838907"/>
        <a:ext cx="656696" cy="357105"/>
      </dsp:txXfrm>
    </dsp:sp>
    <dsp:sp modelId="{9D7A60DE-15BF-4701-8167-A6BE55521FB0}">
      <dsp:nvSpPr>
        <dsp:cNvPr id="0" name=""/>
        <dsp:cNvSpPr/>
      </dsp:nvSpPr>
      <dsp:spPr>
        <a:xfrm rot="12498855">
          <a:off x="2401737" y="757090"/>
          <a:ext cx="271481" cy="15304"/>
        </a:xfrm>
        <a:custGeom>
          <a:avLst/>
          <a:gdLst/>
          <a:ahLst/>
          <a:cxnLst/>
          <a:rect l="0" t="0" r="0" b="0"/>
          <a:pathLst>
            <a:path>
              <a:moveTo>
                <a:pt x="0" y="7652"/>
              </a:moveTo>
              <a:lnTo>
                <a:pt x="271481"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30691" y="757955"/>
        <a:ext cx="13574" cy="13574"/>
      </dsp:txXfrm>
    </dsp:sp>
    <dsp:sp modelId="{0FDECDAE-6064-4D03-98A4-386BBAAFB761}">
      <dsp:nvSpPr>
        <dsp:cNvPr id="0" name=""/>
        <dsp:cNvSpPr/>
      </dsp:nvSpPr>
      <dsp:spPr>
        <a:xfrm>
          <a:off x="1635325" y="271787"/>
          <a:ext cx="911734" cy="5050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768845" y="345746"/>
        <a:ext cx="644694" cy="35710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36918" y="794306"/>
          <a:ext cx="1071870" cy="41222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93890" y="854675"/>
        <a:ext cx="757926" cy="291486"/>
      </dsp:txXfrm>
    </dsp:sp>
    <dsp:sp modelId="{DDE83488-D0AF-4A61-9C32-0D1EF5D54320}">
      <dsp:nvSpPr>
        <dsp:cNvPr id="0" name=""/>
        <dsp:cNvSpPr/>
      </dsp:nvSpPr>
      <dsp:spPr>
        <a:xfrm rot="16200000">
          <a:off x="2810464" y="624286"/>
          <a:ext cx="324778" cy="15260"/>
        </a:xfrm>
        <a:custGeom>
          <a:avLst/>
          <a:gdLst/>
          <a:ahLst/>
          <a:cxnLst/>
          <a:rect l="0" t="0" r="0" b="0"/>
          <a:pathLst>
            <a:path>
              <a:moveTo>
                <a:pt x="0" y="7641"/>
              </a:moveTo>
              <a:lnTo>
                <a:pt x="325302" y="7641"/>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64734" y="623797"/>
        <a:ext cx="16238" cy="16238"/>
      </dsp:txXfrm>
    </dsp:sp>
    <dsp:sp modelId="{5A264607-8295-4AD5-8D4E-5E0F0A25C928}">
      <dsp:nvSpPr>
        <dsp:cNvPr id="0" name=""/>
        <dsp:cNvSpPr/>
      </dsp:nvSpPr>
      <dsp:spPr>
        <a:xfrm>
          <a:off x="2499264" y="20193"/>
          <a:ext cx="947178" cy="44933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قانون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37975" y="85996"/>
        <a:ext cx="669756" cy="317727"/>
      </dsp:txXfrm>
    </dsp:sp>
    <dsp:sp modelId="{64B847BA-C336-4F4D-BCB1-E9F8B02329EB}">
      <dsp:nvSpPr>
        <dsp:cNvPr id="0" name=""/>
        <dsp:cNvSpPr/>
      </dsp:nvSpPr>
      <dsp:spPr>
        <a:xfrm rot="20188286">
          <a:off x="3304853" y="728853"/>
          <a:ext cx="548362" cy="15260"/>
        </a:xfrm>
        <a:custGeom>
          <a:avLst/>
          <a:gdLst/>
          <a:ahLst/>
          <a:cxnLst/>
          <a:rect l="0" t="0" r="0" b="0"/>
          <a:pathLst>
            <a:path>
              <a:moveTo>
                <a:pt x="0" y="7641"/>
              </a:moveTo>
              <a:lnTo>
                <a:pt x="549235" y="7641"/>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65326" y="722774"/>
        <a:ext cx="27418" cy="27418"/>
      </dsp:txXfrm>
    </dsp:sp>
    <dsp:sp modelId="{1AB73DFF-B172-4EE5-8B1D-E235635E7315}">
      <dsp:nvSpPr>
        <dsp:cNvPr id="0" name=""/>
        <dsp:cNvSpPr/>
      </dsp:nvSpPr>
      <dsp:spPr>
        <a:xfrm>
          <a:off x="3720533" y="214701"/>
          <a:ext cx="957179" cy="50358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7</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التحكيم</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60709" y="288449"/>
        <a:ext cx="676827" cy="356089"/>
      </dsp:txXfrm>
    </dsp:sp>
    <dsp:sp modelId="{27C08CD6-CB73-4E0E-BA37-473C15E9C926}">
      <dsp:nvSpPr>
        <dsp:cNvPr id="0" name=""/>
        <dsp:cNvSpPr/>
      </dsp:nvSpPr>
      <dsp:spPr>
        <a:xfrm rot="21594430">
          <a:off x="3508783" y="991204"/>
          <a:ext cx="882965" cy="15260"/>
        </a:xfrm>
        <a:custGeom>
          <a:avLst/>
          <a:gdLst/>
          <a:ahLst/>
          <a:cxnLst/>
          <a:rect l="0" t="0" r="0" b="0"/>
          <a:pathLst>
            <a:path>
              <a:moveTo>
                <a:pt x="0" y="7641"/>
              </a:moveTo>
              <a:lnTo>
                <a:pt x="884384" y="7641"/>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28192" y="976760"/>
        <a:ext cx="44148" cy="44148"/>
      </dsp:txXfrm>
    </dsp:sp>
    <dsp:sp modelId="{8441BECF-C9FE-4C31-BFA4-B45EB6B3D1F0}">
      <dsp:nvSpPr>
        <dsp:cNvPr id="0" name=""/>
        <dsp:cNvSpPr/>
      </dsp:nvSpPr>
      <dsp:spPr>
        <a:xfrm>
          <a:off x="4391740" y="784066"/>
          <a:ext cx="1332884" cy="42594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86936" y="846444"/>
        <a:ext cx="942492" cy="301191"/>
      </dsp:txXfrm>
    </dsp:sp>
    <dsp:sp modelId="{27678B34-738D-4B59-81F4-6EB54DA6F256}">
      <dsp:nvSpPr>
        <dsp:cNvPr id="0" name=""/>
        <dsp:cNvSpPr/>
      </dsp:nvSpPr>
      <dsp:spPr>
        <a:xfrm rot="1207147">
          <a:off x="3349204" y="1200970"/>
          <a:ext cx="383893" cy="15260"/>
        </a:xfrm>
        <a:custGeom>
          <a:avLst/>
          <a:gdLst/>
          <a:ahLst/>
          <a:cxnLst/>
          <a:rect l="0" t="0" r="0" b="0"/>
          <a:pathLst>
            <a:path>
              <a:moveTo>
                <a:pt x="0" y="7641"/>
              </a:moveTo>
              <a:lnTo>
                <a:pt x="384444" y="7641"/>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31553" y="1199003"/>
        <a:ext cx="19194" cy="19194"/>
      </dsp:txXfrm>
    </dsp:sp>
    <dsp:sp modelId="{77E0AE60-7058-4D43-911F-C57FA8C6CA9F}">
      <dsp:nvSpPr>
        <dsp:cNvPr id="0" name=""/>
        <dsp:cNvSpPr/>
      </dsp:nvSpPr>
      <dsp:spPr>
        <a:xfrm>
          <a:off x="3616342" y="1174647"/>
          <a:ext cx="1038936" cy="50358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768491" y="1248395"/>
        <a:ext cx="734638" cy="356089"/>
      </dsp:txXfrm>
    </dsp:sp>
    <dsp:sp modelId="{EED79A7F-2696-484A-8083-D28DF0387AD5}">
      <dsp:nvSpPr>
        <dsp:cNvPr id="0" name=""/>
        <dsp:cNvSpPr/>
      </dsp:nvSpPr>
      <dsp:spPr>
        <a:xfrm rot="9553788">
          <a:off x="2249180" y="1200205"/>
          <a:ext cx="353570" cy="15260"/>
        </a:xfrm>
        <a:custGeom>
          <a:avLst/>
          <a:gdLst/>
          <a:ahLst/>
          <a:cxnLst/>
          <a:rect l="0" t="0" r="0" b="0"/>
          <a:pathLst>
            <a:path>
              <a:moveTo>
                <a:pt x="0" y="7641"/>
              </a:moveTo>
              <a:lnTo>
                <a:pt x="354059" y="7641"/>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17126" y="1198996"/>
        <a:ext cx="17678" cy="17678"/>
      </dsp:txXfrm>
    </dsp:sp>
    <dsp:sp modelId="{05994623-F04A-4AAC-82E3-2D63726DAA8A}">
      <dsp:nvSpPr>
        <dsp:cNvPr id="0" name=""/>
        <dsp:cNvSpPr/>
      </dsp:nvSpPr>
      <dsp:spPr>
        <a:xfrm>
          <a:off x="1212305" y="1185309"/>
          <a:ext cx="1200874" cy="51020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12</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التصنيف والمعايير</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88169" y="1260027"/>
        <a:ext cx="849146" cy="360771"/>
      </dsp:txXfrm>
    </dsp:sp>
    <dsp:sp modelId="{B654B038-4242-46EF-A10B-FF9B1A085532}">
      <dsp:nvSpPr>
        <dsp:cNvPr id="0" name=""/>
        <dsp:cNvSpPr/>
      </dsp:nvSpPr>
      <dsp:spPr>
        <a:xfrm rot="10810106">
          <a:off x="1449713" y="989761"/>
          <a:ext cx="987222" cy="15260"/>
        </a:xfrm>
        <a:custGeom>
          <a:avLst/>
          <a:gdLst/>
          <a:ahLst/>
          <a:cxnLst/>
          <a:rect l="0" t="0" r="0" b="0"/>
          <a:pathLst>
            <a:path>
              <a:moveTo>
                <a:pt x="0" y="7641"/>
              </a:moveTo>
              <a:lnTo>
                <a:pt x="988835" y="7641"/>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18644" y="972711"/>
        <a:ext cx="49361" cy="49361"/>
      </dsp:txXfrm>
    </dsp:sp>
    <dsp:sp modelId="{3DB28723-07CF-4EFC-8E24-18E41E76D4AF}">
      <dsp:nvSpPr>
        <dsp:cNvPr id="0" name=""/>
        <dsp:cNvSpPr/>
      </dsp:nvSpPr>
      <dsp:spPr>
        <a:xfrm>
          <a:off x="105019" y="752090"/>
          <a:ext cx="1344718" cy="4837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البيانات العالمية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01948" y="822933"/>
        <a:ext cx="950860" cy="342062"/>
      </dsp:txXfrm>
    </dsp:sp>
    <dsp:sp modelId="{AD2F0D4B-AECA-4B10-81AC-261AA8BE8E98}">
      <dsp:nvSpPr>
        <dsp:cNvPr id="0" name=""/>
        <dsp:cNvSpPr/>
      </dsp:nvSpPr>
      <dsp:spPr>
        <a:xfrm rot="12191858">
          <a:off x="2166932" y="747442"/>
          <a:ext cx="466843" cy="15260"/>
        </a:xfrm>
        <a:custGeom>
          <a:avLst/>
          <a:gdLst/>
          <a:ahLst/>
          <a:cxnLst/>
          <a:rect l="0" t="0" r="0" b="0"/>
          <a:pathLst>
            <a:path>
              <a:moveTo>
                <a:pt x="0" y="7641"/>
              </a:moveTo>
              <a:lnTo>
                <a:pt x="467554" y="7641"/>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88682" y="743401"/>
        <a:ext cx="23342" cy="23342"/>
      </dsp:txXfrm>
    </dsp:sp>
    <dsp:sp modelId="{2BEED572-A282-4C32-95EB-3B1996D142B1}">
      <dsp:nvSpPr>
        <dsp:cNvPr id="0" name=""/>
        <dsp:cNvSpPr/>
      </dsp:nvSpPr>
      <dsp:spPr>
        <a:xfrm>
          <a:off x="1242408" y="208823"/>
          <a:ext cx="1064045" cy="55601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14</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النفاذ إلى المعلومات والمعرفة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98234" y="290250"/>
        <a:ext cx="752393" cy="39316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74357" y="567337"/>
          <a:ext cx="1254955" cy="38085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58141" y="623111"/>
        <a:ext cx="887387" cy="269303"/>
      </dsp:txXfrm>
    </dsp:sp>
    <dsp:sp modelId="{5337AE63-3722-42CC-AF72-36670EB7C5E1}">
      <dsp:nvSpPr>
        <dsp:cNvPr id="0" name=""/>
        <dsp:cNvSpPr/>
      </dsp:nvSpPr>
      <dsp:spPr>
        <a:xfrm rot="16214841">
          <a:off x="2944786" y="503048"/>
          <a:ext cx="116241" cy="12339"/>
        </a:xfrm>
        <a:custGeom>
          <a:avLst/>
          <a:gdLst/>
          <a:ahLst/>
          <a:cxnLst/>
          <a:rect l="0" t="0" r="0" b="0"/>
          <a:pathLst>
            <a:path>
              <a:moveTo>
                <a:pt x="0" y="6158"/>
              </a:moveTo>
              <a:lnTo>
                <a:pt x="115978"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00001" y="506311"/>
        <a:ext cx="5812" cy="5812"/>
      </dsp:txXfrm>
    </dsp:sp>
    <dsp:sp modelId="{CED9197C-8322-406B-917C-172FA36E7B76}">
      <dsp:nvSpPr>
        <dsp:cNvPr id="0" name=""/>
        <dsp:cNvSpPr/>
      </dsp:nvSpPr>
      <dsp:spPr>
        <a:xfrm>
          <a:off x="2329149" y="35317"/>
          <a:ext cx="1349812" cy="41578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26824" y="96207"/>
        <a:ext cx="954462" cy="294000"/>
      </dsp:txXfrm>
    </dsp:sp>
    <dsp:sp modelId="{4AC11394-3179-4EC5-A97F-D1A1B521CE2F}">
      <dsp:nvSpPr>
        <dsp:cNvPr id="0" name=""/>
        <dsp:cNvSpPr/>
      </dsp:nvSpPr>
      <dsp:spPr>
        <a:xfrm rot="1729">
          <a:off x="3629311" y="752108"/>
          <a:ext cx="788490" cy="12339"/>
        </a:xfrm>
        <a:custGeom>
          <a:avLst/>
          <a:gdLst/>
          <a:ahLst/>
          <a:cxnLst/>
          <a:rect l="0" t="0" r="0" b="0"/>
          <a:pathLst>
            <a:path>
              <a:moveTo>
                <a:pt x="0" y="6158"/>
              </a:moveTo>
              <a:lnTo>
                <a:pt x="8502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03844" y="738565"/>
        <a:ext cx="39424" cy="39424"/>
      </dsp:txXfrm>
    </dsp:sp>
    <dsp:sp modelId="{035B4C9A-0916-4FCC-A1CF-85DB358A289A}">
      <dsp:nvSpPr>
        <dsp:cNvPr id="0" name=""/>
        <dsp:cNvSpPr/>
      </dsp:nvSpPr>
      <dsp:spPr>
        <a:xfrm>
          <a:off x="4417801" y="529352"/>
          <a:ext cx="1128381" cy="45881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83049" y="596544"/>
        <a:ext cx="797885" cy="324431"/>
      </dsp:txXfrm>
    </dsp:sp>
    <dsp:sp modelId="{ADF94B70-0D7F-4A27-8DF9-17BCD27F4A7A}">
      <dsp:nvSpPr>
        <dsp:cNvPr id="0" name=""/>
        <dsp:cNvSpPr/>
      </dsp:nvSpPr>
      <dsp:spPr>
        <a:xfrm rot="5449116">
          <a:off x="2938968" y="1001310"/>
          <a:ext cx="118595" cy="12339"/>
        </a:xfrm>
        <a:custGeom>
          <a:avLst/>
          <a:gdLst/>
          <a:ahLst/>
          <a:cxnLst/>
          <a:rect l="0" t="0" r="0" b="0"/>
          <a:pathLst>
            <a:path>
              <a:moveTo>
                <a:pt x="0" y="6158"/>
              </a:moveTo>
              <a:lnTo>
                <a:pt x="11850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95301" y="1004515"/>
        <a:ext cx="5929" cy="5929"/>
      </dsp:txXfrm>
    </dsp:sp>
    <dsp:sp modelId="{0FAF3FA1-8E6C-455E-B189-A468B3F4D8BC}">
      <dsp:nvSpPr>
        <dsp:cNvPr id="0" name=""/>
        <dsp:cNvSpPr/>
      </dsp:nvSpPr>
      <dsp:spPr>
        <a:xfrm>
          <a:off x="2295796" y="1066770"/>
          <a:ext cx="1397343" cy="41310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لاهاي</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00432" y="1127267"/>
        <a:ext cx="988071" cy="292106"/>
      </dsp:txXfrm>
    </dsp:sp>
    <dsp:sp modelId="{9A56F0B1-9466-40E9-8BFA-10DF1330E460}">
      <dsp:nvSpPr>
        <dsp:cNvPr id="0" name=""/>
        <dsp:cNvSpPr/>
      </dsp:nvSpPr>
      <dsp:spPr>
        <a:xfrm rot="10795050">
          <a:off x="1565245" y="753080"/>
          <a:ext cx="809119" cy="12339"/>
        </a:xfrm>
        <a:custGeom>
          <a:avLst/>
          <a:gdLst/>
          <a:ahLst/>
          <a:cxnLst/>
          <a:rect l="0" t="0" r="0" b="0"/>
          <a:pathLst>
            <a:path>
              <a:moveTo>
                <a:pt x="0" y="6158"/>
              </a:moveTo>
              <a:lnTo>
                <a:pt x="8408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49576" y="739021"/>
        <a:ext cx="40455" cy="40455"/>
      </dsp:txXfrm>
    </dsp:sp>
    <dsp:sp modelId="{1826B69E-77B8-4580-ABF8-4926B99AA206}">
      <dsp:nvSpPr>
        <dsp:cNvPr id="0" name=""/>
        <dsp:cNvSpPr/>
      </dsp:nvSpPr>
      <dsp:spPr>
        <a:xfrm>
          <a:off x="365907" y="531530"/>
          <a:ext cx="1199341" cy="4583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لشبونة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rtl="1">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41546" y="598651"/>
        <a:ext cx="848063" cy="32408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47009" y="751101"/>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EG"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45614" y="832649"/>
        <a:ext cx="958950" cy="393750"/>
      </dsp:txXfrm>
    </dsp:sp>
    <dsp:sp modelId="{4AC11394-3179-4EC5-A97F-D1A1B521CE2F}">
      <dsp:nvSpPr>
        <dsp:cNvPr id="0" name=""/>
        <dsp:cNvSpPr/>
      </dsp:nvSpPr>
      <dsp:spPr>
        <a:xfrm rot="16193319">
          <a:off x="2641226" y="658806"/>
          <a:ext cx="166321" cy="18269"/>
        </a:xfrm>
        <a:custGeom>
          <a:avLst/>
          <a:gdLst/>
          <a:ahLst/>
          <a:cxnLst/>
          <a:rect l="0" t="0" r="0" b="0"/>
          <a:pathLst>
            <a:path>
              <a:moveTo>
                <a:pt x="0" y="9134"/>
              </a:moveTo>
              <a:lnTo>
                <a:pt x="163517"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20229" y="663783"/>
        <a:ext cx="8316" cy="8316"/>
      </dsp:txXfrm>
    </dsp:sp>
    <dsp:sp modelId="{035B4C9A-0916-4FCC-A1CF-85DB358A289A}">
      <dsp:nvSpPr>
        <dsp:cNvPr id="0" name=""/>
        <dsp:cNvSpPr/>
      </dsp:nvSpPr>
      <dsp:spPr>
        <a:xfrm>
          <a:off x="1967339" y="7949"/>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a:t>
          </a:r>
          <a:r>
            <a:rPr lang="ar-SA"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د</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188861" y="92424"/>
        <a:ext cx="1069606" cy="407881"/>
      </dsp:txXfrm>
    </dsp:sp>
    <dsp:sp modelId="{64248C57-3CE0-4657-BC67-6279BA0257B1}">
      <dsp:nvSpPr>
        <dsp:cNvPr id="0" name=""/>
        <dsp:cNvSpPr/>
      </dsp:nvSpPr>
      <dsp:spPr>
        <a:xfrm rot="2869">
          <a:off x="3403168" y="1021132"/>
          <a:ext cx="421574" cy="18269"/>
        </a:xfrm>
        <a:custGeom>
          <a:avLst/>
          <a:gdLst/>
          <a:ahLst/>
          <a:cxnLst/>
          <a:rect l="0" t="0" r="0" b="0"/>
          <a:pathLst>
            <a:path>
              <a:moveTo>
                <a:pt x="0" y="9134"/>
              </a:moveTo>
              <a:lnTo>
                <a:pt x="463565"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03416" y="1019727"/>
        <a:ext cx="21078" cy="21078"/>
      </dsp:txXfrm>
    </dsp:sp>
    <dsp:sp modelId="{976BA53C-17D4-4F7C-9078-1272C469C9E5}">
      <dsp:nvSpPr>
        <dsp:cNvPr id="0" name=""/>
        <dsp:cNvSpPr/>
      </dsp:nvSpPr>
      <dsp:spPr>
        <a:xfrm>
          <a:off x="3824740" y="770785"/>
          <a:ext cx="1507315" cy="52057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45481" y="847021"/>
        <a:ext cx="1065833" cy="368101"/>
      </dsp:txXfrm>
    </dsp:sp>
    <dsp:sp modelId="{ADF94B70-0D7F-4A27-8DF9-17BCD27F4A7A}">
      <dsp:nvSpPr>
        <dsp:cNvPr id="0" name=""/>
        <dsp:cNvSpPr/>
      </dsp:nvSpPr>
      <dsp:spPr>
        <a:xfrm rot="10791658">
          <a:off x="1589157" y="1022591"/>
          <a:ext cx="457865" cy="18269"/>
        </a:xfrm>
        <a:custGeom>
          <a:avLst/>
          <a:gdLst/>
          <a:ahLst/>
          <a:cxnLst/>
          <a:rect l="0" t="0" r="0" b="0"/>
          <a:pathLst>
            <a:path>
              <a:moveTo>
                <a:pt x="0" y="9134"/>
              </a:moveTo>
              <a:lnTo>
                <a:pt x="457860"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06643" y="1020279"/>
        <a:ext cx="22893" cy="22893"/>
      </dsp:txXfrm>
    </dsp:sp>
    <dsp:sp modelId="{0FAF3FA1-8E6C-455E-B189-A468B3F4D8BC}">
      <dsp:nvSpPr>
        <dsp:cNvPr id="0" name=""/>
        <dsp:cNvSpPr/>
      </dsp:nvSpPr>
      <dsp:spPr>
        <a:xfrm>
          <a:off x="154299" y="782942"/>
          <a:ext cx="1434875" cy="5021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4432" y="856481"/>
        <a:ext cx="1014609" cy="3550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1993978" y="680726"/>
          <a:ext cx="1891182" cy="46496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32</a:t>
          </a:r>
          <a:endPar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70935" y="748818"/>
        <a:ext cx="1337268" cy="328778"/>
      </dsp:txXfrm>
    </dsp:sp>
    <dsp:sp modelId="{5337AE63-3722-42CC-AF72-36670EB7C5E1}">
      <dsp:nvSpPr>
        <dsp:cNvPr id="0" name=""/>
        <dsp:cNvSpPr/>
      </dsp:nvSpPr>
      <dsp:spPr>
        <a:xfrm rot="16251408">
          <a:off x="2873330" y="602429"/>
          <a:ext cx="141547" cy="15064"/>
        </a:xfrm>
        <a:custGeom>
          <a:avLst/>
          <a:gdLst/>
          <a:ahLst/>
          <a:cxnLst/>
          <a:rect l="0" t="0" r="0" b="0"/>
          <a:pathLst>
            <a:path>
              <a:moveTo>
                <a:pt x="0" y="6158"/>
              </a:moveTo>
              <a:lnTo>
                <a:pt x="115978"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40565" y="606423"/>
        <a:ext cx="7077" cy="7077"/>
      </dsp:txXfrm>
    </dsp:sp>
    <dsp:sp modelId="{CED9197C-8322-406B-917C-172FA36E7B76}">
      <dsp:nvSpPr>
        <dsp:cNvPr id="0" name=""/>
        <dsp:cNvSpPr/>
      </dsp:nvSpPr>
      <dsp:spPr>
        <a:xfrm>
          <a:off x="2125000" y="31594"/>
          <a:ext cx="1647916" cy="50760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نظام مدريد</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66332" y="105931"/>
        <a:ext cx="1165252" cy="358930"/>
      </dsp:txXfrm>
    </dsp:sp>
    <dsp:sp modelId="{4AC11394-3179-4EC5-A97F-D1A1B521CE2F}">
      <dsp:nvSpPr>
        <dsp:cNvPr id="0" name=""/>
        <dsp:cNvSpPr/>
      </dsp:nvSpPr>
      <dsp:spPr>
        <a:xfrm rot="21597046">
          <a:off x="3885154" y="904723"/>
          <a:ext cx="326110" cy="15064"/>
        </a:xfrm>
        <a:custGeom>
          <a:avLst/>
          <a:gdLst/>
          <a:ahLst/>
          <a:cxnLst/>
          <a:rect l="0" t="0" r="0" b="0"/>
          <a:pathLst>
            <a:path>
              <a:moveTo>
                <a:pt x="0" y="6158"/>
              </a:moveTo>
              <a:lnTo>
                <a:pt x="8502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40057" y="904102"/>
        <a:ext cx="16305" cy="16305"/>
      </dsp:txXfrm>
    </dsp:sp>
    <dsp:sp modelId="{035B4C9A-0916-4FCC-A1CF-85DB358A289A}">
      <dsp:nvSpPr>
        <dsp:cNvPr id="0" name=""/>
        <dsp:cNvSpPr/>
      </dsp:nvSpPr>
      <dsp:spPr>
        <a:xfrm>
          <a:off x="4211262" y="638620"/>
          <a:ext cx="1728527" cy="54550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464399" y="718507"/>
        <a:ext cx="1222253" cy="385730"/>
      </dsp:txXfrm>
    </dsp:sp>
    <dsp:sp modelId="{9A56F0B1-9466-40E9-8BFA-10DF1330E460}">
      <dsp:nvSpPr>
        <dsp:cNvPr id="0" name=""/>
        <dsp:cNvSpPr/>
      </dsp:nvSpPr>
      <dsp:spPr>
        <a:xfrm rot="10754669">
          <a:off x="1586989" y="920819"/>
          <a:ext cx="408363" cy="15064"/>
        </a:xfrm>
        <a:custGeom>
          <a:avLst/>
          <a:gdLst/>
          <a:ahLst/>
          <a:cxnLst/>
          <a:rect l="0" t="0" r="0" b="0"/>
          <a:pathLst>
            <a:path>
              <a:moveTo>
                <a:pt x="0" y="6158"/>
              </a:moveTo>
              <a:lnTo>
                <a:pt x="840874" y="615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80962" y="918142"/>
        <a:ext cx="20418" cy="20418"/>
      </dsp:txXfrm>
    </dsp:sp>
    <dsp:sp modelId="{1826B69E-77B8-4580-ABF8-4926B99AA206}">
      <dsp:nvSpPr>
        <dsp:cNvPr id="0" name=""/>
        <dsp:cNvSpPr/>
      </dsp:nvSpPr>
      <dsp:spPr>
        <a:xfrm>
          <a:off x="49726" y="687870"/>
          <a:ext cx="1537895" cy="5066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ar-S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74946" y="762061"/>
        <a:ext cx="1087455" cy="35822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432361" y="923646"/>
          <a:ext cx="1155913" cy="51770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7</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01641" y="999462"/>
        <a:ext cx="817353" cy="366069"/>
      </dsp:txXfrm>
    </dsp:sp>
    <dsp:sp modelId="{E6ACA703-0949-41B3-BE6B-C702E5C7275F}">
      <dsp:nvSpPr>
        <dsp:cNvPr id="0" name=""/>
        <dsp:cNvSpPr/>
      </dsp:nvSpPr>
      <dsp:spPr>
        <a:xfrm rot="16166982">
          <a:off x="2794129" y="704145"/>
          <a:ext cx="423338" cy="15688"/>
        </a:xfrm>
        <a:custGeom>
          <a:avLst/>
          <a:gdLst/>
          <a:ahLst/>
          <a:cxnLst/>
          <a:rect l="0" t="0" r="0" b="0"/>
          <a:pathLst>
            <a:path>
              <a:moveTo>
                <a:pt x="0" y="7844"/>
              </a:moveTo>
              <a:lnTo>
                <a:pt x="424704"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95215" y="701405"/>
        <a:ext cx="21166" cy="21166"/>
      </dsp:txXfrm>
    </dsp:sp>
    <dsp:sp modelId="{AFD0CC05-9AD4-4A51-8739-4FB4CA1E4ACE}">
      <dsp:nvSpPr>
        <dsp:cNvPr id="0" name=""/>
        <dsp:cNvSpPr/>
      </dsp:nvSpPr>
      <dsp:spPr>
        <a:xfrm>
          <a:off x="2497298" y="0"/>
          <a:ext cx="1008130" cy="50033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العلامات والتصاميم والبيانات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44935" y="73272"/>
        <a:ext cx="712856" cy="353788"/>
      </dsp:txXfrm>
    </dsp:sp>
    <dsp:sp modelId="{34515D96-C834-4D67-AF5C-3B293601CBC3}">
      <dsp:nvSpPr>
        <dsp:cNvPr id="0" name=""/>
        <dsp:cNvSpPr/>
      </dsp:nvSpPr>
      <dsp:spPr>
        <a:xfrm rot="19295039">
          <a:off x="3232720" y="771856"/>
          <a:ext cx="571016" cy="15688"/>
        </a:xfrm>
        <a:custGeom>
          <a:avLst/>
          <a:gdLst/>
          <a:ahLst/>
          <a:cxnLst/>
          <a:rect l="0" t="0" r="0" b="0"/>
          <a:pathLst>
            <a:path>
              <a:moveTo>
                <a:pt x="0" y="7844"/>
              </a:moveTo>
              <a:lnTo>
                <a:pt x="572806"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03953" y="765425"/>
        <a:ext cx="28550" cy="28550"/>
      </dsp:txXfrm>
    </dsp:sp>
    <dsp:sp modelId="{D9366F31-B7D7-4B43-830C-AD5E2193A794}">
      <dsp:nvSpPr>
        <dsp:cNvPr id="0" name=""/>
        <dsp:cNvSpPr/>
      </dsp:nvSpPr>
      <dsp:spPr>
        <a:xfrm>
          <a:off x="3543582" y="131485"/>
          <a:ext cx="931241" cy="51770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حق المؤلف</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79959" y="207301"/>
        <a:ext cx="658487" cy="366069"/>
      </dsp:txXfrm>
    </dsp:sp>
    <dsp:sp modelId="{5CF8296B-0142-429D-A71A-20799D2EB74B}">
      <dsp:nvSpPr>
        <dsp:cNvPr id="0" name=""/>
        <dsp:cNvSpPr/>
      </dsp:nvSpPr>
      <dsp:spPr>
        <a:xfrm rot="20743370">
          <a:off x="3498325" y="930994"/>
          <a:ext cx="938992" cy="15688"/>
        </a:xfrm>
        <a:custGeom>
          <a:avLst/>
          <a:gdLst/>
          <a:ahLst/>
          <a:cxnLst/>
          <a:rect l="0" t="0" r="0" b="0"/>
          <a:pathLst>
            <a:path>
              <a:moveTo>
                <a:pt x="0" y="7844"/>
              </a:moveTo>
              <a:lnTo>
                <a:pt x="941915"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44347" y="915364"/>
        <a:ext cx="46949" cy="46949"/>
      </dsp:txXfrm>
    </dsp:sp>
    <dsp:sp modelId="{7E7DDE23-6C04-407D-AAB6-669511EA704E}">
      <dsp:nvSpPr>
        <dsp:cNvPr id="0" name=""/>
        <dsp:cNvSpPr/>
      </dsp:nvSpPr>
      <dsp:spPr>
        <a:xfrm>
          <a:off x="4352066" y="438681"/>
          <a:ext cx="1128035" cy="51770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5</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معاهدة البراءات</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17263" y="514497"/>
        <a:ext cx="797641" cy="366069"/>
      </dsp:txXfrm>
    </dsp:sp>
    <dsp:sp modelId="{DC281168-2DBC-4CFB-B21D-C54E9628B383}">
      <dsp:nvSpPr>
        <dsp:cNvPr id="0" name=""/>
        <dsp:cNvSpPr/>
      </dsp:nvSpPr>
      <dsp:spPr>
        <a:xfrm rot="321060">
          <a:off x="3574447" y="1261639"/>
          <a:ext cx="729130" cy="15688"/>
        </a:xfrm>
        <a:custGeom>
          <a:avLst/>
          <a:gdLst/>
          <a:ahLst/>
          <a:cxnLst/>
          <a:rect l="0" t="0" r="0" b="0"/>
          <a:pathLst>
            <a:path>
              <a:moveTo>
                <a:pt x="0" y="7844"/>
              </a:moveTo>
              <a:lnTo>
                <a:pt x="731469"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20784" y="1251255"/>
        <a:ext cx="36456" cy="36456"/>
      </dsp:txXfrm>
    </dsp:sp>
    <dsp:sp modelId="{66DADE40-99AE-41BE-B997-129EED231064}">
      <dsp:nvSpPr>
        <dsp:cNvPr id="0" name=""/>
        <dsp:cNvSpPr/>
      </dsp:nvSpPr>
      <dsp:spPr>
        <a:xfrm>
          <a:off x="4286056" y="1075825"/>
          <a:ext cx="1362983" cy="57999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6</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مدريد</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485660" y="1160763"/>
        <a:ext cx="963775" cy="410115"/>
      </dsp:txXfrm>
    </dsp:sp>
    <dsp:sp modelId="{4DF1B0BE-A63A-4BEA-9EE5-4168481CC99E}">
      <dsp:nvSpPr>
        <dsp:cNvPr id="0" name=""/>
        <dsp:cNvSpPr/>
      </dsp:nvSpPr>
      <dsp:spPr>
        <a:xfrm rot="1721265">
          <a:off x="3337434" y="1527264"/>
          <a:ext cx="634539" cy="15688"/>
        </a:xfrm>
        <a:custGeom>
          <a:avLst/>
          <a:gdLst/>
          <a:ahLst/>
          <a:cxnLst/>
          <a:rect l="0" t="0" r="0" b="0"/>
          <a:pathLst>
            <a:path>
              <a:moveTo>
                <a:pt x="0" y="7844"/>
              </a:moveTo>
              <a:lnTo>
                <a:pt x="636536"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38840" y="1519245"/>
        <a:ext cx="31726" cy="31726"/>
      </dsp:txXfrm>
    </dsp:sp>
    <dsp:sp modelId="{DB594876-4070-4577-942D-67F5CD4D6A19}">
      <dsp:nvSpPr>
        <dsp:cNvPr id="0" name=""/>
        <dsp:cNvSpPr/>
      </dsp:nvSpPr>
      <dsp:spPr>
        <a:xfrm>
          <a:off x="3717581" y="1629525"/>
          <a:ext cx="1165413" cy="51770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9</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المكاتب الإقليمية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88252" y="1705341"/>
        <a:ext cx="824071" cy="366069"/>
      </dsp:txXfrm>
    </dsp:sp>
    <dsp:sp modelId="{E49C447F-3477-4311-B10B-FFFA7DE7209F}">
      <dsp:nvSpPr>
        <dsp:cNvPr id="0" name=""/>
        <dsp:cNvSpPr/>
      </dsp:nvSpPr>
      <dsp:spPr>
        <a:xfrm rot="5064234">
          <a:off x="2862084" y="1624665"/>
          <a:ext cx="384654" cy="15688"/>
        </a:xfrm>
        <a:custGeom>
          <a:avLst/>
          <a:gdLst/>
          <a:ahLst/>
          <a:cxnLst/>
          <a:rect l="0" t="0" r="0" b="0"/>
          <a:pathLst>
            <a:path>
              <a:moveTo>
                <a:pt x="0" y="7844"/>
              </a:moveTo>
              <a:lnTo>
                <a:pt x="385867"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44795" y="1622893"/>
        <a:ext cx="19232" cy="19232"/>
      </dsp:txXfrm>
    </dsp:sp>
    <dsp:sp modelId="{69F18085-0AC3-4BAE-9B16-F8478FFBD61E}">
      <dsp:nvSpPr>
        <dsp:cNvPr id="0" name=""/>
        <dsp:cNvSpPr/>
      </dsp:nvSpPr>
      <dsp:spPr>
        <a:xfrm>
          <a:off x="2506146" y="1823683"/>
          <a:ext cx="1184718" cy="51770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البلدان المتحولة والمتقدمة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79644" y="1899499"/>
        <a:ext cx="837722" cy="366069"/>
      </dsp:txXfrm>
    </dsp:sp>
    <dsp:sp modelId="{FCC14444-D5E7-4E9C-B980-A27CD799E442}">
      <dsp:nvSpPr>
        <dsp:cNvPr id="0" name=""/>
        <dsp:cNvSpPr/>
      </dsp:nvSpPr>
      <dsp:spPr>
        <a:xfrm rot="8823751">
          <a:off x="2161583" y="1541321"/>
          <a:ext cx="565525" cy="15688"/>
        </a:xfrm>
        <a:custGeom>
          <a:avLst/>
          <a:gdLst/>
          <a:ahLst/>
          <a:cxnLst/>
          <a:rect l="0" t="0" r="0" b="0"/>
          <a:pathLst>
            <a:path>
              <a:moveTo>
                <a:pt x="0" y="7844"/>
              </a:moveTo>
              <a:lnTo>
                <a:pt x="567317"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30208" y="1535028"/>
        <a:ext cx="28276" cy="28276"/>
      </dsp:txXfrm>
    </dsp:sp>
    <dsp:sp modelId="{49C45DFA-0A15-4DAA-80DC-CAE4ABCC6B43}">
      <dsp:nvSpPr>
        <dsp:cNvPr id="0" name=""/>
        <dsp:cNvSpPr/>
      </dsp:nvSpPr>
      <dsp:spPr>
        <a:xfrm>
          <a:off x="1238759" y="1650474"/>
          <a:ext cx="1225580" cy="56548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17</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إذكاء الاحترام للملكية الفكرية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418241" y="1733287"/>
        <a:ext cx="866616" cy="399854"/>
      </dsp:txXfrm>
    </dsp:sp>
    <dsp:sp modelId="{7B59CB2C-C82F-41EE-B3CF-ADD4878ADBA6}">
      <dsp:nvSpPr>
        <dsp:cNvPr id="0" name=""/>
        <dsp:cNvSpPr/>
      </dsp:nvSpPr>
      <dsp:spPr>
        <a:xfrm rot="10226795">
          <a:off x="1479525" y="1348415"/>
          <a:ext cx="996684" cy="15688"/>
        </a:xfrm>
        <a:custGeom>
          <a:avLst/>
          <a:gdLst/>
          <a:ahLst/>
          <a:cxnLst/>
          <a:rect l="0" t="0" r="0" b="0"/>
          <a:pathLst>
            <a:path>
              <a:moveTo>
                <a:pt x="0" y="7844"/>
              </a:moveTo>
              <a:lnTo>
                <a:pt x="999786"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52951" y="1331342"/>
        <a:ext cx="49834" cy="49834"/>
      </dsp:txXfrm>
    </dsp:sp>
    <dsp:sp modelId="{402B25BB-F397-46B5-AAB7-C38C2276BF82}">
      <dsp:nvSpPr>
        <dsp:cNvPr id="0" name=""/>
        <dsp:cNvSpPr/>
      </dsp:nvSpPr>
      <dsp:spPr>
        <a:xfrm>
          <a:off x="396543" y="1254749"/>
          <a:ext cx="1120518" cy="54671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18</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التحديات العالمية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60639" y="1334813"/>
        <a:ext cx="792326" cy="386585"/>
      </dsp:txXfrm>
    </dsp:sp>
    <dsp:sp modelId="{EFB9CB5A-411C-454B-96B1-9ED988829CBE}">
      <dsp:nvSpPr>
        <dsp:cNvPr id="0" name=""/>
        <dsp:cNvSpPr/>
      </dsp:nvSpPr>
      <dsp:spPr>
        <a:xfrm rot="11307274">
          <a:off x="1630546" y="1031678"/>
          <a:ext cx="835776" cy="15688"/>
        </a:xfrm>
        <a:custGeom>
          <a:avLst/>
          <a:gdLst/>
          <a:ahLst/>
          <a:cxnLst/>
          <a:rect l="0" t="0" r="0" b="0"/>
          <a:pathLst>
            <a:path>
              <a:moveTo>
                <a:pt x="0" y="7844"/>
              </a:moveTo>
              <a:lnTo>
                <a:pt x="838410"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27540" y="1018627"/>
        <a:ext cx="41788" cy="41788"/>
      </dsp:txXfrm>
    </dsp:sp>
    <dsp:sp modelId="{5AF8D9AC-0C15-4D1B-BCD3-7FFCFF0A581D}">
      <dsp:nvSpPr>
        <dsp:cNvPr id="0" name=""/>
        <dsp:cNvSpPr/>
      </dsp:nvSpPr>
      <dsp:spPr>
        <a:xfrm>
          <a:off x="497263" y="591140"/>
          <a:ext cx="1159816" cy="6080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20</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العلاقات الخارجية</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667114" y="680183"/>
        <a:ext cx="820114" cy="429938"/>
      </dsp:txXfrm>
    </dsp:sp>
    <dsp:sp modelId="{5DC5D51E-945B-4CCC-B580-737CA66D42E3}">
      <dsp:nvSpPr>
        <dsp:cNvPr id="0" name=""/>
        <dsp:cNvSpPr/>
      </dsp:nvSpPr>
      <dsp:spPr>
        <a:xfrm rot="12869105">
          <a:off x="2221184" y="810874"/>
          <a:ext cx="519073" cy="15688"/>
        </a:xfrm>
        <a:custGeom>
          <a:avLst/>
          <a:gdLst/>
          <a:ahLst/>
          <a:cxnLst/>
          <a:rect l="0" t="0" r="0" b="0"/>
          <a:pathLst>
            <a:path>
              <a:moveTo>
                <a:pt x="0" y="7844"/>
              </a:moveTo>
              <a:lnTo>
                <a:pt x="520727" y="784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67744" y="805741"/>
        <a:ext cx="25953" cy="25953"/>
      </dsp:txXfrm>
    </dsp:sp>
    <dsp:sp modelId="{26661F75-1D9F-48E2-8FB0-82462D91AB89}">
      <dsp:nvSpPr>
        <dsp:cNvPr id="0" name=""/>
        <dsp:cNvSpPr/>
      </dsp:nvSpPr>
      <dsp:spPr>
        <a:xfrm>
          <a:off x="1356731" y="120024"/>
          <a:ext cx="1117417" cy="6208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البرنامج 31</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355600" rtl="1">
            <a:lnSpc>
              <a:spcPct val="90000"/>
            </a:lnSpc>
            <a:spcBef>
              <a:spcPct val="0"/>
            </a:spcBef>
            <a:spcAft>
              <a:spcPct val="35000"/>
            </a:spcAft>
          </a:pPr>
          <a:r>
            <a:rPr lang="ar-EG"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لاهاي</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520373" y="210939"/>
        <a:ext cx="790133" cy="43897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89BF6-5C75-4F18-A955-B5F3F9B33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Bugdet_Text_AR_.dotx</Template>
  <TotalTime>12</TotalTime>
  <Pages>283</Pages>
  <Words>64565</Words>
  <Characters>360424</Characters>
  <Application>Microsoft Office Word</Application>
  <DocSecurity>0</DocSecurity>
  <Lines>3003</Lines>
  <Paragraphs>848</Paragraphs>
  <ScaleCrop>false</ScaleCrop>
  <HeadingPairs>
    <vt:vector size="2" baseType="variant">
      <vt:variant>
        <vt:lpstr>Title</vt:lpstr>
      </vt:variant>
      <vt:variant>
        <vt:i4>1</vt:i4>
      </vt:variant>
    </vt:vector>
  </HeadingPairs>
  <TitlesOfParts>
    <vt:vector size="1" baseType="lpstr">
      <vt:lpstr>proposed_pb_16_17 (Arabic)</vt:lpstr>
    </vt:vector>
  </TitlesOfParts>
  <Company>WIPO</Company>
  <LinksUpToDate>false</LinksUpToDate>
  <CharactersWithSpaces>424141</CharactersWithSpaces>
  <SharedDoc>false</SharedDoc>
  <HLinks>
    <vt:vector size="6" baseType="variant">
      <vt:variant>
        <vt:i4>7995425</vt:i4>
      </vt:variant>
      <vt:variant>
        <vt:i4>0</vt:i4>
      </vt:variant>
      <vt:variant>
        <vt:i4>0</vt:i4>
      </vt:variant>
      <vt:variant>
        <vt:i4>5</vt:i4>
      </vt:variant>
      <vt:variant>
        <vt:lpwstr>../../../../basic/financial/Budget/2014_2015/2013_05_28/english/www.wipo.int/edocs/mdocs/govbody/en/a_42/a_42_10-annex3.pdf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proposed_pb_16_17 (Arabic)</dc:title>
  <dc:subject>البرنامج والميزانية للثنائية 2014/15</dc:subject>
  <dc:creator>وثيقة من إعداد الأمانة</dc:creator>
  <cp:lastModifiedBy>AHMIDOUCH Noureddine</cp:lastModifiedBy>
  <cp:revision>7</cp:revision>
  <cp:lastPrinted>2015-10-04T14:39:00Z</cp:lastPrinted>
  <dcterms:created xsi:type="dcterms:W3CDTF">2015-10-04T14:00:00Z</dcterms:created>
  <dcterms:modified xsi:type="dcterms:W3CDTF">2015-10-04T14:46:00Z</dcterms:modified>
</cp:coreProperties>
</file>